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2025-12-24</w:t>
      </w:r>
    </w:p>
    <w:p>
      <w:pPr>
        <w:spacing w:before="160" w:after="80" w:line="240" w:lineRule="auto"/>
      </w:pPr>
      <w:r>
        <w:rPr>
          <w:b/>
        </w:rPr>
        <w:t xml:space="preserve">[1] </w:t>
      </w:r>
      <w:hyperlink r:id="rId9">
        <w:r>
          <w:rPr>
            <w:color w:val="1155CC"/>
            <w:u w:val="single"/>
          </w:rPr>
          <w:t>Confined crystallization strategy enabling high-quality perovskite film for advanced photovoltaics</w:t>
        </w:r>
      </w:hyperlink>
    </w:p>
    <w:p>
      <w:pPr>
        <w:spacing w:before="0" w:after="120" w:line="240" w:lineRule="auto"/>
      </w:pPr>
      <w:r>
        <w:rPr>
          <w:b/>
        </w:rPr>
        <w:t xml:space="preserve">Source: </w:t>
      </w:r>
      <w:r>
        <w:t>Joule</w:t>
      </w:r>
      <w:r>
        <w:t xml:space="preserve">    </w:t>
      </w:r>
      <w:r>
        <w:rPr>
          <w:b/>
        </w:rPr>
        <w:t xml:space="preserve">Pub date: </w:t>
      </w:r>
      <w:r>
        <w:t>2025-12-16 00:00:00+00:00</w:t>
      </w:r>
    </w:p>
    <w:p>
      <w:pPr>
        <w:spacing w:before="0" w:after="120"/>
      </w:pPr>
      <w:r>
        <w:rPr>
          <w:b/>
        </w:rPr>
        <w:t xml:space="preserve">Notes: </w:t>
      </w:r>
      <w:r>
        <w:t>abstract_source=rss_cell</w:t>
      </w:r>
    </w:p>
    <w:p>
      <w:pPr>
        <w:spacing w:before="0" w:after="200" w:lineRule="auto" w:line="276"/>
      </w:pPr>
      <w:r>
        <w:rPr>
          <w:b/>
        </w:rPr>
        <w:t xml:space="preserve">Abstract: </w:t>
      </w:r>
      <w:r>
        <w:t>Fabricating high-quality semiconductor films on curved surfaces remains a major challenge due to stress and interfacial mismatch. This study introduces a solvation regulation strategy that confines perovskite crystallization within localized solvent clusters during spray deposition. Such confined growth lowers the energy barrier for crystal formation, enabling uniform, defect-suppressed films even under high humidity. The approach allows for scalable fabrication of efficient perovskite optoelectronic devices with tunable thickness on arbitrary curved surfaces.</w:t>
      </w:r>
    </w:p>
    <w:p>
      <w:pPr>
        <w:spacing w:before="120" w:after="120"/>
      </w:pPr>
      <w:r>
        <w:rPr>
          <w:sz w:val="18"/>
        </w:rPr>
        <w:t>——————————————————————————————————————————————————————————————————————</w:t>
      </w:r>
    </w:p>
    <w:p>
      <w:pPr>
        <w:spacing w:before="160" w:after="80" w:line="240" w:lineRule="auto"/>
      </w:pPr>
      <w:r>
        <w:rPr>
          <w:b/>
        </w:rPr>
        <w:t xml:space="preserve">[2] </w:t>
      </w:r>
      <w:hyperlink r:id="rId10">
        <w:r>
          <w:rPr>
            <w:color w:val="1155CC"/>
            <w:u w:val="single"/>
          </w:rPr>
          <w:t>Nanoscale chemical imaging of pseudocapacitive charge storage in MXene</w:t>
        </w:r>
      </w:hyperlink>
    </w:p>
    <w:p>
      <w:pPr>
        <w:spacing w:before="0" w:after="120" w:line="240" w:lineRule="auto"/>
      </w:pPr>
      <w:r>
        <w:rPr>
          <w:b/>
        </w:rPr>
        <w:t xml:space="preserve">Source: </w:t>
      </w:r>
      <w:r>
        <w:t>RSC - Energy Environ. Sci. latest articles</w:t>
      </w:r>
      <w:r>
        <w:t xml:space="preserve">    </w:t>
      </w:r>
      <w:r>
        <w:rPr>
          <w:b/>
        </w:rPr>
        <w:t xml:space="preserve">Pub date: </w:t>
      </w:r>
      <w:r>
        <w:t>2025-12-16 00:00:00+00:00</w:t>
      </w:r>
    </w:p>
    <w:p>
      <w:pPr>
        <w:spacing w:before="0" w:after="120"/>
      </w:pPr>
      <w:r>
        <w:rPr>
          <w:b/>
        </w:rPr>
        <w:t xml:space="preserve">Notes: </w:t>
      </w:r>
      <w:r>
        <w:t>abstract_source=rsc_html</w:t>
      </w:r>
    </w:p>
    <w:p>
      <w:pPr>
        <w:spacing w:before="0" w:after="200" w:lineRule="auto" w:line="276"/>
      </w:pPr>
      <w:r>
        <w:rPr>
          <w:b/>
        </w:rPr>
        <w:t xml:space="preserve">Abstract: </w:t>
      </w:r>
      <w:r>
        <w:t>Pseudocapacitive materials store electrochemical energy through fast and reversible surface charge transfer reactions. Titanium carbide MXenes are two-dimensional materials which have shown redox or intercalation pseudocapacitive properties depending on the electrolyte. Nevertheless, the intrinsic pseudocapacitive charging mechanism in individual MXene flakes remains unresolved. Here, we employ in-situ scanning transmission X-ray microscopy (STXM) to map the local chemical changes in individual Ti 3 C 2 T x MXene flakes during spontaneous and electrochemical intercalation of protons and lithium ions in aqueous electrolytes. Our investigations reveal that proton and lithium ion intercalation induces a reduction and an oxidation, respectively, of the titanium atoms in the MXene. This difference reveals a profoundly different chemical origin between redox and intercalation pseudocapacitive processes. By elucidating the interplay between ion hydration, MXene surface chemistry and flake morphology, our study highlights the relevance of chemical imaging on single entities for the fundamental understanding of electrochemical charge storage mechanisms.</w:t>
      </w:r>
    </w:p>
    <w:p>
      <w:pPr>
        <w:spacing w:before="120" w:after="120"/>
      </w:pPr>
      <w:r>
        <w:rPr>
          <w:sz w:val="18"/>
        </w:rPr>
        <w:t>——————————————————————————————————————————————————————————————————————</w:t>
      </w:r>
    </w:p>
    <w:p>
      <w:pPr>
        <w:spacing w:before="160" w:after="80" w:line="240" w:lineRule="auto"/>
      </w:pPr>
      <w:r>
        <w:rPr>
          <w:b/>
        </w:rPr>
        <w:t xml:space="preserve">[3] </w:t>
      </w:r>
      <w:hyperlink r:id="rId11">
        <w:r>
          <w:rPr>
            <w:color w:val="1155CC"/>
            <w:u w:val="single"/>
          </w:rPr>
          <w:t>Strain, stress, and rotation fields, and energetic features of twisted 2D materials</w:t>
        </w:r>
      </w:hyperlink>
    </w:p>
    <w:p>
      <w:pPr>
        <w:spacing w:before="0" w:after="120" w:line="240" w:lineRule="auto"/>
      </w:pPr>
      <w:r>
        <w:rPr>
          <w:b/>
        </w:rPr>
        <w:t xml:space="preserve">Source: </w:t>
      </w:r>
      <w:r>
        <w:t>National Science Review Advance Access</w:t>
      </w:r>
      <w:r>
        <w:t xml:space="preserve">    </w:t>
      </w:r>
      <w:r>
        <w:rPr>
          <w:b/>
        </w:rPr>
        <w:t xml:space="preserve">Pub date: </w:t>
      </w:r>
      <w:r>
        <w:t>2025-12-16 00:00:00+00:00</w:t>
      </w:r>
      <w:r>
        <w:t xml:space="preserve">    </w:t>
      </w:r>
      <w:r>
        <w:rPr>
          <w:b/>
        </w:rPr>
        <w:t xml:space="preserve">DOI: </w:t>
      </w:r>
      <w:hyperlink r:id="rId12">
        <w:r>
          <w:rPr>
            <w:color w:val="1155CC"/>
            <w:u w:val="single"/>
          </w:rPr>
          <w:t>10.1093/nsr/nwaf577/8381225</w:t>
        </w:r>
      </w:hyperlink>
    </w:p>
    <w:p>
      <w:pPr>
        <w:spacing w:before="0" w:after="120"/>
      </w:pPr>
      <w:r>
        <w:rPr>
          <w:b/>
        </w:rPr>
        <w:t xml:space="preserve">Notes: </w:t>
      </w:r>
      <w:r>
        <w:t>abstract_source=rss_oup</w:t>
      </w:r>
    </w:p>
    <w:p>
      <w:pPr>
        <w:spacing w:before="0" w:after="200" w:lineRule="auto" w:line="276"/>
      </w:pPr>
      <w:r>
        <w:rPr>
          <w:b/>
        </w:rPr>
        <w:t xml:space="preserve">Abstract: </w:t>
      </w:r>
      <w:r>
        <w:t>Twisted two-dimensional (2D) materials exhibit remarkable quantum properties due to Moiré-pattern-induced electronic band structure change, highly sensitive to nanoscale deformation from atomic-scale reconstruction. The absence of an analytical model linking deformation to twist angle limits property tunability. We developed a theoretical model characterizing deformation and energetics of twisted 2D materials. As twist angle increases, Moiré patterns evolve from triangular partial-dislocation networks to hexagonal domains with domain walls. Using anisotropic dislocation theory, we derived analytical expressions for local rotation, strain, and stress fields at small twist angles, and a nonlinear formula relating energy density to twist angle, capturing the transition from rapid growth to near saturation (0–30°). Theoretical predictions agree well with previous experimental and computational studies and our atomistic simulations for twisted bilayer graphene, hexagonal boron nitride, and trilayer graphene. This work provides a theoretical foundation for twist-angle control of quantum properties, enabling design of 2D quantum devices.</w:t>
      </w:r>
    </w:p>
    <w:p>
      <w:pPr>
        <w:spacing w:before="120" w:after="120"/>
      </w:pPr>
      <w:r>
        <w:rPr>
          <w:sz w:val="18"/>
        </w:rPr>
        <w:t>——————————————————————————————————————————————————————————————————————</w:t>
      </w:r>
    </w:p>
    <w:p>
      <w:pPr>
        <w:spacing w:before="160" w:after="80" w:line="240" w:lineRule="auto"/>
      </w:pPr>
      <w:r>
        <w:rPr>
          <w:b/>
        </w:rPr>
        <w:t xml:space="preserve">[4] </w:t>
      </w:r>
      <w:hyperlink r:id="rId13">
        <w:r>
          <w:rPr>
            <w:color w:val="1155CC"/>
            <w:u w:val="single"/>
          </w:rPr>
          <w:t>The development of customized perovskite photodetectors</w:t>
        </w:r>
      </w:hyperlink>
    </w:p>
    <w:p>
      <w:pPr>
        <w:spacing w:before="0" w:after="120" w:line="240" w:lineRule="auto"/>
      </w:pPr>
      <w:r>
        <w:rPr>
          <w:b/>
        </w:rPr>
        <w:t xml:space="preserve">Source: </w:t>
      </w:r>
      <w:r>
        <w:t>Nature Electronics</w:t>
      </w:r>
      <w:r>
        <w:t xml:space="preserve">    </w:t>
      </w:r>
      <w:r>
        <w:rPr>
          <w:b/>
        </w:rPr>
        <w:t xml:space="preserve">Pub date: </w:t>
      </w:r>
      <w:r>
        <w:t>2025-12-16 00:00:00+00:00</w:t>
      </w:r>
    </w:p>
    <w:p>
      <w:pPr>
        <w:spacing w:before="0" w:after="120"/>
      </w:pPr>
      <w:r>
        <w:rPr>
          <w:b/>
        </w:rPr>
        <w:t xml:space="preserve">Notes: </w:t>
      </w:r>
      <w:r>
        <w:t>abstract_source=nature_html</w:t>
      </w:r>
    </w:p>
    <w:p>
      <w:pPr>
        <w:spacing w:before="0" w:after="200" w:lineRule="auto" w:line="276"/>
      </w:pPr>
      <w:r>
        <w:rPr>
          <w:b/>
        </w:rPr>
        <w:t xml:space="preserve">Abstract: </w:t>
      </w:r>
      <w:r>
        <w:t>The capabilities of photodetectors based on halide perovskites have advanced rapidly in recent years, with their typical metrics—including responsivity, detectivity and response speed—surpassing those of silicon detectors. However, concerns regarding reliability and manufacturing yield limit commercial interest in replacing established technology with perovskite devices in conventional applications such as communications and imaging. A promising initial step towards the broader commercialization of perovskite detectors lies in customized device architectures for specific applications or products, an approach that can fully leverage the compositional versatility and integration capabilities of perovskite materials. Here we explore the development of traditional standardized perovskite photodetectors and consider the emergence of customized perovskite photodetectors, including shape-customized detectors, selective photodetectors, multidimensional photodetectors, dynamic-tracking detectors and neuromorphic visual sensors. We also consider the key challenges that need to be addressed to deliver application-specific devices for commercial applications.</w:t>
      </w:r>
    </w:p>
    <w:p>
      <w:pPr>
        <w:spacing w:before="120" w:after="120"/>
      </w:pPr>
      <w:r>
        <w:rPr>
          <w:sz w:val="18"/>
        </w:rPr>
        <w:t>——————————————————————————————————————————————————————————————————————</w:t>
      </w:r>
    </w:p>
    <w:p>
      <w:pPr>
        <w:spacing w:before="160" w:after="80" w:line="240" w:lineRule="auto"/>
      </w:pPr>
      <w:r>
        <w:rPr>
          <w:b/>
        </w:rPr>
        <w:t xml:space="preserve">[5] </w:t>
      </w:r>
      <w:hyperlink r:id="rId14">
        <w:r>
          <w:rPr>
            <w:color w:val="1155CC"/>
            <w:u w:val="single"/>
          </w:rPr>
          <w:t>Nanoscopic strain evolution in single-crystal battery positive electrodes</w:t>
        </w:r>
      </w:hyperlink>
    </w:p>
    <w:p>
      <w:pPr>
        <w:spacing w:before="0" w:after="120" w:line="240" w:lineRule="auto"/>
      </w:pPr>
      <w:r>
        <w:rPr>
          <w:b/>
        </w:rPr>
        <w:t xml:space="preserve">Source: </w:t>
      </w:r>
      <w:r>
        <w:t>Nature Nanotechnology</w:t>
      </w:r>
      <w:r>
        <w:t xml:space="preserve">    </w:t>
      </w:r>
      <w:r>
        <w:rPr>
          <w:b/>
        </w:rPr>
        <w:t xml:space="preserve">Pub date: </w:t>
      </w:r>
      <w:r>
        <w:t>2025-12-16 00:00:00+00:00</w:t>
      </w:r>
    </w:p>
    <w:p>
      <w:pPr>
        <w:spacing w:before="0" w:after="120"/>
      </w:pPr>
      <w:r>
        <w:rPr>
          <w:b/>
        </w:rPr>
        <w:t xml:space="preserve">Notes: </w:t>
      </w:r>
      <w:r>
        <w:t>abstract_source=nature_html</w:t>
      </w:r>
    </w:p>
    <w:p>
      <w:pPr>
        <w:spacing w:before="0" w:after="200" w:lineRule="auto" w:line="276"/>
      </w:pPr>
      <w:r>
        <w:rPr>
          <w:b/>
        </w:rPr>
        <w:t xml:space="preserve">Abstract: </w:t>
      </w:r>
      <w:r>
        <w:t>Single-crystal Ni-rich layered oxides (SC-NMC) with a grain-boundary-free configuration have effectively addressed the long-standing cracking issue of conventional polycrystalline Ni-rich materials (PC-NMC) in lithium-ion batteries, prompting a shift in optimization strategies. However, continued reliance on anisotropic lattice volume change—a well-established failure indicator in PC-NMC—as a metric for understanding strain and guiding compositional design for SC-NMC becomes controversial. Here, by leveraging multiscale diagnostic techniques, we unravelled the distinct nanoscopic strain evolution in SC-NMC during battery operation, challenging the conventional composition-driven strategies and mechanical degradation indicators used for PC-NMC. Through particle-level chemomechanical analysis, we reveal a decoupling between mechanical stability and lattice volume change in SC-NMC, identifying that structural instability in SC materials is primarily driven by multidimensional lattice distortions induced by kinetics-driven reaction heterogeneity and progressively deactivating chemical phases. Using this mechanical failure mode, we redefine the roles of cobalt and manganese in maintaining mechanical stability. Unlike cobalt’s detrimental role in PC-NMC, we find cobalt to be critical in enhancing the longevity of SC-NMC by mitigating localized strain along the extended diffusion pathway, whereas manganese exacerbates mechanical degradation.</w:t>
      </w:r>
    </w:p>
    <w:p>
      <w:pPr>
        <w:spacing w:before="120" w:after="120"/>
      </w:pPr>
      <w:r>
        <w:rPr>
          <w:sz w:val="18"/>
        </w:rPr>
        <w:t>——————————————————————————————————————————————————————————————————————</w:t>
      </w:r>
    </w:p>
    <w:p>
      <w:pPr>
        <w:spacing w:before="160" w:after="80" w:line="240" w:lineRule="auto"/>
      </w:pPr>
      <w:r>
        <w:rPr>
          <w:b/>
        </w:rPr>
        <w:t xml:space="preserve">[6] </w:t>
      </w:r>
      <w:hyperlink r:id="rId15">
        <w:r>
          <w:rPr>
            <w:color w:val="1155CC"/>
            <w:u w:val="single"/>
          </w:rPr>
          <w:t>Geometry-driven polarity in antiferromagnetic metals</w:t>
        </w:r>
      </w:hyperlink>
    </w:p>
    <w:p>
      <w:pPr>
        <w:spacing w:before="0" w:after="120" w:line="240" w:lineRule="auto"/>
      </w:pPr>
      <w:r>
        <w:rPr>
          <w:b/>
        </w:rPr>
        <w:t xml:space="preserve">Source: </w:t>
      </w:r>
      <w:r>
        <w:t>Nature Materials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 </w:t>
      </w:r>
      <w:hyperlink r:id="rId16">
        <w:r>
          <w:rPr>
            <w:color w:val="1155CC"/>
            <w:u w:val="single"/>
          </w:rPr>
          <w:t>Materials reach new levels of frustration</w:t>
        </w:r>
      </w:hyperlink>
    </w:p>
    <w:p>
      <w:pPr>
        <w:spacing w:before="0" w:after="120" w:line="240" w:lineRule="auto"/>
      </w:pPr>
      <w:r>
        <w:rPr>
          <w:b/>
        </w:rPr>
        <w:t xml:space="preserve">Source: </w:t>
      </w:r>
      <w:r>
        <w:t>Nature Materials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[8] </w:t>
      </w:r>
      <w:hyperlink r:id="rId17">
        <w:r>
          <w:rPr>
            <w:color w:val="1155CC"/>
            <w:u w:val="single"/>
          </w:rPr>
          <w:t>Reconfiguring perovskite interlayers</w:t>
        </w:r>
      </w:hyperlink>
    </w:p>
    <w:p>
      <w:pPr>
        <w:spacing w:before="0" w:after="120" w:line="240" w:lineRule="auto"/>
      </w:pPr>
      <w:r>
        <w:rPr>
          <w:b/>
        </w:rPr>
        <w:t xml:space="preserve">Source: </w:t>
      </w:r>
      <w:r>
        <w:t>Nature Materials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[9] </w:t>
      </w:r>
      <w:hyperlink r:id="rId18">
        <w:r>
          <w:rPr>
            <w:color w:val="1155CC"/>
            <w:u w:val="single"/>
          </w:rPr>
          <w:t>Mechanism of alternative splicing of yeast HEH1 through competing 5’ splice sites</w:t>
        </w:r>
      </w:hyperlink>
    </w:p>
    <w:p>
      <w:pPr>
        <w:spacing w:before="0" w:after="120" w:line="240" w:lineRule="auto"/>
      </w:pPr>
      <w:r>
        <w:rPr>
          <w:b/>
        </w:rPr>
        <w:t xml:space="preserve">Source: </w:t>
      </w:r>
      <w:r>
        <w:t>Nature Communications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 </w:t>
      </w:r>
      <w:hyperlink r:id="rId19">
        <w:r>
          <w:rPr>
            <w:color w:val="1155CC"/>
            <w:u w:val="single"/>
          </w:rPr>
          <w:t>Electrolyte engineering enables rapid and durable Zn–air self-charging batteries</w:t>
        </w:r>
      </w:hyperlink>
    </w:p>
    <w:p>
      <w:pPr>
        <w:spacing w:before="0" w:after="120" w:line="240" w:lineRule="auto"/>
      </w:pPr>
      <w:r>
        <w:rPr>
          <w:b/>
        </w:rPr>
        <w:t xml:space="preserve">Source: </w:t>
      </w:r>
      <w:r>
        <w:t>RSC - Energy Environ. Sci. latest articles</w:t>
      </w:r>
      <w:r>
        <w:t xml:space="preserve">    </w:t>
      </w:r>
      <w:r>
        <w:rPr>
          <w:b/>
        </w:rPr>
        <w:t xml:space="preserve">Pub date: </w:t>
      </w:r>
      <w:r>
        <w:t>2025-12-16 00:00:00+00:00</w:t>
      </w:r>
    </w:p>
    <w:p>
      <w:pPr>
        <w:spacing w:before="0" w:after="120"/>
      </w:pPr>
      <w:r>
        <w:rPr>
          <w:b/>
        </w:rPr>
        <w:t xml:space="preserve">Notes: </w:t>
      </w:r>
      <w:r>
        <w:t>abstract_source=rsc_html</w:t>
      </w:r>
    </w:p>
    <w:p>
      <w:pPr>
        <w:spacing w:before="0" w:after="200" w:lineRule="auto" w:line="276"/>
      </w:pPr>
      <w:r>
        <w:rPr>
          <w:b/>
        </w:rPr>
        <w:t xml:space="preserve">Abstract: </w:t>
      </w:r>
      <w:r>
        <w:t>Zinc–air self-charging batteries integrate energy harvesting, storage, and conversion by utilizing ambient oxygen to drive spontaneous redox reactions, but their practical application is limited by sluggish self-charging kinetics and unstable aqueous interfaces. Here we introduce a hybrid electrolyte of N,N-dimethylacetamide (DMAC) with 10 vol% H2O that achieves rapid and durable Zn–air self-rechargeability. DMAC offers low vapor pressure, high oxygen solubility, and resistance to reactive oxygen species, while the controlled water content supplies protons essential for Zn2+ intercalation. This synergy drives the formation of a porous, oxygen-permeable interfacial layer that accelerates Zn2+ transport and continuous oxygen reduction. Consequently, the batteries self-charge to 0.9 V within 13 min in an oxygen atmosphere, deliver a record cumulative discharge capacity of 37 392 mAh g−1 over 200 cycles, and maintain high-rate capability. This electrolyte design overcomes intrinsic limitations of aqueous systems and establishes a pathway toward safe, high-performance air self-charging batteries.</w:t>
      </w:r>
    </w:p>
    <w:p>
      <w:pPr>
        <w:spacing w:before="120" w:after="120"/>
      </w:pPr>
      <w:r>
        <w:rPr>
          <w:sz w:val="18"/>
        </w:rPr>
        <w:t>——————————————————————————————————————————————————————————————————————</w:t>
      </w:r>
    </w:p>
    <w:p>
      <w:pPr>
        <w:spacing w:before="160" w:after="80" w:line="240" w:lineRule="auto"/>
      </w:pPr>
      <w:r>
        <w:rPr>
          <w:b/>
        </w:rPr>
        <w:t xml:space="preserve">[11] </w:t>
      </w:r>
      <w:hyperlink r:id="rId20">
        <w:r>
          <w:rPr>
            <w:color w:val="1155CC"/>
            <w:u w:val="single"/>
          </w:rPr>
          <w:t>Integration of affective cues in context-rich and dynamic scenes varies across individuals</w:t>
        </w:r>
      </w:hyperlink>
    </w:p>
    <w:p>
      <w:pPr>
        <w:spacing w:before="0" w:after="120" w:line="240" w:lineRule="auto"/>
      </w:pPr>
      <w:r>
        <w:rPr>
          <w:b/>
        </w:rPr>
        <w:t xml:space="preserve">Source: </w:t>
      </w:r>
      <w:r>
        <w:t>Nature Communications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 </w:t>
      </w:r>
      <w:hyperlink r:id="rId21">
        <w:r>
          <w:rPr>
            <w:color w:val="1155CC"/>
            <w:u w:val="single"/>
          </w:rPr>
          <w:t>Molecular basis of XPF-ERCC1 targeting to SLX4-dependent DNA repair pathways</w:t>
        </w:r>
      </w:hyperlink>
    </w:p>
    <w:p>
      <w:pPr>
        <w:spacing w:before="0" w:after="120" w:line="240" w:lineRule="auto"/>
      </w:pPr>
      <w:r>
        <w:rPr>
          <w:b/>
        </w:rPr>
        <w:t xml:space="preserve">Source: </w:t>
      </w:r>
      <w:r>
        <w:t>Nature Communications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[13] </w:t>
      </w:r>
      <w:hyperlink r:id="rId22">
        <w:r>
          <w:rPr>
            <w:color w:val="1155CC"/>
            <w:u w:val="single"/>
          </w:rPr>
          <w:t>The ribosome derives the energy to translocate and unwind mRNA from EF-G binding</w:t>
        </w:r>
      </w:hyperlink>
    </w:p>
    <w:p>
      <w:pPr>
        <w:spacing w:before="0" w:after="120" w:line="240" w:lineRule="auto"/>
      </w:pPr>
      <w:r>
        <w:rPr>
          <w:b/>
        </w:rPr>
        <w:t xml:space="preserve">Source: </w:t>
      </w:r>
      <w:r>
        <w:t>Nature Communications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 </w:t>
      </w:r>
      <w:hyperlink r:id="rId23">
        <w:r>
          <w:rPr>
            <w:color w:val="1155CC"/>
            <w:u w:val="single"/>
          </w:rPr>
          <w:t>Retraction Note: Nanomedicines reveal how PBOV1 promotes hepatocellular carcinoma for effective gene therapy</w:t>
        </w:r>
      </w:hyperlink>
    </w:p>
    <w:p>
      <w:pPr>
        <w:spacing w:before="0" w:after="120" w:line="240" w:lineRule="auto"/>
      </w:pPr>
      <w:r>
        <w:rPr>
          <w:b/>
        </w:rPr>
        <w:t xml:space="preserve">Source: </w:t>
      </w:r>
      <w:r>
        <w:t>Nature Communications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[15] </w:t>
      </w:r>
      <w:hyperlink r:id="rId24">
        <w:r>
          <w:rPr>
            <w:color w:val="1155CC"/>
            <w:u w:val="single"/>
          </w:rPr>
          <w:t>Safety regulations for cloning and a compass that finds true north</w:t>
        </w:r>
      </w:hyperlink>
    </w:p>
    <w:p>
      <w:pPr>
        <w:spacing w:before="0" w:after="120" w:line="240" w:lineRule="auto"/>
      </w:pPr>
      <w:r>
        <w:rPr>
          <w:b/>
        </w:rPr>
        <w:t xml:space="preserve">Source: </w:t>
      </w:r>
      <w:r>
        <w:t>Nature</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[16] </w:t>
      </w:r>
      <w:hyperlink r:id="rId25">
        <w:r>
          <w:rPr>
            <w:color w:val="1155CC"/>
            <w:u w:val="single"/>
          </w:rPr>
          <w:t>Ultrasound-driven in situ self-assembly of drug hydrogel for enhanced hepatic artery infusion chemotherapy</w:t>
        </w:r>
      </w:hyperlink>
    </w:p>
    <w:p>
      <w:pPr>
        <w:spacing w:before="0" w:after="120" w:line="240" w:lineRule="auto"/>
      </w:pPr>
      <w:r>
        <w:rPr>
          <w:b/>
        </w:rPr>
        <w:t xml:space="preserve">Source: </w:t>
      </w:r>
      <w:r>
        <w:t>ScienceDirect Publication: Materials Today</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[17] </w:t>
      </w:r>
      <w:hyperlink r:id="rId26">
        <w:r>
          <w:rPr>
            <w:color w:val="1155CC"/>
            <w:u w:val="single"/>
          </w:rPr>
          <w:t>AI is transforming the economy — understanding its impact requires both data and imagination</w:t>
        </w:r>
      </w:hyperlink>
    </w:p>
    <w:p>
      <w:pPr>
        <w:spacing w:before="0" w:after="120" w:line="240" w:lineRule="auto"/>
      </w:pPr>
      <w:r>
        <w:rPr>
          <w:b/>
        </w:rPr>
        <w:t xml:space="preserve">Source: </w:t>
      </w:r>
      <w:r>
        <w:t>Nature</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[18] </w:t>
      </w:r>
      <w:hyperlink r:id="rId27">
        <w:r>
          <w:rPr>
            <w:color w:val="1155CC"/>
            <w:u w:val="single"/>
          </w:rPr>
          <w:t>How my institution strengthened research despite chronic underfunding</w:t>
        </w:r>
      </w:hyperlink>
    </w:p>
    <w:p>
      <w:pPr>
        <w:spacing w:before="0" w:after="120" w:line="240" w:lineRule="auto"/>
      </w:pPr>
      <w:r>
        <w:rPr>
          <w:b/>
        </w:rPr>
        <w:t xml:space="preserve">Source: </w:t>
      </w:r>
      <w:r>
        <w:t>Nature</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[19] </w:t>
      </w:r>
      <w:hyperlink r:id="rId28">
        <w:r>
          <w:rPr>
            <w:color w:val="1155CC"/>
            <w:u w:val="single"/>
          </w:rPr>
          <w:t>Scientists skip key US meetings — and seize on smaller alternatives</w:t>
        </w:r>
      </w:hyperlink>
    </w:p>
    <w:p>
      <w:pPr>
        <w:spacing w:before="0" w:after="120" w:line="240" w:lineRule="auto"/>
      </w:pPr>
      <w:r>
        <w:rPr>
          <w:b/>
        </w:rPr>
        <w:t xml:space="preserve">Source: </w:t>
      </w:r>
      <w:r>
        <w:t>Nature</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[20] </w:t>
      </w:r>
      <w:hyperlink r:id="rId29">
        <w:r>
          <w:rPr>
            <w:color w:val="1155CC"/>
            <w:u w:val="single"/>
          </w:rPr>
          <w:t>Science’s role in my Great British Sewing Bee success</w:t>
        </w:r>
      </w:hyperlink>
    </w:p>
    <w:p>
      <w:pPr>
        <w:spacing w:before="0" w:after="120" w:line="240" w:lineRule="auto"/>
      </w:pPr>
      <w:r>
        <w:rPr>
          <w:b/>
        </w:rPr>
        <w:t xml:space="preserve">Source: </w:t>
      </w:r>
      <w:r>
        <w:t>Nature</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[21] </w:t>
      </w:r>
      <w:hyperlink r:id="rId30">
        <w:r>
          <w:rPr>
            <w:color w:val="1155CC"/>
            <w:u w:val="single"/>
          </w:rPr>
          <w:t>Standing surface wave for anapole</w:t>
        </w:r>
      </w:hyperlink>
    </w:p>
    <w:p>
      <w:pPr>
        <w:spacing w:before="0" w:after="120" w:line="240" w:lineRule="auto"/>
      </w:pPr>
      <w:r>
        <w:rPr>
          <w:b/>
        </w:rPr>
        <w:t xml:space="preserve">Source: </w:t>
      </w:r>
      <w:r>
        <w:t>Matter</w:t>
      </w:r>
      <w:r>
        <w:t xml:space="preserve">    </w:t>
      </w:r>
      <w:r>
        <w:rPr>
          <w:b/>
        </w:rPr>
        <w:t xml:space="preserve">Pub date: </w:t>
      </w:r>
      <w:r>
        <w:t>2025-12-16 00:00:00+00:00</w:t>
      </w:r>
    </w:p>
    <w:p>
      <w:pPr>
        <w:spacing w:before="0" w:after="120"/>
      </w:pPr>
      <w:r>
        <w:rPr>
          <w:b/>
        </w:rPr>
        <w:t xml:space="preserve">Notes: </w:t>
      </w:r>
      <w:r>
        <w:t>abstract_source=rss_cell</w:t>
      </w:r>
    </w:p>
    <w:p>
      <w:pPr>
        <w:spacing w:before="0" w:after="200" w:lineRule="auto" w:line="276"/>
      </w:pPr>
      <w:r>
        <w:rPr>
          <w:b/>
        </w:rPr>
        <w:t xml:space="preserve">Abstract: </w:t>
      </w:r>
      <w:r>
        <w:t>A universal theory for the controllable and selective excitation of electromagnetic multipoles is suggested for the dielectric-plasmonic hybrid system, based on which the dynamic switch between a radiationless anapole and a resonant radiating state can be readily realized by changing the incident polarization direction. The cooperative action of plasmonic structured light and dielectric nanoparticles provides a flexible platform for engineering the light-matter interaction and is expected to stimulate new scattering-related fundamental research and applications.</w:t>
      </w:r>
    </w:p>
    <w:p>
      <w:pPr>
        <w:spacing w:before="120" w:after="120"/>
      </w:pPr>
      <w:r>
        <w:rPr>
          <w:sz w:val="18"/>
        </w:rPr>
        <w:t>——————————————————————————————————————————————————————————————————————</w:t>
      </w:r>
    </w:p>
    <w:p>
      <w:pPr>
        <w:spacing w:before="160" w:after="80" w:line="240" w:lineRule="auto"/>
      </w:pPr>
      <w:r>
        <w:rPr>
          <w:b/>
        </w:rPr>
        <w:t xml:space="preserve">[22] </w:t>
      </w:r>
      <w:hyperlink r:id="rId31">
        <w:r>
          <w:rPr>
            <w:color w:val="1155CC"/>
            <w:u w:val="single"/>
          </w:rPr>
          <w:t>Extremely low thermal resistance in solid-state thermal pad from in situ graphite cracking for high-power artificial intelligence chip</w:t>
        </w:r>
      </w:hyperlink>
    </w:p>
    <w:p>
      <w:pPr>
        <w:spacing w:before="0" w:after="120" w:line="240" w:lineRule="auto"/>
      </w:pPr>
      <w:r>
        <w:rPr>
          <w:b/>
        </w:rPr>
        <w:t xml:space="preserve">Source: </w:t>
      </w:r>
      <w:r>
        <w:t>Matter</w:t>
      </w:r>
      <w:r>
        <w:t xml:space="preserve">    </w:t>
      </w:r>
      <w:r>
        <w:rPr>
          <w:b/>
        </w:rPr>
        <w:t xml:space="preserve">Pub date: </w:t>
      </w:r>
      <w:r>
        <w:t>2025-12-16 00:00:00+00:00</w:t>
      </w:r>
    </w:p>
    <w:p>
      <w:pPr>
        <w:spacing w:before="0" w:after="120"/>
      </w:pPr>
      <w:r>
        <w:rPr>
          <w:b/>
        </w:rPr>
        <w:t xml:space="preserve">Notes: </w:t>
      </w:r>
      <w:r>
        <w:t>abstract_source=rss_cell</w:t>
      </w:r>
    </w:p>
    <w:p>
      <w:pPr>
        <w:spacing w:before="0" w:after="200" w:lineRule="auto" w:line="276"/>
      </w:pPr>
      <w:r>
        <w:rPr>
          <w:b/>
        </w:rPr>
        <w:t xml:space="preserve">Abstract: </w:t>
      </w:r>
      <w:r>
        <w:t>Effective thermal management is critical for artificial intelligence hardware. A novel graphite-silicone composite achieves ultra-low thermal resistance (1.8 mm2K/W) while maintaining high flexibility, enabling more powerful and energy-efficient artificial intelligence hardware development.</w:t>
      </w:r>
    </w:p>
    <w:p>
      <w:pPr>
        <w:spacing w:before="120" w:after="120"/>
      </w:pPr>
      <w:r>
        <w:rPr>
          <w:sz w:val="18"/>
        </w:rPr>
        <w:t>——————————————————————————————————————————————————————————————————————</w:t>
      </w:r>
    </w:p>
    <w:p>
      <w:pPr>
        <w:spacing w:before="160" w:after="80" w:line="240" w:lineRule="auto"/>
      </w:pPr>
      <w:r>
        <w:rPr>
          <w:b/>
        </w:rPr>
        <w:t xml:space="preserve">[23] </w:t>
      </w:r>
      <w:hyperlink r:id="rId32">
        <w:r>
          <w:rPr>
            <w:color w:val="1155CC"/>
            <w:u w:val="single"/>
          </w:rPr>
          <w:t>Advanced solar-driven interfacial evaporation technology for resource and energy recovery</w:t>
        </w:r>
      </w:hyperlink>
    </w:p>
    <w:p>
      <w:pPr>
        <w:spacing w:before="0" w:after="120" w:line="240" w:lineRule="auto"/>
      </w:pPr>
      <w:r>
        <w:rPr>
          <w:b/>
        </w:rPr>
        <w:t xml:space="preserve">Source: </w:t>
      </w:r>
      <w:r>
        <w:t>RSC - Energy Environ. Sci. latest articles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 </w:t>
      </w:r>
      <w:hyperlink r:id="rId33">
        <w:r>
          <w:rPr>
            <w:color w:val="1155CC"/>
            <w:u w:val="single"/>
          </w:rPr>
          <w:t>In situ cryogenic X-ray photoelectron spectroscopy unveils metastable components of the solid electrolyte interphase in Li-ion batteries</w:t>
        </w:r>
      </w:hyperlink>
    </w:p>
    <w:p>
      <w:pPr>
        <w:spacing w:before="0" w:after="120" w:line="240" w:lineRule="auto"/>
      </w:pPr>
      <w:r>
        <w:rPr>
          <w:b/>
        </w:rPr>
        <w:t xml:space="preserve">Source: </w:t>
      </w:r>
      <w:r>
        <w:t>Chem</w:t>
      </w:r>
      <w:r>
        <w:t xml:space="preserve">    </w:t>
      </w:r>
      <w:r>
        <w:rPr>
          <w:b/>
        </w:rPr>
        <w:t xml:space="preserve">Pub date: </w:t>
      </w:r>
      <w:r>
        <w:t>2025-12-16 00:00:00+00:00</w:t>
      </w:r>
    </w:p>
    <w:p>
      <w:pPr>
        <w:spacing w:before="0" w:after="120"/>
      </w:pPr>
      <w:r>
        <w:rPr>
          <w:b/>
        </w:rPr>
        <w:t xml:space="preserve">Notes: </w:t>
      </w:r>
      <w:r>
        <w:t>abstract_source=rss_cell</w:t>
      </w:r>
    </w:p>
    <w:p>
      <w:pPr>
        <w:spacing w:before="0" w:after="200" w:lineRule="auto" w:line="276"/>
      </w:pPr>
      <w:r>
        <w:rPr>
          <w:b/>
        </w:rPr>
        <w:t xml:space="preserve">Abstract: </w:t>
      </w:r>
      <w:r>
        <w:t>Nguyen et al. integrate cryogenic X-ray photoelectron spectroscopy (XPS) with residual gas analysis to study the solid electrolyte interphase (SEI) on graphite anodes in Li-ion batteries. The cryo-state preserves metastable SEI components, such as LiPOxFy, which decompose into stable products, such as LiF, with gas release upon warming. Discussions highlight critical XPS conditions, including ultrahigh vacuum exposure, X-ray-induced damage, and neutralizer settings, which could alter the detection and characterization of SEI components.</w:t>
      </w:r>
    </w:p>
    <w:p>
      <w:pPr>
        <w:spacing w:before="120" w:after="120"/>
      </w:pPr>
      <w:r>
        <w:rPr>
          <w:sz w:val="18"/>
        </w:rPr>
        <w:t>——————————————————————————————————————————————————————————————————————</w:t>
      </w:r>
    </w:p>
    <w:p>
      <w:pPr>
        <w:spacing w:before="160" w:after="80" w:line="240" w:lineRule="auto"/>
      </w:pPr>
      <w:r>
        <w:rPr>
          <w:b/>
        </w:rPr>
        <w:t xml:space="preserve">[25] </w:t>
      </w:r>
      <w:hyperlink r:id="rId34">
        <w:r>
          <w:rPr>
            <w:color w:val="1155CC"/>
            <w:u w:val="single"/>
          </w:rPr>
          <w:t>Author Correction: Long non-coding RNA Linc-RAM enhances myogenic differentiation by interacting with MyoD</w:t>
        </w:r>
      </w:hyperlink>
    </w:p>
    <w:p>
      <w:pPr>
        <w:spacing w:before="0" w:after="120" w:line="240" w:lineRule="auto"/>
      </w:pPr>
      <w:r>
        <w:rPr>
          <w:b/>
        </w:rPr>
        <w:t xml:space="preserve">Source: </w:t>
      </w:r>
      <w:r>
        <w:t>Nature Communications</w:t>
      </w:r>
      <w:r>
        <w:t xml:space="preserve">    </w:t>
      </w:r>
      <w:r>
        <w:rPr>
          <w:b/>
        </w:rPr>
        <w:t xml:space="preserve">Pub date: </w:t>
      </w:r>
      <w:r>
        <w:t>2025-12-16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 </w:t>
      </w:r>
      <w:hyperlink r:id="rId35">
        <w:r>
          <w:rPr>
            <w:color w:val="1155CC"/>
            <w:u w:val="single"/>
          </w:rPr>
          <w:t>Martian cities could be built from ice</w:t>
        </w:r>
      </w:hyperlink>
    </w:p>
    <w:p>
      <w:pPr>
        <w:spacing w:before="0" w:after="120" w:line="240" w:lineRule="auto"/>
      </w:pPr>
      <w:r>
        <w:rPr>
          <w:b/>
        </w:rPr>
        <w:t xml:space="preserve">Source: </w:t>
      </w:r>
      <w:r>
        <w:t>Latest News from Science Magazine</w:t>
      </w:r>
      <w:r>
        <w:t xml:space="preserve">    </w:t>
      </w:r>
      <w:r>
        <w:rPr>
          <w:b/>
        </w:rPr>
        <w:t xml:space="preserve">Pub date: </w:t>
      </w:r>
      <w:r>
        <w:t>2025-12-16 05:40:00+00:00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 </w:t>
      </w:r>
      <w:hyperlink r:id="rId36">
        <w:r>
          <w:rPr>
            <w:color w:val="1155CC"/>
            <w:u w:val="single"/>
          </w:rPr>
          <w:t>'Crazy Englishman' growing olives the Italian way</w:t>
        </w:r>
      </w:hyperlink>
    </w:p>
    <w:p>
      <w:pPr>
        <w:spacing w:before="0" w:after="120" w:line="240" w:lineRule="auto"/>
      </w:pPr>
      <w:r>
        <w:rPr>
          <w:b/>
        </w:rPr>
        <w:t xml:space="preserve">Source: </w:t>
      </w:r>
      <w:r>
        <w:t>BBC News</w:t>
      </w:r>
      <w:r>
        <w:t xml:space="preserve">    </w:t>
      </w:r>
      <w:r>
        <w:rPr>
          <w:b/>
        </w:rPr>
        <w:t xml:space="preserve">Pub date: </w:t>
      </w:r>
      <w:r>
        <w:t>2025-12-16 06:20:54+00:00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 </w:t>
      </w:r>
      <w:hyperlink r:id="rId37">
        <w:r>
          <w:rPr>
            <w:color w:val="1155CC"/>
            <w:u w:val="single"/>
          </w:rPr>
          <w:t>Workers were exposed to toxic chemicals in firefighting foam</w:t>
        </w:r>
      </w:hyperlink>
    </w:p>
    <w:p>
      <w:pPr>
        <w:spacing w:before="0" w:after="120" w:line="240" w:lineRule="auto"/>
      </w:pPr>
      <w:r>
        <w:rPr>
          <w:b/>
        </w:rPr>
        <w:t xml:space="preserve">Source: </w:t>
      </w:r>
      <w:r>
        <w:t>BBC News</w:t>
      </w:r>
      <w:r>
        <w:t xml:space="preserve">    </w:t>
      </w:r>
      <w:r>
        <w:rPr>
          <w:b/>
        </w:rPr>
        <w:t xml:space="preserve">Pub date: </w:t>
      </w:r>
      <w:r>
        <w:t>2025-12-16 06:27:23+00:00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 </w:t>
      </w:r>
      <w:hyperlink r:id="rId38">
        <w:r>
          <w:rPr>
            <w:color w:val="1155CC"/>
            <w:u w:val="single"/>
          </w:rPr>
          <w:t>Amorphous Zero‐Dimensional Organic Metal Halide Hybrid Scintillators with High Light Yield and Fast Response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06:31:44+00:00</w:t>
      </w:r>
      <w:r>
        <w:t xml:space="preserve">    </w:t>
      </w:r>
      <w:r>
        <w:rPr>
          <w:b/>
        </w:rPr>
        <w:t xml:space="preserve">DOI: </w:t>
      </w:r>
      <w:hyperlink r:id="rId39">
        <w:r>
          <w:rPr>
            <w:color w:val="1155CC"/>
            <w:u w:val="single"/>
          </w:rPr>
          <w:t>10.1002/anie.202525242</w:t>
        </w:r>
      </w:hyperlink>
    </w:p>
    <w:p>
      <w:pPr>
        <w:spacing w:before="0" w:after="120"/>
      </w:pPr>
      <w:r>
        <w:rPr>
          <w:b/>
        </w:rPr>
        <w:t xml:space="preserve">Notes: </w:t>
      </w:r>
      <w:r>
        <w:t>abstract_source=crossref</w:t>
      </w:r>
    </w:p>
    <w:p>
      <w:pPr>
        <w:spacing w:before="0" w:after="200" w:lineRule="auto" w:line="276"/>
      </w:pPr>
      <w:r>
        <w:rPr>
          <w:b/>
        </w:rPr>
        <w:t xml:space="preserve">Abstract: </w:t>
      </w:r>
      <w:r>
        <w:t>Zero‐dimensional (0D) organic metal halide hybrids (OMHHs) have recently emerged as a promising class of scintillation materials, offering advantages in performance, tunability, environmental friendliness, and cost‐effectiveness. While numerous 0D OMHH scintillators have been developed to date, most of them rely on radioluminescence (RL) originating from metal halide species with long decay lifetimes and are typically prepared as small‐sized single crystals via a slow solution growth process. Here, we report for the first time high‐performance X‐ray scintillators based on facile, solution‐processed amorphous 0D OMHH films that exhibit efficient RL with short decay lifetimes enabled by molecular sensitization. By reacting a rationally designed green‐emitting organic halide, (4‐(9,9‐dimethylacridin‐10(9</w:t>
      </w:r>
      <w:r>
        <w:t xml:space="preserve"> </w:t>
      </w:r>
      <w:r>
        <w:t>H</w:t>
      </w:r>
      <w:r>
        <w:t xml:space="preserve"> </w:t>
      </w:r>
      <w:r>
        <w:t>)‐yl)phenyl)triphenylphosphonium bromide (DMAC‐TPPBr), with zinc bromide (ZnBr</w:t>
      </w:r>
      <w:r>
        <w:rPr>
          <w:vertAlign w:val="subscript"/>
        </w:rPr>
        <w:t>2</w:t>
      </w:r>
      <w:r>
        <w:t>), we have obtained amorphous 0D (DMAC‐TPP)</w:t>
      </w:r>
      <w:r>
        <w:rPr>
          <w:vertAlign w:val="subscript"/>
        </w:rPr>
        <w:t>2</w:t>
      </w:r>
      <w:r>
        <w:t>ZnBr</w:t>
      </w:r>
      <w:r>
        <w:rPr>
          <w:vertAlign w:val="subscript"/>
        </w:rPr>
        <w:t>4</w:t>
      </w:r>
      <w:r>
        <w:t>films that exhibit outstanding optical and scintillation properties, with a high photoluminescence quantum yield of ∼85%, a short photoluminescence decay lifetime (∼12.5 ns), a high absolute light yield of ∼27,000 photons MeV</w:t>
      </w:r>
      <w:r>
        <w:t xml:space="preserve"> </w:t>
      </w:r>
      <w:r>
        <w:t>−1</w:t>
      </w:r>
      <w:r>
        <w:t xml:space="preserve"> </w:t>
      </w:r>
      <w:r>
        <w:t>, a radioluminescence decay lifetime of ∼8.00 ns, and a low limit of detection (LOD) of ∼9.00 nGy</w:t>
      </w:r>
      <w:r>
        <w:t xml:space="preserve"> </w:t>
      </w:r>
      <w:r>
        <w:t>air</w:t>
      </w:r>
      <w:r>
        <w:t xml:space="preserve"> </w:t>
      </w:r>
      <w:r>
        <w:t>s</w:t>
      </w:r>
      <w:r>
        <w:t xml:space="preserve"> </w:t>
      </w:r>
      <w:r>
        <w:t>−1</w:t>
      </w:r>
      <w:r>
        <w:t xml:space="preserve"> </w:t>
      </w:r>
      <w:r>
        <w:t>. By leveraging the benefits of solution‐processed amorphous OMHHs with molecular sensitization, our approach paves a new pathway toward scalable, low‐cost, and fast‐response X‐ray scintillators.</w:t>
      </w:r>
    </w:p>
    <w:p>
      <w:pPr>
        <w:spacing w:before="120" w:after="120"/>
      </w:pPr>
      <w:r>
        <w:rPr>
          <w:sz w:val="18"/>
        </w:rPr>
        <w:t>——————————————————————————————————————————————————————————————————————</w:t>
      </w:r>
    </w:p>
    <w:p>
      <w:pPr>
        <w:spacing w:before="160" w:after="80" w:line="240" w:lineRule="auto"/>
      </w:pPr>
      <w:r>
        <w:rPr>
          <w:b/>
        </w:rPr>
        <w:t xml:space="preserve">[30] </w:t>
      </w:r>
      <w:hyperlink r:id="rId40">
        <w:r>
          <w:rPr>
            <w:color w:val="1155CC"/>
            <w:u w:val="single"/>
          </w:rPr>
          <w:t>Quantifying the contributions of climate change and adaptation to mortality from unprecedented extreme heat events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41">
        <w:r>
          <w:rPr>
            <w:color w:val="1155CC"/>
            <w:u w:val="single"/>
          </w:rPr>
          <w:t>10.1073/pnas.2503577122</w:t>
        </w:r>
      </w:hyperlink>
    </w:p>
    <w:p>
      <w:pPr>
        <w:spacing w:before="0" w:after="120"/>
      </w:pPr>
      <w:r>
        <w:rPr>
          <w:b/>
        </w:rPr>
        <w:t xml:space="preserve">Notes: </w:t>
      </w:r>
      <w:r>
        <w:t>abstract_source=crossref</w:t>
      </w:r>
    </w:p>
    <w:p>
      <w:pPr>
        <w:spacing w:before="0" w:after="200" w:lineRule="auto" w:line="276"/>
      </w:pPr>
      <w:r>
        <w:rPr>
          <w:b/>
        </w:rPr>
        <w:t xml:space="preserve">Abstract: </w:t>
      </w:r>
      <w:r>
        <w:t>Understanding the mortality effects of the most extreme heat events is central to climate change risk analysis and adaptation decision-making. Accurate representation of these impacts requires accounting for the effects of prolonged sequences of hot days on mortality, the change in that mortality due to anthropogenic forcing, and the potential compensating effects of adaptation to heat. Here, we revisit the August 2003 heat wave in France, a canonical event in a region with rich climate and mortality data, to understand these influences. We find that standard heat–mortality exposure–response functions underpredict excess deaths in August 2003 by 55% but that accounting for the temporally compounding effects of hot days better matches observed mortality. After accounting for compounding effects and applying a machine learning approach to single-event climate attribution, we attribute 6,079 deaths in August 2003 to climate change. Finally, we show that recent adaptation to heat in France has reduced the projected death tolls of future 2003-like events by more than 75%.</w:t>
      </w:r>
    </w:p>
    <w:p>
      <w:pPr>
        <w:spacing w:before="120" w:after="120"/>
      </w:pPr>
      <w:r>
        <w:rPr>
          <w:sz w:val="18"/>
        </w:rPr>
        <w:t>——————————————————————————————————————————————————————————————————————</w:t>
      </w:r>
    </w:p>
    <w:p>
      <w:pPr>
        <w:spacing w:before="160" w:after="80" w:line="240" w:lineRule="auto"/>
      </w:pPr>
      <w:r>
        <w:rPr>
          <w:b/>
        </w:rPr>
        <w:t xml:space="preserve">[31] </w:t>
      </w:r>
      <w:hyperlink r:id="rId42">
        <w:r>
          <w:rPr>
            <w:color w:val="1155CC"/>
            <w:u w:val="single"/>
          </w:rPr>
          <w:t>Cryo-EM structure of the Rift Valley fever virus envelope protein in complex with a potent neutralization antibody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43">
        <w:r>
          <w:rPr>
            <w:color w:val="1155CC"/>
            <w:u w:val="single"/>
          </w:rPr>
          <w:t>10.1073/pnas.2514862122</w:t>
        </w:r>
      </w:hyperlink>
    </w:p>
    <w:p>
      <w:pPr>
        <w:spacing w:before="0" w:after="120"/>
      </w:pPr>
      <w:r>
        <w:rPr>
          <w:b/>
        </w:rPr>
        <w:t xml:space="preserve">Notes: </w:t>
      </w:r>
      <w:r>
        <w:t>abstract_source=crossref</w:t>
      </w:r>
    </w:p>
    <w:p>
      <w:pPr>
        <w:spacing w:before="0" w:after="200" w:lineRule="auto" w:line="276"/>
      </w:pPr>
      <w:r>
        <w:rPr>
          <w:b/>
        </w:rPr>
        <w:t xml:space="preserve">Abstract: </w:t>
      </w:r>
      <w:r>
        <w:t>Entry of Rift Valley fever virus (RVFV) into host cells is mediated by the viral glycoproteins Gn and Gc. Structural details and assembly mechanism of Gn and Gc on the surface of RVFV remain unclear. Here, we stabilized the GnGc with the neutralizing monoclonal antibody RVFV-140 and determined a near-atomic resolution structure of the GnGc hexamer in complex with the fragment antigen binding (Fab) domain of RVFV-140 (Fab140). Our structure showed that RVFV-140 recognizes a ternary epitope and crosslinks two adjacent Gn heads within the hexamer, thus preventing the prefusion to postfusion transition of the glycoproteins. The intraglycoprotein and interglycoprotein interactions within the GnGc hexamer involve van der Waals forces and hydrogen bonds, which are mainly located between Gn heads, and Gn domain C and Gc domain III. Assembly of the GnGc hexamer requires dramatic conformational changes in the loops L231-L244, D280-Q286, Q380-D386, and A427-Y429 of Gn and the hinge region between domains I and II of Gc. The construction of viral capsomeres with the hexameric structure of recombinant GnGc shows that the capsomeres interact primarily through residues 693 to 713 in domain I of Gc. These interactions vary depending on the local environment of each capsomere.</w:t>
      </w:r>
    </w:p>
    <w:p>
      <w:pPr>
        <w:spacing w:before="120" w:after="120"/>
      </w:pPr>
      <w:r>
        <w:rPr>
          <w:sz w:val="18"/>
        </w:rPr>
        <w:t>——————————————————————————————————————————————————————————————————————</w:t>
      </w:r>
    </w:p>
    <w:p>
      <w:pPr>
        <w:spacing w:before="160" w:after="80" w:line="240" w:lineRule="auto"/>
      </w:pPr>
      <w:r>
        <w:rPr>
          <w:b/>
        </w:rPr>
        <w:t xml:space="preserve">[32] </w:t>
      </w:r>
      <w:hyperlink r:id="rId44">
        <w:r>
          <w:rPr>
            <w:color w:val="1155CC"/>
            <w:u w:val="single"/>
          </w:rPr>
          <w:t>In This Issue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 </w:t>
      </w:r>
      <w:hyperlink r:id="rId45">
        <w:r>
          <w:rPr>
            <w:color w:val="1155CC"/>
            <w:u w:val="single"/>
          </w:rPr>
          <w:t>Cognition varies across the calendar year in multiple large-scale datasets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46">
        <w:r>
          <w:rPr>
            <w:color w:val="1155CC"/>
            <w:u w:val="single"/>
          </w:rPr>
          <w:t>10.1073/pnas.2506054122</w:t>
        </w:r>
      </w:hyperlink>
    </w:p>
    <w:p>
      <w:pPr>
        <w:spacing w:before="0" w:after="120"/>
      </w:pPr>
      <w:r>
        <w:rPr>
          <w:b/>
        </w:rPr>
        <w:t xml:space="preserve">Notes: </w:t>
      </w:r>
      <w:r>
        <w:t>abstract_source=crossref</w:t>
      </w:r>
    </w:p>
    <w:p>
      <w:pPr>
        <w:spacing w:before="0" w:after="200" w:lineRule="auto" w:line="276"/>
      </w:pPr>
      <w:r>
        <w:rPr>
          <w:b/>
        </w:rPr>
        <w:t xml:space="preserve">Abstract: </w:t>
      </w:r>
      <w:r>
        <w:t>Children’s cognitive abilities vary across short and long timescales, from circadian fluctuations to year-by-year developmental changes. “Summer slide” refers to seasonal variation in academic performance, characterized by decreased performance following an extended school vacation. However, it remains unclear whether this effect generalizes across varied assessments and the extent of this effect across sociodemographic groups has been debated. Though seasonal variation in cognitive performance is often attributed to “forgetting” of learned material, no large-scale studies have systematically investigated seasonal variation in general cognitive skills (e.g., executive functioning) on standardized laboratory-based assessments in school-age youth compared to adults. Across four datasets with geographic, demographic, mental health, and measurement variation (total</w:t>
      </w:r>
      <w:r>
        <w:t xml:space="preserve"> </w:t>
      </w:r>
      <w:r>
        <w:t>n</w:t>
      </w:r>
      <w:r>
        <w:t xml:space="preserve"> </w:t>
      </w:r>
      <w:r>
        <w:t>= 23,251), we quantify cyclical, seasonal variation in children’s cognitive performance using generalized additive models with cyclic cubic splines. In school-age children but not young adults, we found consistent cognitive performance minima following school vacation (July–September in the United States; November–January in Singapore) across nearly all cognitive domains investigated. These results demonstrate a generalizable small-magnitude effect of lower cognitive performance aligning with school vacation even after adjusting for socioeconomic status or ADHD diagnosis. We contextualize summer cognitive minima relative to environmental and developmental effects, noting that the largest effect size is still seven times smaller than effects of the socioeconomic environment on cognition, and provide recommendations for future data collection and analysis of behavior across the calendar year.</w:t>
      </w:r>
    </w:p>
    <w:p>
      <w:pPr>
        <w:spacing w:before="120" w:after="120"/>
      </w:pPr>
      <w:r>
        <w:rPr>
          <w:sz w:val="18"/>
        </w:rPr>
        <w:t>——————————————————————————————————————————————————————————————————————</w:t>
      </w:r>
    </w:p>
    <w:p>
      <w:pPr>
        <w:spacing w:before="160" w:after="80" w:line="240" w:lineRule="auto"/>
      </w:pPr>
      <w:r>
        <w:rPr>
          <w:b/>
        </w:rPr>
        <w:t xml:space="preserve">[34] </w:t>
      </w:r>
      <w:hyperlink r:id="rId47">
        <w:r>
          <w:rPr>
            <w:color w:val="1155CC"/>
            <w:u w:val="single"/>
          </w:rPr>
          <w:t>Mysterium vitreum: Revealing the hidden polyhedral order of glass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 </w:t>
      </w:r>
      <w:hyperlink r:id="rId48">
        <w:r>
          <w:rPr>
            <w:color w:val="1155CC"/>
            <w:u w:val="single"/>
          </w:rPr>
          <w:t>Beyond static pores: A dynamic mechanism of antimicrobial action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[36] </w:t>
      </w:r>
      <w:hyperlink r:id="rId49">
        <w:r>
          <w:rPr>
            <w:color w:val="1155CC"/>
            <w:u w:val="single"/>
          </w:rPr>
          <w:t>A further modification of the elastic field of an edge dislocation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50">
        <w:r>
          <w:rPr>
            <w:color w:val="1155CC"/>
            <w:u w:val="single"/>
          </w:rPr>
          <w:t>10.1073/pnas.2527724122</w:t>
        </w:r>
      </w:hyperlink>
    </w:p>
    <w:p>
      <w:pPr>
        <w:spacing w:before="0" w:after="120"/>
      </w:pPr>
      <w:r>
        <w:rPr>
          <w:b/>
        </w:rPr>
        <w:t xml:space="preserve">Notes: </w:t>
      </w:r>
      <w:r>
        <w:t>abstract_source=crossref</w:t>
      </w:r>
    </w:p>
    <w:p>
      <w:pPr>
        <w:spacing w:before="0" w:after="200" w:lineRule="auto" w:line="276"/>
      </w:pPr>
      <w:r>
        <w:rPr>
          <w:b/>
        </w:rPr>
        <w:t xml:space="preserve">Abstract: </w:t>
      </w:r>
      <w:r>
        <w:t>A previous modification removed a nonphysical divergence of the elastic displacement field of an edge dislocation. The traditional elastic equations are correct to linear elastic order. However, there is a disregistry of the displacement field at ± infinity that significantly influences the elastic displacements and is missed in the linear elastic description. The earlier revision included volumetric nonlinear elasticity through the use of embedded coordinates and included the disregistry as well as removing the divergence. However, the revised model had a larger self-energy than the traditional model, which we now find to arise from similar divergent terms for the line force. The present model modifies the line force field to remove the divergent terms. The resultant total energy in the modified model has a lower energy than the traditional model.</w:t>
      </w:r>
    </w:p>
    <w:p>
      <w:pPr>
        <w:spacing w:before="120" w:after="120"/>
      </w:pPr>
      <w:r>
        <w:rPr>
          <w:sz w:val="18"/>
        </w:rPr>
        <w:t>——————————————————————————————————————————————————————————————————————</w:t>
      </w:r>
    </w:p>
    <w:p>
      <w:pPr>
        <w:spacing w:before="160" w:after="80" w:line="240" w:lineRule="auto"/>
      </w:pPr>
      <w:r>
        <w:rPr>
          <w:b/>
        </w:rPr>
        <w:t xml:space="preserve">[37] </w:t>
      </w:r>
      <w:hyperlink r:id="rId51">
        <w:r>
          <w:rPr>
            <w:color w:val="1155CC"/>
            <w:u w:val="single"/>
          </w:rPr>
          <w:t>Designing strongly coupled polaritonic structures via statistical machine learning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52">
        <w:r>
          <w:rPr>
            <w:color w:val="1155CC"/>
            <w:u w:val="single"/>
          </w:rPr>
          <w:t>10.1073/pnas.2526690122</w:t>
        </w:r>
      </w:hyperlink>
    </w:p>
    <w:p>
      <w:pPr>
        <w:spacing w:before="0" w:after="120"/>
      </w:pPr>
      <w:r>
        <w:rPr>
          <w:b/>
        </w:rPr>
        <w:t xml:space="preserve">Notes: </w:t>
      </w:r>
      <w:r>
        <w:t>abstract_source=crossref</w:t>
      </w:r>
    </w:p>
    <w:p>
      <w:pPr>
        <w:spacing w:before="0" w:after="200" w:lineRule="auto" w:line="276"/>
      </w:pPr>
      <w:r>
        <w:rPr>
          <w:b/>
        </w:rPr>
        <w:t xml:space="preserve">Abstract: </w:t>
      </w:r>
      <w:r>
        <w:t>Strong coupling photonics, in which coupling strengths significantly exceed decay factors, holds great promise for applications in energy conversion and information processing. However, the effective and scalable design of strongly coupled polaritonic structures requires precise determination of the transition boundaries between strong and weak coupling regions. Traditional trial-and-error methods and classical machine learning (ML) algorithms struggle to achieve this due to the inherent difficulty in measuring decay factors during coupling. To address these challenges, we propose a hybrid ML framework that integrates physics-informed modeling with uncertainty quantification. This approach enables accurate determination of strong–weak coupling transition boundaries—even with inaccessible decay factors. By leveraging this capability, our method facilitates efficient and large-scale design of strongly coupled polaritonic structures with sparse data, achieving a computational speedup of ~10</w:t>
      </w:r>
      <w:r>
        <w:rPr>
          <w:vertAlign w:val="subscript"/>
        </w:rPr>
        <w:t>4</w:t>
      </w:r>
      <w:r>
        <w:t>times compared to conventional simulations. Guided by this framework, we experimentally constructed a hexagonal boron nitride (hBN) polariton coupling structure and observed strong coupling via near-field spectroscopy. This work establishes a generalizable optimization methodology for strongly coupled photonic devices, opening a broad avenue for polariton-enhanced energy conversion and optical information modulation.</w:t>
      </w:r>
    </w:p>
    <w:p>
      <w:pPr>
        <w:spacing w:before="120" w:after="120"/>
      </w:pPr>
      <w:r>
        <w:rPr>
          <w:sz w:val="18"/>
        </w:rPr>
        <w:t>——————————————————————————————————————————————————————————————————————</w:t>
      </w:r>
    </w:p>
    <w:p>
      <w:pPr>
        <w:spacing w:before="160" w:after="80" w:line="240" w:lineRule="auto"/>
      </w:pPr>
      <w:r>
        <w:rPr>
          <w:b/>
        </w:rPr>
        <w:t xml:space="preserve">[38] </w:t>
      </w:r>
      <w:hyperlink r:id="rId53">
        <w:r>
          <w:rPr>
            <w:color w:val="1155CC"/>
            <w:u w:val="single"/>
          </w:rPr>
          <w:t>Occludin acts as a dynein adaptor regulating permeability and collateral angiogenesis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54">
        <w:r>
          <w:rPr>
            <w:color w:val="1155CC"/>
            <w:u w:val="single"/>
          </w:rPr>
          <w:t>10.1073/pnas.2516076122</w:t>
        </w:r>
      </w:hyperlink>
    </w:p>
    <w:p>
      <w:pPr>
        <w:spacing w:before="0" w:after="120"/>
      </w:pPr>
      <w:r>
        <w:rPr>
          <w:b/>
        </w:rPr>
        <w:t xml:space="preserve">Notes: </w:t>
      </w:r>
      <w:r>
        <w:t>abstract_source=crossref</w:t>
      </w:r>
    </w:p>
    <w:p>
      <w:pPr>
        <w:spacing w:before="0" w:after="200" w:lineRule="auto" w:line="276"/>
      </w:pPr>
      <w:r>
        <w:rPr>
          <w:b/>
        </w:rPr>
        <w:t xml:space="preserve">Abstract: </w:t>
      </w:r>
      <w:r>
        <w:t>Previous studies of the tight junction protein occludin (OCLN) suggest that multiple phosphorylation sites on the carboxy-terminal domain contribute a regulatory role in vascular barrier properties. However, gene deletion studies failed to identify a clear functional role for OCLN, despite multiple phenotypic alterations. Importantly, previous studies targeting exon 3 allowed expression of a splice variant starting at exon 4 (isoform 4), that expresses the full carboxy-terminal tail. Here we show that the OCLN carboxy terminus forms a complex with the light intermediate chain (LIC) of dynein to link tight junction cargo to the minus end directed motor protein. Mutational analysis revealed S471 phosphorylation promotes binding to the LIC while S490 phosphorylation is required for trafficking. Expressing</w:t>
      </w:r>
      <w:r>
        <w:t xml:space="preserve"> </w:t>
      </w:r>
      <w:r>
        <w:t>OCLN</w:t>
      </w:r>
      <w:r>
        <w:t xml:space="preserve"> </w:t>
      </w:r>
      <w:r>
        <w:t>S490A mutant prevented endothelial cell proliferation and collateral angiogenesis.</w:t>
      </w:r>
      <w:r>
        <w:t xml:space="preserve"> </w:t>
      </w:r>
      <w:r>
        <w:t>Ocln</w:t>
      </w:r>
      <w:r>
        <w:t xml:space="preserve"> </w:t>
      </w:r>
      <w:r>
        <w:t>gene deletion targeting exon 5, preventing full-length and isoform 4 expression, resulted in embryonic lethality. In summary, OCLN links tight junction cargo to the dynein motor, regulating trafficking in a phosphorylation-dependent manner and contributing to both vascular endothelial growth factor-induced vascular permeability and collateral angiogenesis.</w:t>
      </w:r>
    </w:p>
    <w:p>
      <w:pPr>
        <w:spacing w:before="120" w:after="120"/>
      </w:pPr>
      <w:r>
        <w:rPr>
          <w:sz w:val="18"/>
        </w:rPr>
        <w:t>——————————————————————————————————————————————————————————————————————</w:t>
      </w:r>
    </w:p>
    <w:p>
      <w:pPr>
        <w:spacing w:before="160" w:after="80" w:line="240" w:lineRule="auto"/>
      </w:pPr>
      <w:r>
        <w:rPr>
          <w:b/>
        </w:rPr>
        <w:t xml:space="preserve">[39] </w:t>
      </w:r>
      <w:hyperlink r:id="rId55">
        <w:r>
          <w:rPr>
            <w:color w:val="1155CC"/>
            <w:u w:val="single"/>
          </w:rPr>
          <w:t>An abundant membrane protein in the NCAM superfamily is required for epithelial organization in sea anemone embryos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56">
        <w:r>
          <w:rPr>
            <w:color w:val="1155CC"/>
            <w:u w:val="single"/>
          </w:rPr>
          <w:t>10.1073/pnas.2521737122</w:t>
        </w:r>
      </w:hyperlink>
    </w:p>
    <w:p>
      <w:pPr>
        <w:spacing w:before="0" w:after="120"/>
      </w:pPr>
      <w:r>
        <w:rPr>
          <w:b/>
        </w:rPr>
        <w:t xml:space="preserve">Notes: </w:t>
      </w:r>
      <w:r>
        <w:t>abstract_source=crossref</w:t>
      </w:r>
    </w:p>
    <w:p>
      <w:pPr>
        <w:spacing w:before="0" w:after="200" w:lineRule="auto" w:line="276"/>
      </w:pPr>
      <w:r>
        <w:rPr>
          <w:b/>
        </w:rPr>
        <w:t xml:space="preserve">Abstract: </w:t>
      </w:r>
      <w:r>
        <w:t>Assembly of cells into epithelial layers marks the early steps of tissue organization and embryonic development in most animals. Although several conserved proteins are known to be essential for epithelialization in bilaterians, it is unclear whether these are sufficient to drive epithelial organization in all metazoans. Using proteomics and knockdown approaches in embryos of the early-branching sea anemone</w:t>
      </w:r>
      <w:r>
        <w:t xml:space="preserve"> </w:t>
      </w:r>
      <w:r>
        <w:t>Nematostella vectensis</w:t>
      </w:r>
      <w:r>
        <w:t xml:space="preserve"> </w:t>
      </w:r>
      <w:r>
        <w:t>, we identified the Neural Cell Adhesion Molecule (NCAM) NCAM2 to be essential for organization of the primary epithelial layer. NCAM2 belongs to the Immunoglobulin superfamily of cell adhesion molecules with roles in intercellular adhesion and signaling. In this work, we show that NCAM2 is enriched at the apical cell junctions and is required for</w:t>
      </w:r>
      <w:r>
        <w:t xml:space="preserve"> </w:t>
      </w:r>
      <w:r>
        <w:t>Nematostella</w:t>
      </w:r>
      <w:r>
        <w:t xml:space="preserve"> </w:t>
      </w:r>
      <w:r>
        <w:t>epithelial organization. Importantly, embryos depleted for NCAM2 fail to gastrulate. Both whole-embryo germ layer patterning and epithelial integrity required for gastrulation are impaired. Our results highlight the importance of an NCAM superfamily-protein in the organization of primary epithelia and early embryonic development.</w:t>
      </w:r>
    </w:p>
    <w:p>
      <w:pPr>
        <w:spacing w:before="120" w:after="120"/>
      </w:pPr>
      <w:r>
        <w:rPr>
          <w:sz w:val="18"/>
        </w:rPr>
        <w:t>——————————————————————————————————————————————————————————————————————</w:t>
      </w:r>
    </w:p>
    <w:p>
      <w:pPr>
        <w:spacing w:before="160" w:after="80" w:line="240" w:lineRule="auto"/>
      </w:pPr>
      <w:r>
        <w:rPr>
          <w:b/>
        </w:rPr>
        <w:t xml:space="preserve">[40] </w:t>
      </w:r>
      <w:hyperlink r:id="rId57">
        <w:r>
          <w:rPr>
            <w:color w:val="1155CC"/>
            <w:u w:val="single"/>
          </w:rPr>
          <w:t>Hypermutable hotspot enables the rapid evolution of self/non-self recognition genes in Dictyostelium</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58">
        <w:r>
          <w:rPr>
            <w:color w:val="1155CC"/>
            <w:u w:val="single"/>
          </w:rPr>
          <w:t>10.1073/pnas.2520843122</w:t>
        </w:r>
      </w:hyperlink>
    </w:p>
    <w:p>
      <w:pPr>
        <w:spacing w:before="0" w:after="120"/>
      </w:pPr>
      <w:r>
        <w:rPr>
          <w:b/>
        </w:rPr>
        <w:t xml:space="preserve">Notes: </w:t>
      </w:r>
      <w:r>
        <w:t>abstract_source=crossref</w:t>
      </w:r>
    </w:p>
    <w:p>
      <w:pPr>
        <w:spacing w:before="0" w:after="200" w:lineRule="auto" w:line="276"/>
      </w:pPr>
      <w:r>
        <w:rPr>
          <w:b/>
        </w:rPr>
        <w:t xml:space="preserve">Abstract: </w:t>
      </w:r>
      <w:r>
        <w:t>Cells require highly polymorphic receptors to perform accurate self/non-self recognition. In the amoeba</w:t>
      </w:r>
      <w:r>
        <w:t xml:space="preserve"> </w:t>
      </w:r>
      <w:r>
        <w:t>Dictyostelium discoideum</w:t>
      </w:r>
      <w:r>
        <w:t xml:space="preserve"> </w:t>
      </w:r>
      <w:r>
        <w:t>,</w:t>
      </w:r>
      <w:r>
        <w:t xml:space="preserve"> </w:t>
      </w:r>
      <w:r>
        <w:t>polymorphic TgrB1 and TgrC1 proteins are used to bind sister cells and exclude cheaters, but it remains unknown how cells continually generate their extreme genetic diversity. Here, we created a collection of chromosome-length, whole genome sequences from 10</w:t>
      </w:r>
      <w:r>
        <w:t xml:space="preserve"> </w:t>
      </w:r>
      <w:r>
        <w:t>D. discoideum</w:t>
      </w:r>
      <w:r>
        <w:t xml:space="preserve"> </w:t>
      </w:r>
      <w:r>
        <w:t>isolates and sister species to understand the evolution of the large</w:t>
      </w:r>
      <w:r>
        <w:t xml:space="preserve"> </w:t>
      </w:r>
      <w:r>
        <w:t>tgr</w:t>
      </w:r>
      <w:r>
        <w:t xml:space="preserve"> </w:t>
      </w:r>
      <w:r>
        <w:t>gene family. Our dataset includes AX2-214, a widely used</w:t>
      </w:r>
      <w:r>
        <w:t xml:space="preserve"> </w:t>
      </w:r>
      <w:r>
        <w:t>D. discoideum</w:t>
      </w:r>
      <w:r>
        <w:t xml:space="preserve"> </w:t>
      </w:r>
      <w:r>
        <w:t>lab strain, as well as complete genomes for two</w:t>
      </w:r>
      <w:r>
        <w:t xml:space="preserve"> </w:t>
      </w:r>
      <w:r>
        <w:t>Chlamydia</w:t>
      </w:r>
      <w:r>
        <w:t xml:space="preserve"> </w:t>
      </w:r>
      <w:r>
        <w:t>-like endosymbionts harbored within amoebae. We find that</w:t>
      </w:r>
      <w:r>
        <w:t xml:space="preserve"> </w:t>
      </w:r>
      <w:r>
        <w:t>tgrB1</w:t>
      </w:r>
      <w:r>
        <w:t xml:space="preserve"> </w:t>
      </w:r>
      <w:r>
        <w:t>and</w:t>
      </w:r>
      <w:r>
        <w:t xml:space="preserve"> </w:t>
      </w:r>
      <w:r>
        <w:t>C1</w:t>
      </w:r>
      <w:r>
        <w:t xml:space="preserve"> </w:t>
      </w:r>
      <w:r>
        <w:t>lie in a hypermutational hotspot, with haplotypes that undergo repeated intralocus recombination, duplications, transpositions, and inversions. These structural dynamics are highly localized adjacent to</w:t>
      </w:r>
      <w:r>
        <w:t xml:space="preserve"> </w:t>
      </w:r>
      <w:r>
        <w:t>tgrB</w:t>
      </w:r>
      <w:r>
        <w:t xml:space="preserve"> </w:t>
      </w:r>
      <w:r>
        <w:t>and</w:t>
      </w:r>
      <w:r>
        <w:t xml:space="preserve"> </w:t>
      </w:r>
      <w:r>
        <w:t>C</w:t>
      </w:r>
      <w:r>
        <w:t xml:space="preserve"> </w:t>
      </w:r>
      <w:r>
        <w:t>, resulting in the gain and loss of dozens of genes. The</w:t>
      </w:r>
      <w:r>
        <w:t xml:space="preserve"> </w:t>
      </w:r>
      <w:r>
        <w:t>tgrBC</w:t>
      </w:r>
      <w:r>
        <w:t xml:space="preserve"> </w:t>
      </w:r>
      <w:r>
        <w:t>genes themselves frequently duplicate and recombine, leading to the rapid generation of unique</w:t>
      </w:r>
      <w:r>
        <w:t xml:space="preserve"> </w:t>
      </w:r>
      <w:r>
        <w:t>tgrBC</w:t>
      </w:r>
      <w:r>
        <w:t xml:space="preserve"> </w:t>
      </w:r>
      <w:r>
        <w:t>repertoires. In the broader</w:t>
      </w:r>
      <w:r>
        <w:t xml:space="preserve"> </w:t>
      </w:r>
      <w:r>
        <w:t>tgr</w:t>
      </w:r>
      <w:r>
        <w:t xml:space="preserve"> </w:t>
      </w:r>
      <w:r>
        <w:t>gene family, some genes (e.g.,</w:t>
      </w:r>
      <w:r>
        <w:t xml:space="preserve"> </w:t>
      </w:r>
      <w:r>
        <w:t>tgrN</w:t>
      </w:r>
      <w:r>
        <w:t xml:space="preserve"> </w:t>
      </w:r>
      <w:r>
        <w:t>) are single copy and syntenic across all the genomes, whereas others (e.g.,</w:t>
      </w:r>
      <w:r>
        <w:t xml:space="preserve"> </w:t>
      </w:r>
      <w:r>
        <w:t>tgrA</w:t>
      </w:r>
      <w:r>
        <w:t xml:space="preserve"> </w:t>
      </w:r>
      <w:r>
        <w:t>) prolifically duplicate at similar rates to</w:t>
      </w:r>
      <w:r>
        <w:t xml:space="preserve"> </w:t>
      </w:r>
      <w:r>
        <w:t>Dictyostelium</w:t>
      </w:r>
      <w:r>
        <w:t xml:space="preserve"> </w:t>
      </w:r>
      <w:r>
        <w:t>transposons. Thus, the</w:t>
      </w:r>
      <w:r>
        <w:t xml:space="preserve"> </w:t>
      </w:r>
      <w:r>
        <w:t>tgr</w:t>
      </w:r>
      <w:r>
        <w:t xml:space="preserve"> </w:t>
      </w:r>
      <w:r>
        <w:t>genes are among the most rapidly evolving families genome-wide. We propose that the intense diversification within the</w:t>
      </w:r>
      <w:r>
        <w:t xml:space="preserve"> </w:t>
      </w:r>
      <w:r>
        <w:t>tgrBC</w:t>
      </w:r>
      <w:r>
        <w:t xml:space="preserve"> </w:t>
      </w:r>
      <w:r>
        <w:t>locus can help explain how these genes acquire such extreme levels of polymorphism, with parallels to the MHC immune genes in mammals and other allorecognition systems. This collection of amoeba genomes is also a useful resource for future comparative genomics and molecular evolution studies in Amoebozoa.</w:t>
      </w:r>
    </w:p>
    <w:p>
      <w:pPr>
        <w:spacing w:before="120" w:after="120"/>
      </w:pPr>
      <w:r>
        <w:rPr>
          <w:sz w:val="18"/>
        </w:rPr>
        <w:t>——————————————————————————————————————————————————————————————————————</w:t>
      </w:r>
    </w:p>
    <w:p>
      <w:pPr>
        <w:spacing w:before="160" w:after="80" w:line="240" w:lineRule="auto"/>
      </w:pPr>
      <w:r>
        <w:rPr>
          <w:b/>
        </w:rPr>
        <w:t xml:space="preserve">[41] </w:t>
      </w:r>
      <w:hyperlink r:id="rId59">
        <w:r>
          <w:rPr>
            <w:color w:val="1155CC"/>
            <w:u w:val="single"/>
          </w:rPr>
          <w:t>MLKL/retromer axis controls PD-L1 recycling to compromise antitumor immunity during VCP inhibition–induced necroptosis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60">
        <w:r>
          <w:rPr>
            <w:color w:val="1155CC"/>
            <w:u w:val="single"/>
          </w:rPr>
          <w:t>10.1073/pnas.2518675122</w:t>
        </w:r>
      </w:hyperlink>
    </w:p>
    <w:p>
      <w:pPr>
        <w:spacing w:before="0" w:after="120"/>
      </w:pPr>
      <w:r>
        <w:rPr>
          <w:b/>
        </w:rPr>
        <w:t xml:space="preserve">Notes: </w:t>
      </w:r>
      <w:r>
        <w:t>abstract_source=crossref</w:t>
      </w:r>
    </w:p>
    <w:p>
      <w:pPr>
        <w:spacing w:before="0" w:after="200" w:lineRule="auto" w:line="276"/>
      </w:pPr>
      <w:r>
        <w:rPr>
          <w:b/>
        </w:rPr>
        <w:t xml:space="preserve">Abstract: </w:t>
      </w:r>
      <w:r>
        <w:t>The activation of the vesicular trafficking system, including endosomal recycling and extracellular vesicle (EV) release, represents an adaptive mechanism in cancer cells to counteract cellular stress or necroptotic death signals, which hampers cancer therapy. However, the underlying mechanisms remain poorly understood. Indeed, our study demonstrate that inhibition of valosin-containing protein (VCPi) induces EV release and necroptosis in colorectal cancer (CRC), but does not achieve a synergistic effect with immunotherapy. Mechanistically, VCPi delays the degradation of mixed lineage kinase domain-like protein (MLKL), a critical regulator of necroptosis and endosomal trafficking. Knockdown of MLKL reduces VCPi-mediated necroptosis, EV release, and programmed death ligand 1 (PD-L1) recycling. VCPi leads to MLKL accumulation, which recruits the retromer complex and GTPase-activating protein TBC1D5 to inactivate Rab7A. This redirects PD-L1-loaded vesicles to the cell surface via the retromer complex, thereby resulting in immunosuppression. Notably, targeting the retromer complex enhances the therapeutic efficacy of combined VCP inhibitors and anti-PD-L1 therapy in CRC, offering a promising immunotherapeutic strategy. Our study elucidates the role of the retromer complex in mediating PD-L1 recycling during VCPi-induced necroptosis and reveals that dual inhibition of VCP and the retromer complex potentiates immunotherapy efficacy in CRC.</w:t>
      </w:r>
    </w:p>
    <w:p>
      <w:pPr>
        <w:spacing w:before="120" w:after="120"/>
      </w:pPr>
      <w:r>
        <w:rPr>
          <w:sz w:val="18"/>
        </w:rPr>
        <w:t>——————————————————————————————————————————————————————————————————————</w:t>
      </w:r>
    </w:p>
    <w:p>
      <w:pPr>
        <w:spacing w:before="160" w:after="80" w:line="240" w:lineRule="auto"/>
      </w:pPr>
      <w:r>
        <w:rPr>
          <w:b/>
        </w:rPr>
        <w:t xml:space="preserve">[42] </w:t>
      </w:r>
      <w:hyperlink r:id="rId61">
        <w:r>
          <w:rPr>
            <w:color w:val="1155CC"/>
            <w:u w:val="single"/>
          </w:rPr>
          <w:t>Asymmetrical recognition and processing of double-strand breaks formed during DNA replication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62">
        <w:r>
          <w:rPr>
            <w:color w:val="1155CC"/>
            <w:u w:val="single"/>
          </w:rPr>
          <w:t>10.1073/pnas.2517830122</w:t>
        </w:r>
      </w:hyperlink>
    </w:p>
    <w:p>
      <w:pPr>
        <w:spacing w:before="0" w:after="120"/>
      </w:pPr>
      <w:r>
        <w:rPr>
          <w:b/>
        </w:rPr>
        <w:t xml:space="preserve">Notes: </w:t>
      </w:r>
      <w:r>
        <w:t>abstract_source=crossref</w:t>
      </w:r>
    </w:p>
    <w:p>
      <w:pPr>
        <w:spacing w:before="0" w:after="200" w:lineRule="auto" w:line="276"/>
      </w:pPr>
      <w:r>
        <w:rPr>
          <w:b/>
        </w:rPr>
        <w:t xml:space="preserve">Abstract: </w:t>
      </w:r>
      <w:r>
        <w:t>DNA end resection to generate 3′ single-stranded DNA (ssDNA) overhangs is the first step in homology-directed mechanisms of double-strand break (DSB) repair. While end resection has been extensively studied in the repair of endonuclease-induced DSBs, little is known about how resection proceeds at DSBs generated during DNA replication. We previously established a system to generate replication-dependent double-ended DSBs at the sites of nicks induced by the Cas9</w:t>
      </w:r>
      <w:r>
        <w:t xml:space="preserve"> </w:t>
      </w:r>
      <w:r>
        <w:t>D10A</w:t>
      </w:r>
      <w:r>
        <w:t xml:space="preserve"> </w:t>
      </w:r>
      <w:r>
        <w:t>nickase in the budding yeast genome. Here, we suggest that these DSB ends form in an asymmetric manner, with one being blunt or near blunt and the other bearing a 3′ ssDNA overhang of up to the size of an Okazaki fragment. We find that Mre11 preferentially binds blunt ends and is required to evict Ku from these DSB ends and to promote end resection. In contrast, the ends predicted to have 3′ overhangs have minimal Ku binding, and resection at these break ends can proceed in a mostly Mre11-independent manner through either the Exo1 or Dna2-Sgs1 long-range resection mechanisms. These findings indicate that resection proceeds differently at replication-dependent DSBs than at canonical DSBs and reveal that Ku selectively binds blunt ends, potentially explaining why replication-dependent DSBs are poorly repaired by nonhomologous end joining.</w:t>
      </w:r>
    </w:p>
    <w:p>
      <w:pPr>
        <w:spacing w:before="120" w:after="120"/>
      </w:pPr>
      <w:r>
        <w:rPr>
          <w:sz w:val="18"/>
        </w:rPr>
        <w:t>——————————————————————————————————————————————————————————————————————</w:t>
      </w:r>
    </w:p>
    <w:p>
      <w:pPr>
        <w:spacing w:before="160" w:after="80" w:line="240" w:lineRule="auto"/>
      </w:pPr>
      <w:r>
        <w:rPr>
          <w:b/>
        </w:rPr>
        <w:t xml:space="preserve">[43] </w:t>
      </w:r>
      <w:hyperlink r:id="rId63">
        <w:r>
          <w:rPr>
            <w:color w:val="1155CC"/>
            <w:u w:val="single"/>
          </w:rPr>
          <w:t>The kinesin-4 protein KIF27 forms a cytoskeletal scaffold at the transition zone to promote motile cilia structural integrity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64">
        <w:r>
          <w:rPr>
            <w:color w:val="1155CC"/>
            <w:u w:val="single"/>
          </w:rPr>
          <w:t>10.1073/pnas.2515392122</w:t>
        </w:r>
      </w:hyperlink>
    </w:p>
    <w:p>
      <w:pPr>
        <w:spacing w:before="0" w:after="120"/>
      </w:pPr>
      <w:r>
        <w:rPr>
          <w:b/>
        </w:rPr>
        <w:t xml:space="preserve">Notes: </w:t>
      </w:r>
      <w:r>
        <w:t>abstract_source=crossref</w:t>
      </w:r>
    </w:p>
    <w:p>
      <w:pPr>
        <w:spacing w:before="0" w:after="200" w:lineRule="auto" w:line="276"/>
      </w:pPr>
      <w:r>
        <w:rPr>
          <w:b/>
        </w:rPr>
        <w:t xml:space="preserve">Abstract: </w:t>
      </w:r>
      <w:r>
        <w:t>Motile cilia are eukaryotic organelles with essential chemo- and mechanosensing functions across evolution, from single cell organisms to humans. Motile cilia of the mammalian nervous, respiratory, and reproductive systems are characterized by unique motility proteins to generate fluid flow essential for transporting metabolites and removing mucus. The molecular mechanism underlying motile cilia assembly remains unknown. Here, we use high-resolution imaging, proteomics, in situ cryotomography, and single-molecule motility assays to identify mammalian KIF27, a motor protein of the Kinesin-4 family and homologue of the Hedgehog pathway regulator COS2/KIF7, as a key regulator of motile cilia assembly in vivo. We show that KIF27 promotes the integrity of the transition zone (TZ), a diffusion barrier situated at the cilium base. Loss of KIF27 results in specific and profound defects in axonemal structure and disrupts cilia beating, which collectively lead to organismal phenotypes that recapitulate primary ciliary dyskinesia (PCD). We show that the motile properties of KIF27 are dispensable for its function in motile cilia assembly. Instead, KIF27 acts as a microtubule scaffold to regulate the TZ architecture and enable correct ciliary incorporation of motility-generating proteins. Given that KIF27 orthologues exist in different evolutionarily lineages, we propose that the ancestral activity of KIF27/KIF7 kinesins was to form a microtubule-associated scaffold for protein–protein interactions pertinent to cilia formation and signaling. The transition-zone-associated KIF27 activities may represent a general building principle for the motile cilia assembly in diverse species and cell types.</w:t>
      </w:r>
    </w:p>
    <w:p>
      <w:pPr>
        <w:spacing w:before="120" w:after="120"/>
      </w:pPr>
      <w:r>
        <w:rPr>
          <w:sz w:val="18"/>
        </w:rPr>
        <w:t>——————————————————————————————————————————————————————————————————————</w:t>
      </w:r>
    </w:p>
    <w:p>
      <w:pPr>
        <w:spacing w:before="160" w:after="80" w:line="240" w:lineRule="auto"/>
      </w:pPr>
      <w:r>
        <w:rPr>
          <w:b/>
        </w:rPr>
        <w:t xml:space="preserve">[44] </w:t>
      </w:r>
      <w:hyperlink r:id="rId65">
        <w:r>
          <w:rPr>
            <w:color w:val="1155CC"/>
            <w:u w:val="single"/>
          </w:rPr>
          <w:t>Cilia-driven epithelial folding and unfolding in an early diverging animal</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66">
        <w:r>
          <w:rPr>
            <w:color w:val="1155CC"/>
            <w:u w:val="single"/>
          </w:rPr>
          <w:t>10.1073/pnas.2517741122</w:t>
        </w:r>
      </w:hyperlink>
    </w:p>
    <w:p>
      <w:pPr>
        <w:spacing w:before="0" w:after="120"/>
      </w:pPr>
      <w:r>
        <w:rPr>
          <w:b/>
        </w:rPr>
        <w:t xml:space="preserve">Notes: </w:t>
      </w:r>
      <w:r>
        <w:t>abstract_source=crossref</w:t>
      </w:r>
    </w:p>
    <w:p>
      <w:pPr>
        <w:spacing w:before="0" w:after="200" w:lineRule="auto" w:line="276"/>
      </w:pPr>
      <w:r>
        <w:rPr>
          <w:b/>
        </w:rPr>
        <w:t xml:space="preserve">Abstract: </w:t>
      </w:r>
      <w:r>
        <w:t>Multicellular organisms utilize epithelial folding to achieve remarkable three-dimensional forms. During embryonic development, stereotypical epithelial folds emerge from underlying active cellular and molecular processes including cell shape change and differential cell growth. However, the origin of epithelial folding in early animals and how folding may be harnessed in synthetic systems remain open questions. Here, we identify a modality of behavior-induced epithelial folding and unfolding arising from cilia–substrate adhesion and ciliary walking in the basal animal</w:t>
      </w:r>
      <w:r>
        <w:t xml:space="preserve"> </w:t>
      </w:r>
      <w:r>
        <w:t>Trichoplax adhaerens</w:t>
      </w:r>
      <w:r>
        <w:t xml:space="preserve"> </w:t>
      </w:r>
      <w:r>
        <w:t>(phylum Placozoa). We show that</w:t>
      </w:r>
      <w:r>
        <w:t xml:space="preserve"> </w:t>
      </w:r>
      <w:r>
        <w:t>T. adhaerens</w:t>
      </w:r>
      <w:r>
        <w:t xml:space="preserve"> </w:t>
      </w:r>
      <w:r>
        <w:t>is capable of exhibiting dynamic nonstereotyped folding states, providing a 3D perspective to an organism previously only characterized in its 2D state. We correlate these folding states to local substrate geometry, revealing that the animal conforms to available substrate surface area, promoting the maintenance of a folded state. Using 4D fluorescence light sheet microscopy, we characterize fold geometry, curvature evolution during unfolding, and the nonstereotypy of unfolding behavior. Through repeated unfolding trials, we reveal the robustness and timescales associated with unfolding behavior and employ scaling analysis and toy model simulations to establish how collective ciliary activity can robustly drive unfolding. In this way, despite lacking any folding–unfolding “pathway,” transitions between folding and unfolding states emerge as a function of the animal’s environment and motility. Our work reveals a remarkable behavior exhibited by a brainless, nerveless animal, and demonstrates the capacity for 3D–2D transitions in folding epithelial sheets using ciliary activity.</w:t>
      </w:r>
    </w:p>
    <w:p>
      <w:pPr>
        <w:spacing w:before="120" w:after="120"/>
      </w:pPr>
      <w:r>
        <w:rPr>
          <w:sz w:val="18"/>
        </w:rPr>
        <w:t>——————————————————————————————————————————————————————————————————————</w:t>
      </w:r>
    </w:p>
    <w:p>
      <w:pPr>
        <w:spacing w:before="160" w:after="80" w:line="240" w:lineRule="auto"/>
      </w:pPr>
      <w:r>
        <w:rPr>
          <w:b/>
        </w:rPr>
        <w:t xml:space="preserve">[45] </w:t>
      </w:r>
      <w:hyperlink r:id="rId67">
        <w:r>
          <w:rPr>
            <w:color w:val="1155CC"/>
            <w:u w:val="single"/>
          </w:rPr>
          <w:t>Potential yield and food provisioning gains from rebuilding the world’s coral reef fish stocks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68">
        <w:r>
          <w:rPr>
            <w:color w:val="1155CC"/>
            <w:u w:val="single"/>
          </w:rPr>
          <w:t>10.1073/pnas.2508805122</w:t>
        </w:r>
      </w:hyperlink>
    </w:p>
    <w:p>
      <w:pPr>
        <w:spacing w:before="0" w:after="120"/>
      </w:pPr>
      <w:r>
        <w:rPr>
          <w:b/>
        </w:rPr>
        <w:t xml:space="preserve">Notes: </w:t>
      </w:r>
      <w:r>
        <w:t>abstract_source=crossref</w:t>
      </w:r>
    </w:p>
    <w:p>
      <w:pPr>
        <w:spacing w:before="0" w:after="200" w:lineRule="auto" w:line="276"/>
      </w:pPr>
      <w:r>
        <w:rPr>
          <w:b/>
        </w:rPr>
        <w:t xml:space="preserve">Abstract: </w:t>
      </w:r>
      <w:r>
        <w:t>Many coral reefs have fish stocks that are depleted below the level at which sustainable production is maximized. Lower production means that millions of people are losing out on potential food, income, and livelihoods. Rebuilding these stocks to maximize sustainable production can contribute toward ending hunger and malnutrition but requires active and effective fisheries management. Yet, for fish stock recovery plans to be implemented, recovery benefits, targets, and timeframes need to be quantified. Here, using 1,211 individual reef sites and 23 jurisdictions identified globally as being below maximum sustainable production levels, we show that reefs have the potential to increase sustainable yields by nearly 50% if allowed to recover toward their maximum production levels. For individual jurisdictions, this recovery represents from 20,000 up to 162 million additional sustainable servings of reef fish per year in comparison to current sustainable production, meeting recommended seafood intake for up to 1.4 million additional people a year. However, such growth and food provisioning will require fish stocks to double their standing biomass (increase by a median of 32 t/km</w:t>
      </w:r>
      <w:r>
        <w:rPr>
          <w:vertAlign w:val="subscript"/>
        </w:rPr>
        <w:t>2</w:t>
      </w:r>
      <w:r>
        <w:t>). Recovery timeframes range from 6.4 y under the most stringent scenario (a moratorium) to 49.7 y under the maximum harvest scenario that results in recovery. We find that locations with the greatest potential for sustainable gains in yield are among those with the greatest food and micronutrient deficiencies, underscoring both the challenges and opportunities in recovering fish assemblages to achieve their maximum sustainable potential.</w:t>
      </w:r>
    </w:p>
    <w:p>
      <w:pPr>
        <w:spacing w:before="120" w:after="120"/>
      </w:pPr>
      <w:r>
        <w:rPr>
          <w:sz w:val="18"/>
        </w:rPr>
        <w:t>——————————————————————————————————————————————————————————————————————</w:t>
      </w:r>
    </w:p>
    <w:p>
      <w:pPr>
        <w:spacing w:before="160" w:after="80" w:line="240" w:lineRule="auto"/>
      </w:pPr>
      <w:r>
        <w:rPr>
          <w:b/>
        </w:rPr>
        <w:t xml:space="preserve">[46] </w:t>
      </w:r>
      <w:hyperlink r:id="rId69">
        <w:r>
          <w:rPr>
            <w:color w:val="1155CC"/>
            <w:u w:val="single"/>
          </w:rPr>
          <w:t>Four-hour thunderstorm nowcasting using a deep diffusion model for satellite data</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70">
        <w:r>
          <w:rPr>
            <w:color w:val="1155CC"/>
            <w:u w:val="single"/>
          </w:rPr>
          <w:t>10.1073/pnas.2517520122</w:t>
        </w:r>
      </w:hyperlink>
    </w:p>
    <w:p>
      <w:pPr>
        <w:spacing w:before="0" w:after="120"/>
      </w:pPr>
      <w:r>
        <w:rPr>
          <w:b/>
        </w:rPr>
        <w:t xml:space="preserve">Notes: </w:t>
      </w:r>
      <w:r>
        <w:t>abstract_source=crossref</w:t>
      </w:r>
    </w:p>
    <w:p>
      <w:pPr>
        <w:spacing w:before="0" w:after="200" w:lineRule="auto" w:line="276"/>
      </w:pPr>
      <w:r>
        <w:rPr>
          <w:b/>
        </w:rPr>
        <w:t xml:space="preserve">Abstract: </w:t>
      </w:r>
      <w:r>
        <w:t>Convection (thunderstorm) develops rapidly within hours and is highly destructive, posing a significant challenge for nowcasting and resulting in substantial losses to infrastructure and society. After the emergence of AI-based methods, convection nowcasting has experienced rapid advancements, with its performance surpassing that of physics-based numerical weather prediction and other conventional approaches. However, the lead time and coverage of it still leave much to be desired and hardly meet the needs of disaster emergency response. Here, we propose a deep diffusion model for satellite data (DDMS) to establish an AI-based convection nowcasting system. Specifically, DDMS employs diffusion processes to effectively simulate complicated spatiotemporal evolution patterns of convective clouds, achieving more accurate forecasts of convective growth and dissipation over longer lead times. Additionally, it combines geostationary satellite brightness temperature data and domain knowledge from meteorological experts, thereby achieving planetary-scale forecast coverage. During long-term tests and objective validation based on the FengYun-4A satellite, our system achieves effective convection nowcasting up to 4 h, with broad coverage (about 20,000,000 km</w:t>
      </w:r>
      <w:r>
        <w:rPr>
          <w:vertAlign w:val="subscript"/>
        </w:rPr>
        <w:t>2</w:t>
      </w:r>
      <w:r>
        <w:t>), remarkable accuracy, and high resolution (15 min; 4 km). Its performance reaches a new height in convection nowcasting compared to the existing models. In terms of application, our system is highly transferable with the potential to collaborate with multiple satellites for global convection nowcasting. Furthermore, our results highlight the remarkable capabilities of diffusion models in convective clouds forecasting, as well as the significant value of geostationary satellite data when empowered by AI technologies.</w:t>
      </w:r>
    </w:p>
    <w:p>
      <w:pPr>
        <w:spacing w:before="120" w:after="120"/>
      </w:pPr>
      <w:r>
        <w:rPr>
          <w:sz w:val="18"/>
        </w:rPr>
        <w:t>——————————————————————————————————————————————————————————————————————</w:t>
      </w:r>
    </w:p>
    <w:p>
      <w:pPr>
        <w:spacing w:before="160" w:after="80" w:line="240" w:lineRule="auto"/>
      </w:pPr>
      <w:r>
        <w:rPr>
          <w:b/>
        </w:rPr>
        <w:t xml:space="preserve">[47] </w:t>
      </w:r>
      <w:hyperlink r:id="rId71">
        <w:r>
          <w:rPr>
            <w:color w:val="1155CC"/>
            <w:u w:val="single"/>
          </w:rPr>
          <w:t>Evolution of repressive sequences within an enhancer contributed to morphological diversity in crucifer plants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72">
        <w:r>
          <w:rPr>
            <w:color w:val="1155CC"/>
            <w:u w:val="single"/>
          </w:rPr>
          <w:t>10.1073/pnas.2515732122</w:t>
        </w:r>
      </w:hyperlink>
    </w:p>
    <w:p>
      <w:pPr>
        <w:spacing w:before="0" w:after="120"/>
      </w:pPr>
      <w:r>
        <w:rPr>
          <w:b/>
        </w:rPr>
        <w:t xml:space="preserve">Notes: </w:t>
      </w:r>
      <w:r>
        <w:t>abstract_source=crossref</w:t>
      </w:r>
    </w:p>
    <w:p>
      <w:pPr>
        <w:spacing w:before="0" w:after="200" w:lineRule="auto" w:line="276"/>
      </w:pPr>
      <w:r>
        <w:rPr>
          <w:b/>
        </w:rPr>
        <w:t xml:space="preserve">Abstract: </w:t>
      </w:r>
      <w:r>
        <w:t>Cis</w:t>
      </w:r>
      <w:r>
        <w:t xml:space="preserve"> </w:t>
      </w:r>
      <w:r>
        <w:t>-regulatory sequences, such as enhancers, play a crucial role in morphological evolution, but how their diversification leads to evolution of novel expression patterns that underpin diversity is still poorly understood. Recent work suggests that the function of enhancers is influenced by their genomic sequence context more than previously thought, further complicating our understanding of their contribution to diversity. To address these issues, we investigated the regulation of the</w:t>
      </w:r>
      <w:r>
        <w:t xml:space="preserve"> </w:t>
      </w:r>
      <w:r>
        <w:t>RCO</w:t>
      </w:r>
      <w:r>
        <w:t xml:space="preserve"> </w:t>
      </w:r>
      <w:r>
        <w:t>homeobox gene, which contributed to the evolution of complex leaves following its tandem duplication from</w:t>
      </w:r>
      <w:r>
        <w:t xml:space="preserve"> </w:t>
      </w:r>
      <w:r>
        <w:t>LMI1</w:t>
      </w:r>
      <w:r>
        <w:t xml:space="preserve"> </w:t>
      </w:r>
      <w:r>
        <w:t>. By characterizing seventeen regulatory alleles at the</w:t>
      </w:r>
      <w:r>
        <w:t xml:space="preserve"> </w:t>
      </w:r>
      <w:r>
        <w:t>LMI1</w:t>
      </w:r>
      <w:r>
        <w:t xml:space="preserve"> </w:t>
      </w:r>
      <w:r>
        <w:t>/</w:t>
      </w:r>
      <w:r>
        <w:t>RCO</w:t>
      </w:r>
      <w:r>
        <w:t xml:space="preserve"> </w:t>
      </w:r>
      <w:r>
        <w:t>locus that we generated by genome editing, we found that the evolved</w:t>
      </w:r>
      <w:r>
        <w:t xml:space="preserve"> </w:t>
      </w:r>
      <w:r>
        <w:t>RCO</w:t>
      </w:r>
      <w:r>
        <w:t xml:space="preserve"> </w:t>
      </w:r>
      <w:r>
        <w:t>enhancer is subject to pronounced negative regulation that helps delimit the</w:t>
      </w:r>
      <w:r>
        <w:t xml:space="preserve"> </w:t>
      </w:r>
      <w:r>
        <w:t>RCO</w:t>
      </w:r>
      <w:r>
        <w:t xml:space="preserve"> </w:t>
      </w:r>
      <w:r>
        <w:t>expression domain. While the</w:t>
      </w:r>
      <w:r>
        <w:t xml:space="preserve"> </w:t>
      </w:r>
      <w:r>
        <w:t>LMI1</w:t>
      </w:r>
      <w:r>
        <w:t xml:space="preserve"> </w:t>
      </w:r>
      <w:r>
        <w:t>enhancer was strictly required for</w:t>
      </w:r>
      <w:r>
        <w:t xml:space="preserve"> </w:t>
      </w:r>
      <w:r>
        <w:t>LMI1</w:t>
      </w:r>
      <w:r>
        <w:t xml:space="preserve"> </w:t>
      </w:r>
      <w:r>
        <w:t>gene expression, the same was not true for the</w:t>
      </w:r>
      <w:r>
        <w:t xml:space="preserve"> </w:t>
      </w:r>
      <w:r>
        <w:t>RCO</w:t>
      </w:r>
      <w:r>
        <w:t xml:space="preserve"> </w:t>
      </w:r>
      <w:r>
        <w:t>enhancer, which caused only partial loss of function when deleted. We mapped both positively and negatively acting sequences within the</w:t>
      </w:r>
      <w:r>
        <w:t xml:space="preserve"> </w:t>
      </w:r>
      <w:r>
        <w:t>RCO</w:t>
      </w:r>
      <w:r>
        <w:t xml:space="preserve"> </w:t>
      </w:r>
      <w:r>
        <w:t>enhancer, validated them in reporter gene assays and showed that a repressive sequence arose in association with a nested duplication within the evolved</w:t>
      </w:r>
      <w:r>
        <w:t xml:space="preserve"> </w:t>
      </w:r>
      <w:r>
        <w:t>RCO</w:t>
      </w:r>
      <w:r>
        <w:t xml:space="preserve"> </w:t>
      </w:r>
      <w:r>
        <w:t>enhancer. This repressive sequence played a key role in shaping the specific</w:t>
      </w:r>
      <w:r>
        <w:t xml:space="preserve"> </w:t>
      </w:r>
      <w:r>
        <w:t>RCO</w:t>
      </w:r>
      <w:r>
        <w:t xml:space="preserve"> </w:t>
      </w:r>
      <w:r>
        <w:t>expression domain that underlies its role in leaf complexity, and we provide evidence that it helped to prevent potential pleiotropic effects arising from evolutionary diversification or</w:t>
      </w:r>
      <w:r>
        <w:t xml:space="preserve"> </w:t>
      </w:r>
      <w:r>
        <w:t>RCO</w:t>
      </w:r>
      <w:r>
        <w:t xml:space="preserve"> </w:t>
      </w:r>
      <w:r>
        <w:t>expression. Our findings highlight the regulatory features of a diversity-linked enhancer and show that the evolution of repressive sequences is a powerful force in regulatory evolution.</w:t>
      </w:r>
    </w:p>
    <w:p>
      <w:pPr>
        <w:spacing w:before="120" w:after="120"/>
      </w:pPr>
      <w:r>
        <w:rPr>
          <w:sz w:val="18"/>
        </w:rPr>
        <w:t>——————————————————————————————————————————————————————————————————————</w:t>
      </w:r>
    </w:p>
    <w:p>
      <w:pPr>
        <w:spacing w:before="160" w:after="80" w:line="240" w:lineRule="auto"/>
      </w:pPr>
      <w:r>
        <w:rPr>
          <w:b/>
        </w:rPr>
        <w:t xml:space="preserve">[48] </w:t>
      </w:r>
      <w:hyperlink r:id="rId73">
        <w:r>
          <w:rPr>
            <w:color w:val="1155CC"/>
            <w:u w:val="single"/>
          </w:rPr>
          <w:t>DIS3L2-mediated RNA surveillance and extracellular vesicle packaging prevent innate immune activation by aberrant cellular RNAs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74">
        <w:r>
          <w:rPr>
            <w:color w:val="1155CC"/>
            <w:u w:val="single"/>
          </w:rPr>
          <w:t>10.1073/pnas.2526318122</w:t>
        </w:r>
      </w:hyperlink>
    </w:p>
    <w:p>
      <w:pPr>
        <w:spacing w:before="0" w:after="120"/>
      </w:pPr>
      <w:r>
        <w:rPr>
          <w:b/>
        </w:rPr>
        <w:t xml:space="preserve">Notes: </w:t>
      </w:r>
      <w:r>
        <w:t>abstract_source=crossref</w:t>
      </w:r>
    </w:p>
    <w:p>
      <w:pPr>
        <w:spacing w:before="0" w:after="200" w:lineRule="auto" w:line="276"/>
      </w:pPr>
      <w:r>
        <w:rPr>
          <w:b/>
        </w:rPr>
        <w:t xml:space="preserve">Abstract: </w:t>
      </w:r>
      <w:r>
        <w:t>Although most studies of the RNAs within extracellular vesicles (EVs) have focused on messenger RNA (mRNA) and microRNAs (miRNAs), recent analyses have revealed that transfer RNAs (tRNAs) and other noncoding RNAs (ncRNAs) are far more abundant. However, the extent to which EV ncRNAs resemble overall cellular RNAs and the benefits to host cells of packaging them into EVs remain unknown. Here, we purified EVs from the culture media of mouse and human cells and characterized their RNA components using high-throughput sequencing and Northern blotting. We report that EVs are enriched for numerous aberrant ncRNAs, including ncRNA fragments, ncRNAs that have failed to mature, and short structured introns. Many RNAs contain oligouridine tails, a modification that can promote degradation by DIS3L2, an exoribonuclease that degrades defective structured ncRNAs. Both the numbers of EVs released and the fractions of tailed RNAs in EVs increase on DIS3L2 depletion, indicating that EV packaging of aberrant ncRNAs occurs in competition with DIS3L2 decay. Multiple type I interferon-stimulated genes (ISGs) are upregulated on DIS3L2 depletion, and cells treated with a neutral sphingomyelinase inhibitor that reduces exosome biogenesis show moderate ISG upregulation, an effect that is enhanced in DIS3L2-depleted cells and accompanied by accumulation of aberrant ncRNAs in cellular RNA. Thus, DIS3L2 degradation and packaging of aberrant RNAs into vesicles may prevent these RNAs from activating innate immune sensors and triggering an interferon response.</w:t>
      </w:r>
    </w:p>
    <w:p>
      <w:pPr>
        <w:spacing w:before="120" w:after="120"/>
      </w:pPr>
      <w:r>
        <w:rPr>
          <w:sz w:val="18"/>
        </w:rPr>
        <w:t>——————————————————————————————————————————————————————————————————————</w:t>
      </w:r>
    </w:p>
    <w:p>
      <w:pPr>
        <w:spacing w:before="160" w:after="80" w:line="240" w:lineRule="auto"/>
      </w:pPr>
      <w:r>
        <w:rPr>
          <w:b/>
        </w:rPr>
        <w:t xml:space="preserve">[49] </w:t>
      </w:r>
      <w:hyperlink r:id="rId75">
        <w:r>
          <w:rPr>
            <w:color w:val="1155CC"/>
            <w:u w:val="single"/>
          </w:rPr>
          <w:t>Physical exercise increases binding of POMC to blood extracellular vesicles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76">
        <w:r>
          <w:rPr>
            <w:color w:val="1155CC"/>
            <w:u w:val="single"/>
          </w:rPr>
          <w:t>10.1073/pnas.2525044122</w:t>
        </w:r>
      </w:hyperlink>
    </w:p>
    <w:p>
      <w:pPr>
        <w:spacing w:before="0" w:after="120"/>
      </w:pPr>
      <w:r>
        <w:rPr>
          <w:b/>
        </w:rPr>
        <w:t xml:space="preserve">Notes: </w:t>
      </w:r>
      <w:r>
        <w:t>abstract_source=crossref</w:t>
      </w:r>
    </w:p>
    <w:p>
      <w:pPr>
        <w:spacing w:before="0" w:after="200" w:lineRule="auto" w:line="276"/>
      </w:pPr>
      <w:r>
        <w:rPr>
          <w:b/>
        </w:rPr>
        <w:t xml:space="preserve">Abstract: </w:t>
      </w:r>
      <w:r>
        <w:t>Physical exercise affects multiple physiological processes, including those regulated by hormones, such as energy balance, stress responses, and pain perception. The prohormone precursor proopiomelanocortin (POMC) gives rise to β-endorphin, adrenocorticotropic hormone, β-lipotropin, and the melanocyte-stimulating hormones (MSH), which act through melanocortin (MC1-5) and opioid receptors to influence these key physiological responses. Here, we identified a mechanism by which full-length POMC interacts with small extracellular vesicles (sEVs) in the circulation. In healthy adults, the fraction of plasma POMC associated with sEVs increased fourfold following intense exercise, despite unchanged POMC and sEV concentrations. POMC-positive sEVs contained leukocyte or megakaryocyte/platelet markers, suggesting hematopoietic origin. A substantial subset of circulating sEVs expressed MC1–MC5 and μ-opioid receptors, and coimmunoisolation assays demonstrated binding of unprocessed POMC to MC1 and MC3 receptors. Molecular modeling indicated that POMC undergoes pH-dependent conformational changes that favor MC binding, a finding corroborated by in vitro binding assays under acidic conditions. Functionally, addition of POMC-positive sEVs to B16-F10 melanoma cells induced melanogenesis, consistent with POMC-derived MSH activity. The sEV-associated POMC had higher rates of transport than unbound POMC in assays mimicking the blood–brain barrier. These findings establish that exercise-induced, pH-dependent binding of POMC to circulating sEVs may facilitate hormone precursor transport and potentially influence transfer across the blood–brain barrier. This mechanism represents a separate paradigm for endocrine regulation, providing insight into how exercise modulates sEV interactions with systemic hormone distribution and signaling.</w:t>
      </w:r>
    </w:p>
    <w:p>
      <w:pPr>
        <w:spacing w:before="120" w:after="120"/>
      </w:pPr>
      <w:r>
        <w:rPr>
          <w:sz w:val="18"/>
        </w:rPr>
        <w:t>——————————————————————————————————————————————————————————————————————</w:t>
      </w:r>
    </w:p>
    <w:p>
      <w:pPr>
        <w:spacing w:before="160" w:after="80" w:line="240" w:lineRule="auto"/>
      </w:pPr>
      <w:r>
        <w:rPr>
          <w:b/>
        </w:rPr>
        <w:t xml:space="preserve">[50] </w:t>
      </w:r>
      <w:hyperlink r:id="rId77">
        <w:r>
          <w:rPr>
            <w:color w:val="1155CC"/>
            <w:u w:val="single"/>
          </w:rPr>
          <w:t>Climate change has already made the United States poorer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2025-12-16 08:00:00+00:00</w:t>
      </w:r>
      <w:r>
        <w:t xml:space="preserve">    </w:t>
      </w:r>
      <w:r>
        <w:rPr>
          <w:b/>
        </w:rPr>
        <w:t xml:space="preserve">DOI: </w:t>
      </w:r>
      <w:hyperlink r:id="rId78">
        <w:r>
          <w:rPr>
            <w:color w:val="1155CC"/>
            <w:u w:val="single"/>
          </w:rPr>
          <w:t>10.1073/pnas.2504376122</w:t>
        </w:r>
      </w:hyperlink>
    </w:p>
    <w:p>
      <w:pPr>
        <w:spacing w:before="0" w:after="120"/>
      </w:pPr>
      <w:r>
        <w:rPr>
          <w:b/>
        </w:rPr>
        <w:t xml:space="preserve">Notes: </w:t>
      </w:r>
      <w:r>
        <w:t>abstract_source=crossref</w:t>
      </w:r>
    </w:p>
    <w:p>
      <w:pPr>
        <w:spacing w:before="0" w:after="200" w:lineRule="auto" w:line="276"/>
      </w:pPr>
      <w:r>
        <w:rPr>
          <w:b/>
        </w:rPr>
        <w:t xml:space="preserve">Abstract: </w:t>
      </w:r>
      <w:r>
        <w:t>The climate is already changing. The present study shows that these changes have already affected the U.S. economy. It develops a formal framework that accounts for how climate change has affected each county’s economy by altering current and past weather, both locally and elsewhere around the country. The results show that climate change is already reducing annual U.S. income by 0.32% [95% CI: −0.17 to 0.82%] by altering counties’ current, local temperatures, with losses concentrated in the Great Plains and Midwest. Accounting for effects on past temperatures and on temperatures in other counties increases income losses to 12% [2.0 to 22%] and makes them more widely distributed, with suggestive evidence that trade networks propagate effects around the United States. Central estimates can change with different indices of nonlocal weather or models of cross-county heterogeneity. Calculations like those developed here could be updated annually as a way of measuring and communicating the progress of climate change.</w:t>
      </w:r>
    </w:p>
    <w:p>
      <w:pPr>
        <w:spacing w:before="120" w:after="120"/>
      </w:pPr>
      <w:r>
        <w:rPr>
          <w:sz w:val="18"/>
        </w:rPr>
        <w:t>——————————————————————————————————————————————————————————————————————</w:t>
      </w:r>
    </w:p>
    <w:p>
      <w:pPr>
        <w:spacing w:before="160" w:after="80" w:line="240" w:lineRule="auto"/>
      </w:pPr>
      <w:r>
        <w:rPr>
          <w:b/>
        </w:rPr>
        <w:t xml:space="preserve">[51] </w:t>
      </w:r>
      <w:hyperlink r:id="rId79">
        <w:r>
          <w:rPr>
            <w:color w:val="1155CC"/>
            <w:u w:val="single"/>
          </w:rPr>
          <w:t>Fired NIH institute head sues Trump administration</w:t>
        </w:r>
      </w:hyperlink>
    </w:p>
    <w:p>
      <w:pPr>
        <w:spacing w:before="0" w:after="120" w:line="240" w:lineRule="auto"/>
      </w:pPr>
      <w:r>
        <w:rPr>
          <w:b/>
        </w:rPr>
        <w:t xml:space="preserve">Source: </w:t>
      </w:r>
      <w:r>
        <w:t>Latest News from Science Magazine</w:t>
      </w:r>
      <w:r>
        <w:t xml:space="preserve">    </w:t>
      </w:r>
      <w:r>
        <w:rPr>
          <w:b/>
        </w:rPr>
        <w:t xml:space="preserve">Pub date: </w:t>
      </w:r>
      <w:r>
        <w:t>2025-12-16 09:15:00+00:00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[52] </w:t>
      </w:r>
      <w:hyperlink r:id="rId80">
        <w:r>
          <w:rPr>
            <w:color w:val="1155CC"/>
            <w:u w:val="single"/>
          </w:rPr>
          <w:t>[ASAP] Unravelling Catalytic Divergence in Mo- and Fe-Only Nitrogenases: The Role of the Heterometal-Site and Protein Environment from QM/MM Insights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09:29:08+00:00</w:t>
      </w:r>
      <w:r>
        <w:t xml:space="preserve">    </w:t>
      </w:r>
      <w:r>
        <w:rPr>
          <w:b/>
        </w:rPr>
        <w:t xml:space="preserve">DOI: </w:t>
      </w:r>
      <w:hyperlink r:id="rId81">
        <w:r>
          <w:rPr>
            <w:color w:val="1155CC"/>
            <w:u w:val="single"/>
          </w:rPr>
          <w:t>10.1021/jacs.5c20796</w:t>
        </w:r>
      </w:hyperlink>
    </w:p>
    <w:p>
      <w:pPr>
        <w:spacing w:before="0" w:after="120"/>
      </w:pPr>
      <w:r>
        <w:rPr>
          <w:b/>
        </w:rPr>
        <w:t xml:space="preserve">Notes: </w:t>
      </w:r>
      <w:r>
        <w:t>abstract_source=openalex</w:t>
      </w:r>
    </w:p>
    <w:p>
      <w:pPr>
        <w:spacing w:before="0" w:after="200" w:lineRule="auto" w:line="276"/>
      </w:pPr>
      <w:r>
        <w:rPr>
          <w:b/>
        </w:rPr>
        <w:t xml:space="preserve">Abstract: </w:t>
      </w:r>
      <w:r>
        <w:t>Two key characteristics differentiate molybdenum-dependent (MoFe) and iron-only (FeFe) nitrogenases: their efficacy for N&lt;sub&gt;2&lt;/sub&gt; fixation and their product distributions for CO&lt;sub&gt;2&lt;/sub&gt; reduction, yielding HCO&lt;sub&gt;2&lt;/sub&gt;&lt;sup&gt;-&lt;/sup&gt; and CH&lt;sub&gt;4&lt;/sub&gt;, respectively. Despite their divergent properties, prior research argues that the distinct cofactors share a common mechanism and equivalent structures with the addition of "&lt;i&gt;n&lt;/i&gt;" electrons and protons at their E&lt;i&gt;&lt;sub&gt;n&lt;/sub&gt;&lt;/i&gt; catalytic states. The proposed equivalence between the cofactors was foundational in the assignment of an Fe-hydride at their E&lt;sub&gt;1&lt;/sub&gt; states based on interpretation of FeFeco's photolabile and thermolabile E&lt;sub&gt;1&lt;/sub&gt; isomers (&lt;i&gt;Inorg. Chem&lt;/i&gt;. &lt;b&gt;2022&lt;/b&gt;, 61, 5459-5464). However, the E&lt;sub&gt;0&lt;/sub&gt; state crystal structures of FeMoco and FeFeco have sharp, previously unaddressed distinctions in their metal-metal distances and proximal residue identities at their respective octahedral M-sites (M = Mo or Fe). Herein, we study QM/MM models of the E&lt;sub&gt;0&lt;/sub&gt; and E&lt;sub&gt;1&lt;/sub&gt; states of FeMoco and FeFeco to distinguish their geometric and electronic structures. Our analysis shows diminished metal-metal bonding and increased hydrogen bonding at FeFeco's M-site, supporting the presence of two energetically low-lying E&lt;sub&gt;1&lt;/sub&gt; states differentiated by protonation of a μ&lt;sub&gt;3&lt;/sub&gt;- or μ&lt;sub&gt;2&lt;/sub&gt;-sulfide. The calculated thermodynamic and kinetic properties of FeFeco's sulfide-protonated states agree with experimental data, without invoking Fe-hydride formation. Unlike FeFeco, FeMoco's E&lt;sub&gt;1&lt;/sub&gt; state strictly favors μ&lt;sub&gt;2&lt;/sub&gt;-sulfide protonation. FeFeco's distinct μ&lt;sub&gt;3&lt;/sub&gt;-sulfide-protonated E&lt;sub&gt;1&lt;/sub&gt; isomer has a five-coordinate, reduced M-site that could explain its divergent reactivity relative to FeMoco.</w:t>
      </w:r>
    </w:p>
    <w:p>
      <w:pPr>
        <w:spacing w:before="120" w:after="120"/>
      </w:pPr>
      <w:r>
        <w:rPr>
          <w:sz w:val="18"/>
        </w:rPr>
        <w:t>——————————————————————————————————————————————————————————————————————</w:t>
      </w:r>
    </w:p>
    <w:p>
      <w:pPr>
        <w:spacing w:before="160" w:after="80" w:line="240" w:lineRule="auto"/>
      </w:pPr>
      <w:r>
        <w:rPr>
          <w:b/>
        </w:rPr>
        <w:t xml:space="preserve">[53] </w:t>
      </w:r>
      <w:hyperlink r:id="rId82">
        <w:r>
          <w:rPr>
            <w:color w:val="1155CC"/>
            <w:u w:val="single"/>
          </w:rPr>
          <w:t>[ASAP] Electrochemical Identification of Surface States Limiting Overall Water Splitting in Particulate Oxynitride Photocatalysts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2025-12-16 09:29:34+00:00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[54] </w:t>
      </w:r>
      <w:hyperlink r:id="rId83">
        <w:r>
          <w:rPr>
            <w:color w:val="1155CC"/>
            <w:u w:val="single"/>
          </w:rPr>
          <w:t>Insight Into All‐Solid‐State Lithium‐Sulfur Batteries: Challenges and Interface Engineering at the Electrode‐Sulfide Solid Electrolyte Interface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09:45:18+00:00</w:t>
      </w:r>
      <w:r>
        <w:t xml:space="preserve">    </w:t>
      </w:r>
      <w:r>
        <w:rPr>
          <w:b/>
        </w:rPr>
        <w:t xml:space="preserve">DOI: </w:t>
      </w:r>
      <w:hyperlink r:id="rId84">
        <w:r>
          <w:rPr>
            <w:color w:val="1155CC"/>
            <w:u w:val="single"/>
          </w:rPr>
          <w:t>10.1002/aenm.202504926</w:t>
        </w:r>
      </w:hyperlink>
    </w:p>
    <w:p>
      <w:pPr>
        <w:spacing w:before="0" w:after="120"/>
      </w:pPr>
      <w:r>
        <w:rPr>
          <w:b/>
        </w:rPr>
        <w:t xml:space="preserve">Notes: </w:t>
      </w:r>
      <w:r>
        <w:t>abstract_source=crossref</w:t>
      </w:r>
    </w:p>
    <w:p>
      <w:pPr>
        <w:spacing w:before="0" w:after="200" w:lineRule="auto" w:line="276"/>
      </w:pPr>
      <w:r>
        <w:rPr>
          <w:b/>
        </w:rPr>
        <w:t xml:space="preserve">Abstract: </w:t>
      </w:r>
      <w:r>
        <w:t>Challenges such as persistent shuttle effects, fast capacity fading, and safety concerns in conventional liquid lithium‐sulfur (Li─S) batteries have significantly hindered their commercialization. Replacing liquid electrolytes with inorganic solid electrolytes has emerged as a promising strategy to overcome these limitations, owing to their intrinsic safety and shuttle‐effect‐free characteristic. Despite great advancements in all‐solid‐state lithium‐sulfur batteries (ASSLSBs), numerous challenges persist, including low active material utilization, large volume change during cycling, electrolyte‐electrode interfacial reactions, and the high proportion of inactive components. This review provides a comprehensive overview of recent advancements in ASSLSBs, with a particular focus on sulfur cathode design strategies aimed at enhancing ionic and electronic conducting percolations and mitigating the interfacial stresses caused by sulfur's volume changes during cycling. Furthermore, the interfacial challenges at the composite cathode‐electrolyte and electrolyte‐anode interfaces are critically analyzed, and pathways for engineering interfaces to maximize performance and extend battery lifetime are discussed. Finally, the preparation of thin electrolyte membrane, which is closely tied to the overall energy density of ASSLSBs, is thoroughly examined. By addressing these key aspects, this review aims to provide valuable insights into the critical factors affecting the performance of sulfide‐based ASSLSBs and guide future research efforts toward their commercialization.</w:t>
      </w:r>
    </w:p>
    <w:p>
      <w:pPr>
        <w:spacing w:before="120" w:after="120"/>
      </w:pPr>
      <w:r>
        <w:rPr>
          <w:sz w:val="18"/>
        </w:rPr>
        <w:t>——————————————————————————————————————————————————————————————————————</w:t>
      </w:r>
    </w:p>
    <w:p>
      <w:pPr>
        <w:spacing w:before="160" w:after="80" w:line="240" w:lineRule="auto"/>
      </w:pPr>
      <w:r>
        <w:rPr>
          <w:b/>
        </w:rPr>
        <w:t xml:space="preserve">[55] </w:t>
      </w:r>
      <w:hyperlink r:id="rId85">
        <w:r>
          <w:rPr>
            <w:color w:val="1155CC"/>
            <w:u w:val="single"/>
          </w:rPr>
          <w:t>Custom‐Tailored Covalent Organic Frameworks Enable Micro‐Spatial All‐Components‐Delocalized Crystallization for Perovskite Photovoltaics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09:49:08+00:00</w:t>
      </w:r>
      <w:r>
        <w:t xml:space="preserve">    </w:t>
      </w:r>
      <w:r>
        <w:rPr>
          <w:b/>
        </w:rPr>
        <w:t xml:space="preserve">DOI: </w:t>
      </w:r>
      <w:hyperlink r:id="rId86">
        <w:r>
          <w:rPr>
            <w:color w:val="1155CC"/>
            <w:u w:val="single"/>
          </w:rPr>
          <w:t>10.1002/aenm.202505867</w:t>
        </w:r>
      </w:hyperlink>
    </w:p>
    <w:p>
      <w:pPr>
        <w:spacing w:before="0" w:after="120"/>
      </w:pPr>
      <w:r>
        <w:rPr>
          <w:b/>
        </w:rPr>
        <w:t xml:space="preserve">Notes: </w:t>
      </w:r>
      <w:r>
        <w:t>abstract_source=crossref</w:t>
      </w:r>
    </w:p>
    <w:p>
      <w:pPr>
        <w:spacing w:before="0" w:after="200" w:lineRule="auto" w:line="276"/>
      </w:pPr>
      <w:r>
        <w:rPr>
          <w:b/>
        </w:rPr>
        <w:t xml:space="preserve">Abstract: </w:t>
      </w:r>
      <w:r>
        <w:t>Achieving high‐quality perovskite (ABX</w:t>
      </w:r>
      <w:r>
        <w:rPr>
          <w:vertAlign w:val="subscript"/>
        </w:rPr>
        <w:t>3</w:t>
      </w:r>
      <w:r>
        <w:t>) film is the key to the improvement of efficiency and stability of perovskite solar cells (PSCs) for subsequent commercialization, yet traditional crystallization relying on the quick reaction between AX and BX</w:t>
      </w:r>
      <w:r>
        <w:rPr>
          <w:vertAlign w:val="subscript"/>
        </w:rPr>
        <w:t>2</w:t>
      </w:r>
      <w:r>
        <w:t>components often involves photoinactive intermediate phases and imperfections that go against the device performance. Herein, we report a new strategy for retarding perovskite crystallization and defect passivation by customizing the non‐skeletal groups (such as ‐F, ‐H, ‐OC</w:t>
      </w:r>
      <w:r>
        <w:rPr>
          <w:vertAlign w:val="subscript"/>
        </w:rPr>
        <w:t>2</w:t>
      </w:r>
      <w:r>
        <w:t>H</w:t>
      </w:r>
      <w:r>
        <w:rPr>
          <w:vertAlign w:val="subscript"/>
        </w:rPr>
        <w:t>5</w:t>
      </w:r>
      <w:r>
        <w:t>and etc.) in covalent organic frameworks (COFs). Given the discernable charge transfer feature depending on donor‐acceptor interaction strength, theoretical and experimental results demonstrate that, compared to the electron‐donating group, the electron‐withdrawing ‐F atoms induce local asymmetric electron distribution, forming a negative Lewis‐base center at acceptor unit, a positive π‐acidic center at donor unit, and a hydrogen bond center at side chain to discretely interact with PbI</w:t>
      </w:r>
      <w:r>
        <w:rPr>
          <w:vertAlign w:val="subscript"/>
        </w:rPr>
        <w:t>2</w:t>
      </w:r>
      <w:r>
        <w:t>, free I</w:t>
      </w:r>
      <w:r>
        <w:t xml:space="preserve"> </w:t>
      </w:r>
      <w:r>
        <w:t>−</w:t>
      </w:r>
      <w:r>
        <w:t>anions and organic cations (formamidinium, FA</w:t>
      </w:r>
      <w:r>
        <w:t xml:space="preserve"> </w:t>
      </w:r>
      <w:r>
        <w:t>+</w:t>
      </w:r>
      <w:r>
        <w:t xml:space="preserve"> </w:t>
      </w:r>
      <w:r>
        <w:t>). As a result, the F‐functionalized‐COFs enable micro‐spatial all‐components‐delocalized crystallization and defect passivation, thus promoting the efficiency of inverted PSC up to 26.02%, along with the significantly improved stability after aging under 75°C for 1000 h, 10% relative humidity for 2000 h, and continuous illumination over 1100 h.</w:t>
      </w:r>
    </w:p>
    <w:p>
      <w:pPr>
        <w:spacing w:before="120" w:after="120"/>
      </w:pPr>
      <w:r>
        <w:rPr>
          <w:sz w:val="18"/>
        </w:rPr>
        <w:t>——————————————————————————————————————————————————————————————————————</w:t>
      </w:r>
    </w:p>
    <w:p>
      <w:pPr>
        <w:spacing w:before="160" w:after="80" w:line="240" w:lineRule="auto"/>
      </w:pPr>
      <w:r>
        <w:rPr>
          <w:b/>
        </w:rPr>
        <w:t xml:space="preserve">[56] </w:t>
      </w:r>
      <w:hyperlink r:id="rId87">
        <w:r>
          <w:rPr>
            <w:color w:val="1155CC"/>
            <w:u w:val="single"/>
          </w:rPr>
          <w:t>Constructing LiMn6 Superlattice Covalent Framework to Enable Reversible Anionic Redox Toward Layer‐Structured Oxide for Sodium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09:51:28+00:00</w:t>
      </w:r>
      <w:r>
        <w:t xml:space="preserve">    </w:t>
      </w:r>
      <w:r>
        <w:rPr>
          <w:b/>
        </w:rPr>
        <w:t xml:space="preserve">DOI: </w:t>
      </w:r>
      <w:hyperlink r:id="rId88">
        <w:r>
          <w:rPr>
            <w:color w:val="1155CC"/>
            <w:u w:val="single"/>
          </w:rPr>
          <w:t>10.1002/aenm.202504890</w:t>
        </w:r>
      </w:hyperlink>
    </w:p>
    <w:p>
      <w:pPr>
        <w:spacing w:before="0" w:after="120"/>
      </w:pPr>
      <w:r>
        <w:rPr>
          <w:b/>
        </w:rPr>
        <w:t xml:space="preserve">Notes: </w:t>
      </w:r>
      <w:r>
        <w:t>abstract_source=crossref</w:t>
      </w:r>
    </w:p>
    <w:p>
      <w:pPr>
        <w:spacing w:before="0" w:after="200" w:lineRule="auto" w:line="276"/>
      </w:pPr>
      <w:r>
        <w:rPr>
          <w:b/>
        </w:rPr>
        <w:t xml:space="preserve">Abstract: </w:t>
      </w:r>
      <w:r>
        <w:t>High‐voltage anionic redox reactions offer an effective approach to enhancing the energy density for layer‐structured oxides. However, such reactions are often accompanied by complex structural rearrangements and oxygen release, posing significant challenges to structural stability. A superstructure‐regulating strategy is employed to construct LiMn</w:t>
      </w:r>
      <w:r>
        <w:rPr>
          <w:vertAlign w:val="subscript"/>
        </w:rPr>
        <w:t>6</w:t>
      </w:r>
      <w:r>
        <w:t>ribbon ordering in O3‐type Na[Li</w:t>
      </w:r>
      <w:r>
        <w:t xml:space="preserve"> </w:t>
      </w:r>
      <w:r>
        <w:t>0.1</w:t>
      </w:r>
      <w:r>
        <w:t xml:space="preserve"> </w:t>
      </w:r>
      <w:r>
        <w:t>Ni</w:t>
      </w:r>
      <w:r>
        <w:t xml:space="preserve"> </w:t>
      </w:r>
      <w:r>
        <w:t>0.2</w:t>
      </w:r>
      <w:r>
        <w:t xml:space="preserve"> </w:t>
      </w:r>
      <w:r>
        <w:t>Mn</w:t>
      </w:r>
      <w:r>
        <w:t xml:space="preserve"> </w:t>
      </w:r>
      <w:r>
        <w:t>0.6</w:t>
      </w:r>
      <w:r>
        <w:t xml:space="preserve"> </w:t>
      </w:r>
      <w:r>
        <w:t>Cu</w:t>
      </w:r>
      <w:r>
        <w:t xml:space="preserve"> </w:t>
      </w:r>
      <w:r>
        <w:t>0.05</w:t>
      </w:r>
      <w:r>
        <w:t xml:space="preserve"> </w:t>
      </w:r>
      <w:r>
        <w:t>Ti</w:t>
      </w:r>
      <w:r>
        <w:t xml:space="preserve"> </w:t>
      </w:r>
      <w:r>
        <w:t>0.05</w:t>
      </w:r>
      <w:r>
        <w:t xml:space="preserve"> </w:t>
      </w:r>
      <w:r>
        <w:t>]O</w:t>
      </w:r>
      <w:r>
        <w:rPr>
          <w:vertAlign w:val="subscript"/>
        </w:rPr>
        <w:t>2</w:t>
      </w:r>
      <w:r>
        <w:t>, aiming to address these issues and achieve high energy density alongside long‐term cycling performance. Combined theoretical and experimental investigations it reveals that the incorporation of Li enhances electron localization around neighboring oxygen atoms, thereby modulating anionic redox activity. Moreover, the ordered LiMn</w:t>
      </w:r>
      <w:r>
        <w:rPr>
          <w:vertAlign w:val="subscript"/>
        </w:rPr>
        <w:t>6</w:t>
      </w:r>
      <w:r>
        <w:t>framework facilitates directional hybridization between Mn</w:t>
      </w:r>
      <w:r>
        <w:t xml:space="preserve"> </w:t>
      </w:r>
      <w:r>
        <w:t>3d e</w:t>
      </w:r>
      <w:r>
        <w:t xml:space="preserve"> </w:t>
      </w:r>
      <w:r>
        <w:t>g,</w:t>
      </w:r>
      <w:r>
        <w:t xml:space="preserve"> </w:t>
      </w:r>
      <w:r>
        <w:t>and O</w:t>
      </w:r>
      <w:r>
        <w:t xml:space="preserve"> </w:t>
      </w:r>
      <w:r>
        <w:t>2p</w:t>
      </w:r>
      <w:r>
        <w:t xml:space="preserve"> </w:t>
      </w:r>
      <w:r>
        <w:t>orbitals, forming a highly covalent network that effectively suppresses P‐to‐O type phase transitions and transition metal migration, thereby enhancing structural stability under high‐voltage operation. The modified material delivers a highly reversible capacity of 207.98 mAh g</w:t>
      </w:r>
      <w:r>
        <w:t xml:space="preserve"> </w:t>
      </w:r>
      <w:r>
        <w:t>−1</w:t>
      </w:r>
      <w:r>
        <w:t xml:space="preserve"> </w:t>
      </w:r>
      <w:r>
        <w:t>and exhibits excellent capacity retention of 80.43% after 125 cycles within a wide voltage range of 1.5–4.5 V. Furthermore, a full cell assembled with hard carbon as the anode demonstrates a capacity retention of 76.6% after 300 cycles. This work provides a new perspective on the superstructural design of high‐performance O3‐type cathodes for advanced sodium‐ion batteries.</w:t>
      </w:r>
    </w:p>
    <w:p>
      <w:pPr>
        <w:spacing w:before="120" w:after="120"/>
      </w:pPr>
      <w:r>
        <w:rPr>
          <w:sz w:val="18"/>
        </w:rPr>
        <w:t>——————————————————————————————————————————————————————————————————————</w:t>
      </w:r>
    </w:p>
    <w:p>
      <w:pPr>
        <w:spacing w:before="160" w:after="80" w:line="240" w:lineRule="auto"/>
      </w:pPr>
      <w:r>
        <w:rPr>
          <w:b/>
        </w:rPr>
        <w:t xml:space="preserve">[57] </w:t>
      </w:r>
      <w:hyperlink r:id="rId89">
        <w:r>
          <w:rPr>
            <w:color w:val="1155CC"/>
            <w:u w:val="single"/>
          </w:rPr>
          <w:t>Bis(2‐amino‐5‐thienyl)Ketone as Oxygen Tolerant Sensitizer for Conventional Radical Photopolymerization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09:55:16+00:00</w:t>
      </w:r>
      <w:r>
        <w:t xml:space="preserve">    </w:t>
      </w:r>
      <w:r>
        <w:rPr>
          <w:b/>
        </w:rPr>
        <w:t xml:space="preserve">DOI: </w:t>
      </w:r>
      <w:hyperlink r:id="rId90">
        <w:r>
          <w:rPr>
            <w:color w:val="1155CC"/>
            <w:u w:val="single"/>
          </w:rPr>
          <w:t>10.1002/anie.202518608</w:t>
        </w:r>
      </w:hyperlink>
    </w:p>
    <w:p>
      <w:pPr>
        <w:spacing w:before="0" w:after="120"/>
      </w:pPr>
      <w:r>
        <w:rPr>
          <w:b/>
        </w:rPr>
        <w:t xml:space="preserve">Notes: </w:t>
      </w:r>
      <w:r>
        <w:t>abstract_source=crossref</w:t>
      </w:r>
    </w:p>
    <w:p>
      <w:pPr>
        <w:spacing w:before="0" w:after="200" w:lineRule="auto" w:line="276"/>
      </w:pPr>
      <w:r>
        <w:rPr>
          <w:b/>
        </w:rPr>
        <w:t xml:space="preserve">Abstract: </w:t>
      </w:r>
      <w:r>
        <w:t>Bis(2‐amino‐5‐thienyl)ketones (</w:t>
      </w:r>
      <w:r>
        <w:t xml:space="preserve"> </w:t>
      </w:r>
      <w:r>
        <w:t>TK</w:t>
      </w:r>
      <w:r>
        <w:t xml:space="preserve"> </w:t>
      </w:r>
      <w:r>
        <w:t>s) operated as effective sensitizer in a multi‐component photoinitiating system for conventional radical photopolymerization. The distinct amino pattern (morpholino</w:t>
      </w:r>
      <w:r>
        <w:rPr>
          <w:vertAlign w:val="subscript"/>
        </w:rPr>
        <w:t>1</w:t>
      </w:r>
      <w:r>
        <w:t>versus diaryl moiety</w:t>
      </w:r>
      <w:r>
        <w:rPr>
          <w:vertAlign w:val="subscript"/>
        </w:rPr>
        <w:t>2</w:t>
      </w:r>
      <w:r>
        <w:t>) followed an oxidative photoinduced electron transfer (</w:t>
      </w:r>
      <w:r>
        <w:t xml:space="preserve"> </w:t>
      </w:r>
      <w:r>
        <w:t>PET</w:t>
      </w:r>
      <w:r>
        <w:t xml:space="preserve"> </w:t>
      </w:r>
      <w:r>
        <w:t>) mechanism with the iodonium salt</w:t>
      </w:r>
      <w:r>
        <w:t xml:space="preserve"> </w:t>
      </w:r>
      <w:r>
        <w:t>C1</w:t>
      </w:r>
      <w:r>
        <w:t xml:space="preserve"> </w:t>
      </w:r>
      <w:r>
        <w:t>and the sulfonium cation</w:t>
      </w:r>
      <w:r>
        <w:t xml:space="preserve"> </w:t>
      </w:r>
      <w:r>
        <w:t>C2</w:t>
      </w:r>
      <w:r>
        <w:t xml:space="preserve"> </w:t>
      </w:r>
      <w:r>
        <w:t>.</w:t>
      </w:r>
      <w:r>
        <w:rPr>
          <w:vertAlign w:val="subscript"/>
        </w:rPr>
        <w:t>2</w:t>
      </w:r>
      <w:r>
        <w:t>performed well under air upon UV‐LED exposure at 395 nm. The</w:t>
      </w:r>
      <w:r>
        <w:t xml:space="preserve"> </w:t>
      </w:r>
      <w:r>
        <w:t>TK</w:t>
      </w:r>
      <w:r>
        <w:t xml:space="preserve"> </w:t>
      </w:r>
      <w:r>
        <w:t>s mostly reacted from the triplet state (T</w:t>
      </w:r>
      <w:r>
        <w:rPr>
          <w:vertAlign w:val="subscript"/>
        </w:rPr>
        <w:t>1</w:t>
      </w:r>
      <w:r>
        <w:t>) with either</w:t>
      </w:r>
      <w:r>
        <w:t xml:space="preserve"> </w:t>
      </w:r>
      <w:r>
        <w:t>C1</w:t>
      </w:r>
      <w:r>
        <w:t xml:space="preserve"> </w:t>
      </w:r>
      <w:r>
        <w:t>or</w:t>
      </w:r>
      <w:r>
        <w:t xml:space="preserve"> </w:t>
      </w:r>
      <w:r>
        <w:t>C2</w:t>
      </w:r>
      <w:r>
        <w:t xml:space="preserve"> </w:t>
      </w:r>
      <w:r>
        <w:t>resulting in a cation radical with certain instability. This changes considering the radical anion studied by spectroelectrochemistry confirmed by reversibility. Electrochemical measurements and transient absorption experiments disfavor from a thermodynamic point of view a reductive mechanism of the T</w:t>
      </w:r>
      <w:r>
        <w:rPr>
          <w:vertAlign w:val="subscript"/>
        </w:rPr>
        <w:t>1</w:t>
      </w:r>
      <w:r>
        <w:t>with</w:t>
      </w:r>
      <w:r>
        <w:t xml:space="preserve"> </w:t>
      </w:r>
      <w:r>
        <w:t>C3</w:t>
      </w:r>
      <w:r>
        <w:t xml:space="preserve"> </w:t>
      </w:r>
      <w:r>
        <w:t>. Long‐lived charge separated states discuss a new paradigm as a further alternative to form reactive intermediates even with</w:t>
      </w:r>
      <w:r>
        <w:t xml:space="preserve"> </w:t>
      </w:r>
      <w:r>
        <w:t>C3</w:t>
      </w:r>
      <w:r>
        <w:t xml:space="preserve"> </w:t>
      </w:r>
      <w:r>
        <w:t>.</w:t>
      </w:r>
      <w:r>
        <w:rPr>
          <w:vertAlign w:val="subscript"/>
        </w:rPr>
        <w:t>1</w:t>
      </w:r>
      <w:r>
        <w:t>O</w:t>
      </w:r>
      <w:r>
        <w:rPr>
          <w:vertAlign w:val="subscript"/>
        </w:rPr>
        <w:t>2</w:t>
      </w:r>
      <w:r>
        <w:t>generation by</w:t>
      </w:r>
      <w:r>
        <w:rPr>
          <w:vertAlign w:val="subscript"/>
        </w:rPr>
        <w:t>3</w:t>
      </w:r>
      <w:r>
        <w:t>TK</w:t>
      </w:r>
      <w:r>
        <w:t xml:space="preserve"> </w:t>
      </w:r>
      <w:r>
        <w:t>* operated as additional pathway to form the initiating ∼N─CH</w:t>
      </w:r>
      <w:r>
        <w:rPr>
          <w:vertAlign w:val="subscript"/>
        </w:rPr>
        <w:t>2</w:t>
      </w:r>
      <w:r>
        <w:t>• radical of</w:t>
      </w:r>
      <w:r>
        <w:t xml:space="preserve"> </w:t>
      </w:r>
      <w:r>
        <w:t>C3</w:t>
      </w:r>
      <w:r>
        <w:t xml:space="preserve"> </w:t>
      </w:r>
      <w:r>
        <w:t>. The higher efficiency of photoinduced electron transfer (</w:t>
      </w:r>
      <w:r>
        <w:t xml:space="preserve"> </w:t>
      </w:r>
      <w:r>
        <w:t>PET</w:t>
      </w:r>
      <w:r>
        <w:t xml:space="preserve"> </w:t>
      </w:r>
      <w:r>
        <w:t>) with</w:t>
      </w:r>
      <w:r>
        <w:t xml:space="preserve"> </w:t>
      </w:r>
      <w:r>
        <w:t>C1</w:t>
      </w:r>
      <w:r>
        <w:t xml:space="preserve"> </w:t>
      </w:r>
      <w:r>
        <w:t>explained the higher network density of the crosslinked material. The subsequent [4+2] cycloaddition of</w:t>
      </w:r>
      <w:r>
        <w:rPr>
          <w:vertAlign w:val="subscript"/>
        </w:rPr>
        <w:t>1</w:t>
      </w:r>
      <w:r>
        <w:t>O</w:t>
      </w:r>
      <w:r>
        <w:rPr>
          <w:vertAlign w:val="subscript"/>
        </w:rPr>
        <w:t>2</w:t>
      </w:r>
      <w:r>
        <w:t>to the thiophene moiety led to a mass increase of 32</w:t>
      </w:r>
      <w:r>
        <w:t xml:space="preserve"> </w:t>
      </w:r>
      <w:r>
        <w:t>m</w:t>
      </w:r>
      <w:r>
        <w:t xml:space="preserve"> </w:t>
      </w:r>
      <w:r>
        <w:t>z</w:t>
      </w:r>
      <w:r>
        <w:t xml:space="preserve"> </w:t>
      </w:r>
      <w:r>
        <w:t>of either</w:t>
      </w:r>
      <w:r>
        <w:rPr>
          <w:vertAlign w:val="subscript"/>
        </w:rPr>
        <w:t>1</w:t>
      </w:r>
      <w:r>
        <w:t>or</w:t>
      </w:r>
      <w:r>
        <w:rPr>
          <w:vertAlign w:val="subscript"/>
        </w:rPr>
        <w:t>2</w:t>
      </w:r>
      <w:r>
        <w:t>, which led to depletion of inhibiting</w:t>
      </w:r>
      <w:r>
        <w:rPr>
          <w:vertAlign w:val="subscript"/>
        </w:rPr>
        <w:t>3</w:t>
      </w:r>
      <w:r>
        <w:t>O</w:t>
      </w:r>
      <w:r>
        <w:rPr>
          <w:vertAlign w:val="subscript"/>
        </w:rPr>
        <w:t>2</w:t>
      </w:r>
      <w:r>
        <w:t>. This additionally explains the unexpected, good oxygen tolerance. Furthermore,</w:t>
      </w:r>
      <w:r>
        <w:t xml:space="preserve"> </w:t>
      </w:r>
      <w:r>
        <w:t>TK 2a</w:t>
      </w:r>
      <w:r>
        <w:t xml:space="preserve"> </w:t>
      </w:r>
      <w:r>
        <w:t>showed no significant cytotoxic response explaining its future potential for biocompatible applications.</w:t>
      </w:r>
    </w:p>
    <w:p>
      <w:pPr>
        <w:spacing w:before="120" w:after="120"/>
      </w:pPr>
      <w:r>
        <w:rPr>
          <w:sz w:val="18"/>
        </w:rPr>
        <w:t>——————————————————————————————————————————————————————————————————————</w:t>
      </w:r>
    </w:p>
    <w:p>
      <w:pPr>
        <w:spacing w:before="160" w:after="80" w:line="240" w:lineRule="auto"/>
      </w:pPr>
      <w:r>
        <w:rPr>
          <w:b/>
        </w:rPr>
        <w:t xml:space="preserve">[58] </w:t>
      </w:r>
      <w:hyperlink r:id="rId91">
        <w:r>
          <w:rPr>
            <w:color w:val="1155CC"/>
            <w:u w:val="single"/>
          </w:rPr>
          <w:t>From HF Scavenging to Li‐Ion Transport Enhancement: Multifunctional Separator Enabling Stable Li Metal Batteries in Carbonate‐Based Electrolytes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09:58:08+00:00</w:t>
      </w:r>
      <w:r>
        <w:t xml:space="preserve">    </w:t>
      </w:r>
      <w:r>
        <w:rPr>
          <w:b/>
        </w:rPr>
        <w:t xml:space="preserve">DOI: </w:t>
      </w:r>
      <w:hyperlink r:id="rId92">
        <w:r>
          <w:rPr>
            <w:color w:val="1155CC"/>
            <w:u w:val="single"/>
          </w:rPr>
          <w:t>10.1002/aenm.202505601</w:t>
        </w:r>
      </w:hyperlink>
    </w:p>
    <w:p>
      <w:pPr>
        <w:spacing w:before="0" w:after="120"/>
      </w:pPr>
      <w:r>
        <w:rPr>
          <w:b/>
        </w:rPr>
        <w:t xml:space="preserve">Notes: </w:t>
      </w:r>
      <w:r>
        <w:t>abstract_source=crossref</w:t>
      </w:r>
    </w:p>
    <w:p>
      <w:pPr>
        <w:spacing w:before="0" w:after="200" w:lineRule="auto" w:line="276"/>
      </w:pPr>
      <w:r>
        <w:rPr>
          <w:b/>
        </w:rPr>
        <w:t xml:space="preserve">Abstract: </w:t>
      </w:r>
      <w:r>
        <w:t>Lithium metal batteries (LMBs) are emerging as promising next‐generation batteries owing to their high energy density. However, carbonate‐based electrolytes, which are essential for high‐voltage operation, induce severe parasitic reactions at the Li metal anode, generating HF and gaseous byproducts that destabilize the interface and accelerate cell failure. To address this problem, we propose a multifunctional separator (APA‐g‐APT) that incorporates uniformly distributed Si─OR moieties capable of chemically scavenging HF, thereby suppressing parasitic reactions and promoting the formation of stable, inorganic‐rich interphases on both Li anodes and NCM811 cathodes. Upon reaction with HF, in situ conversion of Si─OR into electronegative Si─F species further enhances ionic conductivity and promotes homogeneous Li‐ion transport, which is further validated by computational analyses. Consequently, high‐energy‐density Li/NCM811 full cells with thin Li anodes (&amp;lt; 40 µm) deliver stable cycling and high Coulombic efficiency even under harsh conditions, including carbonate electrolytes containing 1000 ppm H</w:t>
      </w:r>
      <w:r>
        <w:rPr>
          <w:vertAlign w:val="subscript"/>
        </w:rPr>
        <w:t>2</w:t>
      </w:r>
      <w:r>
        <w:t>O and elevated temperatures (55°C). Furthermore, by pairing thin Li anodes with high‐loading cathodes (up to 32.5 mg cm</w:t>
      </w:r>
      <w:r>
        <w:t xml:space="preserve"> </w:t>
      </w:r>
      <w:r>
        <w:t>−</w:t>
      </w:r>
      <w:r>
        <w:rPr>
          <w:vertAlign w:val="subscript"/>
        </w:rPr>
        <w:t>2</w:t>
      </w:r>
      <w:r>
        <w:t>), APA‐g‐APT cell achieves a gravimetric energy density of up to 402.2 Wh kg</w:t>
      </w:r>
      <w:r>
        <w:t xml:space="preserve"> </w:t>
      </w:r>
      <w:r>
        <w:t>−1</w:t>
      </w:r>
      <w:r>
        <w:t xml:space="preserve"> </w:t>
      </w:r>
      <w:r>
        <w:t>. These findings demonstrate that APA‐g‐APT provides a practical approach to addressing the inherent instability of carbonate electrolytes, enabling safe, durable, and high‐energy‐density LMBs.</w:t>
      </w:r>
    </w:p>
    <w:p>
      <w:pPr>
        <w:spacing w:before="120" w:after="120"/>
      </w:pPr>
      <w:r>
        <w:rPr>
          <w:sz w:val="18"/>
        </w:rPr>
        <w:t>——————————————————————————————————————————————————————————————————————</w:t>
      </w:r>
    </w:p>
    <w:p>
      <w:pPr>
        <w:spacing w:before="160" w:after="80" w:line="240" w:lineRule="auto"/>
      </w:pPr>
      <w:r>
        <w:rPr>
          <w:b/>
        </w:rPr>
        <w:t xml:space="preserve">[59] </w:t>
      </w:r>
      <w:hyperlink r:id="rId93">
        <w:r>
          <w:rPr>
            <w:color w:val="1155CC"/>
            <w:u w:val="single"/>
          </w:rPr>
          <w:t>Correction to “PIP2 Alteration Caused by Elastic Modulus and Tropism of Electrospun Scaffolds Facilitates Altered BMSCs Proliferation and Differentiation”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2025-12-16 09:59:24+00:00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[60] </w:t>
      </w:r>
      <w:hyperlink r:id="rId94">
        <w:r>
          <w:rPr>
            <w:color w:val="1155CC"/>
            <w:u w:val="single"/>
          </w:rPr>
          <w:t>Moth‐Wing‐Inspired Multifunctional Metamaterials</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10:01:28+00:00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 </w:t>
      </w:r>
      <w:hyperlink r:id="rId95">
        <w:r>
          <w:rPr>
            <w:color w:val="1155CC"/>
            <w:u w:val="single"/>
          </w:rPr>
          <w:t>LEAD: Literature Enhanced Ab Initio Discovery of Nitride Dusting Layers for Enhanced Tunnel Magnetoresistance and Lower Resistance Magnetic Tunnel Junctions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10:03:18+00:00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 </w:t>
      </w:r>
      <w:hyperlink r:id="rId96">
        <w:r>
          <w:rPr>
            <w:color w:val="1155CC"/>
            <w:u w:val="single"/>
          </w:rPr>
          <w:t>Dual‐Phase Regulation via a Volatile Morphology Director Enables Trap‐Suppressed Organic Solar Cells with 20.6% Efficiency</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10:04:01+00:00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 </w:t>
      </w:r>
      <w:hyperlink r:id="rId97">
        <w:r>
          <w:rPr>
            <w:color w:val="1155CC"/>
            <w:u w:val="single"/>
          </w:rPr>
          <w:t>Insights into the Acid Stability of Cobalt Electrocatalysts via Time‐Resolved Activity‐Durability Relationships for Tailored Bimetallic Thin Films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10:05:15+00:00</w:t>
      </w:r>
      <w:r>
        <w:t xml:space="preserve">    </w:t>
      </w:r>
      <w:r>
        <w:rPr>
          <w:b/>
        </w:rPr>
        <w:t xml:space="preserve">DOI: </w:t>
      </w:r>
      <w:hyperlink r:id="rId98">
        <w:r>
          <w:rPr>
            <w:color w:val="1155CC"/>
            <w:u w:val="single"/>
          </w:rPr>
          <w:t>10.1002/aenm.202504936</w:t>
        </w:r>
      </w:hyperlink>
    </w:p>
    <w:p>
      <w:pPr>
        <w:spacing w:before="0" w:after="120"/>
      </w:pPr>
      <w:r>
        <w:rPr>
          <w:b/>
        </w:rPr>
        <w:t xml:space="preserve">Notes: </w:t>
      </w:r>
      <w:r>
        <w:t>abstract_source=crossref</w:t>
      </w:r>
    </w:p>
    <w:p>
      <w:pPr>
        <w:spacing w:before="0" w:after="200" w:lineRule="auto" w:line="276"/>
      </w:pPr>
      <w:r>
        <w:rPr>
          <w:b/>
        </w:rPr>
        <w:t xml:space="preserve">Abstract: </w:t>
      </w:r>
      <w:r>
        <w:t>One route to improve material performance and stability for acidic electrochemical technologies involves atomically mixing different metals, a pertinent example being PtCo catalysts for fuel cells. However, there is a need for deeper understanding of how non‐precious components, such as Co, mechanistically behave when combined with other metals during electrocatalysis. Herein, e‐beam physical vapor deposition is utilized to synthesize bimetallic thin films with a low atomic percentage of Co (10 at.%) and a high atomic percentage of Ag, Au, or Pd, each of which is assessed with on‐line inductively coupled plasma mass spectrometry to monitor time‐resolved relationships between electrocatalysis and material dissolution. Notably, each bimetallic thin film significantly extended the stable operating potential window for Co in acidic media (by +0.6 V for Ag</w:t>
      </w:r>
      <w:r>
        <w:t xml:space="preserve"> </w:t>
      </w:r>
      <w:r>
        <w:t>Co</w:t>
      </w:r>
      <w:r>
        <w:t xml:space="preserve"> </w:t>
      </w:r>
      <w:r>
        <w:t>, +1.0 V for Pd</w:t>
      </w:r>
      <w:r>
        <w:t xml:space="preserve"> </w:t>
      </w:r>
      <w:r>
        <w:t>Co</w:t>
      </w:r>
      <w:r>
        <w:t xml:space="preserve"> </w:t>
      </w:r>
      <w:r>
        <w:t>, and +1.5 V for Au</w:t>
      </w:r>
      <w:r>
        <w:t xml:space="preserve"> </w:t>
      </w:r>
      <w:r>
        <w:t>Co</w:t>
      </w:r>
      <w:r>
        <w:t xml:space="preserve"> </w:t>
      </w:r>
      <w:r>
        <w:t>), while limiting Co loss to around &amp;lt;1 % in the films, whose dissolution corresponded with in situ phase transformations of the host metal. Additionally, when compared to their noble metal counterparts, the bimetallic materials had improved or sustained onset potentials for oxygen electrocatalysis. Altogether, this work demonstrates compositional and electrochemical strategies in which Co stability can be prolonged in acidic media, with the added benefits of sustained electrocatalytic activity and decreased noble metal loading.</w:t>
      </w:r>
    </w:p>
    <w:p>
      <w:pPr>
        <w:spacing w:before="120" w:after="120"/>
      </w:pPr>
      <w:r>
        <w:rPr>
          <w:sz w:val="18"/>
        </w:rPr>
        <w:t>——————————————————————————————————————————————————————————————————————</w:t>
      </w:r>
    </w:p>
    <w:p>
      <w:pPr>
        <w:spacing w:before="160" w:after="80" w:line="240" w:lineRule="auto"/>
      </w:pPr>
      <w:r>
        <w:rPr>
          <w:b/>
        </w:rPr>
        <w:t xml:space="preserve">[64] </w:t>
      </w:r>
      <w:hyperlink r:id="rId99">
        <w:r>
          <w:rPr>
            <w:color w:val="1155CC"/>
            <w:u w:val="single"/>
          </w:rPr>
          <w:t>Molecular Surface Engineering of Sulfide Electrolytes with Enhanced Humidity Tolerance for Robust Lithium Metal All‐Solid‐State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10:05:28+00:00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[65] </w:t>
      </w:r>
      <w:hyperlink r:id="rId100">
        <w:r>
          <w:rPr>
            <w:color w:val="1155CC"/>
            <w:u w:val="single"/>
          </w:rPr>
          <w:t>3D Chiral Perovskitoid‐to‐Perovskite Reconstructive Phase Transition Designed Molecular Ferroelectric Thin‐Film with out‐of‐Plane Polarization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10:07:36+00:00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[66] </w:t>
      </w:r>
      <w:hyperlink r:id="rId101">
        <w:r>
          <w:rPr>
            <w:color w:val="1155CC"/>
            <w:u w:val="single"/>
          </w:rPr>
          <w:t>Phase Engineering of Nanogold: Non‐Close Packed Square Planes in A′B′ Stacking with a 0.5 Å Channel</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10:10:42+00:00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[67] </w:t>
      </w:r>
      <w:hyperlink r:id="rId102">
        <w:r>
          <w:rPr>
            <w:color w:val="1155CC"/>
            <w:u w:val="single"/>
          </w:rPr>
          <w:t>[ASAP] Fluorinated Halide Solid Electrolytes for High-Voltage All-Solid-State Sodium-Ion Batteries Enabling Reversible Oxygen Redox</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2025-12-16 10:11:52+00:00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[68] </w:t>
      </w:r>
      <w:hyperlink r:id="rId103">
        <w:r>
          <w:rPr>
            <w:color w:val="1155CC"/>
            <w:u w:val="single"/>
          </w:rPr>
          <w:t>Metabolic Osteoimmune Biodegradable Zn–Mn Alloys: High Strength‐Ductility and In Situ Vascular‐Osteogenic Coupling</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10:13:15+00:00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[69] </w:t>
      </w:r>
      <w:hyperlink r:id="rId104">
        <w:r>
          <w:rPr>
            <w:color w:val="1155CC"/>
            <w:u w:val="single"/>
          </w:rPr>
          <w:t>Tailored Ordering Enables High‐Capacity Cathode Materials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05">
        <w:r>
          <w:rPr>
            <w:color w:val="1155CC"/>
            <w:u w:val="single"/>
          </w:rPr>
          <w:t>10.1002/aenm.202503660</w:t>
        </w:r>
      </w:hyperlink>
    </w:p>
    <w:p>
      <w:pPr>
        <w:spacing w:before="0" w:after="120"/>
      </w:pPr>
      <w:r>
        <w:rPr>
          <w:b/>
        </w:rPr>
        <w:t xml:space="preserve">Notes: </w:t>
      </w:r>
      <w:r>
        <w:t>abstract_source=crossref</w:t>
      </w:r>
    </w:p>
    <w:p>
      <w:pPr>
        <w:spacing w:before="0" w:after="200" w:lineRule="auto" w:line="276"/>
      </w:pPr>
      <w:r>
        <w:rPr>
          <w:b/>
        </w:rPr>
        <w:t xml:space="preserve">Abstract: </w:t>
      </w:r>
      <w:r>
        <w:t>Novel Li‐ion battery cathode materials with high capacity and greater compositional flexibility are essential for the growing electric vehicle market. Cathode structures with cation disorder were once considered suboptimal, but recent demonstrations have highlighted their potential in Li</w:t>
      </w:r>
      <w:r>
        <w:t xml:space="preserve"> </w:t>
      </w:r>
      <w:r>
        <w:t>1 +</w:t>
      </w:r>
      <w:r>
        <w:t xml:space="preserve"> </w:t>
      </w:r>
      <w:r>
        <w:t>x</w:t>
      </w:r>
      <w:r>
        <w:t xml:space="preserve"> </w:t>
      </w:r>
      <w:r>
        <w:t>M</w:t>
      </w:r>
      <w:r>
        <w:t xml:space="preserve"> </w:t>
      </w:r>
      <w:r>
        <w:t>1 −</w:t>
      </w:r>
      <w:r>
        <w:t>x</w:t>
      </w:r>
      <w:r>
        <w:t xml:space="preserve"> </w:t>
      </w:r>
      <w:r>
        <w:t>O</w:t>
      </w:r>
      <w:r>
        <w:rPr>
          <w:vertAlign w:val="subscript"/>
        </w:rPr>
        <w:t>2</w:t>
      </w:r>
      <w:r>
        <w:t>chemistries with a wide range of metal combinations M. By relaxing requirements of maintaining ordered Li diffusion pathways, countless multi‐metal compositions in LiMO</w:t>
      </w:r>
      <w:r>
        <w:rPr>
          <w:vertAlign w:val="subscript"/>
        </w:rPr>
        <w:t>2</w:t>
      </w:r>
      <w:r>
        <w:t>may become viable, aiding the quest for high‐capacity cobalt‐free cathodes. A challenge presented by this freedom in composition space is designing compositions that possess specific, tailored types of both long‐ and short‐range orderings, which can ensure both phase stability and Li diffusion. Ordering design frameworks are proposed based on computational ordering descriptors, which in tandem with low‐cost heuristics and elemental statistics can be used to simultaneously achieve compositions that possess favorable phase stability as well as configurations amenable to Li diffusion. Utilizing this computational framework, accompanied by illustrative synthesis and characterization experiments, we not only demonstrate the design of LiCr</w:t>
      </w:r>
      <w:r>
        <w:t xml:space="preserve"> </w:t>
      </w:r>
      <w:r>
        <w:t>0.75</w:t>
      </w:r>
      <w:r>
        <w:t xml:space="preserve"> </w:t>
      </w:r>
      <w:r>
        <w:t>Fe</w:t>
      </w:r>
      <w:r>
        <w:t xml:space="preserve"> </w:t>
      </w:r>
      <w:r>
        <w:t>0.25</w:t>
      </w:r>
      <w:r>
        <w:t xml:space="preserve"> </w:t>
      </w:r>
      <w:r>
        <w:t>O</w:t>
      </w:r>
      <w:r>
        <w:rPr>
          <w:vertAlign w:val="subscript"/>
        </w:rPr>
        <w:t>2</w:t>
      </w:r>
      <w:r>
        <w:t>, showcasing initial charge capacity of 234 and 320 mAhg</w:t>
      </w:r>
      <w:r>
        <w:t xml:space="preserve"> </w:t>
      </w:r>
      <w:r>
        <w:t>−1</w:t>
      </w:r>
      <w:r>
        <w:t xml:space="preserve"> </w:t>
      </w:r>
      <w:r>
        <w:t>in its 20% Li‐excess variant Li</w:t>
      </w:r>
      <w:r>
        <w:t xml:space="preserve"> </w:t>
      </w:r>
      <w:r>
        <w:t>1.2</w:t>
      </w:r>
      <w:r>
        <w:t xml:space="preserve"> </w:t>
      </w:r>
      <w:r>
        <w:t>Cr</w:t>
      </w:r>
      <w:r>
        <w:t xml:space="preserve"> </w:t>
      </w:r>
      <w:r>
        <w:t>0.6</w:t>
      </w:r>
      <w:r>
        <w:t xml:space="preserve"> </w:t>
      </w:r>
      <w:r>
        <w:t>Fe</w:t>
      </w:r>
      <w:r>
        <w:t xml:space="preserve"> </w:t>
      </w:r>
      <w:r>
        <w:t>0.2</w:t>
      </w:r>
      <w:r>
        <w:t xml:space="preserve"> </w:t>
      </w:r>
      <w:r>
        <w:t>O</w:t>
      </w:r>
      <w:r>
        <w:rPr>
          <w:vertAlign w:val="subscript"/>
        </w:rPr>
        <w:t>2</w:t>
      </w:r>
      <w:r>
        <w:t>, but also present the elemental ordering statistics for 32 elements, informed by one of the most extensive first‐principles studies of ordering tendencies.</w:t>
      </w:r>
    </w:p>
    <w:p>
      <w:pPr>
        <w:spacing w:before="120" w:after="120"/>
      </w:pPr>
      <w:r>
        <w:rPr>
          <w:sz w:val="18"/>
        </w:rPr>
        <w:t>——————————————————————————————————————————————————————————————————————</w:t>
      </w:r>
    </w:p>
    <w:p>
      <w:pPr>
        <w:spacing w:before="160" w:after="80" w:line="240" w:lineRule="auto"/>
      </w:pPr>
      <w:r>
        <w:rPr>
          <w:b/>
        </w:rPr>
        <w:t xml:space="preserve">[70] </w:t>
      </w:r>
      <w:hyperlink r:id="rId106">
        <w:r>
          <w:rPr>
            <w:color w:val="1155CC"/>
            <w:u w:val="single"/>
          </w:rPr>
          <w:t>Rational Electrostatic Iodine Regulation for Photothermally Stable Perovskite Solar Cells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07">
        <w:r>
          <w:rPr>
            <w:color w:val="1155CC"/>
            <w:u w:val="single"/>
          </w:rPr>
          <w:t>10.1002/aenm.202503666</w:t>
        </w:r>
      </w:hyperlink>
    </w:p>
    <w:p>
      <w:pPr>
        <w:spacing w:before="0" w:after="120"/>
      </w:pPr>
      <w:r>
        <w:rPr>
          <w:b/>
        </w:rPr>
        <w:t xml:space="preserve">Notes: </w:t>
      </w:r>
      <w:r>
        <w:t>abstract_source=crossref</w:t>
      </w:r>
    </w:p>
    <w:p>
      <w:pPr>
        <w:spacing w:before="0" w:after="200" w:lineRule="auto" w:line="276"/>
      </w:pPr>
      <w:r>
        <w:rPr>
          <w:b/>
        </w:rPr>
        <w:t xml:space="preserve">Abstract: </w:t>
      </w:r>
      <w:r>
        <w:t>Perovskite solar cells (PSCs), as a promising photovoltaic technology, have achieved remarkable progress in efficiency. However, perovskite with soft‐lattice nature inherently suffers from severe iodine losses under photothermal operation, leading to the irreversible degradation in their photovoltaic performance, thereby remaining a great challenge to achieving durable PSCs. Here, electrostatic iodine regulation is reported by rational design on amine cations for photothermally stable PSCs. Theoretical simulations uncover that more alkyl chains binding on the nitrogen atom can not only strengthen the electrostatic interaction between amine cation and triiodine anions (I</w:t>
      </w:r>
      <w:r>
        <w:rPr>
          <w:vertAlign w:val="subscript"/>
        </w:rPr>
        <w:t>3</w:t>
      </w:r>
      <w:r>
        <w:t>−</w:t>
      </w:r>
      <w:r>
        <w:t>), and the quaternary amine cation can also inhibit the amine cation from deprotonation, yielding much more effective iodine confinement than widely‐used van der Waals interactions. After incorporating tetrabutylammonium iodide (TBAI), substantial enhancements on photothermal tolerances are detected on perovskite films with effectively suppressed iodine losses and metal electrode erosions. Additionally, TBAI also promotes the crystallization and passivate defect, resulting in reduced undesirable recombination within perovskite. Consequently, the targeted PSCs realize a champion efficiency of 26.23%. Moreover, the device features superior operational stability and maintains 92.5% of initial efficiency after 1000 h maximum power point (MPP) tracking at 85 °C.</w:t>
      </w:r>
    </w:p>
    <w:p>
      <w:pPr>
        <w:spacing w:before="120" w:after="120"/>
      </w:pPr>
      <w:r>
        <w:rPr>
          <w:sz w:val="18"/>
        </w:rPr>
        <w:t>——————————————————————————————————————————————————————————————————————</w:t>
      </w:r>
    </w:p>
    <w:p>
      <w:pPr>
        <w:spacing w:before="160" w:after="80" w:line="240" w:lineRule="auto"/>
      </w:pPr>
      <w:r>
        <w:rPr>
          <w:b/>
        </w:rPr>
        <w:t xml:space="preserve">[71] </w:t>
      </w:r>
      <w:hyperlink r:id="rId108">
        <w:r>
          <w:rPr>
            <w:color w:val="1155CC"/>
            <w:u w:val="single"/>
          </w:rPr>
          <w:t>MXene‐Scaffolded Planner Mesoporous Carbon with Homogeneous Electric Field Enabling Uniform and Robust SEI for Ultra‐Stable Sodium Storage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09">
        <w:r>
          <w:rPr>
            <w:color w:val="1155CC"/>
            <w:u w:val="single"/>
          </w:rPr>
          <w:t>10.1002/aenm.202503682</w:t>
        </w:r>
      </w:hyperlink>
    </w:p>
    <w:p>
      <w:pPr>
        <w:spacing w:before="0" w:after="120"/>
      </w:pPr>
      <w:r>
        <w:rPr>
          <w:b/>
        </w:rPr>
        <w:t xml:space="preserve">Notes: </w:t>
      </w:r>
      <w:r>
        <w:t>abstract_source=crossref</w:t>
      </w:r>
    </w:p>
    <w:p>
      <w:pPr>
        <w:spacing w:before="0" w:after="200" w:lineRule="auto" w:line="276"/>
      </w:pPr>
      <w:r>
        <w:rPr>
          <w:b/>
        </w:rPr>
        <w:t xml:space="preserve">Abstract: </w:t>
      </w:r>
      <w:r>
        <w:t>For next‐generation sodium‐ion batteries, nanostructured porous carbons with high surface areas exhibit enhanced rate performance, yet their commercialization is constrained by insufficient cycling stability. Herein, an insight from electrode architecture by using planar 2D MXene@mesoporous carbon (MXene@mesoC) nanosheets are developed to address this challenge. By precisely modulating, the engineered electrode achieves an ultra‐smooth surface, which ensures uniform current density and effectively suppresses localized charge accumulation and result a homogeneous electric field. Combined with the mesopore‐induced enrichment of PF</w:t>
      </w:r>
      <w:r>
        <w:rPr>
          <w:vertAlign w:val="subscript"/>
        </w:rPr>
        <w:t>6</w:t>
      </w:r>
      <w:r>
        <w:t>−</w:t>
      </w:r>
      <w:r>
        <w:t>anions in the Inner Helmholtz layer and a significantly reduced decomposition energy barrier catalyzed by MXene, a uniform, robust, and NaF‐rich solid electrolyte interphase (SEI) is formed. The resulting anode demonstrates exceptional electrochemical performance, including ultra‐stable cycling (98.4% capacity retention after 10 000 cycles at 5.0 A g</w:t>
      </w:r>
      <w:r>
        <w:t xml:space="preserve"> </w:t>
      </w:r>
      <w:r>
        <w:t>−1</w:t>
      </w:r>
      <w:r>
        <w:t xml:space="preserve"> </w:t>
      </w:r>
      <w:r>
        <w:t>), high average Coulombic efficiency (99.98%), and remarkable low‐temperature operation (down to −40 °C). Furthermore, the feasibility of inkjet printing these materials into customizable microstructures highlights their potential for flexible and high‐loading electrodes. This electrode architecture strategy bridges nanoscale interfacial regulation with macroscopic electrode design, offering a general approach for advanced sodium‐ion storage in the future.</w:t>
      </w:r>
    </w:p>
    <w:p>
      <w:pPr>
        <w:spacing w:before="120" w:after="120"/>
      </w:pPr>
      <w:r>
        <w:rPr>
          <w:sz w:val="18"/>
        </w:rPr>
        <w:t>——————————————————————————————————————————————————————————————————————</w:t>
      </w:r>
    </w:p>
    <w:p>
      <w:pPr>
        <w:spacing w:before="160" w:after="80" w:line="240" w:lineRule="auto"/>
      </w:pPr>
      <w:r>
        <w:rPr>
          <w:b/>
        </w:rPr>
        <w:t xml:space="preserve">[72] </w:t>
      </w:r>
      <w:hyperlink r:id="rId110">
        <w:r>
          <w:rPr>
            <w:color w:val="1155CC"/>
            <w:u w:val="single"/>
          </w:rPr>
          <w:t>Room‐Temperature Single Li+ Ion Conducting Organic Solid‐State Electrolyte with 10−4 S cm−1 Conductivity for Lithium‐Metal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11">
        <w:r>
          <w:rPr>
            <w:color w:val="1155CC"/>
            <w:u w:val="single"/>
          </w:rPr>
          <w:t>10.1002/aenm.202504143</w:t>
        </w:r>
      </w:hyperlink>
    </w:p>
    <w:p>
      <w:pPr>
        <w:spacing w:before="0" w:after="120"/>
      </w:pPr>
      <w:r>
        <w:rPr>
          <w:b/>
        </w:rPr>
        <w:t xml:space="preserve">Notes: </w:t>
      </w:r>
      <w:r>
        <w:t>abstract_source=crossref</w:t>
      </w:r>
    </w:p>
    <w:p>
      <w:pPr>
        <w:spacing w:before="0" w:after="200" w:lineRule="auto" w:line="276"/>
      </w:pPr>
      <w:r>
        <w:rPr>
          <w:b/>
        </w:rPr>
        <w:t xml:space="preserve">Abstract: </w:t>
      </w:r>
      <w:r>
        <w:t>Covalent organic frameworks (COFs) are promising solid‐state electrolytes (SSEs) for lithium (Li)‐metal batteries due to their tunable structures, ordered nanochannels, and suppressed segmental motion, which support Li⁺ ion transport at ambient temperatures. However, pellet‐type COF‐based SSEs have exhibited low ionic conductivity, attributed to suboptimal ion transport pathways, limited crystallinity, and extensive grain boundary formation. Here, a 20 µm‐thick disulfonate‐functionalized COF (COF</w:t>
      </w:r>
      <w:r>
        <w:t xml:space="preserve"> </w:t>
      </w:r>
      <w:r>
        <w:t>ds</w:t>
      </w:r>
      <w:r>
        <w:t xml:space="preserve"> </w:t>
      </w:r>
      <w:r>
        <w:t>) film is presented that achieves an ionic conductivity of 1.0 × 10</w:t>
      </w:r>
      <w:r>
        <w:t xml:space="preserve"> </w:t>
      </w:r>
      <w:r>
        <w:t>‒4</w:t>
      </w:r>
      <w:r>
        <w:t xml:space="preserve"> </w:t>
      </w:r>
      <w:r>
        <w:t>S cm</w:t>
      </w:r>
      <w:r>
        <w:t xml:space="preserve"> </w:t>
      </w:r>
      <w:r>
        <w:t>‒1</w:t>
      </w:r>
      <w:r>
        <w:t xml:space="preserve"> </w:t>
      </w:r>
      <w:r>
        <w:t>at 25 °C. The integration of immobile disulfonate anions and carbonyl groups enables inter‐subchannel Li⁺ hopping with minimal spatial separation. Molecular dynamics (MD) simulations under applied fields confirm that the molecular design facilitates optimized Li⁺ conduction pathways. Solution‐phase synthesis enabled COF</w:t>
      </w:r>
      <w:r>
        <w:t xml:space="preserve"> </w:t>
      </w:r>
      <w:r>
        <w:t>ds</w:t>
      </w:r>
      <w:r>
        <w:t xml:space="preserve"> </w:t>
      </w:r>
      <w:r>
        <w:t>films with high crystallinity, uniform morphology, and smooth surfaces, which enhanced electrochemical performance. As a result, symmetric Li cells with the COF</w:t>
      </w:r>
      <w:r>
        <w:t xml:space="preserve"> </w:t>
      </w:r>
      <w:r>
        <w:t>ds</w:t>
      </w:r>
      <w:r>
        <w:t xml:space="preserve"> </w:t>
      </w:r>
      <w:r>
        <w:t>film showed stable cycling for over 1300 h at 25 °C, while full cells with LiFePO</w:t>
      </w:r>
      <w:r>
        <w:rPr>
          <w:vertAlign w:val="subscript"/>
        </w:rPr>
        <w:t>4</w:t>
      </w:r>
      <w:r>
        <w:t>cathodes retained ≈95% capacity and 99.999% Coulombic efficiency over 300 cycles at 0.2 C. This study highlights the importance of integrating molecular and structural engineering for developing COF‐based SSEs in Li‐metal batteries.</w:t>
      </w:r>
    </w:p>
    <w:p>
      <w:pPr>
        <w:spacing w:before="120" w:after="120"/>
      </w:pPr>
      <w:r>
        <w:rPr>
          <w:sz w:val="18"/>
        </w:rPr>
        <w:t>——————————————————————————————————————————————————————————————————————</w:t>
      </w:r>
    </w:p>
    <w:p>
      <w:pPr>
        <w:spacing w:before="160" w:after="80" w:line="240" w:lineRule="auto"/>
      </w:pPr>
      <w:r>
        <w:rPr>
          <w:b/>
        </w:rPr>
        <w:t xml:space="preserve">[73] </w:t>
      </w:r>
      <w:hyperlink r:id="rId112">
        <w:r>
          <w:rPr>
            <w:color w:val="1155CC"/>
            <w:u w:val="single"/>
          </w:rPr>
          <w:t>Tuning Exciton Dynamics and Energy Transfer in Ternary Organic Solar Cells Using Pyridine‐Flanked DPP Acceptors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13">
        <w:r>
          <w:rPr>
            <w:color w:val="1155CC"/>
            <w:u w:val="single"/>
          </w:rPr>
          <w:t>10.1002/aenm.202503873</w:t>
        </w:r>
      </w:hyperlink>
    </w:p>
    <w:p>
      <w:pPr>
        <w:spacing w:before="0" w:after="120"/>
      </w:pPr>
      <w:r>
        <w:rPr>
          <w:b/>
        </w:rPr>
        <w:t xml:space="preserve">Notes: </w:t>
      </w:r>
      <w:r>
        <w:t>abstract_source=crossref</w:t>
      </w:r>
    </w:p>
    <w:p>
      <w:pPr>
        <w:spacing w:before="0" w:after="200" w:lineRule="auto" w:line="276"/>
      </w:pPr>
      <w:r>
        <w:rPr>
          <w:b/>
        </w:rPr>
        <w:t xml:space="preserve">Abstract: </w:t>
      </w:r>
      <w:r>
        <w:t>This study reports the synthesis of three novel non‐fullerene acceptors (NFAs),</w:t>
      </w:r>
      <w:r>
        <w:t xml:space="preserve"> </w:t>
      </w:r>
      <w:r>
        <w:t>LM‐F</w:t>
      </w:r>
      <w:r>
        <w:t xml:space="preserve"> </w:t>
      </w:r>
      <w:r>
        <w:t>,</w:t>
      </w:r>
      <w:r>
        <w:t xml:space="preserve"> </w:t>
      </w:r>
      <w:r>
        <w:t>LM‐T</w:t>
      </w:r>
      <w:r>
        <w:t xml:space="preserve"> </w:t>
      </w:r>
      <w:r>
        <w:t>, and</w:t>
      </w:r>
      <w:r>
        <w:t xml:space="preserve"> </w:t>
      </w:r>
      <w:r>
        <w:t>LM‐Se</w:t>
      </w:r>
      <w:r>
        <w:t xml:space="preserve"> </w:t>
      </w:r>
      <w:r>
        <w:t>, featuring a diketopyrrolopyrrole (DPP) core flanked by pyridine units and connected to dicyanorhodanine terminals via different π‐bridging heterocycles: furan, thiophene, and selenophene. These NFAs exhibit an A</w:t>
      </w:r>
      <w:r>
        <w:rPr>
          <w:vertAlign w:val="subscript"/>
        </w:rPr>
        <w:t>2</w:t>
      </w:r>
      <w:r>
        <w:t>–D–A</w:t>
      </w:r>
      <w:r>
        <w:rPr>
          <w:vertAlign w:val="subscript"/>
        </w:rPr>
        <w:t>1</w:t>
      </w:r>
      <w:r>
        <w:t>–D–A</w:t>
      </w:r>
      <w:r>
        <w:rPr>
          <w:vertAlign w:val="subscript"/>
        </w:rPr>
        <w:t>2</w:t>
      </w:r>
      <w:r>
        <w:t>molecular architecture and are synthesized through efficient methods. All compounds demonstrated good thermal stability, broad absorption in the visible range (550–800 nm), and suitable energy levels for organic solar cell (OSC) applications. Density functional theory (DFT) simulations revealed favorable dipole moments for exciton dissociation, especially in</w:t>
      </w:r>
      <w:r>
        <w:t xml:space="preserve"> </w:t>
      </w:r>
      <w:r>
        <w:t>LM‐Se</w:t>
      </w:r>
      <w:r>
        <w:t xml:space="preserve"> </w:t>
      </w:r>
      <w:r>
        <w:t>. Binary OSCs using D18 as donor achieved power conversion efficiencies (PCEs) of 10.23% (</w:t>
      </w:r>
      <w:r>
        <w:t xml:space="preserve"> </w:t>
      </w:r>
      <w:r>
        <w:t>LM‐T</w:t>
      </w:r>
      <w:r>
        <w:t xml:space="preserve"> </w:t>
      </w:r>
      <w:r>
        <w:t>), 12.25% (</w:t>
      </w:r>
      <w:r>
        <w:t xml:space="preserve"> </w:t>
      </w:r>
      <w:r>
        <w:t>LM‐F</w:t>
      </w:r>
      <w:r>
        <w:t xml:space="preserve"> </w:t>
      </w:r>
      <w:r>
        <w:t>), and 13.84% (</w:t>
      </w:r>
      <w:r>
        <w:t xml:space="preserve"> </w:t>
      </w:r>
      <w:r>
        <w:t>LM‐Se</w:t>
      </w:r>
      <w:r>
        <w:t xml:space="preserve"> </w:t>
      </w:r>
      <w:r>
        <w:t>), with</w:t>
      </w:r>
      <w:r>
        <w:t xml:space="preserve"> </w:t>
      </w:r>
      <w:r>
        <w:t>LM‐Se</w:t>
      </w:r>
      <w:r>
        <w:t xml:space="preserve"> </w:t>
      </w:r>
      <w:r>
        <w:t>showing superior performance due to broader absorption, lower exciton binding energy, and enhanced charge transport. Incorporating</w:t>
      </w:r>
      <w:r>
        <w:t xml:space="preserve"> </w:t>
      </w:r>
      <w:r>
        <w:t>LM‐Se</w:t>
      </w:r>
      <w:r>
        <w:t xml:space="preserve"> </w:t>
      </w:r>
      <w:r>
        <w:t>into a ternary blend with D18 and Y6 ((D18:</w:t>
      </w:r>
      <w:r>
        <w:t xml:space="preserve"> </w:t>
      </w:r>
      <w:r>
        <w:t>LM‐Se</w:t>
      </w:r>
      <w:r>
        <w:t xml:space="preserve"> </w:t>
      </w:r>
      <w:r>
        <w:t>:Y6 1:0.4:0.8) further improved the PCE to 17.53%, outperforming the binary D18:Y6 device (15.12%). This enhancement is attributed to improved exciton dissociation, balanced charge transport, reduced recombination, and efficient Förster resonance energy transfer (FRET). AFM and XRD analyses confirmed favorable morphology and molecular packing, contributing to reduced energy loss and enhanced photovoltaic performance.</w:t>
      </w:r>
    </w:p>
    <w:p>
      <w:pPr>
        <w:spacing w:before="120" w:after="120"/>
      </w:pPr>
      <w:r>
        <w:rPr>
          <w:sz w:val="18"/>
        </w:rPr>
        <w:t>——————————————————————————————————————————————————————————————————————</w:t>
      </w:r>
    </w:p>
    <w:p>
      <w:pPr>
        <w:spacing w:before="160" w:after="80" w:line="240" w:lineRule="auto"/>
      </w:pPr>
      <w:r>
        <w:rPr>
          <w:b/>
        </w:rPr>
        <w:t xml:space="preserve">[74] </w:t>
      </w:r>
      <w:hyperlink r:id="rId114">
        <w:r>
          <w:rPr>
            <w:color w:val="1155CC"/>
            <w:u w:val="single"/>
          </w:rPr>
          <w:t>How Machine Learning Has Driven the Development of Rechargeable 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15">
        <w:r>
          <w:rPr>
            <w:color w:val="1155CC"/>
            <w:u w:val="single"/>
          </w:rPr>
          <w:t>10.1002/aenm.202504095</w:t>
        </w:r>
      </w:hyperlink>
    </w:p>
    <w:p>
      <w:pPr>
        <w:spacing w:before="0" w:after="120"/>
      </w:pPr>
      <w:r>
        <w:rPr>
          <w:b/>
        </w:rPr>
        <w:t xml:space="preserve">Notes: </w:t>
      </w:r>
      <w:r>
        <w:t>abstract_source=crossref</w:t>
      </w:r>
    </w:p>
    <w:p>
      <w:pPr>
        <w:spacing w:before="0" w:after="200" w:lineRule="auto" w:line="276"/>
      </w:pPr>
      <w:r>
        <w:rPr>
          <w:b/>
        </w:rPr>
        <w:t xml:space="preserve">Abstract: </w:t>
      </w:r>
      <w:r>
        <w:t>Machine learning (ML) has entered rechargeable ion battery (RIB) research. The goal is to speed progress toward carbon‐neutral energy storage. In the last decade, data‐driven workflows have joined experiments and simulations. They deliver rapid screening and structured insight for electrodes and electrolytes. Yet, despite substantial scientific advances, a coherent and mechanism‐aware framework for deploying ML throughout the RIB innovation cycle remains elusive. This review, therefore, concentrates on three interconnected dimensions of ML integration: i) overall machine‐learning process, ii) algorithm and technology selection with interpretability, and iii) application scenarios covering intercalation electrodes, conversion electrodes, and electrolyte design. To this end, design rules and workflow are distilled that can be readily adopted by both experimentalists and theorists. Moreover, the review highlights how task‐oriented ML architectures expedite material discovery, mechanistic elucidation, and process optimization in next‐generation RIB devices. Finally, persisting challenges, especially data scarcity, mechanism distortion, are outlined alongside opportunities offered by diffusion models, transformer frameworks, large language models, and autonomous laboratories. It is expected that this review will effectively guide readers in the design of next‐generation RIBs with emerging AI technologies.</w:t>
      </w:r>
    </w:p>
    <w:p>
      <w:pPr>
        <w:spacing w:before="120" w:after="120"/>
      </w:pPr>
      <w:r>
        <w:rPr>
          <w:sz w:val="18"/>
        </w:rPr>
        <w:t>——————————————————————————————————————————————————————————————————————</w:t>
      </w:r>
    </w:p>
    <w:p>
      <w:pPr>
        <w:spacing w:before="160" w:after="80" w:line="240" w:lineRule="auto"/>
      </w:pPr>
      <w:r>
        <w:rPr>
          <w:b/>
        </w:rPr>
        <w:t xml:space="preserve">[75] </w:t>
      </w:r>
      <w:hyperlink r:id="rId116">
        <w:r>
          <w:rPr>
            <w:color w:val="1155CC"/>
            <w:u w:val="single"/>
          </w:rPr>
          <w:t>Influence of Anode Reactivity and Chemical Crossover on the Formation of Cathode‐Electrolyte Interphase in High‐Nickel Layered Oxide Cathodes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17">
        <w:r>
          <w:rPr>
            <w:color w:val="1155CC"/>
            <w:u w:val="single"/>
          </w:rPr>
          <w:t>10.1002/aenm.202502617</w:t>
        </w:r>
      </w:hyperlink>
    </w:p>
    <w:p>
      <w:pPr>
        <w:spacing w:before="0" w:after="120"/>
      </w:pPr>
      <w:r>
        <w:rPr>
          <w:b/>
        </w:rPr>
        <w:t xml:space="preserve">Notes: </w:t>
      </w:r>
      <w:r>
        <w:t>abstract_source=crossref</w:t>
      </w:r>
    </w:p>
    <w:p>
      <w:pPr>
        <w:spacing w:before="0" w:after="200" w:lineRule="auto" w:line="276"/>
      </w:pPr>
      <w:r>
        <w:rPr>
          <w:b/>
        </w:rPr>
        <w:t xml:space="preserve">Abstract: </w:t>
      </w:r>
      <w:r>
        <w:t>As the push for lithium‐ion batteries (LIBs) with high‐energy density grows, systems pairing high‐nickel cathodes with high‐capacity anodes have become attractive; however, these electrodes individually suffer from high surface reactivities, leading to interfacial instabilities. When paired together, further issues arise, with cathode‐to‐anode crossover being a well‐known phenomenon. In contrast, anode‐to‐cathode crossover remains underexplored, especially in systems that undergo large volume changes. Here, a comparison of the influence of anode reactivity on cathode surface degradation is presented by pairing LiNi</w:t>
      </w:r>
      <w:r>
        <w:t xml:space="preserve"> </w:t>
      </w:r>
      <w:r>
        <w:t>0.8</w:t>
      </w:r>
      <w:r>
        <w:t xml:space="preserve"> </w:t>
      </w:r>
      <w:r>
        <w:t>Mn</w:t>
      </w:r>
      <w:r>
        <w:t xml:space="preserve"> </w:t>
      </w:r>
      <w:r>
        <w:t>0.1</w:t>
      </w:r>
      <w:r>
        <w:t xml:space="preserve"> </w:t>
      </w:r>
      <w:r>
        <w:t>Co</w:t>
      </w:r>
      <w:r>
        <w:t xml:space="preserve"> </w:t>
      </w:r>
      <w:r>
        <w:t>0.1</w:t>
      </w:r>
      <w:r>
        <w:t xml:space="preserve"> </w:t>
      </w:r>
      <w:r>
        <w:t>O</w:t>
      </w:r>
      <w:r>
        <w:rPr>
          <w:vertAlign w:val="subscript"/>
        </w:rPr>
        <w:t>2</w:t>
      </w:r>
      <w:r>
        <w:t>(NMC811) cathode with graphite, prelithiated silicon suboxide (SiO</w:t>
      </w:r>
      <w:r>
        <w:t xml:space="preserve"> </w:t>
      </w:r>
      <w:r>
        <w:t>x</w:t>
      </w:r>
      <w:r>
        <w:t xml:space="preserve"> </w:t>
      </w:r>
      <w:r>
        <w:t>), and lithium‐metal anodes. Voltage curves and differential capacity analysis show that all cells experience polarization growth throughout cycling. A combination of electrochemical techniques, such as operando galvanostatic electrochemical impedance spectroscopy (GEIS), and surface analyses, such as scanning electron microscopy (SEM) and X‐ray photoelectron spectroscopy (XPS), reveal that cycling against more reactive anodes promotes the formation of a thicker, organic‐rich cathode electrolyte interphase (CEI), which suffers from impedance growth and large irreversible capacity loss. Post‐mortem characterization with XPS and SEM confirms compositional and morphological changes at the cathode surface and the cycled separator. The findings provide insights into the role of anode‐driven degradation of high‐Ni cathodes, promoting further understanding of two‐way crossover in LIBs.</w:t>
      </w:r>
    </w:p>
    <w:p>
      <w:pPr>
        <w:spacing w:before="120" w:after="120"/>
      </w:pPr>
      <w:r>
        <w:rPr>
          <w:sz w:val="18"/>
        </w:rPr>
        <w:t>——————————————————————————————————————————————————————————————————————</w:t>
      </w:r>
    </w:p>
    <w:p>
      <w:pPr>
        <w:spacing w:before="160" w:after="80" w:line="240" w:lineRule="auto"/>
      </w:pPr>
      <w:r>
        <w:rPr>
          <w:b/>
        </w:rPr>
        <w:t xml:space="preserve">[76] </w:t>
      </w:r>
      <w:hyperlink r:id="rId118">
        <w:r>
          <w:rPr>
            <w:color w:val="1155CC"/>
            <w:u w:val="single"/>
          </w:rPr>
          <w:t>Tip Effect‐Driven Charge Transport Enhancement in Silicon‐Carbon Anodes for All‐Solid‐State Lithium‐Ion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19">
        <w:r>
          <w:rPr>
            <w:color w:val="1155CC"/>
            <w:u w:val="single"/>
          </w:rPr>
          <w:t>10.1002/aenm.202504241</w:t>
        </w:r>
      </w:hyperlink>
    </w:p>
    <w:p>
      <w:pPr>
        <w:spacing w:before="0" w:after="120"/>
      </w:pPr>
      <w:r>
        <w:rPr>
          <w:b/>
        </w:rPr>
        <w:t xml:space="preserve">Notes: </w:t>
      </w:r>
      <w:r>
        <w:t>abstract_source=crossref</w:t>
      </w:r>
    </w:p>
    <w:p>
      <w:pPr>
        <w:spacing w:before="0" w:after="200" w:lineRule="auto" w:line="276"/>
      </w:pPr>
      <w:r>
        <w:rPr>
          <w:b/>
        </w:rPr>
        <w:t xml:space="preserve">Abstract: </w:t>
      </w:r>
      <w:r>
        <w:t>Despite its pronounced impact on mass transport and local energy field modulation, the tip effect remains an underexplored strategy in the design of solid‐state batteries. Here, a radial vertical graphene (RVG)‐encapsulated silicon anode (RVG@Si‐V) that strategically leverages the tip effect to modulate interfacial charge transport and direct the formation of solid electrolyte interphases (SEI) in all‐solid‐state lithium‐ion batteries (ASSLIBs) is reported. The sharp geometry of RVG induces localized electric field enhancement at the electrode‐electrolyte interfaces, which promotes charge accumulation and facilitates field‐driven electrolyte decomposition toward thin and LiF‐rich SEI formation. The structure‐field coupling effectively overcomes the long‐standing challenge of sluggish charge transfer kinetics at electrode‐electrolyte interfaces and contributes to improved rate capability and long‐term cycling stability. Electrochemical characterizations reveal that RVG@Si‐V delivers excellent rate performance (940.9 mAh g</w:t>
      </w:r>
      <w:r>
        <w:t xml:space="preserve"> </w:t>
      </w:r>
      <w:r>
        <w:t>−1</w:t>
      </w:r>
      <w:r>
        <w:t xml:space="preserve"> </w:t>
      </w:r>
      <w:r>
        <w:t>, 5 A g</w:t>
      </w:r>
      <w:r>
        <w:t xml:space="preserve"> </w:t>
      </w:r>
      <w:r>
        <w:t>−1</w:t>
      </w:r>
      <w:r>
        <w:t xml:space="preserve"> </w:t>
      </w:r>
      <w:r>
        <w:t>) and capacity retention compared to its planar graphene (PG) counterpart (PG@Si‐V) without the tip effect, retaining 76.6% of its capacity after 500 cycles at 3 A g</w:t>
      </w:r>
      <w:r>
        <w:t xml:space="preserve"> </w:t>
      </w:r>
      <w:r>
        <w:t>−1</w:t>
      </w:r>
      <w:r>
        <w:t xml:space="preserve"> </w:t>
      </w:r>
      <w:r>
        <w:t>. This work demonstrates a previously underexplored but highly effective strategy of employing the tip effect to modulate interfacial charge transport and SEI formation in solid‐state battery systems, offering critical insights toward the development of high‐performance Si anodes for advanced ASSLIBs.</w:t>
      </w:r>
    </w:p>
    <w:p>
      <w:pPr>
        <w:spacing w:before="120" w:after="120"/>
      </w:pPr>
      <w:r>
        <w:rPr>
          <w:sz w:val="18"/>
        </w:rPr>
        <w:t>——————————————————————————————————————————————————————————————————————</w:t>
      </w:r>
    </w:p>
    <w:p>
      <w:pPr>
        <w:spacing w:before="160" w:after="80" w:line="240" w:lineRule="auto"/>
      </w:pPr>
      <w:r>
        <w:rPr>
          <w:b/>
        </w:rPr>
        <w:t xml:space="preserve">[77] </w:t>
      </w:r>
      <w:hyperlink r:id="rId120">
        <w:r>
          <w:rPr>
            <w:color w:val="1155CC"/>
            <w:u w:val="single"/>
          </w:rPr>
          <w:t>Asymmetric‐Orbital‐Hybridization Induced Electron Redistribution Enabling Stable Sodium Layered Oxides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21">
        <w:r>
          <w:rPr>
            <w:color w:val="1155CC"/>
            <w:u w:val="single"/>
          </w:rPr>
          <w:t>10.1002/aenm.202504261</w:t>
        </w:r>
      </w:hyperlink>
    </w:p>
    <w:p>
      <w:pPr>
        <w:spacing w:before="0" w:after="120"/>
      </w:pPr>
      <w:r>
        <w:rPr>
          <w:b/>
        </w:rPr>
        <w:t xml:space="preserve">Notes: </w:t>
      </w:r>
      <w:r>
        <w:t>abstract_source=crossref</w:t>
      </w:r>
    </w:p>
    <w:p>
      <w:pPr>
        <w:spacing w:before="0" w:after="200" w:lineRule="auto" w:line="276"/>
      </w:pPr>
      <w:r>
        <w:rPr>
          <w:b/>
        </w:rPr>
        <w:t xml:space="preserve">Abstract: </w:t>
      </w:r>
      <w:r>
        <w:t>Layered transition metal (TM) oxides have garnered great attention as viable cathodes for sodium‐ion batteries (SIBs), but the challenges of complicated multiphase transitions, severe structural deterioration and unstable oxygen redox reaction still hamper their practical application. Herein, a universal electron redistribution strategy based on the orbital hybridization regulation is proposed and NaNi</w:t>
      </w:r>
      <w:r>
        <w:t xml:space="preserve"> </w:t>
      </w:r>
      <w:r>
        <w:t>0.5</w:t>
      </w:r>
      <w:r>
        <w:t xml:space="preserve"> </w:t>
      </w:r>
      <w:r>
        <w:t>Mn</w:t>
      </w:r>
      <w:r>
        <w:t xml:space="preserve"> </w:t>
      </w:r>
      <w:r>
        <w:t>0.35</w:t>
      </w:r>
      <w:r>
        <w:t xml:space="preserve"> </w:t>
      </w:r>
      <w:r>
        <w:t>Ti</w:t>
      </w:r>
      <w:r>
        <w:t xml:space="preserve"> </w:t>
      </w:r>
      <w:r>
        <w:t>0.15</w:t>
      </w:r>
      <w:r>
        <w:t xml:space="preserve"> </w:t>
      </w:r>
      <w:r>
        <w:t>O</w:t>
      </w:r>
      <w:r>
        <w:rPr>
          <w:vertAlign w:val="subscript"/>
        </w:rPr>
        <w:t>2</w:t>
      </w:r>
      <w:r>
        <w:t>(NNMTO) is introduced as a model cathode considering the distinct electronegativity between Ni and Ti. The nonequivalent electron distribution induced by the covalency competition within asymmetric Ni</w:t>
      </w:r>
      <w:r>
        <w:t xml:space="preserve"> </w:t>
      </w:r>
      <w:r>
        <w:t>3d</w:t>
      </w:r>
      <w:r>
        <w:t xml:space="preserve"> </w:t>
      </w:r>
      <w:r>
        <w:t>‐O</w:t>
      </w:r>
      <w:r>
        <w:t xml:space="preserve"> </w:t>
      </w:r>
      <w:r>
        <w:t>2p</w:t>
      </w:r>
      <w:r>
        <w:t xml:space="preserve"> </w:t>
      </w:r>
      <w:r>
        <w:t>‐Ti</w:t>
      </w:r>
      <w:r>
        <w:t xml:space="preserve"> </w:t>
      </w:r>
      <w:r>
        <w:t>3d</w:t>
      </w:r>
      <w:r>
        <w:t xml:space="preserve"> </w:t>
      </w:r>
      <w:r>
        <w:t>backbone (Ni─O─Ti charge transfer via the bridging oxygen atom) delocalizes the electrons between Ni and O and modulates the local chemical environment around O. The enhanced orbital coupling combined with increased Ni─O covalency can not only suppress the over‐oxidation of lattice oxygen and improve the reversibility of oxygen redox, but also alleviate the cooperative Jahn–Teller distortion of Ni</w:t>
      </w:r>
      <w:r>
        <w:t xml:space="preserve"> </w:t>
      </w:r>
      <w:r>
        <w:t>3+</w:t>
      </w:r>
      <w:r>
        <w:t xml:space="preserve"> </w:t>
      </w:r>
      <w:r>
        <w:t>O</w:t>
      </w:r>
      <w:r>
        <w:rPr>
          <w:vertAlign w:val="subscript"/>
        </w:rPr>
        <w:t>6</w:t>
      </w:r>
      <w:r>
        <w:t>octahedron and prevent the phase transition from O3′ to the detrimental O3″ phase by constructing a more rigid TM─O framework. As a result, NNMTO shows a sustained reversible capacity and remarkable cycling stability that is rooted in reversible oxygen and TM redox processes. This study provides an alternative avenue to construct high‐performance SIBs from the perspective of local chemistry and orbital hybridization modulation.</w:t>
      </w:r>
    </w:p>
    <w:p>
      <w:pPr>
        <w:spacing w:before="120" w:after="120"/>
      </w:pPr>
      <w:r>
        <w:rPr>
          <w:sz w:val="18"/>
        </w:rPr>
        <w:t>——————————————————————————————————————————————————————————————————————</w:t>
      </w:r>
    </w:p>
    <w:p>
      <w:pPr>
        <w:spacing w:before="160" w:after="80" w:line="240" w:lineRule="auto"/>
      </w:pPr>
      <w:r>
        <w:rPr>
          <w:b/>
        </w:rPr>
        <w:t xml:space="preserve">[78] </w:t>
      </w:r>
      <w:hyperlink r:id="rId122">
        <w:r>
          <w:rPr>
            <w:color w:val="1155CC"/>
            <w:u w:val="single"/>
          </w:rPr>
          <w:t>Unveiling Fast Charge Transfer Dynamics at Semiconductor/Electrocatalyst/Electrolyte Dual Interfaces via Boron Engineering for Efficient Water Splitting</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23">
        <w:r>
          <w:rPr>
            <w:color w:val="1155CC"/>
            <w:u w:val="single"/>
          </w:rPr>
          <w:t>10.1002/aenm.202504275</w:t>
        </w:r>
      </w:hyperlink>
    </w:p>
    <w:p>
      <w:pPr>
        <w:spacing w:before="0" w:after="120"/>
      </w:pPr>
      <w:r>
        <w:rPr>
          <w:b/>
        </w:rPr>
        <w:t xml:space="preserve">Notes: </w:t>
      </w:r>
      <w:r>
        <w:t>abstract_source=crossref</w:t>
      </w:r>
    </w:p>
    <w:p>
      <w:pPr>
        <w:spacing w:before="0" w:after="200" w:lineRule="auto" w:line="276"/>
      </w:pPr>
      <w:r>
        <w:rPr>
          <w:b/>
        </w:rPr>
        <w:t xml:space="preserve">Abstract: </w:t>
      </w:r>
      <w:r>
        <w:t>Promoting the generation of highly active species at semiconductor/electrocatalyst/electrolyte interfaces can enhance photoelectrochemical (PEC) water splitting performance, yet achieving this goal remains challenging with current strategies. Herein, a feasible boron (B) engineering strategy is proposed to simultaneously modulate interface charge transfer and surface catalytic reaction dynamics by incorporating electron‐deficient B into a state‐of‐the‐art semiconductor/electrocatalyst system (BiVO</w:t>
      </w:r>
      <w:r>
        <w:rPr>
          <w:vertAlign w:val="subscript"/>
        </w:rPr>
        <w:t>4</w:t>
      </w:r>
      <w:r>
        <w:t>/FeNiOOH). Scanning photoelectrochemical microscopy and X‐ray photoelectron spectroscopy reveal that the introduction of B into FeNiOOH facilitates internal charge transfer (electrons migrate along the direction of Ni→B→Fe) via a charge relay effect, and generates more active species (Fe</w:t>
      </w:r>
      <w:r>
        <w:t xml:space="preserve"> </w:t>
      </w:r>
      <w:r>
        <w:t>3‐δ</w:t>
      </w:r>
      <w:r>
        <w:t xml:space="preserve"> </w:t>
      </w:r>
      <w:r>
        <w:t>and Ni</w:t>
      </w:r>
      <w:r>
        <w:t xml:space="preserve"> </w:t>
      </w:r>
      <w:r>
        <w:t>3+δ</w:t>
      </w:r>
      <w:r>
        <w:t xml:space="preserve"> </w:t>
      </w:r>
      <w:r>
        <w:t>) at the BiVO</w:t>
      </w:r>
      <w:r>
        <w:rPr>
          <w:vertAlign w:val="subscript"/>
        </w:rPr>
        <w:t>4</w:t>
      </w:r>
      <w:r>
        <w:t>/FeNiOOH‐B/electrolyte interface, thereby accelerating both charge transfer and surface reaction dynamics. As anticipated, the BiVO</w:t>
      </w:r>
      <w:r>
        <w:rPr>
          <w:vertAlign w:val="subscript"/>
        </w:rPr>
        <w:t>4</w:t>
      </w:r>
      <w:r>
        <w:t>/FeNiOOH‐B photoanode achieves a remarkable photocurrent density of 6.58 mA cm</w:t>
      </w:r>
      <w:r>
        <w:t xml:space="preserve"> </w:t>
      </w:r>
      <w:r>
        <w:t>−2</w:t>
      </w:r>
      <w:r>
        <w:t xml:space="preserve"> </w:t>
      </w:r>
      <w:r>
        <w:t>at 1.23 V</w:t>
      </w:r>
      <w:r>
        <w:t xml:space="preserve"> </w:t>
      </w:r>
      <w:r>
        <w:t>RHE</w:t>
      </w:r>
      <w:r>
        <w:t xml:space="preserve"> </w:t>
      </w:r>
      <w:r>
        <w:t>, along with excellent photostability. Furthermore, this B‐engineering effect can be applied to develop alternative TiO</w:t>
      </w:r>
      <w:r>
        <w:rPr>
          <w:vertAlign w:val="subscript"/>
        </w:rPr>
        <w:t>2</w:t>
      </w:r>
      <w:r>
        <w:t>/FeNiOOH‐B configurations to further enhance PEC activity. This work opens new possibilities for B engineering in semiconductor/electrocatalyst systems, enabling highly efficient and stable water‐splitting applications.</w:t>
      </w:r>
    </w:p>
    <w:p>
      <w:pPr>
        <w:spacing w:before="120" w:after="120"/>
      </w:pPr>
      <w:r>
        <w:rPr>
          <w:sz w:val="18"/>
        </w:rPr>
        <w:t>——————————————————————————————————————————————————————————————————————</w:t>
      </w:r>
    </w:p>
    <w:p>
      <w:pPr>
        <w:spacing w:before="160" w:after="80" w:line="240" w:lineRule="auto"/>
      </w:pPr>
      <w:r>
        <w:rPr>
          <w:b/>
        </w:rPr>
        <w:t xml:space="preserve">[79] </w:t>
      </w:r>
      <w:hyperlink r:id="rId124">
        <w:r>
          <w:rPr>
            <w:color w:val="1155CC"/>
            <w:u w:val="single"/>
          </w:rPr>
          <w:t>Digital Twin of Solid Oxide Electrochemical Cells: From 3D Microstructure Reconstruction to Multiphysics Modeling</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25">
        <w:r>
          <w:rPr>
            <w:color w:val="1155CC"/>
            <w:u w:val="single"/>
          </w:rPr>
          <w:t>10.1002/aenm.202503842</w:t>
        </w:r>
      </w:hyperlink>
    </w:p>
    <w:p>
      <w:pPr>
        <w:spacing w:before="0" w:after="120"/>
      </w:pPr>
      <w:r>
        <w:rPr>
          <w:b/>
        </w:rPr>
        <w:t xml:space="preserve">Notes: </w:t>
      </w:r>
      <w:r>
        <w:t>abstract_source=crossref</w:t>
      </w:r>
    </w:p>
    <w:p>
      <w:pPr>
        <w:spacing w:before="0" w:after="200" w:lineRule="auto" w:line="276"/>
      </w:pPr>
      <w:r>
        <w:rPr>
          <w:b/>
        </w:rPr>
        <w:t xml:space="preserve">Abstract: </w:t>
      </w:r>
      <w:r>
        <w:t>Solid oxide electrochemical cells (SOCs) are promising electrochemical devices offering high‐efficiency energy conversion and storage. Their performance and durability, however, are critically governed by their underlying microstructure. Recent advancements in high‐resolution imaging and computational modeling have enabled the development of digital twin frameworks, which integrate detailed microstructural analysis with predictive multiphysics simulations‐ delivering insights beyond the reach of conventional experimental techniques. This review provides a comprehensive overview of digital twin approaches for SOCs at the micrometer‐scale, encompassing 3D microstructure reconstruction, quantitative descriptor extraction, and microstructure‐resolved multiphysics simulations. Progress is summarized in both tomography‐based and synthetic reconstruction techniques, the quantification of key microstructural parameters such as particle size, tortuosity, and triple‐phase boundary length, and the simulation of electrochemical, thermal, and mechanical behavior based on realistic architectures. These digital twin developments have enabled a wide range of applications, including process optimization, composition design, performance prediction, and degradation analysis. Finally, current key challenges and emerging opportunities are discussed, highlighting the potential of integrating artificial intelligence into digital twin workflows to realize real‐time feedback, adaptive modeling, and accelerated, microstructure‐informed SOC design.</w:t>
      </w:r>
    </w:p>
    <w:p>
      <w:pPr>
        <w:spacing w:before="120" w:after="120"/>
      </w:pPr>
      <w:r>
        <w:rPr>
          <w:sz w:val="18"/>
        </w:rPr>
        <w:t>——————————————————————————————————————————————————————————————————————</w:t>
      </w:r>
    </w:p>
    <w:p>
      <w:pPr>
        <w:spacing w:before="160" w:after="80" w:line="240" w:lineRule="auto"/>
      </w:pPr>
      <w:r>
        <w:rPr>
          <w:b/>
        </w:rPr>
        <w:t xml:space="preserve">[80] </w:t>
      </w:r>
      <w:hyperlink r:id="rId126">
        <w:r>
          <w:rPr>
            <w:color w:val="1155CC"/>
            <w:u w:val="single"/>
          </w:rPr>
          <w:t>Low‐Reactivity Electrolytes Achieve Safe and Durable Energy‐Dense NCM955|SiC Pouch Cells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27">
        <w:r>
          <w:rPr>
            <w:color w:val="1155CC"/>
            <w:u w:val="single"/>
          </w:rPr>
          <w:t>10.1002/aenm.202504009</w:t>
        </w:r>
      </w:hyperlink>
    </w:p>
    <w:p>
      <w:pPr>
        <w:spacing w:before="0" w:after="120"/>
      </w:pPr>
      <w:r>
        <w:rPr>
          <w:b/>
        </w:rPr>
        <w:t xml:space="preserve">Notes: </w:t>
      </w:r>
      <w:r>
        <w:t>abstract_source=crossref</w:t>
      </w:r>
    </w:p>
    <w:p>
      <w:pPr>
        <w:spacing w:before="0" w:after="200" w:lineRule="auto" w:line="276"/>
      </w:pPr>
      <w:r>
        <w:rPr>
          <w:b/>
        </w:rPr>
        <w:t xml:space="preserve">Abstract: </w:t>
      </w:r>
      <w:r>
        <w:t>Solvent coordination in conventional electrolytes demonstrates poor thermal compatibility with energy‐dense lithium‐ion batteries, resulting in significant reactivity and the potential for thermal failure. Herein, a low‐reactivity electrolyte (LRE) engineered through anionic coordination is developed to regulate thermally‐driven interfacial and crosstalk reactions, achieving inherent safety in 300 Wh kg</w:t>
      </w:r>
      <w:r>
        <w:t xml:space="preserve"> </w:t>
      </w:r>
      <w:r>
        <w:t>−1</w:t>
      </w:r>
      <w:r>
        <w:t xml:space="preserve"> </w:t>
      </w:r>
      <w:r>
        <w:t>LiNi</w:t>
      </w:r>
      <w:r>
        <w:t xml:space="preserve"> </w:t>
      </w:r>
      <w:r>
        <w:t>0.9</w:t>
      </w:r>
      <w:r>
        <w:t xml:space="preserve"> </w:t>
      </w:r>
      <w:r>
        <w:t>Mn</w:t>
      </w:r>
      <w:r>
        <w:t xml:space="preserve"> </w:t>
      </w:r>
      <w:r>
        <w:t>0.05</w:t>
      </w:r>
      <w:r>
        <w:t xml:space="preserve"> </w:t>
      </w:r>
      <w:r>
        <w:t>Co</w:t>
      </w:r>
      <w:r>
        <w:t xml:space="preserve"> </w:t>
      </w:r>
      <w:r>
        <w:t>0.05</w:t>
      </w:r>
      <w:r>
        <w:t xml:space="preserve"> </w:t>
      </w:r>
      <w:r>
        <w:t>O</w:t>
      </w:r>
      <w:r>
        <w:rPr>
          <w:vertAlign w:val="subscript"/>
        </w:rPr>
        <w:t>2</w:t>
      </w:r>
      <w:r>
        <w:t>|Graphite@10%SiO (NCM955|SiC) pouch cells. The anionic coordination complexes demonstrate exceptional thermal stability when interfacing with the lithiated anode, effectively suppressing both exothermic reactions and flammable gas evolution. In situ temperature‐dependent X ‐ ray diffraction confirms that LRE stabilizes the lithiated anode phase up to 184 °C, a 51 °C improvement over conventional electrolytes, thereby retarding exothermic electrolyte reduction. Notably, a subsequent 27.3% decrease in reductive gases mitigates crosstalk‐induced cathode degradation while reducing combustion risks in pouch cells when employing LRE. Practical evaluation in 2.4 Ah NCM955|SiC pouch cells reveals that LRE sustains exceptional stability up to 255.0 °C under heating, significantly outperforming conventional cells that failed at 165.6 °C with violent combustion. Furthermore, the 2.4Ah pouch cell maintains an impressive 84.5% capacity retention after 800 cycles, indicating enhanced electrochemical stability and longevity. This work highlights the potential of coordination chemistry in developing safe and durable energy‐dense batteries.</w:t>
      </w:r>
    </w:p>
    <w:p>
      <w:pPr>
        <w:spacing w:before="120" w:after="120"/>
      </w:pPr>
      <w:r>
        <w:rPr>
          <w:sz w:val="18"/>
        </w:rPr>
        <w:t>——————————————————————————————————————————————————————————————————————</w:t>
      </w:r>
    </w:p>
    <w:p>
      <w:pPr>
        <w:spacing w:before="160" w:after="80" w:line="240" w:lineRule="auto"/>
      </w:pPr>
      <w:r>
        <w:rPr>
          <w:b/>
        </w:rPr>
        <w:t xml:space="preserve">[81] </w:t>
      </w:r>
      <w:hyperlink r:id="rId128">
        <w:r>
          <w:rPr>
            <w:color w:val="1155CC"/>
            <w:u w:val="single"/>
          </w:rPr>
          <w:t>Dry‐Processed Perovskite Photovoltaics: Materials, Fabrication Techniques, and Devices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29">
        <w:r>
          <w:rPr>
            <w:color w:val="1155CC"/>
            <w:u w:val="single"/>
          </w:rPr>
          <w:t>10.1002/aenm.202503501</w:t>
        </w:r>
      </w:hyperlink>
    </w:p>
    <w:p>
      <w:pPr>
        <w:spacing w:before="0" w:after="120"/>
      </w:pPr>
      <w:r>
        <w:rPr>
          <w:b/>
        </w:rPr>
        <w:t xml:space="preserve">Notes: </w:t>
      </w:r>
      <w:r>
        <w:t>abstract_source=crossref</w:t>
      </w:r>
    </w:p>
    <w:p>
      <w:pPr>
        <w:spacing w:before="0" w:after="200" w:lineRule="auto" w:line="276"/>
      </w:pPr>
      <w:r>
        <w:rPr>
          <w:b/>
        </w:rPr>
        <w:t xml:space="preserve">Abstract: </w:t>
      </w:r>
      <w:r>
        <w:t>Perovskite solar cells (PSCs) have rapidly ascended as a leading thin‐film photovoltaic technology, yet their reliance on solution‐based deposition continues to impede large‐scale commercialization due to high‐purity solvent costs, environmental pollution, and film‐uniformity challenges on textured or large‐area substrates. Dry processing can not only mitigate problems associated with the aforementioned solution processing but also enable sequential, multilayer stacking with negligible damage, thereby enhancing device performance, reproducibility, and stability. In this review, the application of dry‐processed techniques to perovskite layers, hole and electron transport layers, electrodes, and interfacial modification layers are detailed, emphasizing their compatibility with complex architectures and advantages in scalable and reproducible fabrication. By summarizing recent advances in fully dry‐processed PSCs, this review offers a practical framework to overcome scalability bottlenecks and accelerate the commercialization of high‐efficiency, stable perovskite photovoltaics.</w:t>
      </w:r>
    </w:p>
    <w:p>
      <w:pPr>
        <w:spacing w:before="120" w:after="120"/>
      </w:pPr>
      <w:r>
        <w:rPr>
          <w:sz w:val="18"/>
        </w:rPr>
        <w:t>——————————————————————————————————————————————————————————————————————</w:t>
      </w:r>
    </w:p>
    <w:p>
      <w:pPr>
        <w:spacing w:before="160" w:after="80" w:line="240" w:lineRule="auto"/>
      </w:pPr>
      <w:r>
        <w:rPr>
          <w:b/>
        </w:rPr>
        <w:t xml:space="preserve">[82] </w:t>
      </w:r>
      <w:hyperlink r:id="rId130">
        <w:r>
          <w:rPr>
            <w:color w:val="1155CC"/>
            <w:u w:val="single"/>
          </w:rPr>
          <w:t>Optimizing Lithium Nucleation Overpotential in Anode‐Free Garnet‐Based Hybrid Solid‐State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31">
        <w:r>
          <w:rPr>
            <w:color w:val="1155CC"/>
            <w:u w:val="single"/>
          </w:rPr>
          <w:t>10.1002/aenm.202503537</w:t>
        </w:r>
      </w:hyperlink>
    </w:p>
    <w:p>
      <w:pPr>
        <w:spacing w:before="0" w:after="120"/>
      </w:pPr>
      <w:r>
        <w:rPr>
          <w:b/>
        </w:rPr>
        <w:t xml:space="preserve">Notes: </w:t>
      </w:r>
      <w:r>
        <w:t>abstract_source=crossref</w:t>
      </w:r>
    </w:p>
    <w:p>
      <w:pPr>
        <w:spacing w:before="0" w:after="200" w:lineRule="auto" w:line="276"/>
      </w:pPr>
      <w:r>
        <w:rPr>
          <w:b/>
        </w:rPr>
        <w:t xml:space="preserve">Abstract: </w:t>
      </w:r>
      <w:r>
        <w:t>Anode‐free solid‐state lithium batteries promise high‐energy‐density storage but remain limited by unstable interfaces between the solid electrolyte and in situ‐formed lithium. In this work, a hybrid solid–liquid electrolyte strategy is developed using a localized high‐concentration electrolyte containing AlCl</w:t>
      </w:r>
      <w:r>
        <w:rPr>
          <w:vertAlign w:val="subscript"/>
        </w:rPr>
        <w:t>3</w:t>
      </w:r>
      <w:r>
        <w:t>and LiPO</w:t>
      </w:r>
      <w:r>
        <w:rPr>
          <w:vertAlign w:val="subscript"/>
        </w:rPr>
        <w:t>2</w:t>
      </w:r>
      <w:r>
        <w:t>F</w:t>
      </w:r>
      <w:r>
        <w:rPr>
          <w:vertAlign w:val="subscript"/>
        </w:rPr>
        <w:t>2</w:t>
      </w:r>
      <w:r>
        <w:t>, a trilayer garnet‐type Li</w:t>
      </w:r>
      <w:r>
        <w:t xml:space="preserve"> </w:t>
      </w:r>
      <w:r>
        <w:t>6.4</w:t>
      </w:r>
      <w:r>
        <w:t xml:space="preserve"> </w:t>
      </w:r>
      <w:r>
        <w:t>Ga</w:t>
      </w:r>
      <w:r>
        <w:t xml:space="preserve"> </w:t>
      </w:r>
      <w:r>
        <w:t>0.1</w:t>
      </w:r>
      <w:r>
        <w:t xml:space="preserve"> </w:t>
      </w:r>
      <w:r>
        <w:t>La</w:t>
      </w:r>
      <w:r>
        <w:t xml:space="preserve"> </w:t>
      </w:r>
      <w:r>
        <w:t>2.9</w:t>
      </w:r>
      <w:r>
        <w:t xml:space="preserve"> </w:t>
      </w:r>
      <w:r>
        <w:t>Ba</w:t>
      </w:r>
      <w:r>
        <w:t xml:space="preserve"> </w:t>
      </w:r>
      <w:r>
        <w:t>0.1</w:t>
      </w:r>
      <w:r>
        <w:t xml:space="preserve"> </w:t>
      </w:r>
      <w:r>
        <w:t>Zr</w:t>
      </w:r>
      <w:r>
        <w:t xml:space="preserve"> </w:t>
      </w:r>
      <w:r>
        <w:t>1.6</w:t>
      </w:r>
      <w:r>
        <w:t xml:space="preserve"> </w:t>
      </w:r>
      <w:r>
        <w:t>Ta</w:t>
      </w:r>
      <w:r>
        <w:t xml:space="preserve"> </w:t>
      </w:r>
      <w:r>
        <w:t>0.4</w:t>
      </w:r>
      <w:r>
        <w:t xml:space="preserve"> </w:t>
      </w:r>
      <w:r>
        <w:t>O</w:t>
      </w:r>
      <w:r>
        <w:rPr>
          <w:vertAlign w:val="subscript"/>
        </w:rPr>
        <w:t>12</w:t>
      </w:r>
      <w:r>
        <w:t>solid electrolyte. This configuration forms a mechanically stable and ionically conductive solid‐liquid electrolyte interphase, enabling 81% Coulombic efficiency after 300 cycles at 2 mA cm</w:t>
      </w:r>
      <w:r>
        <w:t xml:space="preserve"> </w:t>
      </w:r>
      <w:r>
        <w:t>−2</w:t>
      </w:r>
      <w:r>
        <w:t xml:space="preserve"> </w:t>
      </w:r>
      <w:r>
        <w:t>and 1 mAh cm</w:t>
      </w:r>
      <w:r>
        <w:t xml:space="preserve"> </w:t>
      </w:r>
      <w:r>
        <w:t>−2</w:t>
      </w:r>
      <w:r>
        <w:t xml:space="preserve"> </w:t>
      </w:r>
      <w:r>
        <w:t>in Cu/Li half‐cells. A single‐layer anode‐free hybrid solid‐state pouch cell demonstrated excellent long‐term cycling performance, retaining 75% of its initial capacity after 400 cycles at 1C (1.25 mA cm</w:t>
      </w:r>
      <w:r>
        <w:t xml:space="preserve"> </w:t>
      </w:r>
      <w:r>
        <w:t>−2</w:t>
      </w:r>
      <w:r>
        <w:t xml:space="preserve"> </w:t>
      </w:r>
      <w:r>
        <w:t>), with a Coulombic efficiency of 99% without external pressure and at room temperature. At the lab scale, this hybrid electrolyte approach shows both scalability and performance, providing a potential practical pathway to next‐generation anode‐free hybrid solid‐state lithium batteries.</w:t>
      </w:r>
    </w:p>
    <w:p>
      <w:pPr>
        <w:spacing w:before="120" w:after="120"/>
      </w:pPr>
      <w:r>
        <w:rPr>
          <w:sz w:val="18"/>
        </w:rPr>
        <w:t>——————————————————————————————————————————————————————————————————————</w:t>
      </w:r>
    </w:p>
    <w:p>
      <w:pPr>
        <w:spacing w:before="160" w:after="80" w:line="240" w:lineRule="auto"/>
      </w:pPr>
      <w:r>
        <w:rPr>
          <w:b/>
        </w:rPr>
        <w:t xml:space="preserve">[83] </w:t>
      </w:r>
      <w:hyperlink r:id="rId132">
        <w:r>
          <w:rPr>
            <w:color w:val="1155CC"/>
            <w:u w:val="single"/>
          </w:rPr>
          <w:t>Atomic Layer Deposition for Sodium‐Ion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33">
        <w:r>
          <w:rPr>
            <w:color w:val="1155CC"/>
            <w:u w:val="single"/>
          </w:rPr>
          <w:t>10.1002/aenm.202501760</w:t>
        </w:r>
      </w:hyperlink>
    </w:p>
    <w:p>
      <w:pPr>
        <w:spacing w:before="0" w:after="120"/>
      </w:pPr>
      <w:r>
        <w:rPr>
          <w:b/>
        </w:rPr>
        <w:t xml:space="preserve">Notes: </w:t>
      </w:r>
      <w:r>
        <w:t>abstract_source=crossref</w:t>
      </w:r>
    </w:p>
    <w:p>
      <w:pPr>
        <w:spacing w:before="0" w:after="200" w:lineRule="auto" w:line="276"/>
      </w:pPr>
      <w:r>
        <w:rPr>
          <w:b/>
        </w:rPr>
        <w:t xml:space="preserve">Abstract: </w:t>
      </w:r>
      <w:r>
        <w:t>Sodium (Na)‐ion batteries (SIBs) have emerged as a sustainable alternative to lithium (Li)‐ion counterparts due to sodium's abundance and cost‐effectiveness. However, the larger ionic radius and higher mass of Na</w:t>
      </w:r>
      <w:r>
        <w:t xml:space="preserve"> </w:t>
      </w:r>
      <w:r>
        <w:t>+</w:t>
      </w:r>
      <w:r>
        <w:t xml:space="preserve"> </w:t>
      </w:r>
      <w:r>
        <w:t>compared to Li⁺ induce sluggish Na⁺ intercalation kinetics within electrode materials, compromising energy density, rate capability, and lifespan. Atomic layer deposition (ALD) presents a promising approach for addressing these issues. This technique can not only synthesize favorable nanostructured coatings/electrodes to accelerate Na</w:t>
      </w:r>
      <w:r>
        <w:t xml:space="preserve"> </w:t>
      </w:r>
      <w:r>
        <w:t>+</w:t>
      </w:r>
      <w:r>
        <w:t xml:space="preserve"> </w:t>
      </w:r>
      <w:r>
        <w:t>diffusion but also precisely control their thickness to reduce unnecessary mass loading. Over the past five years, research on ALD in SIBs has surged, particularly in cathode applications. However, a comprehensive review focusing specifically on ALD in SIBs remains absent. This review aims to bridge that gap by analyzing key studies published in recent years. First, the ALD techniques as applied in SIBs are outlined, covering their fundamental process, key parameters, common coating materials, and historical development. Next, the applications of ALD on various anodes, cathodes, and solid‐state electrolytes are categorized and summarized, with a particular emphasis on ALD's roles in enhancing SIBs' performance. Finally, the challenges and possible future directions of ALD in SIBs are discussed, aiming to accelerate R&amp;amp;D for practical applications and the commercialization of SIBs.</w:t>
      </w:r>
    </w:p>
    <w:p>
      <w:pPr>
        <w:spacing w:before="120" w:after="120"/>
      </w:pPr>
      <w:r>
        <w:rPr>
          <w:sz w:val="18"/>
        </w:rPr>
        <w:t>——————————————————————————————————————————————————————————————————————</w:t>
      </w:r>
    </w:p>
    <w:p>
      <w:pPr>
        <w:spacing w:before="160" w:after="80" w:line="240" w:lineRule="auto"/>
      </w:pPr>
      <w:r>
        <w:rPr>
          <w:b/>
        </w:rPr>
        <w:t xml:space="preserve">[84] </w:t>
      </w:r>
      <w:hyperlink r:id="rId134">
        <w:r>
          <w:rPr>
            <w:color w:val="1155CC"/>
            <w:u w:val="single"/>
          </w:rPr>
          <w:t>Post‐Lithium Storage—Shaping the Future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35">
        <w:r>
          <w:rPr>
            <w:color w:val="1155CC"/>
            <w:u w:val="single"/>
          </w:rPr>
          <w:t>10.1002/aenm.202402824</w:t>
        </w:r>
      </w:hyperlink>
    </w:p>
    <w:p>
      <w:pPr>
        <w:spacing w:before="0" w:after="120"/>
      </w:pPr>
      <w:r>
        <w:rPr>
          <w:b/>
        </w:rPr>
        <w:t xml:space="preserve">Notes: </w:t>
      </w:r>
      <w:r>
        <w:t>abstract_source=semanticscholar</w:t>
      </w:r>
    </w:p>
    <w:p>
      <w:pPr>
        <w:spacing w:before="0" w:after="200" w:lineRule="auto" w:line="276"/>
      </w:pPr>
      <w:r>
        <w:rPr>
          <w:b/>
        </w:rPr>
        <w:t xml:space="preserve">Abstract: </w:t>
      </w:r>
      <w:r>
        <w:t>Electrochemical Energy Storage is one of the most active ﬁelds of current materials research, driven by an ever-growing demand for cost-and resource-eﬀective batteries. The lithium-ion battery (LIB) was commercialized more than 30 years ago and has since become the basis of a worldwide industry, supplying storage capacities of hundreds of GWh. With an increasing fraction of vehicles being “battery electric”</w:t>
      </w:r>
    </w:p>
    <w:p>
      <w:pPr>
        <w:spacing w:before="120" w:after="120"/>
      </w:pPr>
      <w:r>
        <w:rPr>
          <w:sz w:val="18"/>
        </w:rPr>
        <w:t>——————————————————————————————————————————————————————————————————————</w:t>
      </w:r>
    </w:p>
    <w:p>
      <w:pPr>
        <w:spacing w:before="160" w:after="80" w:line="240" w:lineRule="auto"/>
      </w:pPr>
      <w:r>
        <w:rPr>
          <w:b/>
        </w:rPr>
        <w:t xml:space="preserve">[85] </w:t>
      </w:r>
      <w:hyperlink r:id="rId136">
        <w:r>
          <w:rPr>
            <w:color w:val="1155CC"/>
            <w:u w:val="single"/>
          </w:rPr>
          <w:t>Corrosion‐Resistant Shape‐Programmable Zn–I2 Battery</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37">
        <w:r>
          <w:rPr>
            <w:color w:val="1155CC"/>
            <w:u w:val="single"/>
          </w:rPr>
          <w:t>10.1002/aenm.202401321</w:t>
        </w:r>
      </w:hyperlink>
    </w:p>
    <w:p>
      <w:pPr>
        <w:spacing w:before="0" w:after="120"/>
      </w:pPr>
      <w:r>
        <w:rPr>
          <w:b/>
        </w:rPr>
        <w:t xml:space="preserve">Notes: </w:t>
      </w:r>
      <w:r>
        <w:t>abstract_source=crossref</w:t>
      </w:r>
    </w:p>
    <w:p>
      <w:pPr>
        <w:spacing w:before="0" w:after="200" w:lineRule="auto" w:line="276"/>
      </w:pPr>
      <w:r>
        <w:rPr>
          <w:b/>
        </w:rPr>
        <w:t xml:space="preserve">Abstract: </w:t>
      </w:r>
      <w:r>
        <w:t>Zinc–iodine (Zn–I</w:t>
      </w:r>
      <w:r>
        <w:rPr>
          <w:vertAlign w:val="subscript"/>
        </w:rPr>
        <w:t>2</w:t>
      </w:r>
      <w:r>
        <w:t>) batteries are promising, low‐cost and safe aqueous rechargeable energy storage devices. An iodide shuttle‐induced corrosion and poor zinc (Zn) stripping/plating often result in a limited battery lifetime, urges the development of multifunctional Zn anodes. To overcome these problems, here multifunctional Zn‐anode is demonstrated with shape‐programmability and uniform Zn morphology along low‐indexed (002) crystal plane, achieved by electrodepositing Zn on nitinol alloy (nickel–titanium, NiTi). It is found that the surface oxide layer on NiTi supports the uniform Zn deposition with densely packed and planar film formation that leads high corrosion resistance, while adopts the shape‐memory function. NiTi‐based device achieves extremely steady performance, benefiting from uniform and planar Zn morphology during cycling, whereas the Zn‐based device short‐circuits due to dendritic development under severe iodide corrosion. It is also demonstrated a flat‐shape‐programmed flexible pouch cell Zn–I</w:t>
      </w:r>
      <w:r>
        <w:rPr>
          <w:vertAlign w:val="subscript"/>
        </w:rPr>
        <w:t>2</w:t>
      </w:r>
      <w:r>
        <w:t>battery (SP‐ZIB), which performs well in bent mode, recovers its original flat shape at elevated temperature, and shows consistent performance for validated cycles. The shape‐memory function of NiTi makes this Zn–I</w:t>
      </w:r>
      <w:r>
        <w:rPr>
          <w:vertAlign w:val="subscript"/>
        </w:rPr>
        <w:t>2</w:t>
      </w:r>
      <w:r>
        <w:t>battery advanced by flexibility and shape‐programmable features. This study represents fresh insight for using smart materials as multifunctional features for the next‐generation Zn‐I</w:t>
      </w:r>
      <w:r>
        <w:rPr>
          <w:vertAlign w:val="subscript"/>
        </w:rPr>
        <w:t>2</w:t>
      </w:r>
      <w:r>
        <w:t>batteries.</w:t>
      </w:r>
    </w:p>
    <w:p>
      <w:pPr>
        <w:spacing w:before="120" w:after="120"/>
      </w:pPr>
      <w:r>
        <w:rPr>
          <w:sz w:val="18"/>
        </w:rPr>
        <w:t>——————————————————————————————————————————————————————————————————————</w:t>
      </w:r>
    </w:p>
    <w:p>
      <w:pPr>
        <w:spacing w:before="160" w:after="80" w:line="240" w:lineRule="auto"/>
      </w:pPr>
      <w:r>
        <w:rPr>
          <w:b/>
        </w:rPr>
        <w:t xml:space="preserve">[86] </w:t>
      </w:r>
      <w:hyperlink r:id="rId138">
        <w:r>
          <w:rPr>
            <w:color w:val="1155CC"/>
            <w:u w:val="single"/>
          </w:rPr>
          <w:t>Rethinking Sustainable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39">
        <w:r>
          <w:rPr>
            <w:color w:val="1155CC"/>
            <w:u w:val="single"/>
          </w:rPr>
          <w:t>10.1002/aenm.202502829</w:t>
        </w:r>
      </w:hyperlink>
    </w:p>
    <w:p>
      <w:pPr>
        <w:spacing w:before="0" w:after="120"/>
      </w:pPr>
      <w:r>
        <w:rPr>
          <w:b/>
        </w:rPr>
        <w:t xml:space="preserve">Notes: </w:t>
      </w:r>
      <w:r>
        <w:t>abstract_source=crossref</w:t>
      </w:r>
    </w:p>
    <w:p>
      <w:pPr>
        <w:spacing w:before="0" w:after="200" w:lineRule="auto" w:line="276"/>
      </w:pPr>
      <w:r>
        <w:rPr>
          <w:b/>
        </w:rPr>
        <w:t xml:space="preserve">Abstract: </w:t>
      </w:r>
      <w:r>
        <w:t>Batteries will play a pivotal role in meeting our increasing energy demands and reaching net zero by 2050. It is critical to achieve this growth in a sustainable manner by diversifying battery chemistries and managing resources and waste responsibly. However, evaluating battery sustainability is a complex issue where metrics are yet to be developed to enable a precise evaluation of the interwoven economic, social, and environmental impacts. Here, sustainability is considered in the context of the whole battery lifecycle, and the principal factors across mining, refining, and manufacturing are discussed, through to the use phase and end of life. Mirroring the 1998 principles of sustainable chemistry by Paul Anastas and John Warner, twelve principles for the sustainable development of green batteries are proposed, and the perspective is presented on how concerted industrial and academic efforts, alongside informed policy making, can shape a truly sustainable energy landscape.</w:t>
      </w:r>
    </w:p>
    <w:p>
      <w:pPr>
        <w:spacing w:before="120" w:after="120"/>
      </w:pPr>
      <w:r>
        <w:rPr>
          <w:sz w:val="18"/>
        </w:rPr>
        <w:t>——————————————————————————————————————————————————————————————————————</w:t>
      </w:r>
    </w:p>
    <w:p>
      <w:pPr>
        <w:spacing w:before="160" w:after="80" w:line="240" w:lineRule="auto"/>
      </w:pPr>
      <w:r>
        <w:rPr>
          <w:b/>
        </w:rPr>
        <w:t xml:space="preserve">[87] </w:t>
      </w:r>
      <w:hyperlink r:id="rId140">
        <w:r>
          <w:rPr>
            <w:color w:val="1155CC"/>
            <w:u w:val="single"/>
          </w:rPr>
          <w:t>Impact of Trap Depth on the Steady‐State and Transient Photoluminescence in Halide Perovskite Films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41">
        <w:r>
          <w:rPr>
            <w:color w:val="1155CC"/>
            <w:u w:val="single"/>
          </w:rPr>
          <w:t>10.1002/aenm.202503157</w:t>
        </w:r>
      </w:hyperlink>
    </w:p>
    <w:p>
      <w:pPr>
        <w:spacing w:before="0" w:after="120"/>
      </w:pPr>
      <w:r>
        <w:rPr>
          <w:b/>
        </w:rPr>
        <w:t xml:space="preserve">Notes: </w:t>
      </w:r>
      <w:r>
        <w:t>abstract_source=crossref</w:t>
      </w:r>
    </w:p>
    <w:p>
      <w:pPr>
        <w:spacing w:before="0" w:after="200" w:lineRule="auto" w:line="276"/>
      </w:pPr>
      <w:r>
        <w:rPr>
          <w:b/>
        </w:rPr>
        <w:t xml:space="preserve">Abstract: </w:t>
      </w:r>
      <w:r>
        <w:t>Within the field of halide perovskites, trap‐assisted recombination is often considered to be synonymous with first‐order recombination, that is, recombination that scales linearly with the charge‐carrier concentration. However, the standard Shockley‐Read‐Hall statistics naturally predict that trap‐assisted recombination can have any scaling between linear and quadratic with carrier density, depending on the position of the trap or defect that enables recombination. In an intrinsic semiconductor, the shallower a trap is, the more the recombination rate will scale quadratically with carrier density, and the more it will resemble radiative recombination in its behavior in any transient experiment. Here, the theoretical implications of the trap depth in general and shallow traps in particular on transient and steady‐state experiments applied to halide perovskite samples for photovoltaic or optoelectronic applications are discussed.</w:t>
      </w:r>
    </w:p>
    <w:p>
      <w:pPr>
        <w:spacing w:before="120" w:after="120"/>
      </w:pPr>
      <w:r>
        <w:rPr>
          <w:sz w:val="18"/>
        </w:rPr>
        <w:t>——————————————————————————————————————————————————————————————————————</w:t>
      </w:r>
    </w:p>
    <w:p>
      <w:pPr>
        <w:spacing w:before="160" w:after="80" w:line="240" w:lineRule="auto"/>
      </w:pPr>
      <w:r>
        <w:rPr>
          <w:b/>
        </w:rPr>
        <w:t xml:space="preserve">[88] </w:t>
      </w:r>
      <w:hyperlink r:id="rId142">
        <w:r>
          <w:rPr>
            <w:color w:val="1155CC"/>
            <w:u w:val="single"/>
          </w:rPr>
          <w:t>Unveiling Entropy‐Driven Performance Enhancement in Double Perovskite Oxygen Electrodes for Protonic Ceramic Electrochemical Cells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43">
        <w:r>
          <w:rPr>
            <w:color w:val="1155CC"/>
            <w:u w:val="single"/>
          </w:rPr>
          <w:t>10.1002/aenm.202503176</w:t>
        </w:r>
      </w:hyperlink>
    </w:p>
    <w:p>
      <w:pPr>
        <w:spacing w:before="0" w:after="120"/>
      </w:pPr>
      <w:r>
        <w:rPr>
          <w:b/>
        </w:rPr>
        <w:t xml:space="preserve">Notes: </w:t>
      </w:r>
      <w:r>
        <w:t>abstract_source=crossref</w:t>
      </w:r>
    </w:p>
    <w:p>
      <w:pPr>
        <w:spacing w:before="0" w:after="200" w:lineRule="auto" w:line="276"/>
      </w:pPr>
      <w:r>
        <w:rPr>
          <w:b/>
        </w:rPr>
        <w:t xml:space="preserve">Abstract: </w:t>
      </w:r>
      <w:r>
        <w:t>The secure and efficient delivery of energy demands advanced solutions, such as protonic ceramic electrochemical cells (PCECs). Despite their promise, challenges including sluggish oxygen electrode kinetics and phase instability in humid or CO</w:t>
      </w:r>
      <w:r>
        <w:rPr>
          <w:vertAlign w:val="subscript"/>
        </w:rPr>
        <w:t>2</w:t>
      </w:r>
      <w:r>
        <w:t>‐rich environments hinder their widespread adoption. Herein, a novel high‐entropy double perovskite oxide (HEDPO), Pr</w:t>
      </w:r>
      <w:r>
        <w:t xml:space="preserve"> </w:t>
      </w:r>
      <w:r>
        <w:t>0.2</w:t>
      </w:r>
      <w:r>
        <w:t xml:space="preserve"> </w:t>
      </w:r>
      <w:r>
        <w:t>La</w:t>
      </w:r>
      <w:r>
        <w:t xml:space="preserve"> </w:t>
      </w:r>
      <w:r>
        <w:t>0.2</w:t>
      </w:r>
      <w:r>
        <w:t xml:space="preserve"> </w:t>
      </w:r>
      <w:r>
        <w:t>Nd</w:t>
      </w:r>
      <w:r>
        <w:t xml:space="preserve"> </w:t>
      </w:r>
      <w:r>
        <w:t>0.2</w:t>
      </w:r>
      <w:r>
        <w:t xml:space="preserve"> </w:t>
      </w:r>
      <w:r>
        <w:t>Na</w:t>
      </w:r>
      <w:r>
        <w:t xml:space="preserve"> </w:t>
      </w:r>
      <w:r>
        <w:t>0.2</w:t>
      </w:r>
      <w:r>
        <w:t xml:space="preserve"> </w:t>
      </w:r>
      <w:r>
        <w:t>Ca</w:t>
      </w:r>
      <w:r>
        <w:t xml:space="preserve"> </w:t>
      </w:r>
      <w:r>
        <w:t>0.2</w:t>
      </w:r>
      <w:r>
        <w:t xml:space="preserve"> </w:t>
      </w:r>
      <w:r>
        <w:t>Ba</w:t>
      </w:r>
      <w:r>
        <w:t xml:space="preserve"> </w:t>
      </w:r>
      <w:r>
        <w:t>0.5</w:t>
      </w:r>
      <w:r>
        <w:t xml:space="preserve"> </w:t>
      </w:r>
      <w:r>
        <w:t>Sr</w:t>
      </w:r>
      <w:r>
        <w:t xml:space="preserve"> </w:t>
      </w:r>
      <w:r>
        <w:t>0.5</w:t>
      </w:r>
      <w:r>
        <w:t xml:space="preserve"> </w:t>
      </w:r>
      <w:r>
        <w:t>Co</w:t>
      </w:r>
      <w:r>
        <w:t xml:space="preserve"> </w:t>
      </w:r>
      <w:r>
        <w:t>1.5</w:t>
      </w:r>
      <w:r>
        <w:t xml:space="preserve"> </w:t>
      </w:r>
      <w:r>
        <w:t>Fe</w:t>
      </w:r>
      <w:r>
        <w:t xml:space="preserve"> </w:t>
      </w:r>
      <w:r>
        <w:t>0.5</w:t>
      </w:r>
      <w:r>
        <w:t xml:space="preserve"> </w:t>
      </w:r>
      <w:r>
        <w:t>O</w:t>
      </w:r>
      <w:r>
        <w:t xml:space="preserve"> </w:t>
      </w:r>
      <w:r>
        <w:t>5+δ</w:t>
      </w:r>
      <w:r>
        <w:t xml:space="preserve"> </w:t>
      </w:r>
      <w:r>
        <w:t>(PLNNCBSCF), engineered to leverage the stabilizing effects of high configurational entropy while delivering superior electrochemical performance is developed. Physicochemical characterization confirms the successful formation of a high‐entropy matrix, providing enhanced structural stability and a high density of catalytically active defects. Density functional theory calculations further reveal that the dynamic atomic configurations and heterogeneous electronic distributions within PLNNCBSCF facilitate improved electrochemical reaction kinetics. PCECs incorporating PLNNCBSCF oxygen electrodes demonstrate exceptional performance, achieving a peak power density of 1.77 W·cm</w:t>
      </w:r>
      <w:r>
        <w:t xml:space="preserve"> </w:t>
      </w:r>
      <w:r>
        <w:t>−2</w:t>
      </w:r>
      <w:r>
        <w:t xml:space="preserve"> </w:t>
      </w:r>
      <w:r>
        <w:t>in fuel cell mode and a current density of 4.42 A·cm</w:t>
      </w:r>
      <w:r>
        <w:t xml:space="preserve"> </w:t>
      </w:r>
      <w:r>
        <w:t>−2</w:t>
      </w:r>
      <w:r>
        <w:t xml:space="preserve"> </w:t>
      </w:r>
      <w:r>
        <w:t>at 1.3 V in electrolysis cell mode at 650 °C. These findings highlight the potential of HEDPOs as robust, high‐performance oxygen electrodes, paving the way for sustainable energy technologies in electrochemical energy conversion and storage.</w:t>
      </w:r>
    </w:p>
    <w:p>
      <w:pPr>
        <w:spacing w:before="120" w:after="120"/>
      </w:pPr>
      <w:r>
        <w:rPr>
          <w:sz w:val="18"/>
        </w:rPr>
        <w:t>——————————————————————————————————————————————————————————————————————</w:t>
      </w:r>
    </w:p>
    <w:p>
      <w:pPr>
        <w:spacing w:before="160" w:after="80" w:line="240" w:lineRule="auto"/>
      </w:pPr>
      <w:r>
        <w:rPr>
          <w:b/>
        </w:rPr>
        <w:t xml:space="preserve">[89] </w:t>
      </w:r>
      <w:hyperlink r:id="rId144">
        <w:r>
          <w:rPr>
            <w:color w:val="1155CC"/>
            <w:u w:val="single"/>
          </w:rPr>
          <w:t>Electrolyte‐Driven Suppression of Oxygen Dimerization and Oxygen Evolution in High‐Voltage Li‐Ion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45">
        <w:r>
          <w:rPr>
            <w:color w:val="1155CC"/>
            <w:u w:val="single"/>
          </w:rPr>
          <w:t>10.1002/aenm.202503180</w:t>
        </w:r>
      </w:hyperlink>
    </w:p>
    <w:p>
      <w:pPr>
        <w:spacing w:before="0" w:after="120"/>
      </w:pPr>
      <w:r>
        <w:rPr>
          <w:b/>
        </w:rPr>
        <w:t xml:space="preserve">Notes: </w:t>
      </w:r>
      <w:r>
        <w:t>abstract_source=crossref</w:t>
      </w:r>
    </w:p>
    <w:p>
      <w:pPr>
        <w:spacing w:before="0" w:after="200" w:lineRule="auto" w:line="276"/>
      </w:pPr>
      <w:r>
        <w:rPr>
          <w:b/>
        </w:rPr>
        <w:t xml:space="preserve">Abstract: </w:t>
      </w:r>
      <w:r>
        <w:t>High‐voltage operation of Ni‐rich layered cathodes in lithium‐ion batteries (LIBs) induces oxygen redox reactions, leading to singlet oxygen evolution, interfacial degradation, and electrolyte decomposition. While cathode engineering has been extensively explored to mitigate these challenges, electrolyte‐based strategies for directly regulating oxygen redox remain limited. To address this limitation, an anthracene‐functionalized cyanoethyl polyvinyl alcohol (An‐PVA‐CN) gel polymer electrolyte (GPE) is developed, offering dual functionalities: anchoring oxidized surface oxygen and scavenging singlet oxygen. The anthracene moiety binds to oxidized lattice oxygen prior to O–O dimer formation, forming a stable Ni─O─C bridging structure that suppresses singlet oxygen release. It also acts as an effective scavenger for any singlet oxygen generated. Simultaneously, the electron‐rich nitrile groups coordinate with transition metals, suppressing over‐oxidation of Ni during charging. Spectroscopic and computational analyses confirm the suppression of oxygen redox and stabilization of surface oxygen species. By regulating charge compensation via transition metal redox while inhibiting oxygen redox, oxygen gas evolution and transition metal dissolution are effectively mitigated. As a result, An‐PVA‐CN GPE enables 81% capacity retention over 500 cycles at 4.55 V in full‐cell configurations. This work demonstrates a rare electrolyte‐centered approach to oxygen redox regulation and offers a promising design strategy for stabilizing high‐voltage LIBs.</w:t>
      </w:r>
    </w:p>
    <w:p>
      <w:pPr>
        <w:spacing w:before="120" w:after="120"/>
      </w:pPr>
      <w:r>
        <w:rPr>
          <w:sz w:val="18"/>
        </w:rPr>
        <w:t>——————————————————————————————————————————————————————————————————————</w:t>
      </w:r>
    </w:p>
    <w:p>
      <w:pPr>
        <w:spacing w:before="160" w:after="80" w:line="240" w:lineRule="auto"/>
      </w:pPr>
      <w:r>
        <w:rPr>
          <w:b/>
        </w:rPr>
        <w:t xml:space="preserve">[90] </w:t>
      </w:r>
      <w:hyperlink r:id="rId146">
        <w:r>
          <w:rPr>
            <w:color w:val="1155CC"/>
            <w:u w:val="single"/>
          </w:rPr>
          <w:t>Mechanical‐Thermal Co‐Design of Flexible Thermoelectric Devices with Solid‐Liquid Electrodes for Enhanced Stretchability and Power Generation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47">
        <w:r>
          <w:rPr>
            <w:color w:val="1155CC"/>
            <w:u w:val="single"/>
          </w:rPr>
          <w:t>10.1002/aenm.202503184</w:t>
        </w:r>
      </w:hyperlink>
    </w:p>
    <w:p>
      <w:pPr>
        <w:spacing w:before="0" w:after="120"/>
      </w:pPr>
      <w:r>
        <w:rPr>
          <w:b/>
        </w:rPr>
        <w:t xml:space="preserve">Notes: </w:t>
      </w:r>
      <w:r>
        <w:t>abstract_source=crossref</w:t>
      </w:r>
    </w:p>
    <w:p>
      <w:pPr>
        <w:spacing w:before="0" w:after="200" w:lineRule="auto" w:line="276"/>
      </w:pPr>
      <w:r>
        <w:rPr>
          <w:b/>
        </w:rPr>
        <w:t xml:space="preserve">Abstract: </w:t>
      </w:r>
      <w:r>
        <w:t>The trade‐off between stretchability and power generation performance of flexible thermoelectric devices (FTEDs) hinders their practical applications in self‐powered wearable electronics. Herein, a novel mechanical‐thermal co‐design strategy is proposed based on a solid‐liquid electrode configuration to address this critical issue. This approach introduces a gravity‐assisted controllable encapsulation method that enables thin‐layer elastic confinement of liquid metal electrodes, simultaneously minimizing parasitic thermal resistance and achieving exceptional stretchability. Additionally, a tight‐binding arrangement of thermoelectric pairs mitigates interfacial stress concentration during mechanical deformation to significantly improve stretchability, while microstructured solid electrodes enhance heat dissipation to boost output power. The optimized device achieves over 100% stretchability (device resistance change does not exceed 10%) and a normalized output power density of 0.098 µW cm</w:t>
      </w:r>
      <w:r>
        <w:t xml:space="preserve"> </w:t>
      </w:r>
      <w:r>
        <w:t>−2</w:t>
      </w:r>
      <w:r>
        <w:t xml:space="preserve"> </w:t>
      </w:r>
      <w:r>
        <w:t>K</w:t>
      </w:r>
      <w:r>
        <w:t xml:space="preserve"> </w:t>
      </w:r>
      <w:r>
        <w:t>−2</w:t>
      </w:r>
      <w:r>
        <w:t xml:space="preserve"> </w:t>
      </w:r>
      <w:r>
        <w:t>under natural convection conditions without external heat sinks, with excellent stability maintained after over 10 000 cycles under large tensile and bending strains. As a proof of concept, the efficient applications of the FTEDs are demonstrated in harvesting heat from curved surfaces in various scenarios and powering LED bulbs. This work presents a breakthrough in achieving both high power generation performance and high stretchability in FTEDs, providing a new pathway for developing devices to harvest heat from highly deformable surfaces.</w:t>
      </w:r>
    </w:p>
    <w:p>
      <w:pPr>
        <w:spacing w:before="120" w:after="120"/>
      </w:pPr>
      <w:r>
        <w:rPr>
          <w:sz w:val="18"/>
        </w:rPr>
        <w:t>——————————————————————————————————————————————————————————————————————</w:t>
      </w:r>
    </w:p>
    <w:p>
      <w:pPr>
        <w:spacing w:before="160" w:after="80" w:line="240" w:lineRule="auto"/>
      </w:pPr>
      <w:r>
        <w:rPr>
          <w:b/>
        </w:rPr>
        <w:t xml:space="preserve">[91] </w:t>
      </w:r>
      <w:hyperlink r:id="rId148">
        <w:r>
          <w:rPr>
            <w:color w:val="1155CC"/>
            <w:u w:val="single"/>
          </w:rPr>
          <w:t>Process Parameter Specification and Control in Solution Processing of Hybrid Perovskite Photovoltaics: From Domain‐Specific Jargon to Evidence‐Based, Unambiguous Description of Experimental Workflows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49">
        <w:r>
          <w:rPr>
            <w:color w:val="1155CC"/>
            <w:u w:val="single"/>
          </w:rPr>
          <w:t>10.1002/aenm.202503187</w:t>
        </w:r>
      </w:hyperlink>
    </w:p>
    <w:p>
      <w:pPr>
        <w:spacing w:before="0" w:after="120"/>
      </w:pPr>
      <w:r>
        <w:rPr>
          <w:b/>
        </w:rPr>
        <w:t xml:space="preserve">Notes: </w:t>
      </w:r>
      <w:r>
        <w:t>abstract_source=crossref</w:t>
      </w:r>
    </w:p>
    <w:p>
      <w:pPr>
        <w:spacing w:before="0" w:after="200" w:lineRule="auto" w:line="276"/>
      </w:pPr>
      <w:r>
        <w:rPr>
          <w:b/>
        </w:rPr>
        <w:t xml:space="preserve">Abstract: </w:t>
      </w:r>
      <w:r>
        <w:t>Within the last 20 years, hybrid perovskite solar cells (PSCs) have reached remarkable power conversion efficiencies. Further, scalability of hybrid perovskite deposition routines and stability of PSCs have been significantly improved. Yet, a critical roadblock remains: Poor reproducibility largely caused by inconsistent control and reporting of process parameters. Key aspects such as the handling of the perovskite solution, the air jet used for drying, or the process atmosphere are often incompletely specified. In response, this review systematically presents the empirical evidence linking process parameters to the film morphology and the device performance for solution‐based one‐step and two‐step deposition routines of highly efficient PSCs as well as large‐area perovskite modules. To maximize interdisciplinary understanding, the process parameters are standardized within the thin‐film solar cell ontology (TFSCO), structured according to the internal logic of sequential deposition and classified by fundamental mass transfer mechanisms. In a final literature study, the state‐of‐the‐art of parameter reporting is assessed—mirroring to the community where reporting standards can be improved. By using the here‐presented parameter list as a template, perovskite workflows become fully and unambiguously specified—bridging the gap between manual and automated process optimization and fostering data‐driven acceleration via digital twins of perovskite research.</w:t>
      </w:r>
    </w:p>
    <w:p>
      <w:pPr>
        <w:spacing w:before="120" w:after="120"/>
      </w:pPr>
      <w:r>
        <w:rPr>
          <w:sz w:val="18"/>
        </w:rPr>
        <w:t>——————————————————————————————————————————————————————————————————————</w:t>
      </w:r>
    </w:p>
    <w:p>
      <w:pPr>
        <w:spacing w:before="160" w:after="80" w:line="240" w:lineRule="auto"/>
      </w:pPr>
      <w:r>
        <w:rPr>
          <w:b/>
        </w:rPr>
        <w:t xml:space="preserve">[92] </w:t>
      </w:r>
      <w:hyperlink r:id="rId150">
        <w:r>
          <w:rPr>
            <w:color w:val="1155CC"/>
            <w:u w:val="single"/>
          </w:rPr>
          <w:t>Hydrogel Electrolytes for Temperature Robust Aqueous Zinc‐Ion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51">
        <w:r>
          <w:rPr>
            <w:color w:val="1155CC"/>
            <w:u w:val="single"/>
          </w:rPr>
          <w:t>10.1002/aenm.202503226</w:t>
        </w:r>
      </w:hyperlink>
    </w:p>
    <w:p>
      <w:pPr>
        <w:spacing w:before="0" w:after="120"/>
      </w:pPr>
      <w:r>
        <w:rPr>
          <w:b/>
        </w:rPr>
        <w:t xml:space="preserve">Notes: </w:t>
      </w:r>
      <w:r>
        <w:t>abstract_source=crossref</w:t>
      </w:r>
    </w:p>
    <w:p>
      <w:pPr>
        <w:spacing w:before="0" w:after="200" w:lineRule="auto" w:line="276"/>
      </w:pPr>
      <w:r>
        <w:rPr>
          <w:b/>
        </w:rPr>
        <w:t xml:space="preserve">Abstract: </w:t>
      </w:r>
      <w:r>
        <w:t>Aqueous zinc‐ion batteries (AZIBs) have emerged as promising candidates for next‐generation energy storage devices due to their cost‐effectiveness, enhanced safety, and environmental friendliness. However, conventional liquid electrolytes frequently encounter challenges in wide‐temperature applications, such as narrow electrochemical stability windows and interfacial instability between electrodes and electrolytes. In recent years, hydrogel electrolytes (HEs) serving as quasi‐solid‐state electrolytes (QEs) have been developed for AZIBs to offer a unique blend of the benefits associated with both liquid and solid‐state electrolytes. This review begins by systematically outlining the challenges encountered by HEs when subjected to extreme temperature conditions, including electrolyte freezing/evaporation and dendrite growth. Subsequently, a comprehensive analysis of the recent modification strategies that have been proposed to expand the operational temperature range of HEs is conducted. In the end, multidimensional perspectives are provided for future development of wide‐temperature hydrogel electrolytes (WTHEs). It is anticipated that this review will expedite the adoption of WTHEs in AZIBs and make a meaningful contribution to the advancement of highly safe energy storage systems.</w:t>
      </w:r>
    </w:p>
    <w:p>
      <w:pPr>
        <w:spacing w:before="120" w:after="120"/>
      </w:pPr>
      <w:r>
        <w:rPr>
          <w:sz w:val="18"/>
        </w:rPr>
        <w:t>——————————————————————————————————————————————————————————————————————</w:t>
      </w:r>
    </w:p>
    <w:p>
      <w:pPr>
        <w:spacing w:before="160" w:after="80" w:line="240" w:lineRule="auto"/>
      </w:pPr>
      <w:r>
        <w:rPr>
          <w:b/>
        </w:rPr>
        <w:t xml:space="preserve">[93] </w:t>
      </w:r>
      <w:hyperlink r:id="rId152">
        <w:r>
          <w:rPr>
            <w:color w:val="1155CC"/>
            <w:u w:val="single"/>
          </w:rPr>
          <w:t>Thermal Dynamics and Lithium Plating Detection in High‐Power Li‐Ion Batteries for eVTOL Applications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53">
        <w:r>
          <w:rPr>
            <w:color w:val="1155CC"/>
            <w:u w:val="single"/>
          </w:rPr>
          <w:t>10.1002/aenm.202503292</w:t>
        </w:r>
      </w:hyperlink>
    </w:p>
    <w:p>
      <w:pPr>
        <w:spacing w:before="0" w:after="120"/>
      </w:pPr>
      <w:r>
        <w:rPr>
          <w:b/>
        </w:rPr>
        <w:t xml:space="preserve">Notes: </w:t>
      </w:r>
      <w:r>
        <w:t>abstract_source=crossref</w:t>
      </w:r>
    </w:p>
    <w:p>
      <w:pPr>
        <w:spacing w:before="0" w:after="200" w:lineRule="auto" w:line="276"/>
      </w:pPr>
      <w:r>
        <w:rPr>
          <w:b/>
        </w:rPr>
        <w:t xml:space="preserve">Abstract: </w:t>
      </w:r>
      <w:r>
        <w:t>The rapid electrification of aerial transportation is driving the need for high‐performance Li‐ion batteries that can operate reliably under stringent thermal and safety constraints. The unique mission profile of electric Vertical Take‐off and Landing (eVTOL) aircraft necessitates a focused investigation into the thermal behavior and safety characteristics of these batteries. In this study, operando isothermal microcalorimetry is employed to examine the thermal evolution of Li‐ion batteries under cycling conditions representative of eVTOL operations. These findings reveal that high‐power discharge events—such as those during take‐off and landing—shift the thermal response toward exothermic behavior, in contrast to the typically endothermic response expected under near‐equilibrium cycling conditions. Additionally, the results suggest that advanced electrolyte formulations may help suppress excess heat generation, thereby improving battery safety. Notably, the calorimetric results exhibit a distinct thermal signature associated with lithium plating, offering a potential diagnostic for detecting Li plating during eVTOL operation. Overall, this study demonstrates the utility of isothermal microcalorimetry as a valuable tool for assessing thermal risks in Li‐ion batteries for eVTOL applications, and highlights the importance of targeted design strategies to mitigate safety hazards during high‐power demand scenarios.</w:t>
      </w:r>
    </w:p>
    <w:p>
      <w:pPr>
        <w:spacing w:before="120" w:after="120"/>
      </w:pPr>
      <w:r>
        <w:rPr>
          <w:sz w:val="18"/>
        </w:rPr>
        <w:t>——————————————————————————————————————————————————————————————————————</w:t>
      </w:r>
    </w:p>
    <w:p>
      <w:pPr>
        <w:spacing w:before="160" w:after="80" w:line="240" w:lineRule="auto"/>
      </w:pPr>
      <w:r>
        <w:rPr>
          <w:b/>
        </w:rPr>
        <w:t xml:space="preserve">[94] </w:t>
      </w:r>
      <w:hyperlink r:id="rId154">
        <w:r>
          <w:rPr>
            <w:color w:val="1155CC"/>
            <w:u w:val="single"/>
          </w:rPr>
          <w:t>Dynamic Zn2+‐Coordinating Oxygen Sites and Electric Field Modulation in Boron‐Integrated Cellulose Nanofiber Separators for Stable Zinc‐Ion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55">
        <w:r>
          <w:rPr>
            <w:color w:val="1155CC"/>
            <w:u w:val="single"/>
          </w:rPr>
          <w:t>10.1002/aenm.202503368</w:t>
        </w:r>
      </w:hyperlink>
    </w:p>
    <w:p>
      <w:pPr>
        <w:spacing w:before="0" w:after="120"/>
      </w:pPr>
      <w:r>
        <w:rPr>
          <w:b/>
        </w:rPr>
        <w:t xml:space="preserve">Notes: </w:t>
      </w:r>
      <w:r>
        <w:t>abstract_source=crossref</w:t>
      </w:r>
    </w:p>
    <w:p>
      <w:pPr>
        <w:spacing w:before="0" w:after="200" w:lineRule="auto" w:line="276"/>
      </w:pPr>
      <w:r>
        <w:rPr>
          <w:b/>
        </w:rPr>
        <w:t xml:space="preserve">Abstract: </w:t>
      </w:r>
      <w:r>
        <w:t>Aqueous zinc‐ion battery (AZIB) separators face critical challenges, including poor interfacial stability, dendrite formation, and limited ion transport kinetics, which significantly hinder their practical application. To address these issues, a boron‐integrated cellulose nanofiber (B/CNF) separator with an ultrathin thickness of 64 µm, fabricated via a scalable dispersion‐dehydration strategy, is developed. The incorporation of boron leads to the formation of B─O and B─O─C structures, in which oxygen atoms bearing lone electron pairs act as Lewis base sites capable of coordinating with Zn</w:t>
      </w:r>
      <w:r>
        <w:t xml:space="preserve"> </w:t>
      </w:r>
      <w:r>
        <w:t>2+</w:t>
      </w:r>
      <w:r>
        <w:t xml:space="preserve"> </w:t>
      </w:r>
      <w:r>
        <w:t>ions. This coordination enhances Zn</w:t>
      </w:r>
      <w:r>
        <w:t xml:space="preserve"> </w:t>
      </w:r>
      <w:r>
        <w:t>2+</w:t>
      </w:r>
      <w:r>
        <w:t xml:space="preserve"> </w:t>
      </w:r>
      <w:r>
        <w:t>transport across the separator and reduces the desolvation energy barrier. Concurrently, boron doping homogenizes the interfacial electric field, mitigating localized charge accumulation and dendrite growth. This synergistic mechanism significantly enhances ion mobility, improves cycling stability, and suppresses unwanted side reactions. As a result, Zn||Zn symmetric cells incorporating B/CNF separators demonstrate ultralong lifespans exceeding 1200 h at 1 mA cm</w:t>
      </w:r>
      <w:r>
        <w:t xml:space="preserve"> </w:t>
      </w:r>
      <w:r>
        <w:t>−2</w:t>
      </w:r>
      <w:r>
        <w:t xml:space="preserve"> </w:t>
      </w:r>
      <w:r>
        <w:t>and 250 h at 30 mAh cm</w:t>
      </w:r>
      <w:r>
        <w:t xml:space="preserve"> </w:t>
      </w:r>
      <w:r>
        <w:t>−2</w:t>
      </w:r>
      <w:r>
        <w:t xml:space="preserve"> </w:t>
      </w:r>
      <w:r>
        <w:t>(Depth of Discharge (DOD) = 51.24%), while Zn||VO</w:t>
      </w:r>
      <w:r>
        <w:rPr>
          <w:vertAlign w:val="subscript"/>
        </w:rPr>
        <w:t>2</w:t>
      </w:r>
      <w:r>
        <w:t>full cells retain 80.38% of their initial capacity after 500 cycles at 1 A g</w:t>
      </w:r>
      <w:r>
        <w:t xml:space="preserve"> </w:t>
      </w:r>
      <w:r>
        <w:t>−1</w:t>
      </w:r>
      <w:r>
        <w:t xml:space="preserve"> </w:t>
      </w:r>
      <w:r>
        <w:t>. These results highlight the potential of B/CNF separators to overcome the limitations of conventional separators and advance the development of high‐performance AZIBs.</w:t>
      </w:r>
    </w:p>
    <w:p>
      <w:pPr>
        <w:spacing w:before="120" w:after="120"/>
      </w:pPr>
      <w:r>
        <w:rPr>
          <w:sz w:val="18"/>
        </w:rPr>
        <w:t>——————————————————————————————————————————————————————————————————————</w:t>
      </w:r>
    </w:p>
    <w:p>
      <w:pPr>
        <w:spacing w:before="160" w:after="80" w:line="240" w:lineRule="auto"/>
      </w:pPr>
      <w:r>
        <w:rPr>
          <w:b/>
        </w:rPr>
        <w:t xml:space="preserve">[95] </w:t>
      </w:r>
      <w:hyperlink r:id="rId156">
        <w:r>
          <w:rPr>
            <w:color w:val="1155CC"/>
            <w:u w:val="single"/>
          </w:rPr>
          <w:t>Unveiling the Role of Topological Surface States in Boosting Electrocatalytic Nitrate Reduction to Ammonia</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57">
        <w:r>
          <w:rPr>
            <w:color w:val="1155CC"/>
            <w:u w:val="single"/>
          </w:rPr>
          <w:t>10.1002/aenm.202503473</w:t>
        </w:r>
      </w:hyperlink>
    </w:p>
    <w:p>
      <w:pPr>
        <w:spacing w:before="0" w:after="120"/>
      </w:pPr>
      <w:r>
        <w:rPr>
          <w:b/>
        </w:rPr>
        <w:t xml:space="preserve">Notes: </w:t>
      </w:r>
      <w:r>
        <w:t>abstract_source=crossref</w:t>
      </w:r>
    </w:p>
    <w:p>
      <w:pPr>
        <w:spacing w:before="0" w:after="200" w:lineRule="auto" w:line="276"/>
      </w:pPr>
      <w:r>
        <w:rPr>
          <w:b/>
        </w:rPr>
        <w:t xml:space="preserve">Abstract: </w:t>
      </w:r>
      <w:r>
        <w:t>Designing efficient catalysts for nitrate reduction reaction (NO</w:t>
      </w:r>
      <w:r>
        <w:rPr>
          <w:vertAlign w:val="subscript"/>
        </w:rPr>
        <w:t>3</w:t>
      </w:r>
      <w:r>
        <w:t>−</w:t>
      </w:r>
      <w:r>
        <w:t>RR) poses a challenge in advancing the selectivity and yield of ammonia (NH</w:t>
      </w:r>
      <w:r>
        <w:rPr>
          <w:vertAlign w:val="subscript"/>
        </w:rPr>
        <w:t>3</w:t>
      </w:r>
      <w:r>
        <w:t>). Unlike conventional catalytic descriptors, topological surface states (TSSs) represent an orthogonal avenue for tailoring catalytic properties, while its role in NO</w:t>
      </w:r>
      <w:r>
        <w:rPr>
          <w:vertAlign w:val="subscript"/>
        </w:rPr>
        <w:t>3</w:t>
      </w:r>
      <w:r>
        <w:t>−</w:t>
      </w:r>
      <w:r>
        <w:t>RR remains unknown. Here, the semimetallic character of Co</w:t>
      </w:r>
      <w:r>
        <w:rPr>
          <w:vertAlign w:val="subscript"/>
        </w:rPr>
        <w:t>3</w:t>
      </w:r>
      <w:r>
        <w:t>Sn</w:t>
      </w:r>
      <w:r>
        <w:rPr>
          <w:vertAlign w:val="subscript"/>
        </w:rPr>
        <w:t>2</w:t>
      </w:r>
      <w:r>
        <w:t>S</w:t>
      </w:r>
      <w:r>
        <w:rPr>
          <w:vertAlign w:val="subscript"/>
        </w:rPr>
        <w:t>2</w:t>
      </w:r>
      <w:r>
        <w:t>, endowed with robust TSSs is leveraged and enhances charge transport characteristics, to establish this system as a prototypical platform for decoding surface state‐governed NO</w:t>
      </w:r>
      <w:r>
        <w:rPr>
          <w:vertAlign w:val="subscript"/>
        </w:rPr>
        <w:t>3</w:t>
      </w:r>
      <w:r>
        <w:t>−</w:t>
      </w:r>
      <w:r>
        <w:t>RR mechanism. The catalyst exhibits exceptional NO</w:t>
      </w:r>
      <w:r>
        <w:rPr>
          <w:vertAlign w:val="subscript"/>
        </w:rPr>
        <w:t>3</w:t>
      </w:r>
      <w:r>
        <w:t>−</w:t>
      </w:r>
      <w:r>
        <w:t>RR performance, achieving a maximum NH</w:t>
      </w:r>
      <w:r>
        <w:rPr>
          <w:vertAlign w:val="subscript"/>
        </w:rPr>
        <w:t>3</w:t>
      </w:r>
      <w:r>
        <w:t>Faradaic efficiency of 91.6% at −0.5 V</w:t>
      </w:r>
      <w:r>
        <w:t xml:space="preserve"> </w:t>
      </w:r>
      <w:r>
        <w:t>RHE</w:t>
      </w:r>
      <w:r>
        <w:t xml:space="preserve"> </w:t>
      </w:r>
      <w:r>
        <w:t>and a high NH</w:t>
      </w:r>
      <w:r>
        <w:rPr>
          <w:vertAlign w:val="subscript"/>
        </w:rPr>
        <w:t>3</w:t>
      </w:r>
      <w:r>
        <w:t>yield of 22.4 mg h</w:t>
      </w:r>
      <w:r>
        <w:t xml:space="preserve"> </w:t>
      </w:r>
      <w:r>
        <w:t>−1</w:t>
      </w:r>
      <w:r>
        <w:t xml:space="preserve"> </w:t>
      </w:r>
      <w:r>
        <w:t>cm</w:t>
      </w:r>
      <w:r>
        <w:t xml:space="preserve"> </w:t>
      </w:r>
      <w:r>
        <w:t>−2</w:t>
      </w:r>
      <w:r>
        <w:t xml:space="preserve"> </w:t>
      </w:r>
      <w:r>
        <w:t>at −0.6 V</w:t>
      </w:r>
      <w:r>
        <w:t xml:space="preserve"> </w:t>
      </w:r>
      <w:r>
        <w:t>RHE</w:t>
      </w:r>
      <w:r>
        <w:t xml:space="preserve"> </w:t>
      </w:r>
      <w:r>
        <w:t>, while maintaining excellent stability over 200 h in a membrane–electrode assembly electrolyzer, outperforming its semiconductor counterparts. In situ experiments and density functional theory calculations reveal that the TSSs accelerate charge transfer kinetics as well as alleviate the energy barrier for the *NOH → *N step. This work highlights the critical role of TSSs in governing electrocatalytic mechanisms and advances the rational design of high‐performance topological NO</w:t>
      </w:r>
      <w:r>
        <w:rPr>
          <w:vertAlign w:val="subscript"/>
        </w:rPr>
        <w:t>3</w:t>
      </w:r>
      <w:r>
        <w:t>−</w:t>
      </w:r>
      <w:r>
        <w:t>RR catalysts.</w:t>
      </w:r>
    </w:p>
    <w:p>
      <w:pPr>
        <w:spacing w:before="120" w:after="120"/>
      </w:pPr>
      <w:r>
        <w:rPr>
          <w:sz w:val="18"/>
        </w:rPr>
        <w:t>——————————————————————————————————————————————————————————————————————</w:t>
      </w:r>
    </w:p>
    <w:p>
      <w:pPr>
        <w:spacing w:before="160" w:after="80" w:line="240" w:lineRule="auto"/>
      </w:pPr>
      <w:r>
        <w:rPr>
          <w:b/>
        </w:rPr>
        <w:t xml:space="preserve">[96] </w:t>
      </w:r>
      <w:hyperlink r:id="rId158">
        <w:r>
          <w:rPr>
            <w:color w:val="1155CC"/>
            <w:u w:val="single"/>
          </w:rPr>
          <w:t>Interplay Between the Dissolved Mn2+ and Solid Electrolyte Interphases of Graphite Anode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59">
        <w:r>
          <w:rPr>
            <w:color w:val="1155CC"/>
            <w:u w:val="single"/>
          </w:rPr>
          <w:t>10.1002/aenm.202503489</w:t>
        </w:r>
      </w:hyperlink>
    </w:p>
    <w:p>
      <w:pPr>
        <w:spacing w:before="0" w:after="120"/>
      </w:pPr>
      <w:r>
        <w:rPr>
          <w:b/>
        </w:rPr>
        <w:t xml:space="preserve">Notes: </w:t>
      </w:r>
      <w:r>
        <w:t>abstract_source=crossref</w:t>
      </w:r>
    </w:p>
    <w:p>
      <w:pPr>
        <w:spacing w:before="0" w:after="200" w:lineRule="auto" w:line="276"/>
      </w:pPr>
      <w:r>
        <w:rPr>
          <w:b/>
        </w:rPr>
        <w:t xml:space="preserve">Abstract: </w:t>
      </w:r>
      <w:r>
        <w:t>Transition metal (TM) dissolution and crosstalk are one of the main degradation mechanisms for the capacity fading of lithium‐ion batteries (LIBs). Although significant efforts have been devoted to elucidating the origins of TM dissolution, its crosstalk effect on the anode interface is unclear, especially for its specific chemical state and electrochemical behavior. Herein, the interplay between the dissolved Mn</w:t>
      </w:r>
      <w:r>
        <w:t xml:space="preserve"> </w:t>
      </w:r>
      <w:r>
        <w:t>2+</w:t>
      </w:r>
      <w:r>
        <w:t xml:space="preserve"> </w:t>
      </w:r>
      <w:r>
        <w:t>and the solid electrolyte interphases (SEI) on graphite anode is revealed by different characterization techniques, such as Raman spectroscopy, cryogenic transmission electron microscopy, electron energy loss spectroscopy, and time‐of‐flight secondary ion mass spectrometry. The results demonstrate that Mn</w:t>
      </w:r>
      <w:r>
        <w:t xml:space="preserve"> </w:t>
      </w:r>
      <w:r>
        <w:t>2+</w:t>
      </w:r>
      <w:r>
        <w:t xml:space="preserve"> </w:t>
      </w:r>
      <w:r>
        <w:t>is inclined to coordinate with ethylene carbonate (EC), which is easily decomposed and generates organic‐Mn</w:t>
      </w:r>
      <w:r>
        <w:t xml:space="preserve"> </w:t>
      </w:r>
      <w:r>
        <w:t>2+</w:t>
      </w:r>
      <w:r>
        <w:t xml:space="preserve"> </w:t>
      </w:r>
      <w:r>
        <w:t>species and gaseous byproducts. These gases disrupt the SEI structure, facilitate electrolyte infiltration, and induce continuous growth of the SEI layer. This study deepens the understanding of TM crosstalk on SEI properties and LIB performance, offering potential strategies for enhancing battery durability and performance.</w:t>
      </w:r>
    </w:p>
    <w:p>
      <w:pPr>
        <w:spacing w:before="120" w:after="120"/>
      </w:pPr>
      <w:r>
        <w:rPr>
          <w:sz w:val="18"/>
        </w:rPr>
        <w:t>——————————————————————————————————————————————————————————————————————</w:t>
      </w:r>
    </w:p>
    <w:p>
      <w:pPr>
        <w:spacing w:before="160" w:after="80" w:line="240" w:lineRule="auto"/>
      </w:pPr>
      <w:r>
        <w:rPr>
          <w:b/>
        </w:rPr>
        <w:t xml:space="preserve">[97] </w:t>
      </w:r>
      <w:hyperlink r:id="rId160">
        <w:r>
          <w:rPr>
            <w:color w:val="1155CC"/>
            <w:u w:val="single"/>
          </w:rPr>
          <w:t>Dual Vapor‐Phase Treatment Driven Subsurface Reorganization for 3D Passivation Networks toward Ultralow Interfacial Energy Loss in Perovskite Photovoltaics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61">
        <w:r>
          <w:rPr>
            <w:color w:val="1155CC"/>
            <w:u w:val="single"/>
          </w:rPr>
          <w:t>10.1002/aenm.202504299</w:t>
        </w:r>
      </w:hyperlink>
    </w:p>
    <w:p>
      <w:pPr>
        <w:spacing w:before="0" w:after="120"/>
      </w:pPr>
      <w:r>
        <w:rPr>
          <w:b/>
        </w:rPr>
        <w:t xml:space="preserve">Notes: </w:t>
      </w:r>
      <w:r>
        <w:t>abstract_source=crossref</w:t>
      </w:r>
    </w:p>
    <w:p>
      <w:pPr>
        <w:spacing w:before="0" w:after="200" w:lineRule="auto" w:line="276"/>
      </w:pPr>
      <w:r>
        <w:rPr>
          <w:b/>
        </w:rPr>
        <w:t xml:space="preserve">Abstract: </w:t>
      </w:r>
      <w:r>
        <w:t>Band misalignment and defect‐mediated non‐radiative recombination persist as critical bottlenecks in wide‐bandgap perovskite solar cells (PSCs). Herein, a dual vapor‐phase treatment (DVPT) synergizing dipole self‐assembly with solvent‐induced secondary Ostwald ripening, is developed to address interfacial energy losses. Theoretical and experimental analysis reveal that gas‐phase interactions between ligands and perovskite enhance the binding strength and energy level modulation. Yet the sole application of gas‐phase passivation is demonstrated to intensify interfacial inhomogeneity and subsurface energy barriers. To mitigate this challenge, polar solvent fumigation enables spatially selective reconstruction of defective crystallites to induce planar‐depth dipolar homogenization for establishing steady‐state 3D passivation frameworks. This integrated process fundamentally reconstructs interfacial energy distribution and reorganizes subsurface crystallization, which reduces exciton binding energy and accelerates charge transfer while minimizing the quasi‐Fermi level splitting losses. Consequently, inverted 1.77 eV wide‐bandgap PSCs achieve a fill factor of 84.43% and a champion efficiency of 20.36%, surpassing state‐of‐the‐art counterparts. By bridging molecular design, interfacial thermodynamics, and crystallization kinetics, this work paves the way for high‐performance, scalable perovskite tandem photovoltaics.</w:t>
      </w:r>
    </w:p>
    <w:p>
      <w:pPr>
        <w:spacing w:before="120" w:after="120"/>
      </w:pPr>
      <w:r>
        <w:rPr>
          <w:sz w:val="18"/>
        </w:rPr>
        <w:t>——————————————————————————————————————————————————————————————————————</w:t>
      </w:r>
    </w:p>
    <w:p>
      <w:pPr>
        <w:spacing w:before="160" w:after="80" w:line="240" w:lineRule="auto"/>
      </w:pPr>
      <w:r>
        <w:rPr>
          <w:b/>
        </w:rPr>
        <w:t xml:space="preserve">[98] </w:t>
      </w:r>
      <w:hyperlink r:id="rId162">
        <w:r>
          <w:rPr>
            <w:color w:val="1155CC"/>
            <w:u w:val="single"/>
          </w:rPr>
          <w:t>Suppressing Halide Segregation Via Dual‐Anchoring Strategy for 31.20% Perovskite/Silicon Tandem Solar Cells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63">
        <w:r>
          <w:rPr>
            <w:color w:val="1155CC"/>
            <w:u w:val="single"/>
          </w:rPr>
          <w:t>10.1002/aenm.202503565</w:t>
        </w:r>
      </w:hyperlink>
    </w:p>
    <w:p>
      <w:pPr>
        <w:spacing w:before="0" w:after="120"/>
      </w:pPr>
      <w:r>
        <w:rPr>
          <w:b/>
        </w:rPr>
        <w:t xml:space="preserve">Notes: </w:t>
      </w:r>
      <w:r>
        <w:t>abstract_source=crossref</w:t>
      </w:r>
    </w:p>
    <w:p>
      <w:pPr>
        <w:spacing w:before="0" w:after="200" w:lineRule="auto" w:line="276"/>
      </w:pPr>
      <w:r>
        <w:rPr>
          <w:b/>
        </w:rPr>
        <w:t xml:space="preserve">Abstract: </w:t>
      </w:r>
      <w:r>
        <w:t>The efficiency and stability of wide bandgap (WBG) perovskite solar cells (PSCs) are constrained by photo‐induced halide segregation and severe non‐radiative recombination, which significantly impedes the advancement of high‐efficiency and stable perovskite/silicon tandem solar cells (PSTSCs). In this work, a potassium 4‐sulfonic‐1,8‐naphthalic anhydride salt (4S‐NAPS), featuring dual‐anchoring sites, is incorporated into the perovskite precursor. The sulfonic group (─SO</w:t>
      </w:r>
      <w:r>
        <w:rPr>
          <w:vertAlign w:val="subscript"/>
        </w:rPr>
        <w:t>3</w:t>
      </w:r>
      <w:r>
        <w:t>−</w:t>
      </w:r>
      <w:r>
        <w:t>) and carbonyl group (C═O) interact with uncoordinated Pb</w:t>
      </w:r>
      <w:r>
        <w:t xml:space="preserve"> </w:t>
      </w:r>
      <w:r>
        <w:t>2+</w:t>
      </w:r>
      <w:r>
        <w:t xml:space="preserve"> </w:t>
      </w:r>
      <w:r>
        <w:t>ions on the perovskite surface. In addition, K⁺ ions occupy interstitial sites within the crystal lattice, thereby effectively enhancing the ion migration barrier and suppressing halide phase separation. Owing to the dual‐anchoring effect of 4S‐NAPS, a single‐junction WBG PSC (1.68 eV) delivers a power conversion efficiency (PCE) of 22.95% and an open‐circuit voltage (V</w:t>
      </w:r>
      <w:r>
        <w:t xml:space="preserve"> </w:t>
      </w:r>
      <w:r>
        <w:t>OC</w:t>
      </w:r>
      <w:r>
        <w:t xml:space="preserve"> </w:t>
      </w:r>
      <w:r>
        <w:t>) of 1.26 V, representing one of the highest efficiencies reported for WBG PSCs. Moreover, the unencapsulated modified devices retain 90% of initial efficiency after 3000 h in a nitrogen atmosphere, demonstrating remarkable operational stability. Notably, the fabricated monolithic PSTSC achieves a PCE of 31.20%, a V</w:t>
      </w:r>
      <w:r>
        <w:t xml:space="preserve"> </w:t>
      </w:r>
      <w:r>
        <w:t>OC</w:t>
      </w:r>
      <w:r>
        <w:t xml:space="preserve"> </w:t>
      </w:r>
      <w:r>
        <w:t>of 1.950 V, and exhibits negligible hysteresis. This dual‐anchoring strategy provides a promising avenue for fabricating highly efficient and stable WBG PSCs and offers new insights into achieving superior performance in PSTSCs.</w:t>
      </w:r>
    </w:p>
    <w:p>
      <w:pPr>
        <w:spacing w:before="120" w:after="120"/>
      </w:pPr>
      <w:r>
        <w:rPr>
          <w:sz w:val="18"/>
        </w:rPr>
        <w:t>——————————————————————————————————————————————————————————————————————</w:t>
      </w:r>
    </w:p>
    <w:p>
      <w:pPr>
        <w:spacing w:before="160" w:after="80" w:line="240" w:lineRule="auto"/>
      </w:pPr>
      <w:r>
        <w:rPr>
          <w:b/>
        </w:rPr>
        <w:t xml:space="preserve">[99] </w:t>
      </w:r>
      <w:hyperlink r:id="rId164">
        <w:r>
          <w:rPr>
            <w:color w:val="1155CC"/>
            <w:u w:val="single"/>
          </w:rPr>
          <w:t>Flexible ITO‐Free Organic Solar Modules Using Fully Roll‐to‐Roll Processable Top Illumination Design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65">
        <w:r>
          <w:rPr>
            <w:color w:val="1155CC"/>
            <w:u w:val="single"/>
          </w:rPr>
          <w:t>10.1002/aenm.202504465</w:t>
        </w:r>
      </w:hyperlink>
    </w:p>
    <w:p>
      <w:pPr>
        <w:spacing w:before="0" w:after="120"/>
      </w:pPr>
      <w:r>
        <w:rPr>
          <w:b/>
        </w:rPr>
        <w:t xml:space="preserve">Notes: </w:t>
      </w:r>
      <w:r>
        <w:t>abstract_source=crossref</w:t>
      </w:r>
    </w:p>
    <w:p>
      <w:pPr>
        <w:spacing w:before="0" w:after="200" w:lineRule="auto" w:line="276"/>
      </w:pPr>
      <w:r>
        <w:rPr>
          <w:b/>
        </w:rPr>
        <w:t xml:space="preserve">Abstract: </w:t>
      </w:r>
      <w:r>
        <w:t>Organic photovoltaics (OPVs) have reached above 20% Power Conversion Efficiency (</w:t>
      </w:r>
      <w:r>
        <w:t xml:space="preserve"> </w:t>
      </w:r>
      <w:r>
        <w:t>PCE</w:t>
      </w:r>
      <w:r>
        <w:t xml:space="preserve"> </w:t>
      </w:r>
      <w:r>
        <w:t>) in recent years. However, all state‐of‐the‐art devices are fabricated using techniques that are largely unsuitable for industry‐compatible Roll‐to‐Roll (R2R) coating methods. In this study, a hybrid approach that combines the advantages of R2R vacuum and solution coating methods for fabricating organic solar modules on glass and flexible polyethylene terephthalate (PET) in a top‐illumination configuration is adopted. The opaque bottom electrodes are developed using R2R sputtering to achieve low sheet resistance and reduced surface roughness. The remaining layers in the devices, including top transparent Silver nanowire (AgNWs) anodes, are optimized using the R2R‐compatible slot‐die coating method at ambient conditions using greener solvents. The best devices on glass substrates achieved a</w:t>
      </w:r>
      <w:r>
        <w:t xml:space="preserve"> </w:t>
      </w:r>
      <w:r>
        <w:t>PCE</w:t>
      </w:r>
      <w:r>
        <w:t xml:space="preserve"> </w:t>
      </w:r>
      <w:r>
        <w:t>of 13.5%, using this ITO‐free scalable OPV architecture. An equally impressive</w:t>
      </w:r>
      <w:r>
        <w:t xml:space="preserve"> </w:t>
      </w:r>
      <w:r>
        <w:t>PCE</w:t>
      </w:r>
      <w:r>
        <w:t xml:space="preserve"> </w:t>
      </w:r>
      <w:r>
        <w:t>of 12.5% is attained when the devices are scaled up to mini‐modules with an active area of 12.8 cm</w:t>
      </w:r>
      <w:r>
        <w:rPr>
          <w:vertAlign w:val="subscript"/>
        </w:rPr>
        <w:t>2</w:t>
      </w:r>
      <w:r>
        <w:t>. Furthermore, six mini‐modules on a PET substrate measuring 24 cm x 17 cm are developed, reaching</w:t>
      </w:r>
      <w:r>
        <w:t xml:space="preserve"> </w:t>
      </w:r>
      <w:r>
        <w:t>PCE</w:t>
      </w:r>
      <w:r>
        <w:t xml:space="preserve"> </w:t>
      </w:r>
      <w:r>
        <w:t>up to 11.5%, the highest reported in this category. This research highlights the potential for developing high‐performance, cost‐efficient, and mechanically adaptable ITO‐free devices using industry‐compatible methods.</w:t>
      </w:r>
    </w:p>
    <w:p>
      <w:pPr>
        <w:spacing w:before="120" w:after="120"/>
      </w:pPr>
      <w:r>
        <w:rPr>
          <w:sz w:val="18"/>
        </w:rPr>
        <w:t>——————————————————————————————————————————————————————————————————————</w:t>
      </w:r>
    </w:p>
    <w:p>
      <w:pPr>
        <w:spacing w:before="160" w:after="80" w:line="240" w:lineRule="auto"/>
      </w:pPr>
      <w:r>
        <w:rPr>
          <w:b/>
        </w:rPr>
        <w:t xml:space="preserve">[100] </w:t>
      </w:r>
      <w:hyperlink r:id="rId166">
        <w:r>
          <w:rPr>
            <w:color w:val="1155CC"/>
            <w:u w:val="single"/>
          </w:rPr>
          <w:t>In Situ Electrochemistry of Buried Interfaces in Metal Halide Perovskites: Probing Energy Bands, Halide Redox Activity, and Kinetics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67">
        <w:r>
          <w:rPr>
            <w:color w:val="1155CC"/>
            <w:u w:val="single"/>
          </w:rPr>
          <w:t>10.1002/aenm.202502719</w:t>
        </w:r>
      </w:hyperlink>
    </w:p>
    <w:p>
      <w:pPr>
        <w:spacing w:before="0" w:after="120"/>
      </w:pPr>
      <w:r>
        <w:rPr>
          <w:b/>
        </w:rPr>
        <w:t xml:space="preserve">Notes: </w:t>
      </w:r>
      <w:r>
        <w:t>abstract_source=crossref</w:t>
      </w:r>
    </w:p>
    <w:p>
      <w:pPr>
        <w:spacing w:before="0" w:after="200" w:lineRule="auto" w:line="276"/>
      </w:pPr>
      <w:r>
        <w:rPr>
          <w:b/>
        </w:rPr>
        <w:t xml:space="preserve">Abstract: </w:t>
      </w:r>
      <w:r>
        <w:t>Control over charge injection and extraction processes across buried interfaces is fundamental for all (opto)electronic multilayer device platforms, necessitating detailed understanding of local structural and chemical differences that promote defect formation, distort energetic band‐edge alignments, and alter charge transport processes. Herein, the implementation of a low‐cost electroanalytical methodologies’ tool suite is described to quantitatively characterize buried interfaces and redox reactions in printable, mixed electrical–ionic, and redox‐active metal halide perovskites and a prototypical hole‐transporting nickel oxide (NiO</w:t>
      </w:r>
      <w:r>
        <w:t xml:space="preserve"> </w:t>
      </w:r>
      <w:r>
        <w:t>x</w:t>
      </w:r>
      <w:r>
        <w:t xml:space="preserve"> </w:t>
      </w:r>
      <w:r>
        <w:t>) thin film. The objective is to demonstrate the power of electrochemical methodologies to improve the nanoscale understanding of complex interfaces within optoelectronic devices by providing case studies on how to: i) differentiate between electronic and chemical properties in NiO</w:t>
      </w:r>
      <w:r>
        <w:t xml:space="preserve"> </w:t>
      </w:r>
      <w:r>
        <w:t>x</w:t>
      </w:r>
      <w:r>
        <w:t xml:space="preserve"> </w:t>
      </w:r>
      <w:r>
        <w:t>contacts; ii) measure changes in reversibility of halide redox reactions via NiO</w:t>
      </w:r>
      <w:r>
        <w:t xml:space="preserve"> </w:t>
      </w:r>
      <w:r>
        <w:t>x</w:t>
      </w:r>
      <w:r>
        <w:t xml:space="preserve"> </w:t>
      </w:r>
      <w:r>
        <w:t>surface states; iii) assess energy alignment and charge transport across (modified) buried interfaces; and iv) quantify defects at buried interfaces that change with modifiers and differences in perovskite processing, including increasing defect concentrations when films are slot‐die‐coated versus spin‐cast. The collective approach addresses major challenges in understanding the precise energy landscape and interface reactivity under relevant electric fields that mimic operando conditions (away from equilibrium) and across length scales in thin film device formats.</w:t>
      </w:r>
    </w:p>
    <w:p>
      <w:pPr>
        <w:spacing w:before="120" w:after="120"/>
      </w:pPr>
      <w:r>
        <w:rPr>
          <w:sz w:val="18"/>
        </w:rPr>
        <w:t>——————————————————————————————————————————————————————————————————————</w:t>
      </w:r>
    </w:p>
    <w:p>
      <w:pPr>
        <w:spacing w:before="160" w:after="80" w:line="240" w:lineRule="auto"/>
      </w:pPr>
      <w:r>
        <w:rPr>
          <w:b/>
        </w:rPr>
        <w:t xml:space="preserve">[101] </w:t>
      </w:r>
      <w:hyperlink r:id="rId168">
        <w:r>
          <w:rPr>
            <w:color w:val="1155CC"/>
            <w:u w:val="single"/>
          </w:rPr>
          <w:t>Developing Oxygen Vacancy Rich Perovskite for Broad‐Spectrum‐Responsive Photothermal Assisted Photocatalytic Dehydrogenation of MgH2</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69">
        <w:r>
          <w:rPr>
            <w:color w:val="1155CC"/>
            <w:u w:val="single"/>
          </w:rPr>
          <w:t>10.1002/aenm.202504765</w:t>
        </w:r>
      </w:hyperlink>
    </w:p>
    <w:p>
      <w:pPr>
        <w:spacing w:before="0" w:after="120"/>
      </w:pPr>
      <w:r>
        <w:rPr>
          <w:b/>
        </w:rPr>
        <w:t xml:space="preserve">Notes: </w:t>
      </w:r>
      <w:r>
        <w:t>abstract_source=crossref</w:t>
      </w:r>
    </w:p>
    <w:p>
      <w:pPr>
        <w:spacing w:before="0" w:after="200" w:lineRule="auto" w:line="276"/>
      </w:pPr>
      <w:r>
        <w:rPr>
          <w:b/>
        </w:rPr>
        <w:t xml:space="preserve">Abstract: </w:t>
      </w:r>
      <w:r>
        <w:t>Magnesium hydride (MgH</w:t>
      </w:r>
      <w:r>
        <w:rPr>
          <w:vertAlign w:val="subscript"/>
        </w:rPr>
        <w:t>2</w:t>
      </w:r>
      <w:r>
        <w:t>) has been featured as a promising hydrogen storage medium however faces deployment barriers due to high thermodynamic stability and sluggish dehydrogenation kinetics. To address these limitations, a broad‐spectrum‐responsive SrTiO</w:t>
      </w:r>
      <w:r>
        <w:rPr>
          <w:vertAlign w:val="subscript"/>
        </w:rPr>
        <w:t>3</w:t>
      </w:r>
      <w:r>
        <w:t>‐based perovskite (STO‐450) particle, engineered with oxygen vacancies is introduced, as an effective photothermal‐assisted photocatalyst for enhancing MgH</w:t>
      </w:r>
      <w:r>
        <w:rPr>
          <w:vertAlign w:val="subscript"/>
        </w:rPr>
        <w:t>2</w:t>
      </w:r>
      <w:r>
        <w:t>dehydrogenation. It optimized MgH</w:t>
      </w:r>
      <w:r>
        <w:rPr>
          <w:vertAlign w:val="subscript"/>
        </w:rPr>
        <w:t>2</w:t>
      </w:r>
      <w:r>
        <w:t>‐30 wt.% STO‐450 composite desorbs 4.41 wt.% H</w:t>
      </w:r>
      <w:r>
        <w:rPr>
          <w:vertAlign w:val="subscript"/>
        </w:rPr>
        <w:t>2</w:t>
      </w:r>
      <w:r>
        <w:t>at 184.7 °C under 1.152 W cm</w:t>
      </w:r>
      <w:r>
        <w:t xml:space="preserve"> </w:t>
      </w:r>
      <w:r>
        <w:t>−2</w:t>
      </w:r>
      <w:r>
        <w:t xml:space="preserve"> </w:t>
      </w:r>
      <w:r>
        <w:t>(12 sun) irradiation, and 2.00 wt.% H</w:t>
      </w:r>
      <w:r>
        <w:rPr>
          <w:vertAlign w:val="subscript"/>
        </w:rPr>
        <w:t>2</w:t>
      </w:r>
      <w:r>
        <w:t>at 152.2 °C under 0.576 W cm</w:t>
      </w:r>
      <w:r>
        <w:t xml:space="preserve"> </w:t>
      </w:r>
      <w:r>
        <w:t>−2</w:t>
      </w:r>
      <w:r>
        <w:t xml:space="preserve"> </w:t>
      </w:r>
      <w:r>
        <w:t>(6 sun). In situ XPS, fs‐TAS, and DFT reveal that oxygen vacancies act as electron traps, extending carrier lifetime and facilitating directional charge transfer across the MgH</w:t>
      </w:r>
      <w:r>
        <w:rPr>
          <w:vertAlign w:val="subscript"/>
        </w:rPr>
        <w:t>2</w:t>
      </w:r>
      <w:r>
        <w:t>/STO‐450 heterointerface. This interfacial charge modulation substantially accelerates dehydrogenation kinetics. A levelized cost of hydrogen analysis shows over 50% energy cost reduction compared to conventional thermal routes. This work enables a practical strategy to significantly reduce the energy cost associated with long‐distance H</w:t>
      </w:r>
      <w:r>
        <w:rPr>
          <w:vertAlign w:val="subscript"/>
        </w:rPr>
        <w:t>2</w:t>
      </w:r>
      <w:r>
        <w:t>transport and high‐pressure storage infrastructures.</w:t>
      </w:r>
    </w:p>
    <w:p>
      <w:pPr>
        <w:spacing w:before="120" w:after="120"/>
      </w:pPr>
      <w:r>
        <w:rPr>
          <w:sz w:val="18"/>
        </w:rPr>
        <w:t>——————————————————————————————————————————————————————————————————————</w:t>
      </w:r>
    </w:p>
    <w:p>
      <w:pPr>
        <w:spacing w:before="160" w:after="80" w:line="240" w:lineRule="auto"/>
      </w:pPr>
      <w:r>
        <w:rPr>
          <w:b/>
        </w:rPr>
        <w:t xml:space="preserve">[102] </w:t>
      </w:r>
      <w:hyperlink r:id="rId170">
        <w:r>
          <w:rPr>
            <w:color w:val="1155CC"/>
            <w:u w:val="single"/>
          </w:rPr>
          <w:t>Issue Information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[103] </w:t>
      </w:r>
      <w:hyperlink r:id="rId171">
        <w:r>
          <w:rPr>
            <w:color w:val="1155CC"/>
            <w:u w:val="single"/>
          </w:rPr>
          <w:t>Unveiling Entropy‐Driven Performance Enhancement in Double Perovskite Oxygen Electrodes for Protonic Ceramic Electrochemical Cells (Adv. Energy Mater. 47/2025)</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[104] </w:t>
      </w:r>
      <w:hyperlink r:id="rId172">
        <w:r>
          <w:rPr>
            <w:color w:val="1155CC"/>
            <w:u w:val="single"/>
          </w:rPr>
          <w:t>Manipulating Atomic and Microstructure of Sb2(S,Se)3 Thin Films via a Novel Post‐Treatment for Efficient Solar Cell Application</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73">
        <w:r>
          <w:rPr>
            <w:color w:val="1155CC"/>
            <w:u w:val="single"/>
          </w:rPr>
          <w:t>10.1002/aenm.202504562</w:t>
        </w:r>
      </w:hyperlink>
    </w:p>
    <w:p>
      <w:pPr>
        <w:spacing w:before="0" w:after="120"/>
      </w:pPr>
      <w:r>
        <w:rPr>
          <w:b/>
        </w:rPr>
        <w:t xml:space="preserve">Notes: </w:t>
      </w:r>
      <w:r>
        <w:t>abstract_source=crossref</w:t>
      </w:r>
    </w:p>
    <w:p>
      <w:pPr>
        <w:spacing w:before="0" w:after="200" w:lineRule="auto" w:line="276"/>
      </w:pPr>
      <w:r>
        <w:rPr>
          <w:b/>
        </w:rPr>
        <w:t xml:space="preserve">Abstract: </w:t>
      </w:r>
      <w:r>
        <w:t>Antimony selenosulfide (Sb</w:t>
      </w:r>
      <w:r>
        <w:rPr>
          <w:vertAlign w:val="subscript"/>
        </w:rPr>
        <w:t>2</w:t>
      </w:r>
      <w:r>
        <w:t>(S,Se)</w:t>
      </w:r>
      <w:r>
        <w:rPr>
          <w:vertAlign w:val="subscript"/>
        </w:rPr>
        <w:t>3</w:t>
      </w:r>
      <w:r>
        <w:t>), an emerging light‐harvesting material, exhibits a high light absorption coefficient, low toxicity, and phase stability. However, Sb</w:t>
      </w:r>
      <w:r>
        <w:rPr>
          <w:vertAlign w:val="subscript"/>
        </w:rPr>
        <w:t>2</w:t>
      </w:r>
      <w:r>
        <w:t>(S,Se)</w:t>
      </w:r>
      <w:r>
        <w:rPr>
          <w:vertAlign w:val="subscript"/>
        </w:rPr>
        <w:t>3</w:t>
      </w:r>
      <w:r>
        <w:t>films deposited via the conventional hydrothermal method fail to achieve desirable optoelectronic properties and crystallinity, which ultimately hinders their applications in photovoltaic devices. In this study, an innovative post‐treatment process is developed, wherein the Sb</w:t>
      </w:r>
      <w:r>
        <w:rPr>
          <w:vertAlign w:val="subscript"/>
        </w:rPr>
        <w:t>2</w:t>
      </w:r>
      <w:r>
        <w:t>(S,Se)</w:t>
      </w:r>
      <w:r>
        <w:rPr>
          <w:vertAlign w:val="subscript"/>
        </w:rPr>
        <w:t>3</w:t>
      </w:r>
      <w:r>
        <w:t>absorber is soaked in a mixed aqueous solution containing ammonia, sodium citrate, and cadmium sulfate, followed by annealing, resulting in multi‐dimensional optimization. It is revealed that the synergistic interaction in this strategy leads to the formation of cadmium selenide and cadmium sulfide on the surface and the infiltration of cadmium ions into the bulk phase. This outcome finally optimizes the atomic structure by passivating the deep‐level defects such as Se and S vacancy, while also increasing the crystallinity through a strong chemical bonding effect. Furthermore, the slight etching of the surface by ammonia reduces the content of antimony oxide, increases phase purity, and optimizes interfacial contact in the device, thereby facilitating carrier transport. With these advantages, a high power conversion efficiency of 10.5% for Sb</w:t>
      </w:r>
      <w:r>
        <w:rPr>
          <w:vertAlign w:val="subscript"/>
        </w:rPr>
        <w:t>2</w:t>
      </w:r>
      <w:r>
        <w:t>(S,Se)</w:t>
      </w:r>
      <w:r>
        <w:rPr>
          <w:vertAlign w:val="subscript"/>
        </w:rPr>
        <w:t>3</w:t>
      </w:r>
      <w:r>
        <w:t>solar cell is achieved. This study provides a one‐stone‐for‐three‐birds strategy for improving the photoelectric performance of antimony‐based chalcogenide compounds.</w:t>
      </w:r>
    </w:p>
    <w:p>
      <w:pPr>
        <w:spacing w:before="120" w:after="120"/>
      </w:pPr>
      <w:r>
        <w:rPr>
          <w:sz w:val="18"/>
        </w:rPr>
        <w:t>——————————————————————————————————————————————————————————————————————</w:t>
      </w:r>
    </w:p>
    <w:p>
      <w:pPr>
        <w:spacing w:before="160" w:after="80" w:line="240" w:lineRule="auto"/>
      </w:pPr>
      <w:r>
        <w:rPr>
          <w:b/>
        </w:rPr>
        <w:t xml:space="preserve">[105] </w:t>
      </w:r>
      <w:hyperlink r:id="rId174">
        <w:r>
          <w:rPr>
            <w:color w:val="1155CC"/>
            <w:u w:val="single"/>
          </w:rPr>
          <w:t>Hyper‐Areal‐Capacity Dry Electrodes (22.6 mAh cm−2) Enabled by Electron Beam‐Induced Functionalization of Fibrillated PTFE for High‐Energy‐Density Li‐ion Batteries (&gt;400 Wh kg−1)</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10:18:19+00:00</w:t>
      </w:r>
      <w:r>
        <w:t xml:space="preserve">    </w:t>
      </w:r>
      <w:r>
        <w:rPr>
          <w:b/>
        </w:rPr>
        <w:t xml:space="preserve">DOI: </w:t>
      </w:r>
      <w:hyperlink r:id="rId175">
        <w:r>
          <w:rPr>
            <w:color w:val="1155CC"/>
            <w:u w:val="single"/>
          </w:rPr>
          <w:t>10.1002/aenm.202504841</w:t>
        </w:r>
      </w:hyperlink>
    </w:p>
    <w:p>
      <w:pPr>
        <w:spacing w:before="0" w:after="120"/>
      </w:pPr>
      <w:r>
        <w:rPr>
          <w:b/>
        </w:rPr>
        <w:t xml:space="preserve">Notes: </w:t>
      </w:r>
      <w:r>
        <w:t>abstract_source=crossref</w:t>
      </w:r>
    </w:p>
    <w:p>
      <w:pPr>
        <w:spacing w:before="0" w:after="200" w:lineRule="auto" w:line="276"/>
      </w:pPr>
      <w:r>
        <w:rPr>
          <w:b/>
        </w:rPr>
        <w:t xml:space="preserve">Abstract: </w:t>
      </w:r>
      <w:r>
        <w:t>The dry‐processing method using polytetrafluoroethylene (PTFE) binders is considered a promising approach in fabricating high‐loading electrodes for high‐energy‐density lithium‐ion batteries (LIBs). However, the fluorinated surface of PTFE resists wetting by conventional electrolytes, hindering ion transport and inducing nonuniform electrochemical reactions across the entire electrode. Here, an innovative strategy is presented to convert the hydrophobic surface of fibrillated PTFE, even those deeply embedded in thick electrodes, into an electrolyte‐compatible interface bearing hydrophilic ─COOH and ─C═O groups, via direct application of electron beam (EB) irradiation to postfabricated dry electrodes. This EB irradiation strategy applied to the fabricated dry electrodes is rapid, solvent‐free, and highly penetrable. Thus, it is highly compatible with the dry electrode manufacturing process, directly addressing sustainability and cost challenges. Benefiting from the improved wettability, the EB‐irradiated dry electrodes exhibited markedly enhanced and uniform Li‐ion migration throughout the thick electrode, thereby delivering superior electrochemical performance even for hyper‐loaded electrodes (100 mg cm</w:t>
      </w:r>
      <w:r>
        <w:t xml:space="preserve"> </w:t>
      </w:r>
      <w:r>
        <w:t>−2</w:t>
      </w:r>
      <w:r>
        <w:t xml:space="preserve"> </w:t>
      </w:r>
      <w:r>
        <w:t>, 22.6 mAh cm</w:t>
      </w:r>
      <w:r>
        <w:t xml:space="preserve"> </w:t>
      </w:r>
      <w:r>
        <w:t>−2</w:t>
      </w:r>
      <w:r>
        <w:t xml:space="preserve"> </w:t>
      </w:r>
      <w:r>
        <w:t>), exhibiting stable cycling performance with 89.51% capacity retention, achieving cell‐level energy density of 449.4 Wh kg</w:t>
      </w:r>
      <w:r>
        <w:t xml:space="preserve"> </w:t>
      </w:r>
      <w:r>
        <w:t>−1</w:t>
      </w:r>
      <w:r>
        <w:t xml:space="preserve"> </w:t>
      </w:r>
      <w:r>
        <w:t>. This strategy offers a crucial pathway toward high‐energy‐density batteries as it overcomes the inherent challenges of dry electrodes without compromising the environment‐friendly and sustainable nature of dry processing.</w:t>
      </w:r>
    </w:p>
    <w:p>
      <w:pPr>
        <w:spacing w:before="120" w:after="120"/>
      </w:pPr>
      <w:r>
        <w:rPr>
          <w:sz w:val="18"/>
        </w:rPr>
        <w:t>——————————————————————————————————————————————————————————————————————</w:t>
      </w:r>
    </w:p>
    <w:p>
      <w:pPr>
        <w:spacing w:before="160" w:after="80" w:line="240" w:lineRule="auto"/>
      </w:pPr>
      <w:r>
        <w:rPr>
          <w:b/>
        </w:rPr>
        <w:t xml:space="preserve">[106] </w:t>
      </w:r>
      <w:hyperlink r:id="rId176">
        <w:r>
          <w:rPr>
            <w:color w:val="1155CC"/>
            <w:u w:val="single"/>
          </w:rPr>
          <w:t>Biomimetic Mineralized Hydrogels for Bone Regeneration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10:22:43+00:00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[107] </w:t>
      </w:r>
      <w:hyperlink r:id="rId177">
        <w:r>
          <w:rPr>
            <w:color w:val="1155CC"/>
            <w:u w:val="single"/>
          </w:rPr>
          <w:t>Scalable Solar Evaporator Based on Bandgap Engineered CuMnCrO4 Spinel Oxide with Salt‐Resistant Property for Contaminated Seawater</w:t>
        </w:r>
      </w:hyperlink>
    </w:p>
    <w:p>
      <w:pPr>
        <w:spacing w:before="0" w:after="120" w:line="240" w:lineRule="auto"/>
      </w:pPr>
      <w:r>
        <w:rPr>
          <w:b/>
        </w:rPr>
        <w:t xml:space="preserve">Source: </w:t>
      </w:r>
      <w:r>
        <w:t>Wiley: Advanced Materials: Table of Contents</w:t>
      </w:r>
      <w:r>
        <w:t xml:space="preserve">    </w:t>
      </w:r>
      <w:r>
        <w:rPr>
          <w:b/>
        </w:rPr>
        <w:t xml:space="preserve">Pub date: </w:t>
      </w:r>
      <w:r>
        <w:t>2025-12-16 10:24:54+00:00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[108] </w:t>
      </w:r>
      <w:hyperlink r:id="rId178">
        <w:r>
          <w:rPr>
            <w:color w:val="1155CC"/>
            <w:u w:val="single"/>
          </w:rPr>
          <w:t>[ASAP] Intrinsic Relaxor Ferroelectric Driven Ultralow Glassy Thermal Conductivity in AgPbSbSe3</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10:39:12+00:00</w:t>
      </w:r>
      <w:r>
        <w:t xml:space="preserve">    </w:t>
      </w:r>
      <w:r>
        <w:rPr>
          <w:b/>
        </w:rPr>
        <w:t xml:space="preserve">DOI: </w:t>
      </w:r>
      <w:hyperlink r:id="rId179">
        <w:r>
          <w:rPr>
            <w:color w:val="1155CC"/>
            <w:u w:val="single"/>
          </w:rPr>
          <w:t>10.1021/jacs.5c18637</w:t>
        </w:r>
      </w:hyperlink>
    </w:p>
    <w:p>
      <w:pPr>
        <w:spacing w:before="0" w:after="120"/>
      </w:pPr>
      <w:r>
        <w:rPr>
          <w:b/>
        </w:rPr>
        <w:t xml:space="preserve">Notes: </w:t>
      </w:r>
      <w:r>
        <w:t>abstract_source=openalex</w:t>
      </w:r>
    </w:p>
    <w:p>
      <w:pPr>
        <w:spacing w:before="0" w:after="200" w:lineRule="auto" w:line="276"/>
      </w:pPr>
      <w:r>
        <w:rPr>
          <w:b/>
        </w:rPr>
        <w:t xml:space="preserve">Abstract: </w:t>
      </w:r>
      <w:r>
        <w:t>Crystalline solids exhibiting glass-like ultralow thermal conductivity while maintaining their long-range structural order are fundamental to structural chemistry, and they hold substantial potential in the field of thermoelectrics. Though often attributed to strong anharmonic interactions and complex crystal structures, the microscopic origin of the thermally insulating nature of these crystals remains unclear, necessitating an extensive evaluation of the chemical bonding, local structure, and phonon dynamics. Here, we uncover the emergence of glass-like thermal conductivity in the single crystal of AgPbSbSe&lt;sub&gt;3&lt;/sub&gt;, driven by its inherent relaxor ferroelectric behavior. Synchrotron X-ray pair distribution function (X-PDF) analysis reveals local structural symmetry breaking driven by Se off-centering along the crystallographic ⟨100⟩ direction, which constitutes the polar instability. Concurrently, density functional theory (DFT) calculations corroborate the experimental findings by identifying the antiparallel vibrations of cation (Ag) and anion (Se) sublattices and the associated double-well potential energy surface, generating dipole moments that underpin relaxor ferroelectric behavior in AgPbSbSe&lt;sub&gt;3&lt;/sub&gt;. The presence of randomly oriented polar nanodomains, created by local atomic distortion in the structure, facilitates the structure to shuttle between randomly oriented, multiple nearly degenerate structures in the potential energy landscape, resulting in ultralow and glass-like thermal transport in AgPbSbSe&lt;sub&gt;3&lt;/sub&gt;.</w:t>
      </w:r>
    </w:p>
    <w:p>
      <w:pPr>
        <w:spacing w:before="120" w:after="120"/>
      </w:pPr>
      <w:r>
        <w:rPr>
          <w:sz w:val="18"/>
        </w:rPr>
        <w:t>——————————————————————————————————————————————————————————————————————</w:t>
      </w:r>
    </w:p>
    <w:p>
      <w:pPr>
        <w:spacing w:before="160" w:after="80" w:line="240" w:lineRule="auto"/>
      </w:pPr>
      <w:r>
        <w:rPr>
          <w:b/>
        </w:rPr>
        <w:t xml:space="preserve">[109] </w:t>
      </w:r>
      <w:hyperlink r:id="rId180">
        <w:r>
          <w:rPr>
            <w:color w:val="1155CC"/>
            <w:u w:val="single"/>
          </w:rPr>
          <w:t>Exceptional Two‐ to Five‐Photon Absorption at Mono/Bis(Donor)‐Porphyrin‐Mono/Bis(Donor) Triads and Pentads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11:46:54+00:00</w:t>
      </w:r>
      <w:r>
        <w:t xml:space="preserve">    </w:t>
      </w:r>
      <w:r>
        <w:rPr>
          <w:b/>
        </w:rPr>
        <w:t xml:space="preserve">DOI: </w:t>
      </w:r>
      <w:hyperlink r:id="rId181">
        <w:r>
          <w:rPr>
            <w:color w:val="1155CC"/>
            <w:u w:val="single"/>
          </w:rPr>
          <w:t>10.1002/anie.202522854</w:t>
        </w:r>
      </w:hyperlink>
    </w:p>
    <w:p>
      <w:pPr>
        <w:spacing w:before="0" w:after="120"/>
      </w:pPr>
      <w:r>
        <w:rPr>
          <w:b/>
        </w:rPr>
        <w:t xml:space="preserve">Notes: </w:t>
      </w:r>
      <w:r>
        <w:t>abstract_source=crossref</w:t>
      </w:r>
    </w:p>
    <w:p>
      <w:pPr>
        <w:spacing w:before="0" w:after="200" w:lineRule="auto" w:line="276"/>
      </w:pPr>
      <w:r>
        <w:rPr>
          <w:b/>
        </w:rPr>
        <w:t xml:space="preserve">Abstract: </w:t>
      </w:r>
      <w:r>
        <w:t>Porphyrins are key components of biologically‐active molecules involved in oxygen transport, light harvesting, and electron transfer; their photophysical properties are consequently of considerable fundamental interest. We herein report that certain donor‐porphyrin‐donor triads and bis(donor)‐porphyrin‐bis(donor) pentads exhibit nonlinear optical activity toward femtosecond pulsed radiation over the spectral range 800–2150 nm. We show that these triads and pentads exhibit unusually strong molecular quadratic optical nonlinearity, two‐photon absorption, and three‐photon absorption, and represent a new molecular motif exhibiting four‐photon absorption. We also report the first porphyrins, and therefore a new class of molecule, to exhibit five‐photon absorption. The two‐, three‐, four‐, and five‐photon absorption maxima are found close to the corresponding multiples of intense linear absorption bands that time‐dependent density functional theory assigns as admixtures of porphyrin‐localized π* ← π and donors‐to‐porphyrin charge‐transfer transitions in the case of the donor‐porphyrin‐donor triads.</w:t>
      </w:r>
    </w:p>
    <w:p>
      <w:pPr>
        <w:spacing w:before="120" w:after="120"/>
      </w:pPr>
      <w:r>
        <w:rPr>
          <w:sz w:val="18"/>
        </w:rPr>
        <w:t>——————————————————————————————————————————————————————————————————————</w:t>
      </w:r>
    </w:p>
    <w:p>
      <w:pPr>
        <w:spacing w:before="160" w:after="80" w:line="240" w:lineRule="auto"/>
      </w:pPr>
      <w:r>
        <w:rPr>
          <w:b/>
        </w:rPr>
        <w:t xml:space="preserve">[110] </w:t>
      </w:r>
      <w:hyperlink r:id="rId182">
        <w:r>
          <w:rPr>
            <w:color w:val="1155CC"/>
            <w:u w:val="single"/>
          </w:rPr>
          <w:t>Site‐Specific and Regioselective Modification of Human Epidermal Growth Factor Receptor 2 via Site‐Sculpted DNA Nanorefiners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11:49:14+00:00</w:t>
      </w:r>
      <w:r>
        <w:t xml:space="preserve">    </w:t>
      </w:r>
      <w:r>
        <w:rPr>
          <w:b/>
        </w:rPr>
        <w:t xml:space="preserve">DOI: </w:t>
      </w:r>
      <w:hyperlink r:id="rId183">
        <w:r>
          <w:rPr>
            <w:color w:val="1155CC"/>
            <w:u w:val="single"/>
          </w:rPr>
          <w:t>10.1002/anie.202518641</w:t>
        </w:r>
      </w:hyperlink>
    </w:p>
    <w:p>
      <w:pPr>
        <w:spacing w:before="0" w:after="120"/>
      </w:pPr>
      <w:r>
        <w:rPr>
          <w:b/>
        </w:rPr>
        <w:t xml:space="preserve">Notes: </w:t>
      </w:r>
      <w:r>
        <w:t>abstract_source=crossref</w:t>
      </w:r>
    </w:p>
    <w:p>
      <w:pPr>
        <w:spacing w:before="0" w:after="200" w:lineRule="auto" w:line="276"/>
      </w:pPr>
      <w:r>
        <w:rPr>
          <w:b/>
        </w:rPr>
        <w:t xml:space="preserve">Abstract: </w:t>
      </w:r>
      <w:r>
        <w:t>The site‐specific modification of native proteins is essential for regulating their functions and behaviors in biological systems. Such modifications enable advanced studies, but existing artificial methods often lack site selectivity and may perturb the functional integrity of the native proteins. In this study, we have developed a programmable platform based on site‐sculpted DNA nanorefiners (SS‐DNRs), which enables site‐specific modifications of proteins at multiple spatially defined sites through precise molecular recognition. Using the human epidermal growth factor receptor 2 (HER2) as a model system, we demonstrate that this approach could achieve precise site‐specific and regioselective modifications at multiple distinct sites without perturbing its intrinsic activity. By leveraging the programmability and addressability of DNA nanostructures, our platform effectively addresses fundamental challenges related to molecular selectivity and site selectivity that are inherent in chemical, enzymatic, genetic, and affinity‐based modification strategies.</w:t>
      </w:r>
    </w:p>
    <w:p>
      <w:pPr>
        <w:spacing w:before="120" w:after="120"/>
      </w:pPr>
      <w:r>
        <w:rPr>
          <w:sz w:val="18"/>
        </w:rPr>
        <w:t>——————————————————————————————————————————————————————————————————————</w:t>
      </w:r>
    </w:p>
    <w:p>
      <w:pPr>
        <w:spacing w:before="160" w:after="80" w:line="240" w:lineRule="auto"/>
      </w:pPr>
      <w:r>
        <w:rPr>
          <w:b/>
        </w:rPr>
        <w:t xml:space="preserve">[111] </w:t>
      </w:r>
      <w:hyperlink r:id="rId184">
        <w:r>
          <w:rPr>
            <w:color w:val="1155CC"/>
            <w:u w:val="single"/>
          </w:rPr>
          <w:t>Time‐Resolved In‐Cell Protein Interactions and Structural Dynamics via Rapid Buffer Online Exchange‐Ion Mobility‐Mass Spectrometry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11:49:15+00:00</w:t>
      </w:r>
      <w:r>
        <w:t xml:space="preserve">    </w:t>
      </w:r>
      <w:r>
        <w:rPr>
          <w:b/>
        </w:rPr>
        <w:t xml:space="preserve">DOI: </w:t>
      </w:r>
      <w:hyperlink r:id="rId185">
        <w:r>
          <w:rPr>
            <w:color w:val="1155CC"/>
            <w:u w:val="single"/>
          </w:rPr>
          <w:t>10.1002/anie.202518076</w:t>
        </w:r>
      </w:hyperlink>
    </w:p>
    <w:p>
      <w:pPr>
        <w:spacing w:before="0" w:after="120"/>
      </w:pPr>
      <w:r>
        <w:rPr>
          <w:b/>
        </w:rPr>
        <w:t xml:space="preserve">Notes: </w:t>
      </w:r>
      <w:r>
        <w:t>abstract_source=crossref</w:t>
      </w:r>
    </w:p>
    <w:p>
      <w:pPr>
        <w:spacing w:before="0" w:after="200" w:lineRule="auto" w:line="276"/>
      </w:pPr>
      <w:r>
        <w:rPr>
          <w:b/>
        </w:rPr>
        <w:t xml:space="preserve">Abstract: </w:t>
      </w:r>
      <w:r>
        <w:t>Observing protein structural dynamics directly within the complex cellular milieu is crucial for understanding biology but is hampered by severe matrix interference in mass spectrometry. Here, we introduce the RapiBOX‐IM‐MS platform, which enables time‐resolved analysis of proteins directly in crude lysates and living cells. The device integrates rapid online buffer exchange with pulsed electrophoretic separation at a nano‐electrospray emitter, eliminating matrix suppression and providing sub‐second temporal resolution. Its power is demonstrated by capturing transient, asymmetric intermediates in hemoglobin refolding and visualizing the lobe‐specific calcium binding dynamics of in‐cell calmodulin. Most significantly, we applied the platform to the neurodegenerative protein alpha‐synuclein, revealing a synergistic pathogenic mechanism where initial acid‐induced compaction paradoxically stabilizes the protein against subsequent thermal stress. This work provides a powerful new tool for dissecting the complex interplay of environmental stressors that trigger protein misfolding and disease.</w:t>
      </w:r>
    </w:p>
    <w:p>
      <w:pPr>
        <w:spacing w:before="120" w:after="120"/>
      </w:pPr>
      <w:r>
        <w:rPr>
          <w:sz w:val="18"/>
        </w:rPr>
        <w:t>——————————————————————————————————————————————————————————————————————</w:t>
      </w:r>
    </w:p>
    <w:p>
      <w:pPr>
        <w:spacing w:before="160" w:after="80" w:line="240" w:lineRule="auto"/>
      </w:pPr>
      <w:r>
        <w:rPr>
          <w:b/>
        </w:rPr>
        <w:t xml:space="preserve">[112] </w:t>
      </w:r>
      <w:hyperlink r:id="rId186">
        <w:r>
          <w:rPr>
            <w:color w:val="1155CC"/>
            <w:u w:val="single"/>
          </w:rPr>
          <w:t>Coumarin‐Based Volatile and Non‐Volatile Solid Additives Enable Organic Solar Cells with 20.32% Efficiency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11:50:05+00:00</w:t>
      </w:r>
      <w:r>
        <w:t xml:space="preserve">    </w:t>
      </w:r>
      <w:r>
        <w:rPr>
          <w:b/>
        </w:rPr>
        <w:t xml:space="preserve">DOI: </w:t>
      </w:r>
      <w:hyperlink r:id="rId187">
        <w:r>
          <w:rPr>
            <w:color w:val="1155CC"/>
            <w:u w:val="single"/>
          </w:rPr>
          <w:t>10.1002/anie.202524002</w:t>
        </w:r>
      </w:hyperlink>
    </w:p>
    <w:p>
      <w:pPr>
        <w:spacing w:before="0" w:after="120"/>
      </w:pPr>
      <w:r>
        <w:rPr>
          <w:b/>
        </w:rPr>
        <w:t xml:space="preserve">Notes: </w:t>
      </w:r>
      <w:r>
        <w:t>abstract_source=crossref</w:t>
      </w:r>
    </w:p>
    <w:p>
      <w:pPr>
        <w:spacing w:before="0" w:after="200" w:lineRule="auto" w:line="276"/>
      </w:pPr>
      <w:r>
        <w:rPr>
          <w:b/>
        </w:rPr>
        <w:t xml:space="preserve">Abstract: </w:t>
      </w:r>
      <w:r>
        <w:t>Solid additives, including volatile solid (VS) and non‐volatile solid (non‐VS) additives, have drawn great attention due to their crucial function in improving photovoltaic performance of organic solar cells (OSCs), while the post‐treatment of non‐VS additives is more convenient. However, compared with VS additives, non‐VS additives often fall‐short in optimizing device morphology, and their systematic comparisons in working mechanisms are still lacking. Herein, we design and synthesize two coumarin‐derived additives, including volatile 7‐(diethylamino)‐2</w:t>
      </w:r>
      <w:r>
        <w:t xml:space="preserve"> </w:t>
      </w:r>
      <w:r>
        <w:t>H</w:t>
      </w:r>
      <w:r>
        <w:t xml:space="preserve"> </w:t>
      </w:r>
      <w:r>
        <w:t>‐chromen‐2‐one (C5) and nonvolatile 3‐(benzo[</w:t>
      </w:r>
      <w:r>
        <w:t xml:space="preserve"> </w:t>
      </w:r>
      <w:r>
        <w:t>d</w:t>
      </w:r>
      <w:r>
        <w:t xml:space="preserve"> </w:t>
      </w:r>
      <w:r>
        <w:t>]thiazol‐2‐yl)‐7‐(diethylamino)‐2</w:t>
      </w:r>
      <w:r>
        <w:t xml:space="preserve"> </w:t>
      </w:r>
      <w:r>
        <w:t>H</w:t>
      </w:r>
      <w:r>
        <w:t xml:space="preserve"> </w:t>
      </w:r>
      <w:r>
        <w:t>‐chromen‐2‐one (C6), to assess their various impacts on device performance. Both the C5‐ and C6‐treated OSCs obtain optimized morphology, improved charge transfer, and less energy loss than the additive‐free device, while C6 plays an additional charge transport channel to promote the exciton utilization through Föster‐Reasonable energy transfer (FRET) between C6 and the donor. As a result, the OSC based on C6 treated D18:L8‐BO obtained an impressive efficiency of 20.32%, as the highest value among the reported small molecule non‐VS additive‐treated devices, which is higher than those of additive‐free (18.85%) and C5‐treated (19.55%) ones. Our work provides a deep insight into the different mechanisms by which non‐VS and VS additives boost photovoltaic performance of the resulting OSCs.</w:t>
      </w:r>
    </w:p>
    <w:p>
      <w:pPr>
        <w:spacing w:before="120" w:after="120"/>
      </w:pPr>
      <w:r>
        <w:rPr>
          <w:sz w:val="18"/>
        </w:rPr>
        <w:t>——————————————————————————————————————————————————————————————————————</w:t>
      </w:r>
    </w:p>
    <w:p>
      <w:pPr>
        <w:spacing w:before="160" w:after="80" w:line="240" w:lineRule="auto"/>
      </w:pPr>
      <w:r>
        <w:rPr>
          <w:b/>
        </w:rPr>
        <w:t xml:space="preserve">[113] </w:t>
      </w:r>
      <w:hyperlink r:id="rId188">
        <w:r>
          <w:rPr>
            <w:color w:val="1155CC"/>
            <w:u w:val="single"/>
          </w:rPr>
          <w:t>Hexabenzocoronene–Benzimidazole Hybrid Architectures and Faraday Rotation of the First Hexabenzocoronene–Phthalocyanine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11:50:08+00:00</w:t>
      </w:r>
      <w:r>
        <w:t xml:space="preserve">    </w:t>
      </w:r>
      <w:r>
        <w:rPr>
          <w:b/>
        </w:rPr>
        <w:t xml:space="preserve">DOI: </w:t>
      </w:r>
      <w:hyperlink r:id="rId189">
        <w:r>
          <w:rPr>
            <w:color w:val="1155CC"/>
            <w:u w:val="single"/>
          </w:rPr>
          <w:t>10.1002/anie.202522494</w:t>
        </w:r>
      </w:hyperlink>
    </w:p>
    <w:p>
      <w:pPr>
        <w:spacing w:before="0" w:after="120"/>
      </w:pPr>
      <w:r>
        <w:rPr>
          <w:b/>
        </w:rPr>
        <w:t xml:space="preserve">Notes: </w:t>
      </w:r>
      <w:r>
        <w:t>abstract_source=crossref</w:t>
      </w:r>
    </w:p>
    <w:p>
      <w:pPr>
        <w:spacing w:before="0" w:after="200" w:lineRule="auto" w:line="276"/>
      </w:pPr>
      <w:r>
        <w:rPr>
          <w:b/>
        </w:rPr>
        <w:t xml:space="preserve">Abstract: </w:t>
      </w:r>
      <w:r>
        <w:t>The synthesis and characterization of a first example of a Ni‐phthalocyanine (Pc) hybrid molecule carrying four hexa‐</w:t>
      </w:r>
      <w:r>
        <w:t xml:space="preserve"> </w:t>
      </w:r>
      <w:r>
        <w:t>peri‐</w:t>
      </w:r>
      <w:r>
        <w:t xml:space="preserve"> </w:t>
      </w:r>
      <w:r>
        <w:t>hexabenzocoronene (HBC) substituents and of three HBC‐benzimidazole derivatives is reported. These π‐electron rich chromophores exhibit a high molar absorption coefficient with extended absorption up to 460 nm. Particularly, HBC‐Pc absorbs throughout most of the UV–vis range with the Pc Q‐band located at 672 nm. This enables its investigation as a Faraday rotator where it displayed a remarkable Verdet constant of −1.4 × 10</w:t>
      </w:r>
      <w:r>
        <w:rPr>
          <w:vertAlign w:val="subscript"/>
        </w:rPr>
        <w:t>5</w:t>
      </w:r>
      <w:r>
        <w:t>deg T</w:t>
      </w:r>
      <w:r>
        <w:t xml:space="preserve"> </w:t>
      </w:r>
      <w:r>
        <w:t>−1</w:t>
      </w:r>
      <w:r>
        <w:t xml:space="preserve"> </w:t>
      </w:r>
      <w:r>
        <w:t>m</w:t>
      </w:r>
      <w:r>
        <w:t xml:space="preserve"> </w:t>
      </w:r>
      <w:r>
        <w:t>−1</w:t>
      </w:r>
      <w:r>
        <w:t xml:space="preserve"> </w:t>
      </w:r>
      <w:r>
        <w:t>at 700 nm assigned to Faraday A‐term activity. Electrochemical measurements supported by DFT calculations elucidated the electronic structure of the molecules together with excited state molecular orbital analysis using TDDFT. Here, HBC‐Pc showed a HOMO/LUMO gap considerably lower than the other HBC‐based compounds due to the introduction of the Pc scaffold.</w:t>
      </w:r>
    </w:p>
    <w:p>
      <w:pPr>
        <w:spacing w:before="120" w:after="120"/>
      </w:pPr>
      <w:r>
        <w:rPr>
          <w:sz w:val="18"/>
        </w:rPr>
        <w:t>——————————————————————————————————————————————————————————————————————</w:t>
      </w:r>
    </w:p>
    <w:p>
      <w:pPr>
        <w:spacing w:before="160" w:after="80" w:line="240" w:lineRule="auto"/>
      </w:pPr>
      <w:r>
        <w:rPr>
          <w:b/>
        </w:rPr>
        <w:t xml:space="preserve">[114] </w:t>
      </w:r>
      <w:hyperlink r:id="rId190">
        <w:r>
          <w:rPr>
            <w:color w:val="1155CC"/>
            <w:u w:val="single"/>
          </w:rPr>
          <w:t>3D Covalent Organic Frameworks from Twistable Building Block Toward an Unprecedented ibd‐r Topology for Efficient C3H6/C2H4 Separation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11:53:48+00:00</w:t>
      </w:r>
      <w:r>
        <w:t xml:space="preserve">    </w:t>
      </w:r>
      <w:r>
        <w:rPr>
          <w:b/>
        </w:rPr>
        <w:t xml:space="preserve">DOI: </w:t>
      </w:r>
      <w:hyperlink r:id="rId191">
        <w:r>
          <w:rPr>
            <w:color w:val="1155CC"/>
            <w:u w:val="single"/>
          </w:rPr>
          <w:t>10.1002/anie.202520950</w:t>
        </w:r>
      </w:hyperlink>
    </w:p>
    <w:p>
      <w:pPr>
        <w:spacing w:before="0" w:after="120"/>
      </w:pPr>
      <w:r>
        <w:rPr>
          <w:b/>
        </w:rPr>
        <w:t xml:space="preserve">Notes: </w:t>
      </w:r>
      <w:r>
        <w:t>abstract_source=crossref</w:t>
      </w:r>
    </w:p>
    <w:p>
      <w:pPr>
        <w:spacing w:before="0" w:after="200" w:lineRule="auto" w:line="276"/>
      </w:pPr>
      <w:r>
        <w:rPr>
          <w:b/>
        </w:rPr>
        <w:t xml:space="preserve">Abstract: </w:t>
      </w:r>
      <w:r>
        <w:t>Owing to the limited diversity of structural topologies and pore features, it remains a tremendous challenge to elaborately design and synthesize three‐dimensional covalent organic frameworks (3D COFs) for efficient gas separation. In this study, we present a series of isoreticular 3D COFs using [6 + 4] design strategy based on a designed 6‐coordinated (6‐c) building block with twistable</w:t>
      </w:r>
      <w:r>
        <w:t xml:space="preserve"> </w:t>
      </w:r>
      <w:r>
        <w:t>D</w:t>
      </w:r>
      <w:r>
        <w:rPr>
          <w:vertAlign w:val="subscript"/>
        </w:rPr>
        <w:t>3</w:t>
      </w:r>
      <w:r>
        <w:t>‐symmetric configuration and three different rectangular building blocks, named JUC‐320, ‐321, and ‐322, respectively. The torsional flexibility of 6‐c building blocks enables the targeted network to adopt an unprecedented self‐catenated</w:t>
      </w:r>
      <w:r>
        <w:t xml:space="preserve"> </w:t>
      </w:r>
      <w:r>
        <w:t>ibd‐r</w:t>
      </w:r>
      <w:r>
        <w:t xml:space="preserve"> </w:t>
      </w:r>
      <w:r>
        <w:t>topology with reduced pore sizes. Remarkably, these COFs exhibit exceptional performances in C</w:t>
      </w:r>
      <w:r>
        <w:rPr>
          <w:vertAlign w:val="subscript"/>
        </w:rPr>
        <w:t>3</w:t>
      </w:r>
      <w:r>
        <w:t>H</w:t>
      </w:r>
      <w:r>
        <w:rPr>
          <w:vertAlign w:val="subscript"/>
        </w:rPr>
        <w:t>6</w:t>
      </w:r>
      <w:r>
        <w:t>/C</w:t>
      </w:r>
      <w:r>
        <w:rPr>
          <w:vertAlign w:val="subscript"/>
        </w:rPr>
        <w:t>2</w:t>
      </w:r>
      <w:r>
        <w:t>H</w:t>
      </w:r>
      <w:r>
        <w:rPr>
          <w:vertAlign w:val="subscript"/>
        </w:rPr>
        <w:t>4</w:t>
      </w:r>
      <w:r>
        <w:t>separation with high adsorption ratios and selectivities. Dynamic breakthrough experiments further confirmed their ability to efficiently separate C</w:t>
      </w:r>
      <w:r>
        <w:rPr>
          <w:vertAlign w:val="subscript"/>
        </w:rPr>
        <w:t>3</w:t>
      </w:r>
      <w:r>
        <w:t>H</w:t>
      </w:r>
      <w:r>
        <w:rPr>
          <w:vertAlign w:val="subscript"/>
        </w:rPr>
        <w:t>6</w:t>
      </w:r>
      <w:r>
        <w:t>/C</w:t>
      </w:r>
      <w:r>
        <w:rPr>
          <w:vertAlign w:val="subscript"/>
        </w:rPr>
        <w:t>2</w:t>
      </w:r>
      <w:r>
        <w:t>H</w:t>
      </w:r>
      <w:r>
        <w:rPr>
          <w:vertAlign w:val="subscript"/>
        </w:rPr>
        <w:t>4</w:t>
      </w:r>
      <w:r>
        <w:t>mixtures (30/70, v/v), yielding polymer‐grade C</w:t>
      </w:r>
      <w:r>
        <w:rPr>
          <w:vertAlign w:val="subscript"/>
        </w:rPr>
        <w:t>2</w:t>
      </w:r>
      <w:r>
        <w:t>H</w:t>
      </w:r>
      <w:r>
        <w:rPr>
          <w:vertAlign w:val="subscript"/>
        </w:rPr>
        <w:t>4</w:t>
      </w:r>
      <w:r>
        <w:t>(&amp;gt;99.99%). This work offers a useful strategy for constructing 3D COFs with unprecedented topologies and porous architectures toward efficient gas separation.</w:t>
      </w:r>
    </w:p>
    <w:p>
      <w:pPr>
        <w:spacing w:before="120" w:after="120"/>
      </w:pPr>
      <w:r>
        <w:rPr>
          <w:sz w:val="18"/>
        </w:rPr>
        <w:t>——————————————————————————————————————————————————————————————————————</w:t>
      </w:r>
    </w:p>
    <w:p>
      <w:pPr>
        <w:spacing w:before="160" w:after="80" w:line="240" w:lineRule="auto"/>
      </w:pPr>
      <w:r>
        <w:rPr>
          <w:b/>
        </w:rPr>
        <w:t xml:space="preserve">[115] </w:t>
      </w:r>
      <w:hyperlink r:id="rId192">
        <w:r>
          <w:rPr>
            <w:color w:val="1155CC"/>
            <w:u w:val="single"/>
          </w:rPr>
          <w:t>Recent Advances and Perspectives of Tunnel‐Structured Nanomaterials for Zn‐Ion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2025-12-16 11:53:48+00:00</w:t>
      </w:r>
      <w:r>
        <w:t xml:space="preserve">    </w:t>
      </w:r>
      <w:r>
        <w:rPr>
          <w:b/>
        </w:rPr>
        <w:t xml:space="preserve">DOI: </w:t>
      </w:r>
      <w:hyperlink r:id="rId193">
        <w:r>
          <w:rPr>
            <w:color w:val="1155CC"/>
            <w:u w:val="single"/>
          </w:rPr>
          <w:t>10.1002/aenm.202505291</w:t>
        </w:r>
      </w:hyperlink>
    </w:p>
    <w:p>
      <w:pPr>
        <w:spacing w:before="0" w:after="120"/>
      </w:pPr>
      <w:r>
        <w:rPr>
          <w:b/>
        </w:rPr>
        <w:t xml:space="preserve">Notes: </w:t>
      </w:r>
      <w:r>
        <w:t>abstract_source=crossref</w:t>
      </w:r>
    </w:p>
    <w:p>
      <w:pPr>
        <w:spacing w:before="0" w:after="200" w:lineRule="auto" w:line="276"/>
      </w:pPr>
      <w:r>
        <w:rPr>
          <w:b/>
        </w:rPr>
        <w:t xml:space="preserve">Abstract: </w:t>
      </w:r>
      <w:r>
        <w:t>Tunnel‐structured nanomaterials have emerged as a promising class of materials for addressing critical challenges in Zn‐ion batteries (ZIBs), including Zn dendrite growth, cathode degradation, and sluggish ion transport kinetics. Their open architecture creates expansive ion transport channels, facilitating rapid Zn</w:t>
      </w:r>
      <w:r>
        <w:rPr>
          <w:vertAlign w:val="subscript"/>
        </w:rPr>
        <w:t>2</w:t>
      </w:r>
      <w:r>
        <w:t>⁺ diffusion, superior cycling endurance, and enhanced rate capability. Recent breakthroughs in material design, such as inorganic–organic co‐intercalation, advanced interface engineering, and tailored electrolyte systems, have further improved the electrochemical performance of these materials in ZIBs. This review highlights the latest breakthroughs in the intrinsic advantages and mechanisms of tunnel‐structured nanomaterials in activating more active sites, promoting diffusion kinetics, and enabling high zinc storage performance. Additionally, the design strategies and their structural features are further discussed. The current challenges and prospects for future research directions are outlined, aiming to provide new insights and guidance to accelerate the scale‐up production and commercial application of tunnel‐structured nanomaterials in ZIBs.</w:t>
      </w:r>
    </w:p>
    <w:p>
      <w:pPr>
        <w:spacing w:before="120" w:after="120"/>
      </w:pPr>
      <w:r>
        <w:rPr>
          <w:sz w:val="18"/>
        </w:rPr>
        <w:t>——————————————————————————————————————————————————————————————————————</w:t>
      </w:r>
    </w:p>
    <w:p>
      <w:pPr>
        <w:spacing w:before="160" w:after="80" w:line="240" w:lineRule="auto"/>
      </w:pPr>
      <w:r>
        <w:rPr>
          <w:b/>
        </w:rPr>
        <w:t xml:space="preserve">[116] </w:t>
      </w:r>
      <w:hyperlink r:id="rId194">
        <w:r>
          <w:rPr>
            <w:color w:val="1155CC"/>
            <w:u w:val="single"/>
          </w:rPr>
          <w:t>[ASAP] Screening-Enabled Chemiresistive Moisture Sensing with Tetrathiafulvalene-Based Electrically Conductive Metal–Organic Frameworks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11:54:11+00:00</w:t>
      </w:r>
      <w:r>
        <w:t xml:space="preserve">    </w:t>
      </w:r>
      <w:r>
        <w:rPr>
          <w:b/>
        </w:rPr>
        <w:t xml:space="preserve">DOI: </w:t>
      </w:r>
      <w:hyperlink r:id="rId195">
        <w:r>
          <w:rPr>
            <w:color w:val="1155CC"/>
            <w:u w:val="single"/>
          </w:rPr>
          <w:t>10.1021/jacs.5c16110</w:t>
        </w:r>
      </w:hyperlink>
    </w:p>
    <w:p>
      <w:pPr>
        <w:spacing w:before="0" w:after="120"/>
      </w:pPr>
      <w:r>
        <w:rPr>
          <w:b/>
        </w:rPr>
        <w:t xml:space="preserve">Notes: </w:t>
      </w:r>
      <w:r>
        <w:t>abstract_source=openalex</w:t>
      </w:r>
    </w:p>
    <w:p>
      <w:pPr>
        <w:spacing w:before="0" w:after="200" w:lineRule="auto" w:line="276"/>
      </w:pPr>
      <w:r>
        <w:rPr>
          <w:b/>
        </w:rPr>
        <w:t xml:space="preserve">Abstract: </w:t>
      </w:r>
      <w:r>
        <w:t>Electrically conductive metal-organic frameworks (MOFs) combine high crystallinity and large surface area with guest-tunable electrical conductivity, making them ideal for chemiresistive gas sensing. Whereas many sensitive and selective MOF-based chemiresistive sensors have been fabricated, their underlying sensing mechanisms often remain elusive, primarily due to the reliance on polycrystalline films. Herein, we overcome this limitation by investigating chemiresistive moisture sensing using single crystals of a series of isostructural MOFs, M&lt;sub&gt;2&lt;/sub&gt;(TTFTB) (M&lt;sup&gt;2+&lt;/sup&gt; = Mn&lt;sup&gt;2+&lt;/sup&gt;, Co&lt;sup&gt;2+&lt;/sup&gt;, Zn&lt;sup&gt;2+&lt;/sup&gt;, Cd&lt;sup&gt;2+&lt;/sup&gt;; TTFTB&lt;sup&gt;4-&lt;/sup&gt; = tetrathiafulvalene tetrabenzoate). We reveal that electrical conductivity in these materials is strongly affected by Coulombic interactions between TTF&lt;sup&gt;•+&lt;/sup&gt; radical defects and charge-balancing anions. In dry conditions, these interactions induce charge trapping. The adsorption of water vapor screens the hole-anion interactions, mitigating charge trapping and thereby significantly enhancing electrical conductivity. This mechanism is particularly pronounced in Zn&lt;sub&gt;2&lt;/sub&gt;(TTFTB) owing to the high Coulombic potential of Zn&lt;sup&gt;2+&lt;/sup&gt;. This study establishes a general methodology for understanding charge transport in MOFs and provides critical guidelines for the rational design of high-performance chemiresistive sensors.</w:t>
      </w:r>
    </w:p>
    <w:p>
      <w:pPr>
        <w:spacing w:before="120" w:after="120"/>
      </w:pPr>
      <w:r>
        <w:rPr>
          <w:sz w:val="18"/>
        </w:rPr>
        <w:t>——————————————————————————————————————————————————————————————————————</w:t>
      </w:r>
    </w:p>
    <w:p>
      <w:pPr>
        <w:spacing w:before="160" w:after="80" w:line="240" w:lineRule="auto"/>
      </w:pPr>
      <w:r>
        <w:rPr>
          <w:b/>
        </w:rPr>
        <w:t xml:space="preserve">[117] </w:t>
      </w:r>
      <w:hyperlink r:id="rId196">
        <w:r>
          <w:rPr>
            <w:color w:val="1155CC"/>
            <w:u w:val="single"/>
          </w:rPr>
          <w:t>Ionotronics‐Enabled Emerging Halide Perovskite Optoelectronic Devices</w:t>
        </w:r>
      </w:hyperlink>
    </w:p>
    <w:p>
      <w:pPr>
        <w:spacing w:before="0" w:after="120" w:line="240" w:lineRule="auto"/>
      </w:pPr>
      <w:r>
        <w:rPr>
          <w:b/>
        </w:rPr>
        <w:t xml:space="preserve">Source: </w:t>
      </w:r>
      <w:r>
        <w:t>Wiley: Advanced Materials: Table of Contents</w:t>
      </w:r>
      <w:r>
        <w:t xml:space="preserve">    </w:t>
      </w:r>
      <w:r>
        <w:rPr>
          <w:b/>
        </w:rPr>
        <w:t xml:space="preserve">Pub date: </w:t>
      </w:r>
      <w:r>
        <w:t>2025-12-16 11:54:20+00:00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[118] </w:t>
      </w:r>
      <w:hyperlink r:id="rId197">
        <w:r>
          <w:rPr>
            <w:color w:val="1155CC"/>
            <w:u w:val="single"/>
          </w:rPr>
          <w:t>Local Oxygen Chemical Potential Determines Cobalt‐Ceria Interfacial Catalysis in CO2 Hydrogenation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11:54:46+00:00</w:t>
      </w:r>
      <w:r>
        <w:t xml:space="preserve">    </w:t>
      </w:r>
      <w:r>
        <w:rPr>
          <w:b/>
        </w:rPr>
        <w:t xml:space="preserve">DOI: </w:t>
      </w:r>
      <w:hyperlink r:id="rId198">
        <w:r>
          <w:rPr>
            <w:color w:val="1155CC"/>
            <w:u w:val="single"/>
          </w:rPr>
          <w:t>10.1002/anie.202523112</w:t>
        </w:r>
      </w:hyperlink>
    </w:p>
    <w:p>
      <w:pPr>
        <w:spacing w:before="0" w:after="120"/>
      </w:pPr>
      <w:r>
        <w:rPr>
          <w:b/>
        </w:rPr>
        <w:t xml:space="preserve">Notes: </w:t>
      </w:r>
      <w:r>
        <w:t>abstract_source=crossref</w:t>
      </w:r>
    </w:p>
    <w:p>
      <w:pPr>
        <w:spacing w:before="0" w:after="200" w:lineRule="auto" w:line="276"/>
      </w:pPr>
      <w:r>
        <w:rPr>
          <w:b/>
        </w:rPr>
        <w:t xml:space="preserve">Abstract: </w:t>
      </w:r>
      <w:r>
        <w:t>Exploring the restructuring mechanism of solid catalysts is of pivotal importance for the rational design of efficient catalysts, yet remains a significant challenge. Traditional chemical potential theory assumes a spatially uniform gas reservoir with a well‐defined chemical potential but neglected the spatial variations induced by surface reactions, mass transportation, and temperature gradients in the operando conditions. Here, we employ a thermodynamics‐guided strategy, integrated with experimental models initiated from distinct precursor structures, to demonstrate the structure of restructured catalyst determined by the local oxygen chemical potential (</w:t>
      </w:r>
      <w:r>
        <w:t xml:space="preserve"> </w:t>
      </w:r>
      <w:r>
        <w:t>μ</w:t>
      </w:r>
      <w:r>
        <w:t xml:space="preserve"> </w:t>
      </w:r>
      <w:r>
        <w:t>O</w:t>
      </w:r>
      <w:r>
        <w:t xml:space="preserve"> </w:t>
      </w:r>
      <w:r>
        <w:t>). Using cobalt‐ceria catalyzed CO</w:t>
      </w:r>
      <w:r>
        <w:rPr>
          <w:vertAlign w:val="subscript"/>
        </w:rPr>
        <w:t>2</w:t>
      </w:r>
      <w:r>
        <w:t>hydrogenation as a proof‐of‐concept system, comprehensive characterizations reveal that supported cobalt species undergo in situ restructuring during reaction processes, either reducing oxidative cobalt species to lower oxidation states or oxidizing metallic cobalt to positive valence states, ultimately forming CoO</w:t>
      </w:r>
      <w:r>
        <w:t xml:space="preserve"> </w:t>
      </w:r>
      <w:r>
        <w:t>x</w:t>
      </w:r>
      <w:r>
        <w:t xml:space="preserve"> </w:t>
      </w:r>
      <w:r>
        <w:t>ensembles with Co(II) as the primary component. Starting from either metallic Co or CoO</w:t>
      </w:r>
      <w:r>
        <w:t xml:space="preserve"> </w:t>
      </w:r>
      <w:r>
        <w:t>x</w:t>
      </w:r>
      <w:r>
        <w:t xml:space="preserve"> </w:t>
      </w:r>
      <w:r>
        <w:t>, the resulting differences in catalytic activity modify the local atmosphere and the</w:t>
      </w:r>
      <w:r>
        <w:t xml:space="preserve"> </w:t>
      </w:r>
      <w:r>
        <w:t>μ</w:t>
      </w:r>
      <w:r>
        <w:t xml:space="preserve"> </w:t>
      </w:r>
      <w:r>
        <w:t>O</w:t>
      </w:r>
      <w:r>
        <w:t xml:space="preserve"> </w:t>
      </w:r>
      <w:r>
        <w:t>near catalyst surface. This leads to the formation of distinct CoO</w:t>
      </w:r>
      <w:r>
        <w:t xml:space="preserve"> </w:t>
      </w:r>
      <w:r>
        <w:t>x</w:t>
      </w:r>
      <w:r>
        <w:t xml:space="preserve"> </w:t>
      </w:r>
      <w:r>
        <w:t>ensembles, which in turn dictate the divergent catalytic performance. These findings provide a comprehensive physical picture elucidating the intrinsic correlation between the environmental atmosphere and corresponding structure of restructured catalysts.</w:t>
      </w:r>
    </w:p>
    <w:p>
      <w:pPr>
        <w:spacing w:before="120" w:after="120"/>
      </w:pPr>
      <w:r>
        <w:rPr>
          <w:sz w:val="18"/>
        </w:rPr>
        <w:t>——————————————————————————————————————————————————————————————————————</w:t>
      </w:r>
    </w:p>
    <w:p>
      <w:pPr>
        <w:spacing w:before="160" w:after="80" w:line="240" w:lineRule="auto"/>
      </w:pPr>
      <w:r>
        <w:rPr>
          <w:b/>
        </w:rPr>
        <w:t xml:space="preserve">[119] </w:t>
      </w:r>
      <w:hyperlink r:id="rId199">
        <w:r>
          <w:rPr>
            <w:color w:val="1155CC"/>
            <w:u w:val="single"/>
          </w:rPr>
          <w:t>AIMNet2‐NSE: A Transferable Reactive Neural Network Potential for Open‐Shell Chemistry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11:57:45+00:00</w:t>
      </w:r>
      <w:r>
        <w:t xml:space="preserve">    </w:t>
      </w:r>
      <w:r>
        <w:rPr>
          <w:b/>
        </w:rPr>
        <w:t xml:space="preserve">DOI: </w:t>
      </w:r>
      <w:hyperlink r:id="rId200">
        <w:r>
          <w:rPr>
            <w:color w:val="1155CC"/>
            <w:u w:val="single"/>
          </w:rPr>
          <w:t>10.1002/anie.202516763</w:t>
        </w:r>
      </w:hyperlink>
    </w:p>
    <w:p>
      <w:pPr>
        <w:spacing w:before="0" w:after="120"/>
      </w:pPr>
      <w:r>
        <w:rPr>
          <w:b/>
        </w:rPr>
        <w:t xml:space="preserve">Notes: </w:t>
      </w:r>
      <w:r>
        <w:t>abstract_source=crossref</w:t>
      </w:r>
    </w:p>
    <w:p>
      <w:pPr>
        <w:spacing w:before="0" w:after="200" w:lineRule="auto" w:line="276"/>
      </w:pPr>
      <w:r>
        <w:rPr>
          <w:b/>
        </w:rPr>
        <w:t xml:space="preserve">Abstract: </w:t>
      </w:r>
      <w:r>
        <w:t>Open‐shell systems such as radical intermediates are central to radical polymerization (RP), combustion, catalysis, and many other chemical and industrial processes, yet their accurate modeling presents significant computational challenges. Most of the current machine learning interatomic potentials do not distinguish between different spin states, making them unsuitable for open‐shell reactive chemistry. Here we present AIMNet2‐NSE (neural spin‐charge equilibration), a neural network potential that incorporates spin‐charge equilibration for accurate treatment of molecules and reactions with arbitrary charge and spin multiplicities. Built upon the AIMNet2 framework, AIMNet2‐NSE is trained on an extensive dataset comprising 20 million closed‐shell neutral and charged molecules, 13 million open‐shell radical configurations, and 200K radical reaction profiles. With explicit handling of spin charges, AIMNet2‐NSE enables prediction of spin‐resolved properties with near‐DFT accuracy while maintaining a favorable linear scaling compared to the polynomial scaling of electronic structure methods. The predictive capabilities and generalizability of our model are confirmed by evaluations on large‐scale radical test sets, the industrially relevant BASChem19 benchmark, and RP reactions. Overall, AIMNet2‐NSE represents a significant advancement in machine learning interatomic potentials, allowing efficient exploration of complex open‐shell systems, and significantly advancing our ability to model radical reaction pathways and reactive intermediates in chemical processes where traditional quantum mechanical methods are computationally prohibitive.</w:t>
      </w:r>
    </w:p>
    <w:p>
      <w:pPr>
        <w:spacing w:before="120" w:after="120"/>
      </w:pPr>
      <w:r>
        <w:rPr>
          <w:sz w:val="18"/>
        </w:rPr>
        <w:t>——————————————————————————————————————————————————————————————————————</w:t>
      </w:r>
    </w:p>
    <w:p>
      <w:pPr>
        <w:spacing w:before="160" w:after="80" w:line="240" w:lineRule="auto"/>
      </w:pPr>
      <w:r>
        <w:rPr>
          <w:b/>
        </w:rPr>
        <w:t xml:space="preserve">[120] </w:t>
      </w:r>
      <w:hyperlink r:id="rId201">
        <w:r>
          <w:rPr>
            <w:color w:val="1155CC"/>
            <w:u w:val="single"/>
          </w:rPr>
          <w:t>Reprogrammable Dual‐Regulated Pollen Actuators for Geometric Encoding</w:t>
        </w:r>
      </w:hyperlink>
    </w:p>
    <w:p>
      <w:pPr>
        <w:spacing w:before="0" w:after="120" w:line="240" w:lineRule="auto"/>
      </w:pPr>
      <w:r>
        <w:rPr>
          <w:b/>
        </w:rPr>
        <w:t xml:space="preserve">Source: </w:t>
      </w:r>
      <w:r>
        <w:t>Wiley: Advanced Materials: Table of Contents</w:t>
      </w:r>
      <w:r>
        <w:t xml:space="preserve">    </w:t>
      </w:r>
      <w:r>
        <w:rPr>
          <w:b/>
        </w:rPr>
        <w:t xml:space="preserve">Pub date: </w:t>
      </w:r>
      <w:r>
        <w:t>2025-12-16 11:59:13+00:00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[121] </w:t>
      </w:r>
      <w:hyperlink r:id="rId202">
        <w:r>
          <w:rPr>
            <w:color w:val="1155CC"/>
            <w:u w:val="single"/>
          </w:rPr>
          <w:t>Optical Tuning of Non‐Equilibrium Surface Plasmon Resonances in a Narrow‐Gap Semiconductor Nanocavity</w:t>
        </w:r>
      </w:hyperlink>
    </w:p>
    <w:p>
      <w:pPr>
        <w:spacing w:before="0" w:after="120" w:line="240" w:lineRule="auto"/>
      </w:pPr>
      <w:r>
        <w:rPr>
          <w:b/>
        </w:rPr>
        <w:t xml:space="preserve">Source: </w:t>
      </w:r>
      <w:r>
        <w:t>Wiley: Advanced Materials: Table of Contents</w:t>
      </w:r>
      <w:r>
        <w:t xml:space="preserve">    </w:t>
      </w:r>
      <w:r>
        <w:rPr>
          <w:b/>
        </w:rPr>
        <w:t xml:space="preserve">Pub date: </w:t>
      </w:r>
      <w:r>
        <w:t>2025-12-16 12:00:08+00:00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[122] </w:t>
      </w:r>
      <w:hyperlink r:id="rId203">
        <w:r>
          <w:rPr>
            <w:color w:val="1155CC"/>
            <w:u w:val="single"/>
          </w:rPr>
          <w:t>Reconfiguring Ionomers in Proton Exchange Membrane Fuel Cell Catalyst Layer to Promote Multi‐Species Transport and Durability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12:04:59+00:00</w:t>
      </w:r>
      <w:r>
        <w:t xml:space="preserve">    </w:t>
      </w:r>
      <w:r>
        <w:rPr>
          <w:b/>
        </w:rPr>
        <w:t xml:space="preserve">DOI: </w:t>
      </w:r>
      <w:hyperlink r:id="rId204">
        <w:r>
          <w:rPr>
            <w:color w:val="1155CC"/>
            <w:u w:val="single"/>
          </w:rPr>
          <w:t>10.1002/anie.202516035</w:t>
        </w:r>
      </w:hyperlink>
    </w:p>
    <w:p>
      <w:pPr>
        <w:spacing w:before="0" w:after="120"/>
      </w:pPr>
      <w:r>
        <w:rPr>
          <w:b/>
        </w:rPr>
        <w:t xml:space="preserve">Notes: </w:t>
      </w:r>
      <w:r>
        <w:t>abstract_source=crossref</w:t>
      </w:r>
    </w:p>
    <w:p>
      <w:pPr>
        <w:spacing w:before="0" w:after="200" w:lineRule="auto" w:line="276"/>
      </w:pPr>
      <w:r>
        <w:rPr>
          <w:b/>
        </w:rPr>
        <w:t xml:space="preserve">Abstract: </w:t>
      </w:r>
      <w:r>
        <w:t>In proton exchange membrane fuel cells (PEMFCs), ionomers in the catalyst layer tend to align lamellar to the catalyst surface, impeding the formation of continuous ionic domains essential for efficient proton transport. This alignment also obstructs oxygen diffusion to the catalyst‐liquid‐gas three‐phase boundary (TPB), which critically limits the PEMFC's power density. Here, we introduce porous graphene‐based nanosheet@Nafion composite ionomers that reconfigure ion transport domains and gas channels at the nanoscale within the catalyst layer. These composite ionomers dramatically enhance proton transport (5.0‐fold) and oxygen diffusion (3.3‐fold), increasing rated power density by 1.70 times and peak power density by 1.48 times compared to Nafion‐based fuel cells. Furthermore, they demonstrate significant durability improvements during accelerated stress tests. This strategy provides an effective approach to optimizing microstructures and constructing efficient multi‐species transport pathways at the TPB, highlighting their potential for maximizing the performance of advanced high‐activity electrocatalytic materials in PEMFCs.</w:t>
      </w:r>
    </w:p>
    <w:p>
      <w:pPr>
        <w:spacing w:before="120" w:after="120"/>
      </w:pPr>
      <w:r>
        <w:rPr>
          <w:sz w:val="18"/>
        </w:rPr>
        <w:t>——————————————————————————————————————————————————————————————————————</w:t>
      </w:r>
    </w:p>
    <w:p>
      <w:pPr>
        <w:spacing w:before="160" w:after="80" w:line="240" w:lineRule="auto"/>
      </w:pPr>
      <w:r>
        <w:rPr>
          <w:b/>
        </w:rPr>
        <w:t xml:space="preserve">[123] </w:t>
      </w:r>
      <w:hyperlink r:id="rId205">
        <w:r>
          <w:rPr>
            <w:color w:val="1155CC"/>
            <w:u w:val="single"/>
          </w:rPr>
          <w:t>[ASAP] Transforming Amino Acids into Serotonin 5-HT2A Receptor Ligands Using Photochemistry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12:05:51+00:00</w:t>
      </w:r>
      <w:r>
        <w:t xml:space="preserve">    </w:t>
      </w:r>
      <w:r>
        <w:rPr>
          <w:b/>
        </w:rPr>
        <w:t xml:space="preserve">DOI: </w:t>
      </w:r>
      <w:hyperlink r:id="rId206">
        <w:r>
          <w:rPr>
            <w:color w:val="1155CC"/>
            <w:u w:val="single"/>
          </w:rPr>
          <w:t>10.1021/jacs.5c19817</w:t>
        </w:r>
      </w:hyperlink>
    </w:p>
    <w:p>
      <w:pPr>
        <w:spacing w:before="0" w:after="120"/>
      </w:pPr>
      <w:r>
        <w:rPr>
          <w:b/>
        </w:rPr>
        <w:t xml:space="preserve">Notes: </w:t>
      </w:r>
      <w:r>
        <w:t>abstract_source=openalex</w:t>
      </w:r>
    </w:p>
    <w:p>
      <w:pPr>
        <w:spacing w:before="0" w:after="200" w:lineRule="auto" w:line="276"/>
      </w:pPr>
      <w:r>
        <w:rPr>
          <w:b/>
        </w:rPr>
        <w:t xml:space="preserve">Abstract: </w:t>
      </w:r>
      <w:r>
        <w:t>A light-induced cyclization via a radical spin-center shift process that results in the direct functionalization of the indole ring at the C4-position is developed into a practical method for the synthesis of medicinally active, ring-constrained tryptamine analogs. Amino acids were coupled to tryptamine and irradiated with UV light to produce a library of lactams bridging the C3- and C4-positions of the indole nucleus. An extension to this method is introduced that employs α-acetoxy- and α-lactone-substituted tryptamides. Using optimized conditions and these easily accessed precursors, C3- to C4-bridged indoles can now be produced in good to excellent yields, free of the C2-regioisomers that are often seen using α-halo tryptamide substrates. Due to the structural similarities of the reduced lactams (azocinoindoles) with known psychoactive tryptamines, their functional activation at the serotonin 5-HT&lt;sub&gt;2A&lt;/sub&gt; receptor was investigated both &lt;i&gt;in silico&lt;/i&gt; and &lt;i&gt;in vitro&lt;/i&gt;. These azocinoindoles show both full and partial agonist 5-HT&lt;sub&gt;2A&lt;/sub&gt; Gq activation efficacies and suppress the head-twitch response in vivo, suggesting they belong to an emerging class of nonhallucinogenic 5-HT&lt;sub&gt;2A&lt;/sub&gt; agonists. The azocinoindole core and the synthetic advances described here that enable its structural diversification provide a valuable platform for serotonin receptor drug discovery.</w:t>
      </w:r>
    </w:p>
    <w:p>
      <w:pPr>
        <w:spacing w:before="120" w:after="120"/>
      </w:pPr>
      <w:r>
        <w:rPr>
          <w:sz w:val="18"/>
        </w:rPr>
        <w:t>——————————————————————————————————————————————————————————————————————</w:t>
      </w:r>
    </w:p>
    <w:p>
      <w:pPr>
        <w:spacing w:before="160" w:after="80" w:line="240" w:lineRule="auto"/>
      </w:pPr>
      <w:r>
        <w:rPr>
          <w:b/>
        </w:rPr>
        <w:t xml:space="preserve">[124] </w:t>
      </w:r>
      <w:hyperlink r:id="rId207">
        <w:r>
          <w:rPr>
            <w:color w:val="1155CC"/>
            <w:u w:val="single"/>
          </w:rPr>
          <w:t>[ASAP] Unveiling Li+ Partitioning Thermodynamics in Electrolysis-Driven Li Metal Recovery</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2025-12-16 12:06:04+00:00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[125] </w:t>
      </w:r>
      <w:hyperlink r:id="rId208">
        <w:r>
          <w:rPr>
            <w:color w:val="1155CC"/>
            <w:u w:val="single"/>
          </w:rPr>
          <w:t>A Phosphorus‐Bridged Spin Trigger for Oxygen 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12:07:38+00:00</w:t>
      </w:r>
      <w:r>
        <w:t xml:space="preserve">    </w:t>
      </w:r>
      <w:r>
        <w:rPr>
          <w:b/>
        </w:rPr>
        <w:t xml:space="preserve">DOI: </w:t>
      </w:r>
      <w:hyperlink r:id="rId209">
        <w:r>
          <w:rPr>
            <w:color w:val="1155CC"/>
            <w:u w:val="single"/>
          </w:rPr>
          <w:t>10.1002/anie.202522880</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over the spin degree of freedom of catalytic metal centers represents a significant challenge in enhancing the oxygen reduction reaction (ORR). In this work, we report a phosphorus(P)‐bridged composite comprising Fe single atoms (SAs) and atomic clusters (ACs), Fe</w:t>
      </w:r>
      <w:r>
        <w:t xml:space="preserve"> </w:t>
      </w:r>
      <w:r>
        <w:t>SA/AC</w:t>
      </w:r>
      <w:r>
        <w:t xml:space="preserve"> </w:t>
      </w:r>
      <w:r>
        <w:t>/PNC, wherein the Fe</w:t>
      </w:r>
      <w:r>
        <w:t xml:space="preserve"> </w:t>
      </w:r>
      <w:r>
        <w:t>SA</w:t>
      </w:r>
      <w:r>
        <w:t xml:space="preserve"> </w:t>
      </w:r>
      <w:r>
        <w:t>‐P‐Fe</w:t>
      </w:r>
      <w:r>
        <w:t xml:space="preserve"> </w:t>
      </w:r>
      <w:r>
        <w:t>AC</w:t>
      </w:r>
      <w:r>
        <w:t xml:space="preserve"> </w:t>
      </w:r>
      <w:r>
        <w:t>structure functions as an efficient electron channel and, more importantly, a spin trigger. This trigger induces a spin‐state transition of Fe</w:t>
      </w:r>
      <w:r>
        <w:t xml:space="preserve"> </w:t>
      </w:r>
      <w:r>
        <w:t>II</w:t>
      </w:r>
      <w:r>
        <w:t xml:space="preserve"> </w:t>
      </w:r>
      <w:r>
        <w:t>from low‐spin (S = 0) to medium‐spin (S = 1), as unequivocally deciphered by advanced spectroscopic and magnetic analyses. This spin‐state reconstruction directly optimizes the reaction pathway by enhancing O</w:t>
      </w:r>
      <w:r>
        <w:rPr>
          <w:vertAlign w:val="subscript"/>
        </w:rPr>
        <w:t>2</w:t>
      </w:r>
      <w:r>
        <w:t>adsorption and facilitating *OH desorption. The resulting catalyst exhibits exceptional oxygen reduction activity in both acidic and neutral media, with half‐wave potentials of 0.852 and 0.831 V, respectively, and achieves a peak power density of 1.35 W cm</w:t>
      </w:r>
      <w:r>
        <w:t xml:space="preserve"> </w:t>
      </w:r>
      <w:r>
        <w:t>−2</w:t>
      </w:r>
      <w:r>
        <w:t xml:space="preserve"> </w:t>
      </w:r>
      <w:r>
        <w:t>in proton exchange membrane fuel cells (PEMFCs). This strategy is universally effective for Co and Ni systems, establishing spin‐state engineering as a general principle for designing high‐performance non‐precious metal catalysts.</w:t>
      </w:r>
    </w:p>
    <w:p>
      <w:pPr>
        <w:spacing w:before="120" w:after="120"/>
      </w:pPr>
      <w:r>
        <w:rPr>
          <w:sz w:val="18"/>
        </w:rPr>
        <w:t>——————————————————————————————————————————————————————————————————————</w:t>
      </w:r>
    </w:p>
    <w:p>
      <w:pPr>
        <w:spacing w:before="160" w:after="80" w:line="240" w:lineRule="auto"/>
      </w:pPr>
      <w:r>
        <w:rPr>
          <w:b/>
        </w:rPr>
        <w:t xml:space="preserve">[126] </w:t>
      </w:r>
      <w:hyperlink r:id="rId210">
        <w:r>
          <w:rPr>
            <w:color w:val="1155CC"/>
            <w:u w:val="single"/>
          </w:rPr>
          <w:t>Synergy of Nickel Single‐Atom and Heteroatoms Co‐Doping in Carbon for Efficient Hydrogen Peroxide Electrosynthesis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12:11:00+00:00</w:t>
      </w:r>
      <w:r>
        <w:t xml:space="preserve">    </w:t>
      </w:r>
      <w:r>
        <w:rPr>
          <w:b/>
        </w:rPr>
        <w:t xml:space="preserve">DOI: </w:t>
      </w:r>
      <w:hyperlink r:id="rId211">
        <w:r>
          <w:rPr>
            <w:color w:val="1155CC"/>
            <w:u w:val="single"/>
          </w:rPr>
          <w:t>10.1002/anie.202521397</w:t>
        </w:r>
      </w:hyperlink>
    </w:p>
    <w:p>
      <w:pPr>
        <w:spacing w:before="0" w:after="120"/>
      </w:pPr>
      <w:r>
        <w:rPr>
          <w:b/>
        </w:rPr>
        <w:t xml:space="preserve">Notes: </w:t>
      </w:r>
      <w:r>
        <w:t>abstract_source=crossref</w:t>
      </w:r>
    </w:p>
    <w:p>
      <w:pPr>
        <w:spacing w:before="0" w:after="200" w:lineRule="auto" w:line="276"/>
      </w:pPr>
      <w:r>
        <w:rPr>
          <w:b/>
        </w:rPr>
        <w:t xml:space="preserve">Abstract: </w:t>
      </w:r>
      <w:r>
        <w:t>Single‐atom catalysts have emerged as cost‐effective alternatives to noble metals for the two‐electron oxygen reduction reaction (2e</w:t>
      </w:r>
      <w:r>
        <w:t xml:space="preserve"> </w:t>
      </w:r>
      <w:r>
        <w:t>−</w:t>
      </w:r>
      <w:r>
        <w:t>ORR); however, their practical application in hydrogen peroxide (H</w:t>
      </w:r>
      <w:r>
        <w:rPr>
          <w:vertAlign w:val="subscript"/>
        </w:rPr>
        <w:t>2</w:t>
      </w:r>
      <w:r>
        <w:t>O</w:t>
      </w:r>
      <w:r>
        <w:rPr>
          <w:vertAlign w:val="subscript"/>
        </w:rPr>
        <w:t>2</w:t>
      </w:r>
      <w:r>
        <w:t>) electrosynthesis remains limited by persistent trade‐offs among activity, selectivity, and stability. Herein, we demonstrate that synergistic integration of atomically dispersed Ni and B, N co‐dopants within a carbon matrix (Ni‐BNC) effectively regulates the 2e</w:t>
      </w:r>
      <w:r>
        <w:t xml:space="preserve"> </w:t>
      </w:r>
      <w:r>
        <w:t>−</w:t>
      </w:r>
      <w:r>
        <w:t>ORR for efficient H</w:t>
      </w:r>
      <w:r>
        <w:rPr>
          <w:vertAlign w:val="subscript"/>
        </w:rPr>
        <w:t>2</w:t>
      </w:r>
      <w:r>
        <w:t>O</w:t>
      </w:r>
      <w:r>
        <w:rPr>
          <w:vertAlign w:val="subscript"/>
        </w:rPr>
        <w:t>2</w:t>
      </w:r>
      <w:r>
        <w:t>production. The Ni‐BNC catalyst delivers &amp;gt;90% Faradaic efficiency for H</w:t>
      </w:r>
      <w:r>
        <w:rPr>
          <w:vertAlign w:val="subscript"/>
        </w:rPr>
        <w:t>2</w:t>
      </w:r>
      <w:r>
        <w:t>O</w:t>
      </w:r>
      <w:r>
        <w:rPr>
          <w:vertAlign w:val="subscript"/>
        </w:rPr>
        <w:t>2</w:t>
      </w:r>
      <w:r>
        <w:t>at current densities up to ∼−400 mA cm</w:t>
      </w:r>
      <w:r>
        <w:t xml:space="preserve"> </w:t>
      </w:r>
      <w:r>
        <w:t>−2</w:t>
      </w:r>
      <w:r>
        <w:t xml:space="preserve"> </w:t>
      </w:r>
      <w:r>
        <w:t>and critically maintains this high selectivity for over 50 h at −100 mA cm</w:t>
      </w:r>
      <w:r>
        <w:t xml:space="preserve"> </w:t>
      </w:r>
      <w:r>
        <w:t>−2</w:t>
      </w:r>
      <w:r>
        <w:t xml:space="preserve"> </w:t>
      </w:r>
      <w:r>
        <w:t>in a flow cell, achieving a maximum production rate of 31.13 mol g</w:t>
      </w:r>
      <w:r>
        <w:t xml:space="preserve"> </w:t>
      </w:r>
      <w:r>
        <w:t>−1</w:t>
      </w:r>
      <w:r>
        <w:t xml:space="preserve"> </w:t>
      </w:r>
      <w:r>
        <w:t>h</w:t>
      </w:r>
      <w:r>
        <w:t xml:space="preserve"> </w:t>
      </w:r>
      <w:r>
        <w:t>−1</w:t>
      </w:r>
      <w:r>
        <w:t xml:space="preserve"> </w:t>
      </w:r>
      <w:r>
        <w:t>. In situ infrared spectroscopy and kinetic analysis revealed that B, N‐coordination facilitates electron transfer from adjacent single Ni atoms, electronically modulating the *OOH adsorption energy and lowering the kinetic barrier. The practical viability is further demonstrated in a porous solid electrolyte reactor, which continuously produces pure, salt‐free H</w:t>
      </w:r>
      <w:r>
        <w:rPr>
          <w:vertAlign w:val="subscript"/>
        </w:rPr>
        <w:t>2</w:t>
      </w:r>
      <w:r>
        <w:t>O</w:t>
      </w:r>
      <w:r>
        <w:rPr>
          <w:vertAlign w:val="subscript"/>
        </w:rPr>
        <w:t>2</w:t>
      </w:r>
      <w:r>
        <w:t>(&amp;gt;1,400 ppm) for 100 h. This work highlights the effectiveness of atomic‐level synergy for designing advanced electrocatalysts beyond sole active‐site engineering.</w:t>
      </w:r>
    </w:p>
    <w:p>
      <w:pPr>
        <w:spacing w:before="120" w:after="120"/>
      </w:pPr>
      <w:r>
        <w:rPr>
          <w:sz w:val="18"/>
        </w:rPr>
        <w:t>——————————————————————————————————————————————————————————————————————</w:t>
      </w:r>
    </w:p>
    <w:p>
      <w:pPr>
        <w:spacing w:before="160" w:after="80" w:line="240" w:lineRule="auto"/>
      </w:pPr>
      <w:r>
        <w:rPr>
          <w:b/>
        </w:rPr>
        <w:t xml:space="preserve">[127] </w:t>
      </w:r>
      <w:hyperlink r:id="rId212">
        <w:r>
          <w:rPr>
            <w:color w:val="1155CC"/>
            <w:u w:val="single"/>
          </w:rPr>
          <w:t>Harnessing the Hofmeister Effect for Simultaneous Strengthening and Toughening of Cellulosic Triboelectric Materials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12:15:06+00:00</w:t>
      </w:r>
      <w:r>
        <w:t xml:space="preserve">    </w:t>
      </w:r>
      <w:r>
        <w:rPr>
          <w:b/>
        </w:rPr>
        <w:t xml:space="preserve">DOI: </w:t>
      </w:r>
      <w:hyperlink r:id="rId213">
        <w:r>
          <w:rPr>
            <w:color w:val="1155CC"/>
            <w:u w:val="single"/>
          </w:rPr>
          <w:t>10.1002/anie.202521123</w:t>
        </w:r>
      </w:hyperlink>
    </w:p>
    <w:p>
      <w:pPr>
        <w:spacing w:before="0" w:after="120"/>
      </w:pPr>
      <w:r>
        <w:rPr>
          <w:b/>
        </w:rPr>
        <w:t xml:space="preserve">Notes: </w:t>
      </w:r>
      <w:r>
        <w:t>abstract_source=crossref</w:t>
      </w:r>
    </w:p>
    <w:p>
      <w:pPr>
        <w:spacing w:before="0" w:after="200" w:lineRule="auto" w:line="276"/>
      </w:pPr>
      <w:r>
        <w:rPr>
          <w:b/>
        </w:rPr>
        <w:t xml:space="preserve">Abstract: </w:t>
      </w:r>
      <w:r>
        <w:t>Flexible film materials often experience a decline in toughness while pursuing high strength. This challenge of balancing strength and toughness restricts their application in fields such as tissue engineering, soft robotics, and wearable electronic products. Inspired by the multilevel structures of natural materials, this study proposes a hydrogen‐bond network restructuring strategy based on “multilevel crosslinking” to simultaneously enhance the tensile strength and toughness of cellulosic triboelectric films. During the reconstruction of the hydrogen bonding network, MXene nanosheets first form a dynamically pre‐crosslinked network with polymer chains via hydrogen bonds. Subsequently, the Hofmeister effect enhances hydrogen bond interactions, inducing aggregation/crystallization to build domain networks and establish a multi‐level crosslinked structure. This yields flexible cellulosic triboelectric films with enhanced strength and toughness, capable of withstanding loads exceeding 22,700 times their own weight. Simultaneously, the aggregation/crystallization of molecular chains induces rearrangement of surface functional groups, thereby altering surface potential and enhancing the material's electron‐donating capacity, ultimately improving the triboelectric properties. This strategy offers novel insights for designing and fabricating high‐performance flexible films required in next‐generation flexible electronic devices, wearable technology, and related fields.</w:t>
      </w:r>
    </w:p>
    <w:p>
      <w:pPr>
        <w:spacing w:before="120" w:after="120"/>
      </w:pPr>
      <w:r>
        <w:rPr>
          <w:sz w:val="18"/>
        </w:rPr>
        <w:t>——————————————————————————————————————————————————————————————————————</w:t>
      </w:r>
    </w:p>
    <w:p>
      <w:pPr>
        <w:spacing w:before="160" w:after="80" w:line="240" w:lineRule="auto"/>
      </w:pPr>
      <w:r>
        <w:rPr>
          <w:b/>
        </w:rPr>
        <w:t xml:space="preserve">[128] </w:t>
      </w:r>
      <w:hyperlink r:id="rId214">
        <w:r>
          <w:rPr>
            <w:color w:val="1155CC"/>
            <w:u w:val="single"/>
          </w:rPr>
          <w:t>Deactivation of Single‐Atom Catalysts by Nanoparticles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12:19:50+00:00</w:t>
      </w:r>
      <w:r>
        <w:t xml:space="preserve">    </w:t>
      </w:r>
      <w:r>
        <w:rPr>
          <w:b/>
        </w:rPr>
        <w:t xml:space="preserve">DOI: </w:t>
      </w:r>
      <w:hyperlink r:id="rId215">
        <w:r>
          <w:rPr>
            <w:color w:val="1155CC"/>
            <w:u w:val="single"/>
          </w:rPr>
          <w:t>10.1002/anie.202520712</w:t>
        </w:r>
      </w:hyperlink>
    </w:p>
    <w:p>
      <w:pPr>
        <w:spacing w:before="0" w:after="120"/>
      </w:pPr>
      <w:r>
        <w:rPr>
          <w:b/>
        </w:rPr>
        <w:t xml:space="preserve">Notes: </w:t>
      </w:r>
      <w:r>
        <w:t>abstract_source=crossref</w:t>
      </w:r>
    </w:p>
    <w:p>
      <w:pPr>
        <w:spacing w:before="0" w:after="200" w:lineRule="auto" w:line="276"/>
      </w:pPr>
      <w:r>
        <w:rPr>
          <w:b/>
        </w:rPr>
        <w:t xml:space="preserve">Abstract: </w:t>
      </w:r>
      <w:r>
        <w:t>Single‐atom catalysts (SACs) represent a pinnacle of atomic efficiency and catalytic precision. Their remarkable activity and selectivity arise from isolated, low‐coordinate metal centers that engage directly in bond‐forming events. However, under realistic reaction conditions, SACs are far from static. Increasing evidence reveals that single atoms undergo dynamic evolution over the reaction time. In this perspective, we challenge the conventional dichotomy that views SACs and nanoparticles (NPs) as fundamentally distinct catalytic systems. We propose that NPs, rather than acting as parallel or cooperative catalysts, may function as catalytic poisonants for SACs by trapping active metal atoms. This transformation results in loss of activity, reduced selectivity, and degradation of the catalytic system. Drawing on mechanistic studies, thermodynamic data, and experimental observations across diverse reaction classes, including hydrogenation, oxidation, and cross‐coupling, we show that the aggregation of SACs into NPs is not merely a side process but rather a limitation to their stability and utility. We further outline thermodynamic and kinetic strategies to suppress this deactivation pathway and propose design principles that elevate NP suppression from a synthetic challenge to a foundational criterion in catalyst development. This perspective reframes the SAC–NP relationship as a dynamic continuum and emphasizes the importance of stabilizing isolated active sites in next‐generation catalytic technologies.</w:t>
      </w:r>
    </w:p>
    <w:p>
      <w:pPr>
        <w:spacing w:before="120" w:after="120"/>
      </w:pPr>
      <w:r>
        <w:rPr>
          <w:sz w:val="18"/>
        </w:rPr>
        <w:t>——————————————————————————————————————————————————————————————————————</w:t>
      </w:r>
    </w:p>
    <w:p>
      <w:pPr>
        <w:spacing w:before="160" w:after="80" w:line="240" w:lineRule="auto"/>
      </w:pPr>
      <w:r>
        <w:rPr>
          <w:b/>
        </w:rPr>
        <w:t xml:space="preserve">[129] </w:t>
      </w:r>
      <w:hyperlink r:id="rId216">
        <w:r>
          <w:rPr>
            <w:color w:val="1155CC"/>
            <w:u w:val="single"/>
          </w:rPr>
          <w:t>[ASAP] Identification and Reactivity of Peroxyhemiacetal Intermediate during Aldehyde Deformylation by a Heme Ferric-Peroxide Complex</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12:31:36+00:00</w:t>
      </w:r>
      <w:r>
        <w:t xml:space="preserve">    </w:t>
      </w:r>
      <w:r>
        <w:rPr>
          <w:b/>
        </w:rPr>
        <w:t xml:space="preserve">DOI: </w:t>
      </w:r>
      <w:hyperlink r:id="rId217">
        <w:r>
          <w:rPr>
            <w:color w:val="1155CC"/>
            <w:u w:val="single"/>
          </w:rPr>
          <w:t>10.1021/jacs.5c17768</w:t>
        </w:r>
      </w:hyperlink>
    </w:p>
    <w:p>
      <w:pPr>
        <w:spacing w:before="0" w:after="120"/>
      </w:pPr>
      <w:r>
        <w:rPr>
          <w:b/>
        </w:rPr>
        <w:t xml:space="preserve">Notes: </w:t>
      </w:r>
      <w:r>
        <w:t>abstract_source=openalex</w:t>
      </w:r>
    </w:p>
    <w:p>
      <w:pPr>
        <w:spacing w:before="0" w:after="200" w:lineRule="auto" w:line="276"/>
      </w:pPr>
      <w:r>
        <w:rPr>
          <w:b/>
        </w:rPr>
        <w:t xml:space="preserve">Abstract: </w:t>
      </w:r>
      <w:r>
        <w:t>Aldehyde deformylation reaction by heme and nonheme enzymes in biology has been associated with physiologically important processes that include human steroid metabolism and biosynthesis of long-chain hydrocarbons in cyanobacteria. A ferric-peroxide species generated from molecular oxygen has been invoked as the nucleophilic oxidant in both heme and nonheme enzymatic active sites, resulting in the formation of an elusive peroxyhemiacetal intermediate. However, recent investigations using nonheme synthetic analogues have suggested that the deformylation proceeds most likely via aldehyde C-H atom abstraction (Zhu, W. &lt;i&gt;J. Am. Chem. Soc.&lt;/i&gt; 2025, 147(18), 15006-15018). Despite significant attempts in modeling aldehyde deformylation in synthetic heme systems, both reactivity and direct evidence for a heme-peroxyhemiacetal intermediate involved in the function have remained elusive. In this study, we demonstrate for the first time that a synthetic heme-peroxo complex, derived from molecular oxygen, promotes aldehyde deformylation of different aldehyde substrates via the formation of a peroxyhemiacetal intermediate. Investigation of the reaction mechanism with 2-phenylpropionaldehyde reveals the formation of &lt;i&gt;S&lt;/i&gt; = 1/2 ferric low-spin peroxyhemiacetal intermediate, definitively characterized using different spectroscopic techniques for the first time outside the protein scaffold. Kinetic studies indicate a bimolecular reaction in which a ferric-peroxide species attacks the aldehyde, forming the peroxyhemiacetal intermediate. Density functional theory (DFT) calculations further reveal that the weak O-O bond in the peroxyhemiacetal intermediate promotes facile homolysis of the O-O bond. The unequivocal observation of peroxyhemiacetal with synthetic iron-porphyrin complexes during aldehyde deformylation clearly establishes nucleophilic attack of the peroxide to be the key step of the mechanism and not aldehyde C-H bond abstraction.</w:t>
      </w:r>
    </w:p>
    <w:p>
      <w:pPr>
        <w:spacing w:before="120" w:after="120"/>
      </w:pPr>
      <w:r>
        <w:rPr>
          <w:sz w:val="18"/>
        </w:rPr>
        <w:t>——————————————————————————————————————————————————————————————————————</w:t>
      </w:r>
    </w:p>
    <w:p>
      <w:pPr>
        <w:spacing w:before="160" w:after="80" w:line="240" w:lineRule="auto"/>
      </w:pPr>
      <w:r>
        <w:rPr>
          <w:b/>
        </w:rPr>
        <w:t xml:space="preserve">[130] </w:t>
      </w:r>
      <w:hyperlink r:id="rId218">
        <w:r>
          <w:rPr>
            <w:color w:val="1155CC"/>
            <w:u w:val="single"/>
          </w:rPr>
          <w:t>[ASAP] Total Synthesis of Acoapetaludine A Enabled by a Rhodium-Catalyzed Domino Cyclization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12:32:33+00:00</w:t>
      </w:r>
      <w:r>
        <w:t xml:space="preserve">    </w:t>
      </w:r>
      <w:r>
        <w:rPr>
          <w:b/>
        </w:rPr>
        <w:t xml:space="preserve">DOI: </w:t>
      </w:r>
      <w:hyperlink r:id="rId219">
        <w:r>
          <w:rPr>
            <w:color w:val="1155CC"/>
            <w:u w:val="single"/>
          </w:rPr>
          <w:t>10.1021/jacs.5c18189</w:t>
        </w:r>
      </w:hyperlink>
    </w:p>
    <w:p>
      <w:pPr>
        <w:spacing w:before="0" w:after="120"/>
      </w:pPr>
      <w:r>
        <w:rPr>
          <w:b/>
        </w:rPr>
        <w:t xml:space="preserve">Notes: </w:t>
      </w:r>
      <w:r>
        <w:t>abstract_source=openalex</w:t>
      </w:r>
    </w:p>
    <w:p>
      <w:pPr>
        <w:spacing w:before="0" w:after="200" w:lineRule="auto" w:line="276"/>
      </w:pPr>
      <w:r>
        <w:rPr>
          <w:b/>
        </w:rPr>
        <w:t xml:space="preserve">Abstract: </w:t>
      </w:r>
      <w:r>
        <w:t>A rhodium-catalyzed asymmetric domino cyclization was developed, which enables the efficient assembly of highly strained bridged tricyclic scaffolds. Taken together with a deprotection/retro-aldol/intramolecular Mannich reaction cascade and a diastereocontrolled intramolecular Diels-Alder cycloaddition, the first total synthesis of C&lt;sub&gt;20&lt;/sub&gt;-diterpenoid alkaloid acoapetaludine A has been achieved in a concise and practical manner.</w:t>
      </w:r>
    </w:p>
    <w:p>
      <w:pPr>
        <w:spacing w:before="120" w:after="120"/>
      </w:pPr>
      <w:r>
        <w:rPr>
          <w:sz w:val="18"/>
        </w:rPr>
        <w:t>——————————————————————————————————————————————————————————————————————</w:t>
      </w:r>
    </w:p>
    <w:p>
      <w:pPr>
        <w:spacing w:before="160" w:after="80" w:line="240" w:lineRule="auto"/>
      </w:pPr>
      <w:r>
        <w:rPr>
          <w:b/>
        </w:rPr>
        <w:t xml:space="preserve">[131] </w:t>
      </w:r>
      <w:hyperlink r:id="rId220">
        <w:r>
          <w:rPr>
            <w:color w:val="1155CC"/>
            <w:u w:val="single"/>
          </w:rPr>
          <w:t>[ASAP] Solid–Gas Interphase Formation in Anode-Free Solid-State Batteries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12:43:19+00:00</w:t>
      </w:r>
      <w:r>
        <w:t xml:space="preserve">    </w:t>
      </w:r>
      <w:r>
        <w:rPr>
          <w:b/>
        </w:rPr>
        <w:t xml:space="preserve">DOI: </w:t>
      </w:r>
      <w:hyperlink r:id="rId221">
        <w:r>
          <w:rPr>
            <w:color w:val="1155CC"/>
            <w:u w:val="single"/>
          </w:rPr>
          <w:t>10.1021/jacs.5c13252</w:t>
        </w:r>
      </w:hyperlink>
    </w:p>
    <w:p>
      <w:pPr>
        <w:spacing w:before="0" w:after="120"/>
      </w:pPr>
      <w:r>
        <w:rPr>
          <w:b/>
        </w:rPr>
        <w:t xml:space="preserve">Notes: </w:t>
      </w:r>
      <w:r>
        <w:t>abstract_source=pubmed</w:t>
      </w:r>
    </w:p>
    <w:p>
      <w:pPr>
        <w:spacing w:before="0" w:after="200" w:lineRule="auto" w:line="276"/>
      </w:pPr>
      <w:r>
        <w:rPr>
          <w:b/>
        </w:rPr>
        <w:t xml:space="preserve">Abstract: </w:t>
      </w:r>
      <w:r>
        <w:t>The solid electrolyte interphase (SEI) is known to play an essential role in battery performance. However, for highly reactive components such as Li metal anodes, additional side reactions may also contribute to interfacial stability. In particular, for solid-state batteries (SSBs), there exists a unique interface where exposed Li metal surfaces come into contact with the surrounding gas-phase molecules during operation, which is distinct from the solid-liquid interface that exists in a liquid electrolyte system. In this work, we study the dynamic formation of a solid-gas interphase (SGI) layer on the exposed surfaces of the Li metal anode during plating, stripping, and open-circuit rest periods. A customized environmental chamber was fabricated to allow for control of the background gas composition and pressure while cycling SSBs under stack pressure. The formation of an SGI was found to depend on the plated Li capacity, ambient gas composition, and aging time, which has a direct impact on Coulombic efficiency. To reveal the dynamic formation of the SGI layer with trace background reactant gases, operando X-ray photoelectron spectroscopy (XPS) was performed under ultrahigh vacuum conditions. Solid-state pouch cells were assembled in a commercially relevant dry room environment, revealing the influence of SGI formation on calendar life in practical cell configurations. These findings highlight the importance of SGI formation, which is distinct from the classical SEI layer that arises from electrolyte decomposition, in the analysis of SSBs.</w:t>
      </w:r>
    </w:p>
    <w:p>
      <w:pPr>
        <w:spacing w:before="120" w:after="120"/>
      </w:pPr>
      <w:r>
        <w:rPr>
          <w:sz w:val="18"/>
        </w:rPr>
        <w:t>——————————————————————————————————————————————————————————————————————</w:t>
      </w:r>
    </w:p>
    <w:p>
      <w:pPr>
        <w:spacing w:before="160" w:after="80" w:line="240" w:lineRule="auto"/>
      </w:pPr>
      <w:r>
        <w:rPr>
          <w:b/>
        </w:rPr>
        <w:t xml:space="preserve">[132] </w:t>
      </w:r>
      <w:hyperlink r:id="rId222">
        <w:r>
          <w:rPr>
            <w:color w:val="1155CC"/>
            <w:u w:val="single"/>
          </w:rPr>
          <w:t>[ASAP] Highly Active Hydrogen Evolution Reaction (HER) Catalysts Formed by Energetic Ptn Cluster Deposition: Deposition Dynamics and the HER Mechanism</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13:48:48+00:00</w:t>
      </w:r>
      <w:r>
        <w:t xml:space="preserve">    </w:t>
      </w:r>
      <w:r>
        <w:rPr>
          <w:b/>
        </w:rPr>
        <w:t xml:space="preserve">DOI: </w:t>
      </w:r>
      <w:hyperlink r:id="rId223">
        <w:r>
          <w:rPr>
            <w:color w:val="1155CC"/>
            <w:u w:val="single"/>
          </w:rPr>
          <w:t>10.1021/jacs.5c16035</w:t>
        </w:r>
      </w:hyperlink>
    </w:p>
    <w:p>
      <w:pPr>
        <w:spacing w:before="0" w:after="120"/>
      </w:pPr>
      <w:r>
        <w:rPr>
          <w:b/>
        </w:rPr>
        <w:t xml:space="preserve">Notes: </w:t>
      </w:r>
      <w:r>
        <w:t>abstract_source=openalex</w:t>
      </w:r>
    </w:p>
    <w:p>
      <w:pPr>
        <w:spacing w:before="0" w:after="200" w:lineRule="auto" w:line="276"/>
      </w:pPr>
      <w:r>
        <w:rPr>
          <w:b/>
        </w:rPr>
        <w:t xml:space="preserve">Abstract: </w:t>
      </w:r>
      <w:r>
        <w:t>Mass-selected Pt&lt;sub&gt;&lt;i&gt;n&lt;/i&gt;&lt;/sub&gt;&lt;sup&gt;+&lt;/sup&gt; (&lt;i&gt;n&lt;/i&gt; ≤ 7) were deposited at variable energies on highly oriented pyrolytic graphite (HOPG), creating highly active hydrogen evolution reaction (HER) electrocatalysts. HER mass activities were ∼2 to &gt;10 times higher than those for the surface atoms in bulk Pt and for Pt&lt;sub&gt;&lt;i&gt;n&lt;/i&gt;&lt;/sub&gt; deposited on several other supports. Thus, high activity reflects the Pt-C structures formed by energetic Pt&lt;sub&gt;&lt;i&gt;n&lt;/i&gt;&lt;/sub&gt;─HOPG impacts, in addition to high Pt surface availability. The Pt&lt;sub&gt;&lt;i&gt;n&lt;/i&gt;&lt;/sub&gt;/HOPG electrodes were probed by X-ray photoelectron spectroscopy, low energy ion scattering, and electron microscopy. Born-Oppenheimer molecular dynamics (BOMD) was used to simulate Pt&lt;sub&gt;&lt;i&gt;n&lt;/i&gt;&lt;/sub&gt;─HOPG impacts, revealing the types of structures formed at different energies, then DFT was used to probe their most important HER pathways. For low deposition energies, the Pt&lt;sub&gt;&lt;i&gt;n&lt;/i&gt;&lt;/sub&gt; deposit onto the HOPG surface with subunit sticking probability, aggregating at defects. With increasing deposition energy, the sticking probability initially decreases, then rises to unity as subplantation and defect creation allow formation of strongly bonded platinum-carbon structures. Barriers for HER on these structures were found to be low and weakly dependent on Pt&lt;sub&gt;&lt;i&gt;n&lt;/i&gt;&lt;/sub&gt; size, consistent with experiment. The activities were highest for small covalently bonded Pt-C structures created at high deposition energies. The larger aggregated structures formed at low energies were less active, but still substantially better than the bulk Pt surface monolayer. The catalysts were stable in repeated potential cycling at reducing potentials, but electrodes containing subplanted Pt became more active when scanned to oxidizing potentials, due to emergence of subplanted Pt onto the surface.</w:t>
      </w:r>
    </w:p>
    <w:p>
      <w:pPr>
        <w:spacing w:before="120" w:after="120"/>
      </w:pPr>
      <w:r>
        <w:rPr>
          <w:sz w:val="18"/>
        </w:rPr>
        <w:t>——————————————————————————————————————————————————————————————————————</w:t>
      </w:r>
    </w:p>
    <w:p>
      <w:pPr>
        <w:spacing w:before="160" w:after="80" w:line="240" w:lineRule="auto"/>
      </w:pPr>
      <w:r>
        <w:rPr>
          <w:b/>
        </w:rPr>
        <w:t xml:space="preserve">[133] </w:t>
      </w:r>
      <w:hyperlink r:id="rId224">
        <w:r>
          <w:rPr>
            <w:color w:val="1155CC"/>
            <w:u w:val="single"/>
          </w:rPr>
          <w:t>Investigation of Intercellular Trafficking of Global Glycosylphosphatidylinositol‐Anchored Proteins Using Cell Metabolic Engineering and Transwell Coculture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13:59:49+00:00</w:t>
      </w:r>
      <w:r>
        <w:t xml:space="preserve">    </w:t>
      </w:r>
      <w:r>
        <w:rPr>
          <w:b/>
        </w:rPr>
        <w:t xml:space="preserve">DOI: </w:t>
      </w:r>
      <w:hyperlink r:id="rId225">
        <w:r>
          <w:rPr>
            <w:color w:val="1155CC"/>
            <w:u w:val="single"/>
          </w:rPr>
          <w:t>10.1002/anie.202522420</w:t>
        </w:r>
      </w:hyperlink>
    </w:p>
    <w:p>
      <w:pPr>
        <w:spacing w:before="0" w:after="120"/>
      </w:pPr>
      <w:r>
        <w:rPr>
          <w:b/>
        </w:rPr>
        <w:t xml:space="preserve">Notes: </w:t>
      </w:r>
      <w:r>
        <w:t>abstract_source=crossref</w:t>
      </w:r>
    </w:p>
    <w:p>
      <w:pPr>
        <w:spacing w:before="0" w:after="200" w:lineRule="auto" w:line="276"/>
      </w:pPr>
      <w:r>
        <w:rPr>
          <w:b/>
        </w:rPr>
        <w:t xml:space="preserve">Abstract: </w:t>
      </w:r>
      <w:r>
        <w:t>Glycosylphosphatidylinositols (GPIs) are essential for GPI‐anchored proteins (GPI‐APs), as the loose association of GPIs with the cell membrane is thought to facilitate GPI‐AP shedding and intercellular trafficking, which dictates cell communication. To explore this property, a novel method was developed based on metabolic engineering of GPI‐APs in live cells and coculture of labelled donor cells along with recipient cells in a Transwell system for straight observation of intercellular GPI‐AP transfer. Studies using this method have provided direct proof of intercellular GPI‐AP trafficking and its dependence on cell types. Notably, there is a preference for GPI‐AP transfer from cancer to normal cells. Lipid raft‐mediated endocytosis and macropinocytosis play a critical role in GPI‐AP trafficking and incorporation, with extracellular vesicles (EVs) involved as GPI‐AP transporters. It is further revealed that depleting cholesterol in the donor cell can enhance GPI‐AP shedding and trafficking. The method also allowed for in‐depth studies to gain insights into the regulatory mechanisms of GPI‐AP trafficking, such as its association with phospholipase A2 (PLA2), EV biogenesis, and membrane‐adjacent Ras and Rho signaling pathways. The results are important not only for understanding GPI biology but also for its biomedical applications, for example, GPI‐based cancer therapy.</w:t>
      </w:r>
    </w:p>
    <w:p>
      <w:pPr>
        <w:spacing w:before="120" w:after="120"/>
      </w:pPr>
      <w:r>
        <w:rPr>
          <w:sz w:val="18"/>
        </w:rPr>
        <w:t>——————————————————————————————————————————————————————————————————————</w:t>
      </w:r>
    </w:p>
    <w:p>
      <w:pPr>
        <w:spacing w:before="160" w:after="80" w:line="240" w:lineRule="auto"/>
      </w:pPr>
      <w:r>
        <w:rPr>
          <w:b/>
        </w:rPr>
        <w:t xml:space="preserve">[134] </w:t>
      </w:r>
      <w:hyperlink r:id="rId226">
        <w:r>
          <w:rPr>
            <w:color w:val="1155CC"/>
            <w:u w:val="single"/>
          </w:rPr>
          <w:t>Temperature‐Controlled Synthesis of Corannulene‐Based Multi‐Helicenes: Highly Integrated Curvature/Planarity for Enhanced CPL Brightness and Solid‐State Luminescence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14:00:22+00:00</w:t>
      </w:r>
      <w:r>
        <w:t xml:space="preserve">    </w:t>
      </w:r>
      <w:r>
        <w:rPr>
          <w:b/>
        </w:rPr>
        <w:t xml:space="preserve">DOI: </w:t>
      </w:r>
      <w:hyperlink r:id="rId227">
        <w:r>
          <w:rPr>
            <w:color w:val="1155CC"/>
            <w:u w:val="single"/>
          </w:rPr>
          <w:t>10.1002/anie.202521600</w:t>
        </w:r>
      </w:hyperlink>
    </w:p>
    <w:p>
      <w:pPr>
        <w:spacing w:before="0" w:after="120"/>
      </w:pPr>
      <w:r>
        <w:rPr>
          <w:b/>
        </w:rPr>
        <w:t xml:space="preserve">Notes: </w:t>
      </w:r>
      <w:r>
        <w:t>abstract_source=crossref</w:t>
      </w:r>
    </w:p>
    <w:p>
      <w:pPr>
        <w:spacing w:before="0" w:after="200" w:lineRule="auto" w:line="276"/>
      </w:pPr>
      <w:r>
        <w:rPr>
          <w:b/>
        </w:rPr>
        <w:t xml:space="preserve">Abstract: </w:t>
      </w:r>
      <w:r>
        <w:t>Corannulene and hexabenzocoronene (</w:t>
      </w:r>
      <w:r>
        <w:t xml:space="preserve"> </w:t>
      </w:r>
      <w:r>
        <w:t>HBC</w:t>
      </w:r>
      <w:r>
        <w:t xml:space="preserve"> </w:t>
      </w:r>
      <w:r>
        <w:t>), as archetypal bowl‐shaped and planar nanographene, have attracted considerable interest. Highly integrating these complementary motifs into a single architecture, however, remains a challenge owing to considerable intramolecular strains. Here, we report a temperature‐controlled synthesis that enables selective hybridization between corannulene and multiple</w:t>
      </w:r>
      <w:r>
        <w:t xml:space="preserve"> </w:t>
      </w:r>
      <w:r>
        <w:t>HBC</w:t>
      </w:r>
      <w:r>
        <w:t xml:space="preserve"> </w:t>
      </w:r>
      <w:r>
        <w:t>‐like motifs, yielding the anticipated quintuple [8]helicene (</w:t>
      </w:r>
      <w:r>
        <w:t xml:space="preserve"> </w:t>
      </w:r>
      <w:r>
        <w:t>Cor‐5H</w:t>
      </w:r>
      <w:r>
        <w:t xml:space="preserve"> </w:t>
      </w:r>
      <w:r>
        <w:t>) and an unexpected triple [8]helicene (</w:t>
      </w:r>
      <w:r>
        <w:t xml:space="preserve"> </w:t>
      </w:r>
      <w:r>
        <w:t>Cor‐4H</w:t>
      </w:r>
      <w:r>
        <w:t xml:space="preserve"> </w:t>
      </w:r>
      <w:r>
        <w:t>) incorporating a rare nonagon, likely involving a phenyl shift rearrangement mechanism. DFT calculations provide insights into the preferential formation of</w:t>
      </w:r>
      <w:r>
        <w:t xml:space="preserve"> </w:t>
      </w:r>
      <w:r>
        <w:t>Cor‐5H</w:t>
      </w:r>
      <w:r>
        <w:t xml:space="preserve"> </w:t>
      </w:r>
      <w:r>
        <w:t>at lower temperatures, while</w:t>
      </w:r>
      <w:r>
        <w:t xml:space="preserve"> </w:t>
      </w:r>
      <w:r>
        <w:t>Cor‐4H</w:t>
      </w:r>
      <w:r>
        <w:t xml:space="preserve"> </w:t>
      </w:r>
      <w:r>
        <w:t>predominates at elevated temperatures. Single‐crystal X‐ray diffraction confirms their hybrid bowl–helix topologies, in which a central corannulene is fused with four (</w:t>
      </w:r>
      <w:r>
        <w:t xml:space="preserve"> </w:t>
      </w:r>
      <w:r>
        <w:t>Cor‐4H</w:t>
      </w:r>
      <w:r>
        <w:t xml:space="preserve"> </w:t>
      </w:r>
      <w:r>
        <w:t>) or five (</w:t>
      </w:r>
      <w:r>
        <w:t xml:space="preserve"> </w:t>
      </w:r>
      <w:r>
        <w:t>Cor‐5H</w:t>
      </w:r>
      <w:r>
        <w:t xml:space="preserve"> </w:t>
      </w:r>
      <w:r>
        <w:t>)</w:t>
      </w:r>
      <w:r>
        <w:t xml:space="preserve"> </w:t>
      </w:r>
      <w:r>
        <w:t>HBC</w:t>
      </w:r>
      <w:r>
        <w:t xml:space="preserve"> </w:t>
      </w:r>
      <w:r>
        <w:t>‐like blades. The significant steric constraint imposed by the curved core results in high strain energies. This synergistic integration of curvature and planarity endows both compounds with intense deep‐red to near‐infrared (NIR) fluorescence; enhanced chiroptical responses and high circularly polarized luminescence (CPL) brightness; as well as unusual solid‐state fluorescence due to suppressed π–π stacking. As the largest π‐extended corannulene‐based multiple [n]helicenes reported to date,</w:t>
      </w:r>
      <w:r>
        <w:t xml:space="preserve"> </w:t>
      </w:r>
      <w:r>
        <w:t>Cor‐5H</w:t>
      </w:r>
      <w:r>
        <w:t xml:space="preserve"> </w:t>
      </w:r>
      <w:r>
        <w:t>and</w:t>
      </w:r>
      <w:r>
        <w:t xml:space="preserve"> </w:t>
      </w:r>
      <w:r>
        <w:t>Cor‐4H</w:t>
      </w:r>
      <w:r>
        <w:t xml:space="preserve"> </w:t>
      </w:r>
      <w:r>
        <w:t>demonstrate the powerful potential of fusing curved and planar nanographene motifs to design materials with advanced chiroptical functions.</w:t>
      </w:r>
    </w:p>
    <w:p>
      <w:pPr>
        <w:spacing w:before="120" w:after="120"/>
      </w:pPr>
      <w:r>
        <w:rPr>
          <w:sz w:val="18"/>
        </w:rPr>
        <w:t>——————————————————————————————————————————————————————————————————————</w:t>
      </w:r>
    </w:p>
    <w:p>
      <w:pPr>
        <w:spacing w:before="160" w:after="80" w:line="240" w:lineRule="auto"/>
      </w:pPr>
      <w:r>
        <w:rPr>
          <w:b/>
        </w:rPr>
        <w:t xml:space="preserve">[135] </w:t>
      </w:r>
      <w:hyperlink r:id="rId228">
        <w:r>
          <w:rPr>
            <w:color w:val="1155CC"/>
            <w:u w:val="single"/>
          </w:rPr>
          <w:t>Mechanochemical Activation Switches the Chemoselectivity of the Suzuki–Miyaura Cross‐Coupling to Give Azobenzenes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14:01:20+00:00</w:t>
      </w:r>
      <w:r>
        <w:t xml:space="preserve">    </w:t>
      </w:r>
      <w:r>
        <w:rPr>
          <w:b/>
        </w:rPr>
        <w:t xml:space="preserve">DOI: </w:t>
      </w:r>
      <w:hyperlink r:id="rId229">
        <w:r>
          <w:rPr>
            <w:color w:val="1155CC"/>
            <w:u w:val="single"/>
          </w:rPr>
          <w:t>10.1002/anie.202518566</w:t>
        </w:r>
      </w:hyperlink>
    </w:p>
    <w:p>
      <w:pPr>
        <w:spacing w:before="0" w:after="120"/>
      </w:pPr>
      <w:r>
        <w:rPr>
          <w:b/>
        </w:rPr>
        <w:t xml:space="preserve">Notes: </w:t>
      </w:r>
      <w:r>
        <w:t>abstract_source=crossref</w:t>
      </w:r>
    </w:p>
    <w:p>
      <w:pPr>
        <w:spacing w:before="0" w:after="200" w:lineRule="auto" w:line="276"/>
      </w:pPr>
      <w:r>
        <w:rPr>
          <w:b/>
        </w:rPr>
        <w:t xml:space="preserve">Abstract: </w:t>
      </w:r>
      <w:r>
        <w:t>The palladium‐catalyzed Suzuki–Miyaura cross‐coupling reaction is considered as a crucial technique in the field of organic chemistry. Traditionally, the reaction between aryl diazonium salts and arylboronic acids in solution predominantly facilitates carbon–carbon (C─C) bond formation. However, our research reveals that mechanochemical techniques can shift the chemical selectivity in Suzuki–Miyaura cross‐coupling, resulting in the generation of non‐symmetric azobenzene compounds under neat milling conditions. Azobenzenes have progressed from being merely textile dyes to multifunctional molecular systems critical for advanced technologies; however, the synthetic challenges associated with non‐symmetric azo derivatives remain significant. Here, we present an innovative methodology that eliminates the use of conventional solvents while demonstrating exceptional substrate compatibility and short reaction time under ambient conditions. Detailed mechanistic investigations suggest that mechanochemical conditions alter the reaction pathway by selectively promoting carbon–nitrogen (C─N) coupling.</w:t>
      </w:r>
    </w:p>
    <w:p>
      <w:pPr>
        <w:spacing w:before="120" w:after="120"/>
      </w:pPr>
      <w:r>
        <w:rPr>
          <w:sz w:val="18"/>
        </w:rPr>
        <w:t>——————————————————————————————————————————————————————————————————————</w:t>
      </w:r>
    </w:p>
    <w:p>
      <w:pPr>
        <w:spacing w:before="160" w:after="80" w:line="240" w:lineRule="auto"/>
      </w:pPr>
      <w:r>
        <w:rPr>
          <w:b/>
        </w:rPr>
        <w:t xml:space="preserve">[136] </w:t>
      </w:r>
      <w:hyperlink r:id="rId230">
        <w:r>
          <w:rPr>
            <w:color w:val="1155CC"/>
            <w:u w:val="single"/>
          </w:rPr>
          <w:t>Isolation of Germyliumylidene‐Stabilized Heteronuclear Transition Metal Complexes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14:01:46+00:00</w:t>
      </w:r>
      <w:r>
        <w:t xml:space="preserve">    </w:t>
      </w:r>
      <w:r>
        <w:rPr>
          <w:b/>
        </w:rPr>
        <w:t xml:space="preserve">DOI: </w:t>
      </w:r>
      <w:hyperlink r:id="rId231">
        <w:r>
          <w:rPr>
            <w:color w:val="1155CC"/>
            <w:u w:val="single"/>
          </w:rPr>
          <w:t>10.1002/anie.202524980</w:t>
        </w:r>
      </w:hyperlink>
    </w:p>
    <w:p>
      <w:pPr>
        <w:spacing w:before="0" w:after="120"/>
      </w:pPr>
      <w:r>
        <w:rPr>
          <w:b/>
        </w:rPr>
        <w:t xml:space="preserve">Notes: </w:t>
      </w:r>
      <w:r>
        <w:t>abstract_source=crossref</w:t>
      </w:r>
    </w:p>
    <w:p>
      <w:pPr>
        <w:spacing w:before="0" w:after="200" w:lineRule="auto" w:line="276"/>
      </w:pPr>
      <w:r>
        <w:rPr>
          <w:b/>
        </w:rPr>
        <w:t xml:space="preserve">Abstract: </w:t>
      </w:r>
      <w:r>
        <w:t>Heterobimetallic complexes featuring heavier tetrylenes and tetryliumylidenes are scarce due to their limited stabilization capability stemming from the inert pair effect. Herein, we report that the incorporation of a chlorogermyliumylidene into a dianionic B</w:t>
      </w:r>
      <w:r>
        <w:rPr>
          <w:vertAlign w:val="subscript"/>
        </w:rPr>
        <w:t>6</w:t>
      </w:r>
      <w:r>
        <w:t>cluster‐based diphosphine ligand allows access to the germyliumylidene‐containing unit carrying a monoanionic charge. This molecule exhibits ambiphilic reactivity toward nucleophilic KFeCp(CO)</w:t>
      </w:r>
      <w:r>
        <w:rPr>
          <w:vertAlign w:val="subscript"/>
        </w:rPr>
        <w:t>2</w:t>
      </w:r>
      <w:r>
        <w:t>and electrophilic AuCl·SMe</w:t>
      </w:r>
      <w:r>
        <w:rPr>
          <w:vertAlign w:val="subscript"/>
        </w:rPr>
        <w:t>2</w:t>
      </w:r>
      <w:r>
        <w:t>, rendering the iron‐substituted germyliumylidene and inorganic macrocycle via molecular self‐assembly, respectively. The latter is found to serve as a precursor, by reacting with metalates, for the construction of heterobimetallic complexes featuring Au─M (M═Mn, Co, W) bonds. X‐ray diffraction analysis and computational studies elucidate that those heterobimetallic fragments are stabilized by s‐donation from the Ge atom, demonstrating the capability of the germyliumylidene as an ancillary supporting ligand.</w:t>
      </w:r>
    </w:p>
    <w:p>
      <w:pPr>
        <w:spacing w:before="120" w:after="120"/>
      </w:pPr>
      <w:r>
        <w:rPr>
          <w:sz w:val="18"/>
        </w:rPr>
        <w:t>——————————————————————————————————————————————————————————————————————</w:t>
      </w:r>
    </w:p>
    <w:p>
      <w:pPr>
        <w:spacing w:before="160" w:after="80" w:line="240" w:lineRule="auto"/>
      </w:pPr>
      <w:r>
        <w:rPr>
          <w:b/>
        </w:rPr>
        <w:t xml:space="preserve">[137] </w:t>
      </w:r>
      <w:hyperlink r:id="rId232">
        <w:r>
          <w:rPr>
            <w:color w:val="1155CC"/>
            <w:u w:val="single"/>
          </w:rPr>
          <w:t>Pendant Group Design Toward Molecular Packing of Metal‐Organic Frameworks Nanosheets in Micrometer‐Scale for Photo‐Thermal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14:03:54+00:00</w:t>
      </w:r>
      <w:r>
        <w:t xml:space="preserve">    </w:t>
      </w:r>
      <w:r>
        <w:rPr>
          <w:b/>
        </w:rPr>
        <w:t xml:space="preserve">DOI: </w:t>
      </w:r>
      <w:hyperlink r:id="rId233">
        <w:r>
          <w:rPr>
            <w:color w:val="1155CC"/>
            <w:u w:val="single"/>
          </w:rPr>
          <w:t>10.1002/anie.202524975</w:t>
        </w:r>
      </w:hyperlink>
    </w:p>
    <w:p>
      <w:pPr>
        <w:spacing w:before="0" w:after="120"/>
      </w:pPr>
      <w:r>
        <w:rPr>
          <w:b/>
        </w:rPr>
        <w:t xml:space="preserve">Notes: </w:t>
      </w:r>
      <w:r>
        <w:t>abstract_source=crossref</w:t>
      </w:r>
    </w:p>
    <w:p>
      <w:pPr>
        <w:spacing w:before="0" w:after="200" w:lineRule="auto" w:line="276"/>
      </w:pPr>
      <w:r>
        <w:rPr>
          <w:b/>
        </w:rPr>
        <w:t xml:space="preserve">Abstract: </w:t>
      </w:r>
      <w:r>
        <w:t>Attempts that can fabricate metal‐organic frameworks (MOFs) into large‐scale nanosheets with high crystallinity and multi‐functions are much desired for their extended applications. Here, through the pendant group design of ligands, we have successfully prepared a kind of two‐dimensional MOFs (i.e., 2D‐Cu(NDI‐NHEt)) and a contrast three‐dimensional Cu</w:t>
      </w:r>
      <w:r>
        <w:rPr>
          <w:vertAlign w:val="subscript"/>
        </w:rPr>
        <w:t>3</w:t>
      </w:r>
      <w:r>
        <w:t>‐based MOFs (i.e., 3D‐Cu(NDI‐H)) via different side chain induction effects. Interestingly, 2D‐Cu(NDI‐NHEt) can be easily exfoliated into micrometer‐scale nanosheets (i.e., 2D‐Cu(NDI‐NHEt) NSs), while 3D‐Cu(NDI‐H) is hard to exfoliate under similar conditions. Notably, the obtained 2D‐Cu(NDI‐NHEt) NSs possesses high crystallinity, porous structure, ultrathin thickness (∼1.3 nm) and abundant functional units that can be successfully applied in photo‐thermal catalysis, demonstrating much better performance than 2D‐Cu(NDI‐NHEt) and 3D‐Cu(NDI‐H). The structure‐to‐property relationships and possible mechanisms have been revealed by various characterizations coupled with theoretical calculations. These findings offer key understanding of molecular assembly in fabrication of MOFs into large‐scale nanosheets for efficient photocatalytic applications.</w:t>
      </w:r>
    </w:p>
    <w:p>
      <w:pPr>
        <w:spacing w:before="120" w:after="120"/>
      </w:pPr>
      <w:r>
        <w:rPr>
          <w:sz w:val="18"/>
        </w:rPr>
        <w:t>——————————————————————————————————————————————————————————————————————</w:t>
      </w:r>
    </w:p>
    <w:p>
      <w:pPr>
        <w:spacing w:before="160" w:after="80" w:line="240" w:lineRule="auto"/>
      </w:pPr>
      <w:r>
        <w:rPr>
          <w:b/>
        </w:rPr>
        <w:t xml:space="preserve">[138] </w:t>
      </w:r>
      <w:hyperlink r:id="rId234">
        <w:r>
          <w:rPr>
            <w:color w:val="1155CC"/>
            <w:u w:val="single"/>
          </w:rPr>
          <w:t>[ASAP] Unravelling the Stability Stressors of Atomically Dispersed Fe–N–C Oxygen Reduction Catalysts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14:12:24+00:00</w:t>
      </w:r>
      <w:r>
        <w:t xml:space="preserve">    </w:t>
      </w:r>
      <w:r>
        <w:rPr>
          <w:b/>
        </w:rPr>
        <w:t xml:space="preserve">DOI: </w:t>
      </w:r>
      <w:hyperlink r:id="rId235">
        <w:r>
          <w:rPr>
            <w:color w:val="1155CC"/>
            <w:u w:val="single"/>
          </w:rPr>
          <w:t>10.1021/jacs.5c15451</w:t>
        </w:r>
      </w:hyperlink>
    </w:p>
    <w:p>
      <w:pPr>
        <w:spacing w:before="0" w:after="120"/>
      </w:pPr>
      <w:r>
        <w:rPr>
          <w:b/>
        </w:rPr>
        <w:t xml:space="preserve">Notes: </w:t>
      </w:r>
      <w:r>
        <w:t>abstract_source=openalex</w:t>
      </w:r>
    </w:p>
    <w:p>
      <w:pPr>
        <w:spacing w:before="0" w:after="200" w:lineRule="auto" w:line="276"/>
      </w:pPr>
      <w:r>
        <w:rPr>
          <w:b/>
        </w:rPr>
        <w:t xml:space="preserve">Abstract: </w:t>
      </w:r>
      <w:r>
        <w:t>Enhancing the catalytic stability of Fe-N-C catalysts for cathodic oxygen reduction in proton-exchange membrane fuel cells (PEMFCs) necessitates an in-depth understanding of their degradation mechanisms. This study identifies key stressors affecting the stability of Fe-N-C catalysts, specifically acidic environment, oxygen (O&lt;sub&gt;2&lt;/sub&gt;), and reactive oxygen species (ROS). Through ex situ/operando experiments, we show that the oxidation of local carbon by acidic environment + O&lt;sub&gt;2&lt;/sub&gt; + ROS, along with the demetalation of catalytic FeN&lt;sub&gt;&lt;i&gt;x&lt;/i&gt;&lt;/sub&gt;C&lt;sub&gt;&lt;i&gt;y&lt;/i&gt;&lt;/sub&gt; sites by O&lt;sub&gt;2&lt;/sub&gt; or O&lt;sub&gt;2&lt;/sub&gt; + ROS, is the primary factor responsible for the initial fast degradation of Fe-N-C catalysts. The demetalation of FeN&lt;sub&gt;&lt;i&gt;x&lt;/i&gt;&lt;/sub&gt;C&lt;sub&gt;&lt;i&gt;y&lt;/i&gt;&lt;/sub&gt; sites, influenced by O&lt;sub&gt;2&lt;/sub&gt;, in particular by O&lt;sub&gt;2&lt;/sub&gt; + ROS, leads to the subsequent gradual degradation of Fe-N-C. Notably, FeN&lt;sub&gt;4&lt;/sub&gt;C&lt;sub&gt;12&lt;/sub&gt;-type active sites are more susceptible to demetalation than FeN&lt;sub&gt;4&lt;/sub&gt;C&lt;sub&gt;10&lt;/sub&gt;-type sites in O&lt;sub&gt;2&lt;/sub&gt; or O&lt;sub&gt;2&lt;/sub&gt; + ROS. Our findings indicate that, besides constructing more stable FeN&lt;sub&gt;&lt;i&gt;x&lt;/i&gt;&lt;/sub&gt;C&lt;sub&gt;&lt;i&gt;y&lt;/i&gt;&lt;/sub&gt; sites, preventing local carbon oxidation and scavenging of ROS are all critical for maintaining the stability of Fe-N-C catalysts.</w:t>
      </w:r>
    </w:p>
    <w:p>
      <w:pPr>
        <w:spacing w:before="120" w:after="120"/>
      </w:pPr>
      <w:r>
        <w:rPr>
          <w:sz w:val="18"/>
        </w:rPr>
        <w:t>——————————————————————————————————————————————————————————————————————</w:t>
      </w:r>
    </w:p>
    <w:p>
      <w:pPr>
        <w:spacing w:before="160" w:after="80" w:line="240" w:lineRule="auto"/>
      </w:pPr>
      <w:r>
        <w:rPr>
          <w:b/>
        </w:rPr>
        <w:t xml:space="preserve">[139] </w:t>
      </w:r>
      <w:hyperlink r:id="rId236">
        <w:r>
          <w:rPr>
            <w:color w:val="1155CC"/>
            <w:u w:val="single"/>
          </w:rPr>
          <w:t>One‐Dimensional Channel with Side Pockets for Rapid Diffusion and Efficient C2H2 Purification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14:17:42+00:00</w:t>
      </w:r>
      <w:r>
        <w:t xml:space="preserve">    </w:t>
      </w:r>
      <w:r>
        <w:rPr>
          <w:b/>
        </w:rPr>
        <w:t xml:space="preserve">DOI: </w:t>
      </w:r>
      <w:hyperlink r:id="rId237">
        <w:r>
          <w:rPr>
            <w:color w:val="1155CC"/>
            <w:u w:val="single"/>
          </w:rPr>
          <w:t>10.1002/anie.202523562</w:t>
        </w:r>
      </w:hyperlink>
    </w:p>
    <w:p>
      <w:pPr>
        <w:spacing w:before="0" w:after="120"/>
      </w:pPr>
      <w:r>
        <w:rPr>
          <w:b/>
        </w:rPr>
        <w:t xml:space="preserve">Notes: </w:t>
      </w:r>
      <w:r>
        <w:t>abstract_source=crossref</w:t>
      </w:r>
    </w:p>
    <w:p>
      <w:pPr>
        <w:spacing w:before="0" w:after="200" w:lineRule="auto" w:line="276"/>
      </w:pPr>
      <w:r>
        <w:rPr>
          <w:b/>
        </w:rPr>
        <w:t xml:space="preserve">Abstract: </w:t>
      </w:r>
      <w:r>
        <w:t>Efficiently separating acetylene (C</w:t>
      </w:r>
      <w:r>
        <w:rPr>
          <w:vertAlign w:val="subscript"/>
        </w:rPr>
        <w:t>2</w:t>
      </w:r>
      <w:r>
        <w:t>H</w:t>
      </w:r>
      <w:r>
        <w:rPr>
          <w:vertAlign w:val="subscript"/>
        </w:rPr>
        <w:t>2</w:t>
      </w:r>
      <w:r>
        <w:t>) from carbon dioxide (CO</w:t>
      </w:r>
      <w:r>
        <w:rPr>
          <w:vertAlign w:val="subscript"/>
        </w:rPr>
        <w:t>2</w:t>
      </w:r>
      <w:r>
        <w:t>) has been a long‐standing challenge due to their similar molecular dimensions and physical properties. Herein, we report a series of isostructural pillar‐layered metal–organic frameworks (MOFs), named JNU‐13, JNU‐13‐CH</w:t>
      </w:r>
      <w:r>
        <w:rPr>
          <w:vertAlign w:val="subscript"/>
        </w:rPr>
        <w:t>3</w:t>
      </w:r>
      <w:r>
        <w:t>, and JNU‐13‐(CH</w:t>
      </w:r>
      <w:r>
        <w:rPr>
          <w:vertAlign w:val="subscript"/>
        </w:rPr>
        <w:t>3</w:t>
      </w:r>
      <w:r>
        <w:t>)</w:t>
      </w:r>
      <w:r>
        <w:rPr>
          <w:vertAlign w:val="subscript"/>
        </w:rPr>
        <w:t>2</w:t>
      </w:r>
      <w:r>
        <w:t>. These MOFs feature one‐dimensional (1D) channels integrated with orthogonally arrayed side pockets, enabling dense packing of C</w:t>
      </w:r>
      <w:r>
        <w:rPr>
          <w:vertAlign w:val="subscript"/>
        </w:rPr>
        <w:t>2</w:t>
      </w:r>
      <w:r>
        <w:t>H</w:t>
      </w:r>
      <w:r>
        <w:rPr>
          <w:vertAlign w:val="subscript"/>
        </w:rPr>
        <w:t>2</w:t>
      </w:r>
      <w:r>
        <w:t>molecules while maintaining rapid diffusion pathways. Specifically, JNU‐13‐CH</w:t>
      </w:r>
      <w:r>
        <w:rPr>
          <w:vertAlign w:val="subscript"/>
        </w:rPr>
        <w:t>3</w:t>
      </w:r>
      <w:r>
        <w:t>achieves a high C</w:t>
      </w:r>
      <w:r>
        <w:rPr>
          <w:vertAlign w:val="subscript"/>
        </w:rPr>
        <w:t>2</w:t>
      </w:r>
      <w:r>
        <w:t>H</w:t>
      </w:r>
      <w:r>
        <w:rPr>
          <w:vertAlign w:val="subscript"/>
        </w:rPr>
        <w:t>2</w:t>
      </w:r>
      <w:r>
        <w:t>packing density of 360 g L</w:t>
      </w:r>
      <w:r>
        <w:t xml:space="preserve"> </w:t>
      </w:r>
      <w:r>
        <w:t>−1</w:t>
      </w:r>
      <w:r>
        <w:t xml:space="preserve"> </w:t>
      </w:r>
      <w:r>
        <w:t>, a low adsorption enthalpy of 31.61 kJ mol</w:t>
      </w:r>
      <w:r>
        <w:t xml:space="preserve"> </w:t>
      </w:r>
      <w:r>
        <w:t>−1</w:t>
      </w:r>
      <w:r>
        <w:t xml:space="preserve"> </w:t>
      </w:r>
      <w:r>
        <w:t>, and adsorption/desorption coefficients one to two orders of magnitude higher than other benchmark MOFs. Breakthrough experiments reveal a high C</w:t>
      </w:r>
      <w:r>
        <w:rPr>
          <w:vertAlign w:val="subscript"/>
        </w:rPr>
        <w:t>2</w:t>
      </w:r>
      <w:r>
        <w:t>H</w:t>
      </w:r>
      <w:r>
        <w:rPr>
          <w:vertAlign w:val="subscript"/>
        </w:rPr>
        <w:t>2</w:t>
      </w:r>
      <w:r>
        <w:t>capture capacity of 3.46 mmol g</w:t>
      </w:r>
      <w:r>
        <w:t xml:space="preserve"> </w:t>
      </w:r>
      <w:r>
        <w:t>−1</w:t>
      </w:r>
      <w:r>
        <w:t xml:space="preserve"> </w:t>
      </w:r>
      <w:r>
        <w:t>from an equimolar C</w:t>
      </w:r>
      <w:r>
        <w:rPr>
          <w:vertAlign w:val="subscript"/>
        </w:rPr>
        <w:t>2</w:t>
      </w:r>
      <w:r>
        <w:t>H</w:t>
      </w:r>
      <w:r>
        <w:rPr>
          <w:vertAlign w:val="subscript"/>
        </w:rPr>
        <w:t>2</w:t>
      </w:r>
      <w:r>
        <w:t>/CO</w:t>
      </w:r>
      <w:r>
        <w:rPr>
          <w:vertAlign w:val="subscript"/>
        </w:rPr>
        <w:t>2</w:t>
      </w:r>
      <w:r>
        <w:t>mixture at 298 K and 1 bar, even under humid conditions. Moreover, we demonstrate the scale‐up synthesis of JNU‐13‐CH</w:t>
      </w:r>
      <w:r>
        <w:rPr>
          <w:vertAlign w:val="subscript"/>
        </w:rPr>
        <w:t>3</w:t>
      </w:r>
      <w:r>
        <w:t>and gas‐cylinder collection of high‐purity C</w:t>
      </w:r>
      <w:r>
        <w:rPr>
          <w:vertAlign w:val="subscript"/>
        </w:rPr>
        <w:t>2</w:t>
      </w:r>
      <w:r>
        <w:t>H</w:t>
      </w:r>
      <w:r>
        <w:rPr>
          <w:vertAlign w:val="subscript"/>
        </w:rPr>
        <w:t>2</w:t>
      </w:r>
      <w:r>
        <w:t>, achieving &amp;gt;99.9% from a C</w:t>
      </w:r>
      <w:r>
        <w:rPr>
          <w:vertAlign w:val="subscript"/>
        </w:rPr>
        <w:t>2</w:t>
      </w:r>
      <w:r>
        <w:t>H</w:t>
      </w:r>
      <w:r>
        <w:rPr>
          <w:vertAlign w:val="subscript"/>
        </w:rPr>
        <w:t>2</w:t>
      </w:r>
      <w:r>
        <w:t>/CO</w:t>
      </w:r>
      <w:r>
        <w:rPr>
          <w:vertAlign w:val="subscript"/>
        </w:rPr>
        <w:t>2</w:t>
      </w:r>
      <w:r>
        <w:t>(95/5) mixture and &amp;gt;99.7% from a C</w:t>
      </w:r>
      <w:r>
        <w:rPr>
          <w:vertAlign w:val="subscript"/>
        </w:rPr>
        <w:t>2</w:t>
      </w:r>
      <w:r>
        <w:t>H</w:t>
      </w:r>
      <w:r>
        <w:rPr>
          <w:vertAlign w:val="subscript"/>
        </w:rPr>
        <w:t>2</w:t>
      </w:r>
      <w:r>
        <w:t>/CO</w:t>
      </w:r>
      <w:r>
        <w:rPr>
          <w:vertAlign w:val="subscript"/>
        </w:rPr>
        <w:t>2</w:t>
      </w:r>
      <w:r>
        <w:t>/CH</w:t>
      </w:r>
      <w:r>
        <w:rPr>
          <w:vertAlign w:val="subscript"/>
        </w:rPr>
        <w:t>4</w:t>
      </w:r>
      <w:r>
        <w:t>(95/2.5/2.5) mixture. Overall, this study highlights the effectiveness of orthogonal‐arrayed side pockets for balancing dense packing and mass transport, offering a promising strategy for energy‐efficient C</w:t>
      </w:r>
      <w:r>
        <w:rPr>
          <w:vertAlign w:val="subscript"/>
        </w:rPr>
        <w:t>2</w:t>
      </w:r>
      <w:r>
        <w:t>H</w:t>
      </w:r>
      <w:r>
        <w:rPr>
          <w:vertAlign w:val="subscript"/>
        </w:rPr>
        <w:t>2</w:t>
      </w:r>
      <w:r>
        <w:t>purification.</w:t>
      </w:r>
    </w:p>
    <w:p>
      <w:pPr>
        <w:spacing w:before="120" w:after="120"/>
      </w:pPr>
      <w:r>
        <w:rPr>
          <w:sz w:val="18"/>
        </w:rPr>
        <w:t>——————————————————————————————————————————————————————————————————————</w:t>
      </w:r>
    </w:p>
    <w:p>
      <w:pPr>
        <w:spacing w:before="160" w:after="80" w:line="240" w:lineRule="auto"/>
      </w:pPr>
      <w:r>
        <w:rPr>
          <w:b/>
        </w:rPr>
        <w:t xml:space="preserve">[140] </w:t>
      </w:r>
      <w:hyperlink r:id="rId238">
        <w:r>
          <w:rPr>
            <w:color w:val="1155CC"/>
            <w:u w:val="single"/>
          </w:rPr>
          <w:t>Thousands of dinosaur footprints found on Italian mountain</w:t>
        </w:r>
      </w:hyperlink>
    </w:p>
    <w:p>
      <w:pPr>
        <w:spacing w:before="0" w:after="120" w:line="240" w:lineRule="auto"/>
      </w:pPr>
      <w:r>
        <w:rPr>
          <w:b/>
        </w:rPr>
        <w:t xml:space="preserve">Source: </w:t>
      </w:r>
      <w:r>
        <w:t>BBC News</w:t>
      </w:r>
      <w:r>
        <w:t xml:space="preserve">    </w:t>
      </w:r>
      <w:r>
        <w:rPr>
          <w:b/>
        </w:rPr>
        <w:t xml:space="preserve">Pub date: </w:t>
      </w:r>
      <w:r>
        <w:t>2025-12-16 15:09:21+00:00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[141] </w:t>
      </w:r>
      <w:hyperlink r:id="rId239">
        <w:r>
          <w:rPr>
            <w:color w:val="1155CC"/>
            <w:u w:val="single"/>
          </w:rPr>
          <w:t>[ASAP] Operando Imaging of Polaron-Mediated Charge Transfer across the Electric Double Layer of BiVO4</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15:10:41+00:00</w:t>
      </w:r>
      <w:r>
        <w:t xml:space="preserve">    </w:t>
      </w:r>
      <w:r>
        <w:rPr>
          <w:b/>
        </w:rPr>
        <w:t xml:space="preserve">DOI: </w:t>
      </w:r>
      <w:hyperlink r:id="rId240">
        <w:r>
          <w:rPr>
            <w:color w:val="1155CC"/>
            <w:u w:val="single"/>
          </w:rPr>
          <w:t>10.1021/jacs.5c11706</w:t>
        </w:r>
      </w:hyperlink>
    </w:p>
    <w:p>
      <w:pPr>
        <w:spacing w:before="0" w:after="120"/>
      </w:pPr>
      <w:r>
        <w:rPr>
          <w:b/>
        </w:rPr>
        <w:t xml:space="preserve">Notes: </w:t>
      </w:r>
      <w:r>
        <w:t>abstract_source=pubmed</w:t>
      </w:r>
    </w:p>
    <w:p>
      <w:pPr>
        <w:spacing w:before="0" w:after="200" w:lineRule="auto" w:line="276"/>
      </w:pPr>
      <w:r>
        <w:rPr>
          <w:b/>
        </w:rPr>
        <w:t xml:space="preserve">Abstract: </w:t>
      </w:r>
      <w:r>
        <w:t>Unraveling the interfacial dynamics of photogenerated charges at active sites is fundamental to advancing photocatalysis and related solar energy conversion systems. However, direct observation of the charge behavior within the electric double layer (EDL) under working conditions remains a major challenge. Here, we investigate nanoscale charge dynamics on a single BiVO4 particle model system by directly visualizing light-induced charge distribution within the EDL using a combination of spatially and temporally resolved techniques. Our findings reveal that oxygen vacancies stabilize the coexistence of localized electrons and holes, efficiently driving photocatalytic oxidation and reduction reactions between adjacent atoms. Moreover, defect-induced small polaron formation is shown to suppress ultrafast exciton recombination, extending hole lifetimes to 32 ms from subnanoseconds. Simultaneously, photogenerated electrons are effectively extracted by Fe3+ at the interface, overriding the influence of the net internal electric field and preventing their migration into the bulk. This study elucidates a synergistic mechanism involving reaction-driven electron transport and defect-assisted small-polaron-mediated oxygen evolution. This mechanism challenges the traditional mean-field electrostatic model of interfacial charge transport and highlights the critical role of localized charges for understanding how catalytic reactions reshape charge flow at solid-liquid interfaces. Our findings open avenues for the rational design of defect-engineered photocatalysts and operando-responsive materials in solar-to-chemical energy conversion.</w:t>
      </w:r>
    </w:p>
    <w:p>
      <w:pPr>
        <w:spacing w:before="120" w:after="120"/>
      </w:pPr>
      <w:r>
        <w:rPr>
          <w:sz w:val="18"/>
        </w:rPr>
        <w:t>——————————————————————————————————————————————————————————————————————</w:t>
      </w:r>
    </w:p>
    <w:p>
      <w:pPr>
        <w:spacing w:before="160" w:after="80" w:line="240" w:lineRule="auto"/>
      </w:pPr>
      <w:r>
        <w:rPr>
          <w:b/>
        </w:rPr>
        <w:t xml:space="preserve">[142] </w:t>
      </w:r>
      <w:hyperlink r:id="rId241">
        <w:r>
          <w:rPr>
            <w:color w:val="1155CC"/>
            <w:u w:val="single"/>
          </w:rPr>
          <w:t>Molecular Design and Redox Chemistries for Aqueous Organic Redox Flow Batteries (AORFBs)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42">
        <w:r>
          <w:rPr>
            <w:color w:val="1155CC"/>
            <w:u w:val="single"/>
          </w:rPr>
          <w:t>10.1002/anie.202515639</w:t>
        </w:r>
      </w:hyperlink>
    </w:p>
    <w:p>
      <w:pPr>
        <w:spacing w:before="0" w:after="120"/>
      </w:pPr>
      <w:r>
        <w:rPr>
          <w:b/>
        </w:rPr>
        <w:t xml:space="preserve">Notes: </w:t>
      </w:r>
      <w:r>
        <w:t>abstract_source=crossref</w:t>
      </w:r>
    </w:p>
    <w:p>
      <w:pPr>
        <w:spacing w:before="0" w:after="200" w:lineRule="auto" w:line="276"/>
      </w:pPr>
      <w:r>
        <w:rPr>
          <w:b/>
        </w:rPr>
        <w:t xml:space="preserve">Abstract: </w:t>
      </w:r>
      <w:r>
        <w:t>Aqueous organic redox flow batteries (AORFBs), utilizing redox‐active organic materials as energy storage materials, represent a promising frontier for sustainable long‐duration energy storage. This review highlights recent advances in redox‐active molecule design, analyzing how molecular structures govern electrochemical behavior and degradation pathways critical to stability. We categorize systems by positive and negative electrolyte pairings, examining performance and lifetime challenges across configurations. We explore molecular engineering approaches and full‐cell assembly principles to extend battery lifetime. By introducing representative studies within each category of redox couples, we outline state‐of‐the‐art developments and establish rational design and pairing principles. This framework proposes guidelines for selecting compatible electrolyte pairs based on molecular properties of organic redox‐active species, which may contribute to advancing stable materials and higher‐performance AORFBs.</w:t>
      </w:r>
    </w:p>
    <w:p>
      <w:pPr>
        <w:spacing w:before="120" w:after="120"/>
      </w:pPr>
      <w:r>
        <w:rPr>
          <w:sz w:val="18"/>
        </w:rPr>
        <w:t>——————————————————————————————————————————————————————————————————————</w:t>
      </w:r>
    </w:p>
    <w:p>
      <w:pPr>
        <w:spacing w:before="160" w:after="80" w:line="240" w:lineRule="auto"/>
      </w:pPr>
      <w:r>
        <w:rPr>
          <w:b/>
        </w:rPr>
        <w:t xml:space="preserve">[143] </w:t>
      </w:r>
      <w:hyperlink r:id="rId243">
        <w:r>
          <w:rPr>
            <w:color w:val="1155CC"/>
            <w:u w:val="single"/>
          </w:rPr>
          <w:t>Anion‐Enriched Solvation Engineering of Ester‐Based Electrolytes for Sodium Metal Batteries at −40 °C</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44">
        <w:r>
          <w:rPr>
            <w:color w:val="1155CC"/>
            <w:u w:val="single"/>
          </w:rPr>
          <w:t>10.1002/anie.202514551</w:t>
        </w:r>
      </w:hyperlink>
    </w:p>
    <w:p>
      <w:pPr>
        <w:spacing w:before="0" w:after="120"/>
      </w:pPr>
      <w:r>
        <w:rPr>
          <w:b/>
        </w:rPr>
        <w:t xml:space="preserve">Notes: </w:t>
      </w:r>
      <w:r>
        <w:t>abstract_source=crossref</w:t>
      </w:r>
    </w:p>
    <w:p>
      <w:pPr>
        <w:spacing w:before="0" w:after="200" w:lineRule="auto" w:line="276"/>
      </w:pPr>
      <w:r>
        <w:rPr>
          <w:b/>
        </w:rPr>
        <w:t xml:space="preserve">Abstract: </w:t>
      </w:r>
      <w:r>
        <w:t>Sodium metal batteries (SMBs) are recognized for their high theoretical capacity, abundant availability, and low electrochemical potential. However, the slow Na</w:t>
      </w:r>
      <w:r>
        <w:t xml:space="preserve"> </w:t>
      </w:r>
      <w:r>
        <w:t>+</w:t>
      </w:r>
      <w:r>
        <w:t xml:space="preserve"> </w:t>
      </w:r>
      <w:r>
        <w:t>de‐solvation kinetics and the poor solid electrolyte interface (SEI) of commercial electrolytes hinder their application at low temperatures. Herein, we propose a novel ultralow‐temperature, non‐flammable ester‐based electrolyte system incorporating trimethyl phosphate (TEP), which exhibits a low melting point, low viscosity, and low polarity. The results of theoretical calculations indicate that the addition of TEP significantly alters the proportions of aggregates (AGGs) solvated structures and reduces the de‐solvation energy barrier for sodium ions. Additionally, research on interface structure reveals that the increase in AGGs configurations promotes the formation of an inorganic‐rich SEI layer. Consequently, the TEP‐based electrolyte enables stable cycling for over 1500 h in symmetric cells at −40 °C, while achieving a capacity retention rate of 98.4% after 500 cycles at 0.5 C in Na||Na</w:t>
      </w:r>
      <w:r>
        <w:rPr>
          <w:vertAlign w:val="subscript"/>
        </w:rPr>
        <w:t>3</w:t>
      </w:r>
      <w:r>
        <w:t>V</w:t>
      </w:r>
      <w:r>
        <w:rPr>
          <w:vertAlign w:val="subscript"/>
        </w:rPr>
        <w:t>2</w:t>
      </w:r>
      <w:r>
        <w:t>(PO</w:t>
      </w:r>
      <w:r>
        <w:rPr>
          <w:vertAlign w:val="subscript"/>
        </w:rPr>
        <w:t>4</w:t>
      </w:r>
      <w:r>
        <w:t>)</w:t>
      </w:r>
      <w:r>
        <w:rPr>
          <w:vertAlign w:val="subscript"/>
        </w:rPr>
        <w:t>3</w:t>
      </w:r>
      <w:r>
        <w:t>full cells.</w:t>
      </w:r>
    </w:p>
    <w:p>
      <w:pPr>
        <w:spacing w:before="120" w:after="120"/>
      </w:pPr>
      <w:r>
        <w:rPr>
          <w:sz w:val="18"/>
        </w:rPr>
        <w:t>——————————————————————————————————————————————————————————————————————</w:t>
      </w:r>
    </w:p>
    <w:p>
      <w:pPr>
        <w:spacing w:before="160" w:after="80" w:line="240" w:lineRule="auto"/>
      </w:pPr>
      <w:r>
        <w:rPr>
          <w:b/>
        </w:rPr>
        <w:t xml:space="preserve">[144] </w:t>
      </w:r>
      <w:hyperlink r:id="rId245">
        <w:r>
          <w:rPr>
            <w:color w:val="1155CC"/>
            <w:u w:val="single"/>
          </w:rPr>
          <w:t>Pendent No More: Direct Backbone Integration of Stenhouse Salt Enables Multi‐Responsive Commodity Polyurethanes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46">
        <w:r>
          <w:rPr>
            <w:color w:val="1155CC"/>
            <w:u w:val="single"/>
          </w:rPr>
          <w:t>10.1002/anie.202514632</w:t>
        </w:r>
      </w:hyperlink>
    </w:p>
    <w:p>
      <w:pPr>
        <w:spacing w:before="0" w:after="120"/>
      </w:pPr>
      <w:r>
        <w:rPr>
          <w:b/>
        </w:rPr>
        <w:t xml:space="preserve">Notes: </w:t>
      </w:r>
      <w:r>
        <w:t>abstract_source=crossref</w:t>
      </w:r>
    </w:p>
    <w:p>
      <w:pPr>
        <w:spacing w:before="0" w:after="200" w:lineRule="auto" w:line="276"/>
      </w:pPr>
      <w:r>
        <w:rPr>
          <w:b/>
        </w:rPr>
        <w:t xml:space="preserve">Abstract: </w:t>
      </w:r>
      <w:r>
        <w:t>While donor‐acceptor Stenhouse adducts (DASAs) have shown exceptional photochromic properties at the molecular level, their integration into polymeric materials has been limited to pendent group architectures that compromise both switching efficiency and materials performance. Here, we report a versatile strategy to overcome these limitations by leveraging the symmetric design of Stenhouse salts—structural analogues of DASAs—for direct backbone integration into polyurethane backbones. This approach overcomes the synthetic hurdles and performance compromises typical of pendent DASA systems, producing mechanically robust materials with strain‐to‐break exceeding 1100% and tensile strengths up to 44 MPa, while delivering fully reversible colorimetric responses (</w:t>
      </w:r>
      <w:r>
        <w:t xml:space="preserve"> </w:t>
      </w:r>
      <w:r>
        <w:t>ΔE</w:t>
      </w:r>
      <w:r>
        <w:t xml:space="preserve"> </w:t>
      </w:r>
      <w:r>
        <w:t>&amp;gt; 50) to trace amounts of acids, bases, amines, and nerve agent mimics. Integrating the chromophores into the polymer backbone eliminates leaching and ensures high reproducibility alongside excellent mechanical properties. Moreover, incorporating photoacid generators allows for micrometer‐scale photolithographic patterning, enabling precise spatial and temporal control of chromophore switching under solar or UV light. These backbone‐integrated Stenhouse salt polyurethanes mark a significant advancement over pendent chromophore systems, transforming conventional elastomers into versatile, responsive materials for applications ranging from food packaging and security to protective gear and medical devices.</w:t>
      </w:r>
    </w:p>
    <w:p>
      <w:pPr>
        <w:spacing w:before="120" w:after="120"/>
      </w:pPr>
      <w:r>
        <w:rPr>
          <w:sz w:val="18"/>
        </w:rPr>
        <w:t>——————————————————————————————————————————————————————————————————————</w:t>
      </w:r>
    </w:p>
    <w:p>
      <w:pPr>
        <w:spacing w:before="160" w:after="80" w:line="240" w:lineRule="auto"/>
      </w:pPr>
      <w:r>
        <w:rPr>
          <w:b/>
        </w:rPr>
        <w:t xml:space="preserve">[145] </w:t>
      </w:r>
      <w:hyperlink r:id="rId247">
        <w:r>
          <w:rPr>
            <w:color w:val="1155CC"/>
            <w:u w:val="single"/>
          </w:rPr>
          <w:t>Dual‐Engineered DPP Polymers: Synergistic Hydrogen Bonding and Ring‐Fusion for High‐Mobility Organic Field‐Effect Transistors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48">
        <w:r>
          <w:rPr>
            <w:color w:val="1155CC"/>
            <w:u w:val="single"/>
          </w:rPr>
          <w:t>10.1002/anie.202514768</w:t>
        </w:r>
      </w:hyperlink>
    </w:p>
    <w:p>
      <w:pPr>
        <w:spacing w:before="0" w:after="120"/>
      </w:pPr>
      <w:r>
        <w:rPr>
          <w:b/>
        </w:rPr>
        <w:t xml:space="preserve">Notes: </w:t>
      </w:r>
      <w:r>
        <w:t>abstract_source=crossref</w:t>
      </w:r>
    </w:p>
    <w:p>
      <w:pPr>
        <w:spacing w:before="0" w:after="200" w:lineRule="auto" w:line="276"/>
      </w:pPr>
      <w:r>
        <w:rPr>
          <w:b/>
        </w:rPr>
        <w:t xml:space="preserve">Abstract: </w:t>
      </w:r>
      <w:r>
        <w:t>Developing simple and effective molecular design strategies to optimize charge transport mobility remains a key challenge in high‐performance organic semiconductors. In this study, we integrate hydrogen bonding (H‐B) and ring‐fusion (R‐F) into a diketopyrrolopyrrole (DPP)‐based polymer, yielding a novel material, P‐HF. For comparison, a reference polymer (P‐B) and a hydrogen‐bonded analogue (P‐H) were synthesized. The synergistic effects of H‐B and R‐F dramatically not only enhance both inter‐ and intramolecular charge transport but also optimize the frontier orbital levels; H‐B strengthens intermolecular interactions, enabling localized ordered molecular packing and tighter π–π stacking, while R‐F further amplifies these effects meanwhile improving backbone planarity, extending π‐conjugation, and optimizing frontier orbital levels. As a result, P‐HF achieves an outstanding hole mobility of 5.02 cm</w:t>
      </w:r>
      <w:r>
        <w:rPr>
          <w:vertAlign w:val="subscript"/>
        </w:rPr>
        <w:t>2</w:t>
      </w:r>
      <w:r>
        <w:t>V</w:t>
      </w:r>
      <w:r>
        <w:t xml:space="preserve"> </w:t>
      </w:r>
      <w:r>
        <w:t>−1</w:t>
      </w:r>
      <w:r>
        <w:t xml:space="preserve"> </w:t>
      </w:r>
      <w:r>
        <w:t>s</w:t>
      </w:r>
      <w:r>
        <w:t xml:space="preserve"> </w:t>
      </w:r>
      <w:r>
        <w:t>−1</w:t>
      </w:r>
      <w:r>
        <w:t xml:space="preserve"> </w:t>
      </w:r>
      <w:r>
        <w:t>, surpassing P‐B (0.71 cm</w:t>
      </w:r>
      <w:r>
        <w:rPr>
          <w:vertAlign w:val="subscript"/>
        </w:rPr>
        <w:t>2</w:t>
      </w:r>
      <w:r>
        <w:t>V</w:t>
      </w:r>
      <w:r>
        <w:t xml:space="preserve"> </w:t>
      </w:r>
      <w:r>
        <w:t>−1</w:t>
      </w:r>
      <w:r>
        <w:t xml:space="preserve"> </w:t>
      </w:r>
      <w:r>
        <w:t>s</w:t>
      </w:r>
      <w:r>
        <w:t xml:space="preserve"> </w:t>
      </w:r>
      <w:r>
        <w:t>−1</w:t>
      </w:r>
      <w:r>
        <w:t xml:space="preserve"> </w:t>
      </w:r>
      <w:r>
        <w:t>) and P‐H (2.13 cm</w:t>
      </w:r>
      <w:r>
        <w:rPr>
          <w:vertAlign w:val="subscript"/>
        </w:rPr>
        <w:t>2</w:t>
      </w:r>
      <w:r>
        <w:t>V</w:t>
      </w:r>
      <w:r>
        <w:t xml:space="preserve"> </w:t>
      </w:r>
      <w:r>
        <w:t>−1</w:t>
      </w:r>
      <w:r>
        <w:t xml:space="preserve"> </w:t>
      </w:r>
      <w:r>
        <w:t>s</w:t>
      </w:r>
      <w:r>
        <w:t xml:space="preserve"> </w:t>
      </w:r>
      <w:r>
        <w:t>−1</w:t>
      </w:r>
      <w:r>
        <w:t xml:space="preserve"> </w:t>
      </w:r>
      <w:r>
        <w:t>), placing it among the highest‐performing DPP‐based polymers reported. This work demonstrates that combining R‐F and H‐B offers a viable strategy for designing high‐mobility conjugated materials, potentially advancing organic semiconductor development. This dual‐engineering strategy is particularly suitable for π‐conjugated polymers containing both hydrogen‐bonding sites and ring‐fused backbones.</w:t>
      </w:r>
    </w:p>
    <w:p>
      <w:pPr>
        <w:spacing w:before="120" w:after="120"/>
      </w:pPr>
      <w:r>
        <w:rPr>
          <w:sz w:val="18"/>
        </w:rPr>
        <w:t>——————————————————————————————————————————————————————————————————————</w:t>
      </w:r>
    </w:p>
    <w:p>
      <w:pPr>
        <w:spacing w:before="160" w:after="80" w:line="240" w:lineRule="auto"/>
      </w:pPr>
      <w:r>
        <w:rPr>
          <w:b/>
        </w:rPr>
        <w:t xml:space="preserve">[146] </w:t>
      </w:r>
      <w:hyperlink r:id="rId249">
        <w:r>
          <w:rPr>
            <w:color w:val="1155CC"/>
            <w:u w:val="single"/>
          </w:rPr>
          <w:t>In Situ Polymerization‐Assisted Crystallization of Open‐Air Blade‐Coated Perovskite Films for Efficient Solar Cells and Mini‐Modules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50">
        <w:r>
          <w:rPr>
            <w:color w:val="1155CC"/>
            <w:u w:val="single"/>
          </w:rPr>
          <w:t>10.1002/anie.202515623</w:t>
        </w:r>
      </w:hyperlink>
    </w:p>
    <w:p>
      <w:pPr>
        <w:spacing w:before="0" w:after="120"/>
      </w:pPr>
      <w:r>
        <w:rPr>
          <w:b/>
        </w:rPr>
        <w:t xml:space="preserve">Notes: </w:t>
      </w:r>
      <w:r>
        <w:t>abstract_source=crossref</w:t>
      </w:r>
    </w:p>
    <w:p>
      <w:pPr>
        <w:spacing w:before="0" w:after="200" w:lineRule="auto" w:line="276"/>
      </w:pPr>
      <w:r>
        <w:rPr>
          <w:b/>
        </w:rPr>
        <w:t xml:space="preserve">Abstract: </w:t>
      </w:r>
      <w:r>
        <w:t>Perovskite solar cells (PSCs) have emerged as a promising photovoltaic technology, yet their commercialization is hindered by challenges related to scalability and potential lead leakage. Here, we successfully developed an in situ polymerization strategy that constructs a functional bottom interface layer and a bulk polymer network, enabling controlled crystallization and defects passivation of air‐blade‐coated perovskite film. Specifically, 2‐aminoethyl methacrylate hydrochloride (2‐Amh) was employed as a monomer and deposited on the substrate, where it polymerized during thermal annealing. Upon blade‐coating the 2‐Amh‐incorporated perovskite precursor, a synergistic interaction between the bottom polymer interfacial layer and the in situ formed polymer network within the bulk during thermal annealing significantly enhanced the film uniformity and crystallinity. Moreover, the embedded polymer network effectively mitigates lead leakage from damaged devices and suppresses the oxidation of the I</w:t>
      </w:r>
      <w:r>
        <w:t xml:space="preserve"> </w:t>
      </w:r>
      <w:r>
        <w:t>‐</w:t>
      </w:r>
      <w:r>
        <w:t xml:space="preserve"> </w:t>
      </w:r>
      <w:r>
        <w:t>to I</w:t>
      </w:r>
      <w:r>
        <w:rPr>
          <w:vertAlign w:val="subscript"/>
        </w:rPr>
        <w:t>2</w:t>
      </w:r>
      <w:r>
        <w:t>by Ni</w:t>
      </w:r>
      <w:r>
        <w:t xml:space="preserve"> </w:t>
      </w:r>
      <w:r>
        <w:t>3+</w:t>
      </w:r>
      <w:r>
        <w:t xml:space="preserve"> </w:t>
      </w:r>
      <w:r>
        <w:t>. Consequently, the devices based on air‐blade‐coated perovskite films achieve a steady‐state efficiency of 20.78% for 5 × 5 cm</w:t>
      </w:r>
      <w:r>
        <w:rPr>
          <w:vertAlign w:val="subscript"/>
        </w:rPr>
        <w:t>2</w:t>
      </w:r>
      <w:r>
        <w:t>mini‐modules (10.80 cm</w:t>
      </w:r>
      <w:r>
        <w:rPr>
          <w:vertAlign w:val="subscript"/>
        </w:rPr>
        <w:t>2</w:t>
      </w:r>
      <w:r>
        <w:t>). For comparison, spin‐coated devices utilized the same strategy also demonstrated high PCEs, though they were not the focus of this work. These findings offer a promising solution for scalable perovskite photovoltaics, addressing both performance and environmental sustainability.</w:t>
      </w:r>
    </w:p>
    <w:p>
      <w:pPr>
        <w:spacing w:before="120" w:after="120"/>
      </w:pPr>
      <w:r>
        <w:rPr>
          <w:sz w:val="18"/>
        </w:rPr>
        <w:t>——————————————————————————————————————————————————————————————————————</w:t>
      </w:r>
    </w:p>
    <w:p>
      <w:pPr>
        <w:spacing w:before="160" w:after="80" w:line="240" w:lineRule="auto"/>
      </w:pPr>
      <w:r>
        <w:rPr>
          <w:b/>
        </w:rPr>
        <w:t xml:space="preserve">[147] </w:t>
      </w:r>
      <w:hyperlink r:id="rId251">
        <w:r>
          <w:rPr>
            <w:color w:val="1155CC"/>
            <w:u w:val="single"/>
          </w:rPr>
          <w:t>Chiral Plasmonic Sensors: Fundamentals and Emerging Applications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52">
        <w:r>
          <w:rPr>
            <w:color w:val="1155CC"/>
            <w:u w:val="single"/>
          </w:rPr>
          <w:t>10.1002/anie.202514816</w:t>
        </w:r>
      </w:hyperlink>
    </w:p>
    <w:p>
      <w:pPr>
        <w:spacing w:before="0" w:after="120"/>
      </w:pPr>
      <w:r>
        <w:rPr>
          <w:b/>
        </w:rPr>
        <w:t xml:space="preserve">Notes: </w:t>
      </w:r>
      <w:r>
        <w:t>abstract_source=crossref</w:t>
      </w:r>
    </w:p>
    <w:p>
      <w:pPr>
        <w:spacing w:before="0" w:after="200" w:lineRule="auto" w:line="276"/>
      </w:pPr>
      <w:r>
        <w:rPr>
          <w:b/>
        </w:rPr>
        <w:t xml:space="preserve">Abstract: </w:t>
      </w:r>
      <w:r>
        <w:t>Chiral plasmonic sensors have emerged as powerful tools for the enantioselective detection of biomolecules, addressing key limitations of conventional techniques such as circular dichroism (CD), chromatography, and nuclear magnetic resonance (NMR). In this review, we introduce a unifying framework based on physical and chemical chiral imprinting strategies to design nanostructures with tailored chiroptical activity. We explore the fabrication of both discrete and assembled plasmonic architectures through methods including top‐down lithography, DNA‐guided assembly, soft templates, and chiral molecule‐directed growth. These platforms have enabled highly sensitive chiral sensing via localized surface plasmon resonance (LSPR)‐based CD, colorimetry, surface‐enhanced Raman scattering (SERS), photoluminescence (PL), and circularly polarized luminescence (CPL). We describe the underlying sensing mechanisms, detection limits, and the influence of nanostructure geometry and composition on chiral signal generation. Recent applications in biosensing, disease diagnostics, and asymmetric catalysis monitoring are also highlighted. Finally, we discuss current challenges and future directions for integrating chiral plasmonic sensors into practical analytical systems, offering a comprehensive overview of their conceptual foundations, fabrication strategies (with emphasis on chiral imprinting), and application landscape.</w:t>
      </w:r>
    </w:p>
    <w:p>
      <w:pPr>
        <w:spacing w:before="120" w:after="120"/>
      </w:pPr>
      <w:r>
        <w:rPr>
          <w:sz w:val="18"/>
        </w:rPr>
        <w:t>——————————————————————————————————————————————————————————————————————</w:t>
      </w:r>
    </w:p>
    <w:p>
      <w:pPr>
        <w:spacing w:before="160" w:after="80" w:line="240" w:lineRule="auto"/>
      </w:pPr>
      <w:r>
        <w:rPr>
          <w:b/>
        </w:rPr>
        <w:t xml:space="preserve">[148] </w:t>
      </w:r>
      <w:hyperlink r:id="rId253">
        <w:r>
          <w:rPr>
            <w:color w:val="1155CC"/>
            <w:u w:val="single"/>
          </w:rPr>
          <w:t>Cost‐Effective Scalable Production of Ultra‐Stable Alkyl MOF Featuring Single‐Molecule C3H6 Trap for Record Capture of Trace C3H6 from C2H4</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54">
        <w:r>
          <w:rPr>
            <w:color w:val="1155CC"/>
            <w:u w:val="single"/>
          </w:rPr>
          <w:t>10.1002/anie.202515496</w:t>
        </w:r>
      </w:hyperlink>
    </w:p>
    <w:p>
      <w:pPr>
        <w:spacing w:before="0" w:after="120"/>
      </w:pPr>
      <w:r>
        <w:rPr>
          <w:b/>
        </w:rPr>
        <w:t xml:space="preserve">Notes: </w:t>
      </w:r>
      <w:r>
        <w:t>abstract_source=crossref</w:t>
      </w:r>
    </w:p>
    <w:p>
      <w:pPr>
        <w:spacing w:before="0" w:after="200" w:lineRule="auto" w:line="276"/>
      </w:pPr>
      <w:r>
        <w:rPr>
          <w:b/>
        </w:rPr>
        <w:t xml:space="preserve">Abstract: </w:t>
      </w:r>
      <w:r>
        <w:t>Highly efficient capture of trace C</w:t>
      </w:r>
      <w:r>
        <w:rPr>
          <w:vertAlign w:val="subscript"/>
        </w:rPr>
        <w:t>3</w:t>
      </w:r>
      <w:r>
        <w:t>H</w:t>
      </w:r>
      <w:r>
        <w:rPr>
          <w:vertAlign w:val="subscript"/>
        </w:rPr>
        <w:t>6</w:t>
      </w:r>
      <w:r>
        <w:t>from C</w:t>
      </w:r>
      <w:r>
        <w:rPr>
          <w:vertAlign w:val="subscript"/>
        </w:rPr>
        <w:t>2</w:t>
      </w:r>
      <w:r>
        <w:t>H</w:t>
      </w:r>
      <w:r>
        <w:rPr>
          <w:vertAlign w:val="subscript"/>
        </w:rPr>
        <w:t>4</w:t>
      </w:r>
      <w:r>
        <w:t>by physisorbents remains an enormous challenge to combine top‐rank separation performance with excellent stability and economical scalability. We, herein, built a single‐molecule C</w:t>
      </w:r>
      <w:r>
        <w:rPr>
          <w:vertAlign w:val="subscript"/>
        </w:rPr>
        <w:t>3</w:t>
      </w:r>
      <w:r>
        <w:t>H</w:t>
      </w:r>
      <w:r>
        <w:rPr>
          <w:vertAlign w:val="subscript"/>
        </w:rPr>
        <w:t>6</w:t>
      </w:r>
      <w:r>
        <w:t>trap that bears an opposite series of oxygen and dense alkyl groups distributed in an ultramicroporous [Al(OH)(trans‐CDC)] (Al‐CDC, trans‐H</w:t>
      </w:r>
      <w:r>
        <w:rPr>
          <w:vertAlign w:val="subscript"/>
        </w:rPr>
        <w:t>2</w:t>
      </w:r>
      <w:r>
        <w:t>CDC = trans‐1,4‐cyclohexanedicarboxylic acid). The ultra‐stable trap with well‐matched pore size and pore chemistry enables a record uptake (40.8 cm</w:t>
      </w:r>
      <w:r>
        <w:rPr>
          <w:vertAlign w:val="subscript"/>
        </w:rPr>
        <w:t>3</w:t>
      </w:r>
      <w:r>
        <w:t>(STP) g</w:t>
      </w:r>
      <w:r>
        <w:t xml:space="preserve"> </w:t>
      </w:r>
      <w:r>
        <w:t>−1</w:t>
      </w:r>
      <w:r>
        <w:t xml:space="preserve"> </w:t>
      </w:r>
      <w:r>
        <w:t>) at ultralow concentration, Henry coefficient (12685.5 cm</w:t>
      </w:r>
      <w:r>
        <w:rPr>
          <w:vertAlign w:val="subscript"/>
        </w:rPr>
        <w:t>3</w:t>
      </w:r>
      <w:r>
        <w:t>(STP) g</w:t>
      </w:r>
      <w:r>
        <w:t xml:space="preserve"> </w:t>
      </w:r>
      <w:r>
        <w:t>−1</w:t>
      </w:r>
      <w:r>
        <w:t xml:space="preserve"> </w:t>
      </w:r>
      <w:r>
        <w:t>bar</w:t>
      </w:r>
      <w:r>
        <w:t xml:space="preserve"> </w:t>
      </w:r>
      <w:r>
        <w:t>−1</w:t>
      </w:r>
      <w:r>
        <w:t xml:space="preserve"> </w:t>
      </w:r>
      <w:r>
        <w:t>), initial adsorption heat difference (27.2 kJ mol</w:t>
      </w:r>
      <w:r>
        <w:t xml:space="preserve"> </w:t>
      </w:r>
      <w:r>
        <w:t>−1</w:t>
      </w:r>
      <w:r>
        <w:t xml:space="preserve"> </w:t>
      </w:r>
      <w:r>
        <w:t>), adsorption kinetic (0.49 min</w:t>
      </w:r>
      <w:r>
        <w:t xml:space="preserve"> </w:t>
      </w:r>
      <w:r>
        <w:t>−1</w:t>
      </w:r>
      <w:r>
        <w:t xml:space="preserve"> </w:t>
      </w:r>
      <w:r>
        <w:t>) and kinetic selectivity (3.1) for C</w:t>
      </w:r>
      <w:r>
        <w:rPr>
          <w:vertAlign w:val="subscript"/>
        </w:rPr>
        <w:t>3</w:t>
      </w:r>
      <w:r>
        <w:t>H</w:t>
      </w:r>
      <w:r>
        <w:rPr>
          <w:vertAlign w:val="subscript"/>
        </w:rPr>
        <w:t>6</w:t>
      </w:r>
      <w:r>
        <w:t>with one of the highest initial C</w:t>
      </w:r>
      <w:r>
        <w:rPr>
          <w:vertAlign w:val="subscript"/>
        </w:rPr>
        <w:t>3</w:t>
      </w:r>
      <w:r>
        <w:t>H</w:t>
      </w:r>
      <w:r>
        <w:rPr>
          <w:vertAlign w:val="subscript"/>
        </w:rPr>
        <w:t>6</w:t>
      </w:r>
      <w:r>
        <w:t>adsorption heats (50.5 kJ mol</w:t>
      </w:r>
      <w:r>
        <w:t xml:space="preserve"> </w:t>
      </w:r>
      <w:r>
        <w:t>−1</w:t>
      </w:r>
      <w:r>
        <w:t xml:space="preserve"> </w:t>
      </w:r>
      <w:r>
        <w:t>) and selectivity (16.3), establishing a novel benchmark for capture of trace C</w:t>
      </w:r>
      <w:r>
        <w:rPr>
          <w:vertAlign w:val="subscript"/>
        </w:rPr>
        <w:t>3</w:t>
      </w:r>
      <w:r>
        <w:t>H</w:t>
      </w:r>
      <w:r>
        <w:rPr>
          <w:vertAlign w:val="subscript"/>
        </w:rPr>
        <w:t>6</w:t>
      </w:r>
      <w:r>
        <w:t>. The C</w:t>
      </w:r>
      <w:r>
        <w:rPr>
          <w:vertAlign w:val="subscript"/>
        </w:rPr>
        <w:t>3</w:t>
      </w:r>
      <w:r>
        <w:t>H</w:t>
      </w:r>
      <w:r>
        <w:rPr>
          <w:vertAlign w:val="subscript"/>
        </w:rPr>
        <w:t>6</w:t>
      </w:r>
      <w:r>
        <w:t>adsorption mechanism is deciphered to be thermodynamically driven owing to the synergism of multiple hydrogen‐bonding and van der Waals (vdW) forces. Breakthrough tests validate that Al‐CDC owns a record C</w:t>
      </w:r>
      <w:r>
        <w:rPr>
          <w:vertAlign w:val="subscript"/>
        </w:rPr>
        <w:t>2</w:t>
      </w:r>
      <w:r>
        <w:t>H</w:t>
      </w:r>
      <w:r>
        <w:rPr>
          <w:vertAlign w:val="subscript"/>
        </w:rPr>
        <w:t>4</w:t>
      </w:r>
      <w:r>
        <w:t>productivity (≥99.999%) of 410.5 cm</w:t>
      </w:r>
      <w:r>
        <w:rPr>
          <w:vertAlign w:val="subscript"/>
        </w:rPr>
        <w:t>3</w:t>
      </w:r>
      <w:r>
        <w:t>(STP) g</w:t>
      </w:r>
      <w:r>
        <w:t xml:space="preserve"> </w:t>
      </w:r>
      <w:r>
        <w:t>−1</w:t>
      </w:r>
      <w:r>
        <w:t xml:space="preserve"> </w:t>
      </w:r>
      <w:r>
        <w:t>for trace C</w:t>
      </w:r>
      <w:r>
        <w:rPr>
          <w:vertAlign w:val="subscript"/>
        </w:rPr>
        <w:t>3</w:t>
      </w:r>
      <w:r>
        <w:t>H</w:t>
      </w:r>
      <w:r>
        <w:rPr>
          <w:vertAlign w:val="subscript"/>
        </w:rPr>
        <w:t>6</w:t>
      </w:r>
      <w:r>
        <w:t>capture with excellent reproducibility. The cost‐effective scalable production with the cheapest cost (508.9 $ kg</w:t>
      </w:r>
      <w:r>
        <w:t xml:space="preserve"> </w:t>
      </w:r>
      <w:r>
        <w:t>−1</w:t>
      </w:r>
      <w:r>
        <w:t xml:space="preserve"> </w:t>
      </w:r>
      <w:r>
        <w:t>) and highest space‐time yield (4564.8 kg m</w:t>
      </w:r>
      <w:r>
        <w:t xml:space="preserve"> </w:t>
      </w:r>
      <w:r>
        <w:t>−3</w:t>
      </w:r>
      <w:r>
        <w:t xml:space="preserve"> </w:t>
      </w:r>
      <w:r>
        <w:t>day</w:t>
      </w:r>
      <w:r>
        <w:t xml:space="preserve"> </w:t>
      </w:r>
      <w:r>
        <w:t>−1</w:t>
      </w:r>
      <w:r>
        <w:t xml:space="preserve"> </w:t>
      </w:r>
      <w:r>
        <w:t>) and shaping of Al‐CDC is realized with unaffected structural property and capture performance.</w:t>
      </w:r>
    </w:p>
    <w:p>
      <w:pPr>
        <w:spacing w:before="120" w:after="120"/>
      </w:pPr>
      <w:r>
        <w:rPr>
          <w:sz w:val="18"/>
        </w:rPr>
        <w:t>——————————————————————————————————————————————————————————————————————</w:t>
      </w:r>
    </w:p>
    <w:p>
      <w:pPr>
        <w:spacing w:before="160" w:after="80" w:line="240" w:lineRule="auto"/>
      </w:pPr>
      <w:r>
        <w:rPr>
          <w:b/>
        </w:rPr>
        <w:t xml:space="preserve">[149] </w:t>
      </w:r>
      <w:hyperlink r:id="rId255">
        <w:r>
          <w:rPr>
            <w:color w:val="1155CC"/>
            <w:u w:val="single"/>
          </w:rPr>
          <w:t>A Sonosensitive Heterometallic Polyoxometalate for Highly Efficient Chemo‐Sonodynamic Synergistic Cancer Therapy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56">
        <w:r>
          <w:rPr>
            <w:color w:val="1155CC"/>
            <w:u w:val="single"/>
          </w:rPr>
          <w:t>10.1002/anie.202514859</w:t>
        </w:r>
      </w:hyperlink>
    </w:p>
    <w:p>
      <w:pPr>
        <w:spacing w:before="0" w:after="120"/>
      </w:pPr>
      <w:r>
        <w:rPr>
          <w:b/>
        </w:rPr>
        <w:t xml:space="preserve">Notes: </w:t>
      </w:r>
      <w:r>
        <w:t>abstract_source=crossref</w:t>
      </w:r>
    </w:p>
    <w:p>
      <w:pPr>
        <w:spacing w:before="0" w:after="200" w:lineRule="auto" w:line="276"/>
      </w:pPr>
      <w:r>
        <w:rPr>
          <w:b/>
        </w:rPr>
        <w:t xml:space="preserve">Abstract: </w:t>
      </w:r>
      <w:r>
        <w:t>Chemo‐sonodynamic synergistic therapy (CSDT) integrates the advantages of both chemodynamic therapy (CDT) and sonodynamic therapy (SDT), including specificity, non‐invasiveness, high penetration, and controllability, and it is especially suitable for deep‐seated tumors. However, there is still a lack of effective CSDT agents with long‐term stability, excellent water solubility, biocompatibility, and highly efficient catalytic activities. To address these challenges, we report a rare sonosensitive polyoxometalate (POM), H</w:t>
      </w:r>
      <w:r>
        <w:rPr>
          <w:vertAlign w:val="subscript"/>
        </w:rPr>
        <w:t>11</w:t>
      </w:r>
      <w:r>
        <w:t>[Er</w:t>
      </w:r>
      <w:r>
        <w:rPr>
          <w:vertAlign w:val="subscript"/>
        </w:rPr>
        <w:t>2</w:t>
      </w:r>
      <w:r>
        <w:t>Sb</w:t>
      </w:r>
      <w:r>
        <w:rPr>
          <w:vertAlign w:val="subscript"/>
        </w:rPr>
        <w:t>2</w:t>
      </w:r>
      <w:r>
        <w:t>W</w:t>
      </w:r>
      <w:r>
        <w:rPr>
          <w:vertAlign w:val="subscript"/>
        </w:rPr>
        <w:t>7</w:t>
      </w:r>
      <w:r>
        <w:t>O</w:t>
      </w:r>
      <w:r>
        <w:rPr>
          <w:vertAlign w:val="subscript"/>
        </w:rPr>
        <w:t>23</w:t>
      </w:r>
      <w:r>
        <w:t>(OH)(DMF)</w:t>
      </w:r>
      <w:r>
        <w:rPr>
          <w:vertAlign w:val="subscript"/>
        </w:rPr>
        <w:t>2</w:t>
      </w:r>
      <w:r>
        <w:t>(SbW</w:t>
      </w:r>
      <w:r>
        <w:rPr>
          <w:vertAlign w:val="subscript"/>
        </w:rPr>
        <w:t>9</w:t>
      </w:r>
      <w:r>
        <w:t>O</w:t>
      </w:r>
      <w:r>
        <w:rPr>
          <w:vertAlign w:val="subscript"/>
        </w:rPr>
        <w:t>33</w:t>
      </w:r>
      <w:r>
        <w:t>)</w:t>
      </w:r>
      <w:r>
        <w:rPr>
          <w:vertAlign w:val="subscript"/>
        </w:rPr>
        <w:t>2</w:t>
      </w:r>
      <w:r>
        <w:t>]·17H</w:t>
      </w:r>
      <w:r>
        <w:rPr>
          <w:vertAlign w:val="subscript"/>
        </w:rPr>
        <w:t>2</w:t>
      </w:r>
      <w:r>
        <w:t>O (ErSbW), featuring an atomically precise capsule‐like structure with good solubility, molecular stability, and biosafety under physiological conditions. In vitro studies reveal ErSbW's remarkable CDT efficiency in catalyzing the generation of reactive oxygen species (ROS). More importantly, the efficiency can be further distinctly augmented by three times with the presence of ultrasound irradiation, suggesting a pronounced synergistic enhancement effect in ErSbW. Most notably, ErSbW‐mediated CSDT achieved complete eradication of deep‐seated tumors in a melanoma model at the dose of 35 µg kg</w:t>
      </w:r>
      <w:r>
        <w:t xml:space="preserve"> </w:t>
      </w:r>
      <w:r>
        <w:t>−1</w:t>
      </w:r>
      <w:r>
        <w:t xml:space="preserve"> </w:t>
      </w:r>
      <w:r>
        <w:t>. This work not only provides a unique POM‐based molecular agent for CSDT but also demonstrates the great potential of POM materials in synergistic cancer therapies.</w:t>
      </w:r>
    </w:p>
    <w:p>
      <w:pPr>
        <w:spacing w:before="120" w:after="120"/>
      </w:pPr>
      <w:r>
        <w:rPr>
          <w:sz w:val="18"/>
        </w:rPr>
        <w:t>——————————————————————————————————————————————————————————————————————</w:t>
      </w:r>
    </w:p>
    <w:p>
      <w:pPr>
        <w:spacing w:before="160" w:after="80" w:line="240" w:lineRule="auto"/>
      </w:pPr>
      <w:r>
        <w:rPr>
          <w:b/>
        </w:rPr>
        <w:t xml:space="preserve">[150] </w:t>
      </w:r>
      <w:hyperlink r:id="rId257">
        <w:r>
          <w:rPr>
            <w:color w:val="1155CC"/>
            <w:u w:val="single"/>
          </w:rPr>
          <w:t>Smart Adaptive Artificial Channels Triggered by Hypoxia for Highly Selective Apoptosis in Cancer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58">
        <w:r>
          <w:rPr>
            <w:color w:val="1155CC"/>
            <w:u w:val="single"/>
          </w:rPr>
          <w:t>10.1002/anie.202514953</w:t>
        </w:r>
      </w:hyperlink>
    </w:p>
    <w:p>
      <w:pPr>
        <w:spacing w:before="0" w:after="120"/>
      </w:pPr>
      <w:r>
        <w:rPr>
          <w:b/>
        </w:rPr>
        <w:t xml:space="preserve">Notes: </w:t>
      </w:r>
      <w:r>
        <w:t>abstract_source=crossref</w:t>
      </w:r>
    </w:p>
    <w:p>
      <w:pPr>
        <w:spacing w:before="0" w:after="200" w:lineRule="auto" w:line="276"/>
      </w:pPr>
      <w:r>
        <w:rPr>
          <w:b/>
        </w:rPr>
        <w:t xml:space="preserve">Abstract: </w:t>
      </w:r>
      <w:r>
        <w:t>In nature, hypoxia‐sensitive ion channels regulate the ion transport in response to oxygen levels, which are critical for cellular adaptation to low‐oxygen environments. However, this intriguing stimuli‐responsive property has yet to be replicated in artificial ion channels designed to mimic the essential functions of their natural counterparts. Herein, we introduce a novel class of adaptive artificial channels activatable under hypoxic conditions in cancer cells. Reductase‐mediated reduction of nitro and/or azo groups triggers the rapid release of channel‐forming units, which dimerize into chloride channels or further assemble into nanopores of varying cavity sizes at high concentrations in the presence of cholesterol. Upon activation, the most sensitive channel,</w:t>
      </w:r>
      <w:r>
        <w:t xml:space="preserve"> </w:t>
      </w:r>
      <w:r>
        <w:t>C1</w:t>
      </w:r>
      <w:r>
        <w:t xml:space="preserve"> </w:t>
      </w:r>
      <w:r>
        <w:t>, demonstrates an 18.1‐fold enhancement in cytotoxicity against HepG2 cells with an IC</w:t>
      </w:r>
      <w:r>
        <w:rPr>
          <w:vertAlign w:val="subscript"/>
        </w:rPr>
        <w:t>50</w:t>
      </w:r>
      <w:r>
        <w:t>of 2.9 µM. Remarkably,</w:t>
      </w:r>
      <w:r>
        <w:t xml:space="preserve"> </w:t>
      </w:r>
      <w:r>
        <w:t>C1</w:t>
      </w:r>
      <w:r>
        <w:t xml:space="preserve"> </w:t>
      </w:r>
      <w:r>
        <w:t>exhibits exceptional selectivity for liver cancer cells over normal liver cells, with a selectivity index of 17.9, surpassing that of doxorubicin by 44.8 folds while maintaining comparable anticancer efficacy.</w:t>
      </w:r>
    </w:p>
    <w:p>
      <w:pPr>
        <w:spacing w:before="120" w:after="120"/>
      </w:pPr>
      <w:r>
        <w:rPr>
          <w:sz w:val="18"/>
        </w:rPr>
        <w:t>——————————————————————————————————————————————————————————————————————</w:t>
      </w:r>
    </w:p>
    <w:p>
      <w:pPr>
        <w:spacing w:before="160" w:after="80" w:line="240" w:lineRule="auto"/>
      </w:pPr>
      <w:r>
        <w:rPr>
          <w:b/>
        </w:rPr>
        <w:t xml:space="preserve">[151] </w:t>
      </w:r>
      <w:hyperlink r:id="rId259">
        <w:r>
          <w:rPr>
            <w:color w:val="1155CC"/>
            <w:u w:val="single"/>
          </w:rPr>
          <w:t>Machine Learning‐Driven Automated Synthesis of Polysubstituted Gentisaldehydes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60">
        <w:r>
          <w:rPr>
            <w:color w:val="1155CC"/>
            <w:u w:val="single"/>
          </w:rPr>
          <w:t>10.1002/anie.202515595</w:t>
        </w:r>
      </w:hyperlink>
    </w:p>
    <w:p>
      <w:pPr>
        <w:spacing w:before="0" w:after="120"/>
      </w:pPr>
      <w:r>
        <w:rPr>
          <w:b/>
        </w:rPr>
        <w:t xml:space="preserve">Notes: </w:t>
      </w:r>
      <w:r>
        <w:t>abstract_source=crossref</w:t>
      </w:r>
    </w:p>
    <w:p>
      <w:pPr>
        <w:spacing w:before="0" w:after="200" w:lineRule="auto" w:line="276"/>
      </w:pPr>
      <w:r>
        <w:rPr>
          <w:b/>
        </w:rPr>
        <w:t xml:space="preserve">Abstract: </w:t>
      </w:r>
      <w:r>
        <w:t>Gentisaldehyde is a fundamental motif with broad applications in pharmaceuticals. However, the construction of such molecules is time‐ and cost‐intensive with low step efficiency. The development of a disruptive retrosynthetic method is therefore highly necessary to enhance ring‐formation capability and reduce redundancy in synthetic strategies. Herein, guided by cutting‐edge computer‐aided synthesis planning (CASP) algorithms, synthetic routes were systematically deduced toward polysubstituted gentisaldehydes (PGAs). An automated flow system was subsequently developed to implement the streamlined synthesis via selective 6‐endo cyclization of cyclobutenedione derivatives and propargyl diacetal moieties. DFT computational studies further revealed the involvement of diradical intermediates, rather than the conventional zwitterionic mechanism, and identified the 1,5‐hydrogen atom transfer process as the key driving force. The rapid and collective construction of a gram‐scale library of PGAs highlights the industrial potential for scalability and application. This work demonstrates the synergistic interplay among computational retrosynthetic analysis, mechanistic elucidation, and flow processing, establishing an innovative model for universally integrated molecule library construction.</w:t>
      </w:r>
    </w:p>
    <w:p>
      <w:pPr>
        <w:spacing w:before="120" w:after="120"/>
      </w:pPr>
      <w:r>
        <w:rPr>
          <w:sz w:val="18"/>
        </w:rPr>
        <w:t>——————————————————————————————————————————————————————————————————————</w:t>
      </w:r>
    </w:p>
    <w:p>
      <w:pPr>
        <w:spacing w:before="160" w:after="80" w:line="240" w:lineRule="auto"/>
      </w:pPr>
      <w:r>
        <w:rPr>
          <w:b/>
        </w:rPr>
        <w:t xml:space="preserve">[152] </w:t>
      </w:r>
      <w:hyperlink r:id="rId261">
        <w:r>
          <w:rPr>
            <w:color w:val="1155CC"/>
            <w:u w:val="single"/>
          </w:rPr>
          <w:t>Chiral Discrimination of all Proteinogenic Amino Acid Enantiomers by Nanopore Sensing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62">
        <w:r>
          <w:rPr>
            <w:color w:val="1155CC"/>
            <w:u w:val="single"/>
          </w:rPr>
          <w:t>10.1002/anie.202515531</w:t>
        </w:r>
      </w:hyperlink>
    </w:p>
    <w:p>
      <w:pPr>
        <w:spacing w:before="0" w:after="120"/>
      </w:pPr>
      <w:r>
        <w:rPr>
          <w:b/>
        </w:rPr>
        <w:t xml:space="preserve">Notes: </w:t>
      </w:r>
      <w:r>
        <w:t>abstract_source=crossref</w:t>
      </w:r>
    </w:p>
    <w:p>
      <w:pPr>
        <w:spacing w:before="0" w:after="200" w:lineRule="auto" w:line="276"/>
      </w:pPr>
      <w:r>
        <w:rPr>
          <w:b/>
        </w:rPr>
        <w:t xml:space="preserve">Abstract: </w:t>
      </w:r>
      <w:r>
        <w:t>D‐amino acids, the stereoisomers of the more prevalent L‐forms, are ubiquitously distributed across microorganisms, plants, and mammalian systems. Recent advances have uncovered their indispensable roles in biological processes, yet direct, single‐molecule detection of D‐amino acids has long been understudied. The simultaneous discrimination of all amino acid enantiomers remains a formidable analytical challenge. Here, we report a nickel‐ion chelated hetero‐octameric</w:t>
      </w:r>
      <w:r>
        <w:t xml:space="preserve"> </w:t>
      </w:r>
      <w:r>
        <w:t>Mycobacterium smegmatis</w:t>
      </w:r>
      <w:r>
        <w:t xml:space="preserve"> </w:t>
      </w:r>
      <w:r>
        <w:t>porin A (MspA) (MspA‐NTA‐Ni) nanopore sensor that achieves simultaneous identification of all 19 D‐amino acids corresponding to proteinogenic L‐isomers. By integrating supervised machine learning algorithms, this system demonstrated an overall recognition accuracy of 99.5%. The method was further validated in analyzing acid‐hydrolyzed D‐peptide products, yielding clear compositional profiles of amino acid enantiomers. Notably, the technology enables simultaneous sensing of all 39 amino acid enantiomers with an overall accuracy of 98.9%. This approach not only allows direct characterization of DL‐amino acid mixtures but also provides a critical sensor component for nanopore‐based exo‐sequencing of D‐peptides and D‐proteins.</w:t>
      </w:r>
    </w:p>
    <w:p>
      <w:pPr>
        <w:spacing w:before="120" w:after="120"/>
      </w:pPr>
      <w:r>
        <w:rPr>
          <w:sz w:val="18"/>
        </w:rPr>
        <w:t>——————————————————————————————————————————————————————————————————————</w:t>
      </w:r>
    </w:p>
    <w:p>
      <w:pPr>
        <w:spacing w:before="160" w:after="80" w:line="240" w:lineRule="auto"/>
      </w:pPr>
      <w:r>
        <w:rPr>
          <w:b/>
        </w:rPr>
        <w:t xml:space="preserve">[153] </w:t>
      </w:r>
      <w:hyperlink r:id="rId263">
        <w:r>
          <w:rPr>
            <w:color w:val="1155CC"/>
            <w:u w:val="single"/>
          </w:rPr>
          <w:t>A Universal pH Regulation Principle for HER Suppression in Aqueous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64">
        <w:r>
          <w:rPr>
            <w:color w:val="1155CC"/>
            <w:u w:val="single"/>
          </w:rPr>
          <w:t>10.1002/anie.202515528</w:t>
        </w:r>
      </w:hyperlink>
    </w:p>
    <w:p>
      <w:pPr>
        <w:spacing w:before="0" w:after="120"/>
      </w:pPr>
      <w:r>
        <w:rPr>
          <w:b/>
        </w:rPr>
        <w:t xml:space="preserve">Notes: </w:t>
      </w:r>
      <w:r>
        <w:t>abstract_source=crossref</w:t>
      </w:r>
    </w:p>
    <w:p>
      <w:pPr>
        <w:spacing w:before="0" w:after="200" w:lineRule="auto" w:line="276"/>
      </w:pPr>
      <w:r>
        <w:rPr>
          <w:b/>
        </w:rPr>
        <w:t xml:space="preserve">Abstract: </w:t>
      </w:r>
      <w:r>
        <w:t>Hydrogen evolution reactions (HERs) pose a formidable challenge to rechargeable aqueous metal batteries (AMBs), causing flammable gas accumulation and interfacial instability. While conventional buffer‐based electrolytes partially mitigate HERs, there lacks a rational pH regulation principle. Herein, we propose a universal pH regulation principle rooted in the equilibrium between soluble metal cations and their hydroxide precipitates, governed by the solubility product (</w:t>
      </w:r>
      <w:r>
        <w:t xml:space="preserve"> </w:t>
      </w:r>
      <w:r>
        <w:t>K</w:t>
      </w:r>
      <w:r>
        <w:t xml:space="preserve"> </w:t>
      </w:r>
      <w:r>
        <w:t>sp</w:t>
      </w:r>
      <w:r>
        <w:t xml:space="preserve"> </w:t>
      </w:r>
      <w:r>
        <w:t>). Moreover, an analytical platform is designed to quantify the pH‐dependent HER kinetics and distinguish the corrosive and catalytic H</w:t>
      </w:r>
      <w:r>
        <w:rPr>
          <w:vertAlign w:val="subscript"/>
        </w:rPr>
        <w:t>2</w:t>
      </w:r>
      <w:r>
        <w:t>production by decoupling the evolution of mass, hydrogen gas, and charge. Under this platform, we can identify the optimized pH values (herein, 5.40 in 1 M Zn‐based electrolytes) by adding a selective buffer to synchronously suppress both corrosive and catalytic‐HERs, leading to evident enhancement of cycling stability. The universality of this principle is also demonstrated in other AMB systems with more serious HER, such as Mn and Mg metal batteries. A more than eightfold increase in cycling lifespan is achieved with tailored buffers in both Mn and Mg AMBs. This work highlights the essential role of pH in aqueous electrolytes and also establishes a thermodynamic foundation for pH optimization and HER mitigation.</w:t>
      </w:r>
    </w:p>
    <w:p>
      <w:pPr>
        <w:spacing w:before="120" w:after="120"/>
      </w:pPr>
      <w:r>
        <w:rPr>
          <w:sz w:val="18"/>
        </w:rPr>
        <w:t>——————————————————————————————————————————————————————————————————————</w:t>
      </w:r>
    </w:p>
    <w:p>
      <w:pPr>
        <w:spacing w:before="160" w:after="80" w:line="240" w:lineRule="auto"/>
      </w:pPr>
      <w:r>
        <w:rPr>
          <w:b/>
        </w:rPr>
        <w:t xml:space="preserve">[154] </w:t>
      </w:r>
      <w:hyperlink r:id="rId265">
        <w:r>
          <w:rPr>
            <w:color w:val="1155CC"/>
            <w:u w:val="single"/>
          </w:rPr>
          <w:t>Metal‐Hydroxide‐Porphin Framework Membrane for Almost Perfectly Selective Li+ Retention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66">
        <w:r>
          <w:rPr>
            <w:color w:val="1155CC"/>
            <w:u w:val="single"/>
          </w:rPr>
          <w:t>10.1002/anie.202515502</w:t>
        </w:r>
      </w:hyperlink>
    </w:p>
    <w:p>
      <w:pPr>
        <w:spacing w:before="0" w:after="120"/>
      </w:pPr>
      <w:r>
        <w:rPr>
          <w:b/>
        </w:rPr>
        <w:t xml:space="preserve">Notes: </w:t>
      </w:r>
      <w:r>
        <w:t>abstract_source=crossref</w:t>
      </w:r>
    </w:p>
    <w:p>
      <w:pPr>
        <w:spacing w:before="0" w:after="200" w:lineRule="auto" w:line="276"/>
      </w:pPr>
      <w:r>
        <w:rPr>
          <w:b/>
        </w:rPr>
        <w:t xml:space="preserve">Abstract: </w:t>
      </w:r>
      <w:r>
        <w:t>Membrane separation of Li</w:t>
      </w:r>
      <w:r>
        <w:t xml:space="preserve"> </w:t>
      </w:r>
      <w:r>
        <w:t>+</w:t>
      </w:r>
      <w:r>
        <w:t xml:space="preserve"> </w:t>
      </w:r>
      <w:r>
        <w:t>from other ions, particularly alkaline ions, offers a green way toward direct lithium extraction from various brines. Here we report a metal‐hydroxide‐porphin framework membrane, allowing the passage of all major competing cations (Na</w:t>
      </w:r>
      <w:r>
        <w:t xml:space="preserve"> </w:t>
      </w:r>
      <w:r>
        <w:t>+</w:t>
      </w:r>
      <w:r>
        <w:t xml:space="preserve"> </w:t>
      </w:r>
      <w:r>
        <w:t>, K</w:t>
      </w:r>
      <w:r>
        <w:t xml:space="preserve"> </w:t>
      </w:r>
      <w:r>
        <w:t>+</w:t>
      </w:r>
      <w:r>
        <w:t xml:space="preserve"> </w:t>
      </w:r>
      <w:r>
        <w:t>, Ca</w:t>
      </w:r>
      <w:r>
        <w:t xml:space="preserve"> </w:t>
      </w:r>
      <w:r>
        <w:t>2+</w:t>
      </w:r>
      <w:r>
        <w:t xml:space="preserve"> </w:t>
      </w:r>
      <w:r>
        <w:t>, and Mg</w:t>
      </w:r>
      <w:r>
        <w:t xml:space="preserve"> </w:t>
      </w:r>
      <w:r>
        <w:t>2+</w:t>
      </w:r>
      <w:r>
        <w:t xml:space="preserve"> </w:t>
      </w:r>
      <w:r>
        <w:t>) while only retaining Li</w:t>
      </w:r>
      <w:r>
        <w:t xml:space="preserve"> </w:t>
      </w:r>
      <w:r>
        <w:t>+</w:t>
      </w:r>
      <w:r>
        <w:t xml:space="preserve"> </w:t>
      </w:r>
      <w:r>
        <w:t>. The crystalline nature of the membrane allows periodically arranged porphin molecules, enabling stable molecular recognition effect. By density functional theory calculations, we found that the porphin molecules had a strong interaction with Li</w:t>
      </w:r>
      <w:r>
        <w:t xml:space="preserve"> </w:t>
      </w:r>
      <w:r>
        <w:t>+</w:t>
      </w:r>
      <w:r>
        <w:t xml:space="preserve"> </w:t>
      </w:r>
      <w:r>
        <w:t>and prevented their translocation through the porphin cavity. As a result, the membrane allows Na</w:t>
      </w:r>
      <w:r>
        <w:t xml:space="preserve"> </w:t>
      </w:r>
      <w:r>
        <w:t>+</w:t>
      </w:r>
      <w:r>
        <w:t xml:space="preserve"> </w:t>
      </w:r>
      <w:r>
        <w:t>and K</w:t>
      </w:r>
      <w:r>
        <w:t xml:space="preserve"> </w:t>
      </w:r>
      <w:r>
        <w:t>+</w:t>
      </w:r>
      <w:r>
        <w:t xml:space="preserve"> </w:t>
      </w:r>
      <w:r>
        <w:t>transport but rejects the transport of Li</w:t>
      </w:r>
      <w:r>
        <w:t xml:space="preserve"> </w:t>
      </w:r>
      <w:r>
        <w:t>+</w:t>
      </w:r>
      <w:r>
        <w:t xml:space="preserve"> </w:t>
      </w:r>
      <w:r>
        <w:t>completely. Notably, due to the much higher mobility of divalent ions, the membrane also allows the passage of Ca</w:t>
      </w:r>
      <w:r>
        <w:t xml:space="preserve"> </w:t>
      </w:r>
      <w:r>
        <w:t>2+</w:t>
      </w:r>
      <w:r>
        <w:t xml:space="preserve"> </w:t>
      </w:r>
      <w:r>
        <w:t>and Mg</w:t>
      </w:r>
      <w:r>
        <w:t xml:space="preserve"> </w:t>
      </w:r>
      <w:r>
        <w:t>2+</w:t>
      </w:r>
      <w:r>
        <w:t xml:space="preserve"> </w:t>
      </w:r>
      <w:r>
        <w:t>while still retaining Li</w:t>
      </w:r>
      <w:r>
        <w:t xml:space="preserve"> </w:t>
      </w:r>
      <w:r>
        <w:t>+</w:t>
      </w:r>
      <w:r>
        <w:t xml:space="preserve"> </w:t>
      </w:r>
      <w:r>
        <w:t>under a low external voltage (0.8 V). We expect that this work establishes metal‐hydroxide‐porphin framework membrane as a promising and versatile platform for ion sieving studies and applications.</w:t>
      </w:r>
    </w:p>
    <w:p>
      <w:pPr>
        <w:spacing w:before="120" w:after="120"/>
      </w:pPr>
      <w:r>
        <w:rPr>
          <w:sz w:val="18"/>
        </w:rPr>
        <w:t>——————————————————————————————————————————————————————————————————————</w:t>
      </w:r>
    </w:p>
    <w:p>
      <w:pPr>
        <w:spacing w:before="160" w:after="80" w:line="240" w:lineRule="auto"/>
      </w:pPr>
      <w:r>
        <w:rPr>
          <w:b/>
        </w:rPr>
        <w:t xml:space="preserve">[155] </w:t>
      </w:r>
      <w:hyperlink r:id="rId267">
        <w:r>
          <w:rPr>
            <w:color w:val="1155CC"/>
            <w:u w:val="single"/>
          </w:rPr>
          <w:t>Enantioselective Synthesis of Mechanically Planar Chiral Rotaxanes by an Asymmetric Povarov Reaction‐Enabled Desymmetrization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68">
        <w:r>
          <w:rPr>
            <w:color w:val="1155CC"/>
            <w:u w:val="single"/>
          </w:rPr>
          <w:t>10.1002/anie.202515020</w:t>
        </w:r>
      </w:hyperlink>
    </w:p>
    <w:p>
      <w:pPr>
        <w:spacing w:before="0" w:after="120"/>
      </w:pPr>
      <w:r>
        <w:rPr>
          <w:b/>
        </w:rPr>
        <w:t xml:space="preserve">Notes: </w:t>
      </w:r>
      <w:r>
        <w:t>abstract_source=crossref</w:t>
      </w:r>
    </w:p>
    <w:p>
      <w:pPr>
        <w:spacing w:before="0" w:after="200" w:lineRule="auto" w:line="276"/>
      </w:pPr>
      <w:r>
        <w:rPr>
          <w:b/>
        </w:rPr>
        <w:t xml:space="preserve">Abstract: </w:t>
      </w:r>
      <w:r>
        <w:t>Mechanically planar chiral (MPC) rotaxanes are a type of chiral mechanically interlocked molecules (MIMs) characterized by their unique chiral structures and dynamic motion properties, which have shown significant potential in various chiral science research fields. However, the exploration of efficient catalytic enantioselective methods for synthesizing these chiral molecules is still largely underexplored. We here report an efficient method for asymmetric synthesis of MPC rotaxanes through an enantioselective desymmetrization strategy. By employing the chiral phosphoric acid‐catalyzed asymmetric Povarov reaction, the symmetry of prochiral rotaxanes with a rotationally symmetric macrocycle was broken, which was followed by a one‐pot oxidative aromatization step to yield various MPC rotaxanes with good yields and high enantioselectivities. Moreover, in cases where the one‐pot procedure did not provide satisfactory enantioselectivities, a stepwise protocol was employed to produce both enantiomers of MPC rotaxanes with excellent enantioselectivities, highlighting the practicability of this method. Extensive studies were performed to elucidate the origin of mechanical planar chirality within this method, which was postulated to arise from the synergistic interplay between the excellent enantioselectivity in generating point stereogenicity during the asymmetric Povarov reaction and the preferential selection of the mechanical geometric conformer of substrates during this process.</w:t>
      </w:r>
    </w:p>
    <w:p>
      <w:pPr>
        <w:spacing w:before="120" w:after="120"/>
      </w:pPr>
      <w:r>
        <w:rPr>
          <w:sz w:val="18"/>
        </w:rPr>
        <w:t>——————————————————————————————————————————————————————————————————————</w:t>
      </w:r>
    </w:p>
    <w:p>
      <w:pPr>
        <w:spacing w:before="160" w:after="80" w:line="240" w:lineRule="auto"/>
      </w:pPr>
      <w:r>
        <w:rPr>
          <w:b/>
        </w:rPr>
        <w:t xml:space="preserve">[156] </w:t>
      </w:r>
      <w:hyperlink r:id="rId269">
        <w:r>
          <w:rPr>
            <w:color w:val="1155CC"/>
            <w:u w:val="single"/>
          </w:rPr>
          <w:t>Bioorthogonal RNase L Recruitment Enables Targeted Inducible Degradation of SARS‐CoV‐2 RNA</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70">
        <w:r>
          <w:rPr>
            <w:color w:val="1155CC"/>
            <w:u w:val="single"/>
          </w:rPr>
          <w:t>10.1002/anie.202515064</w:t>
        </w:r>
      </w:hyperlink>
    </w:p>
    <w:p>
      <w:pPr>
        <w:spacing w:before="0" w:after="120"/>
      </w:pPr>
      <w:r>
        <w:rPr>
          <w:b/>
        </w:rPr>
        <w:t xml:space="preserve">Notes: </w:t>
      </w:r>
      <w:r>
        <w:t>abstract_source=crossref</w:t>
      </w:r>
    </w:p>
    <w:p>
      <w:pPr>
        <w:spacing w:before="0" w:after="200" w:lineRule="auto" w:line="276"/>
      </w:pPr>
      <w:r>
        <w:rPr>
          <w:b/>
        </w:rPr>
        <w:t xml:space="preserve">Abstract: </w:t>
      </w:r>
      <w:r>
        <w:t>RIBOTAC (Ribonuclease Targeting Chimera) is a strategy that employs small molecules to selectively bind disease‐associated RNA and recruit endogenous RNase L for targeted RNA degradation. This study advances the concept of bioorthogonal cleavage reactions to develop a novel “bioorthogonal RIBOTAC” (boRIBOTAC). Focusing on SARS‐CoV‐2 viral RNA, we engineered a cleavable “cage” protective group into a critical site within the RIBOTAC molecule, rendering it inactive as ProRIBOTAC in its untriggered state. When therapeutic intervention becomes necessary or disease progression demands it, a bioorthogonal cleavage reaction selectively removes the protective group, activating the RIBOTAC and thus facilitating inducible degradation of SARS‐CoV‐2 RNA. This research not only validates the feasibility of this boRIBOTAC and the inducible SARS‐CoV‐2 RNA degradation strategy but also demonstrates that the boRIBOTAC approach is poised to construct a controllable and effective RNA degradation platform. This platform is anticipated to provide significant technical reserves and practical prospects for addressing potential viral pandemics, chronic infections, and complex disease progressions, while also offering critical insights for future RNA‐targeted drug design.</w:t>
      </w:r>
    </w:p>
    <w:p>
      <w:pPr>
        <w:spacing w:before="120" w:after="120"/>
      </w:pPr>
      <w:r>
        <w:rPr>
          <w:sz w:val="18"/>
        </w:rPr>
        <w:t>——————————————————————————————————————————————————————————————————————</w:t>
      </w:r>
    </w:p>
    <w:p>
      <w:pPr>
        <w:spacing w:before="160" w:after="80" w:line="240" w:lineRule="auto"/>
      </w:pPr>
      <w:r>
        <w:rPr>
          <w:b/>
        </w:rPr>
        <w:t xml:space="preserve">[157] </w:t>
      </w:r>
      <w:hyperlink r:id="rId271">
        <w:r>
          <w:rPr>
            <w:color w:val="1155CC"/>
            <w:u w:val="single"/>
          </w:rPr>
          <w:t>Recoverable Fluorination Accelerates Ring‐Opening Copolymerisation and Enables Post‐Polymerisation‐Modification of Polyesters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[158] </w:t>
      </w:r>
      <w:hyperlink r:id="rId272">
        <w:r>
          <w:rPr>
            <w:color w:val="1155CC"/>
            <w:u w:val="single"/>
          </w:rPr>
          <w:t>Miniature Photoenzyme Enables Organelle‐Specific Cellular Control via Deboronative Hydroxylation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73">
        <w:r>
          <w:rPr>
            <w:color w:val="1155CC"/>
            <w:u w:val="single"/>
          </w:rPr>
          <w:t>10.1002/anie.202515137</w:t>
        </w:r>
      </w:hyperlink>
    </w:p>
    <w:p>
      <w:pPr>
        <w:spacing w:before="0" w:after="120"/>
      </w:pPr>
      <w:r>
        <w:rPr>
          <w:b/>
        </w:rPr>
        <w:t xml:space="preserve">Notes: </w:t>
      </w:r>
      <w:r>
        <w:t>abstract_source=crossref</w:t>
      </w:r>
    </w:p>
    <w:p>
      <w:pPr>
        <w:spacing w:before="0" w:after="200" w:lineRule="auto" w:line="276"/>
      </w:pPr>
      <w:r>
        <w:rPr>
          <w:b/>
        </w:rPr>
        <w:t xml:space="preserve">Abstract: </w:t>
      </w:r>
      <w:r>
        <w:t>Artificial photoenzymes hold transformative potential for in vitro biocatalysis, but their translation to live‐cell environments demands minimal cellular perturbation and aerobic compatibility. Here, we present miniSOG, a 12 kDa miniature photoenzyme that enables bioorthogonal deboronative hydroxylation via superoxide radical anion (O</w:t>
      </w:r>
      <w:r>
        <w:rPr>
          <w:vertAlign w:val="subscript"/>
        </w:rPr>
        <w:t>2</w:t>
      </w:r>
      <w:r>
        <w:t>•−</w:t>
      </w:r>
      <w:r>
        <w:t>) generation under blue light irradiation. Leveraging the inherent photochemistry of flavins, miniSOG facilitates the photoactivation of 27 structurally diverse organoboronates—including aryl/alkyl boronates, fluorophores, anticancer agents, and epigenetic modulators—through a unified O</w:t>
      </w:r>
      <w:r>
        <w:rPr>
          <w:vertAlign w:val="subscript"/>
        </w:rPr>
        <w:t>2</w:t>
      </w:r>
      <w:r>
        <w:t>•−</w:t>
      </w:r>
      <w:r>
        <w:t>‐mediated mechanism. This system achieves spatiotemporally precise photocatalysis in live cells, where miniSOG's compact size and subcellular targeting enable organelle‐specific localization and confined reactivity due to short‐range O</w:t>
      </w:r>
      <w:r>
        <w:rPr>
          <w:vertAlign w:val="subscript"/>
        </w:rPr>
        <w:t>2</w:t>
      </w:r>
      <w:r>
        <w:t>•−</w:t>
      </w:r>
      <w:r>
        <w:t>diffusion (∼0.2 µm). We demonstrate its utility in light‐gated cellular modulation: i) mitochondrial depolarization via localized release of 2,4‐dinitrophenol (DNP) to disrupt energy metabolism, and ii) nuclear m</w:t>
      </w:r>
      <w:r>
        <w:rPr>
          <w:vertAlign w:val="subscript"/>
        </w:rPr>
        <w:t>6</w:t>
      </w:r>
      <w:r>
        <w:t>A methylation enhancement to epigenetically upregulate autophagy. By repurposing miniSOG's photochemistry for bioorthogonal deboronative hydroxylation, this work establishes a versatile, genetically encoded platform for manipulating fundamental cellular pathways with minimal off‐target effects.</w:t>
      </w:r>
    </w:p>
    <w:p>
      <w:pPr>
        <w:spacing w:before="120" w:after="120"/>
      </w:pPr>
      <w:r>
        <w:rPr>
          <w:sz w:val="18"/>
        </w:rPr>
        <w:t>——————————————————————————————————————————————————————————————————————</w:t>
      </w:r>
    </w:p>
    <w:p>
      <w:pPr>
        <w:spacing w:before="160" w:after="80" w:line="240" w:lineRule="auto"/>
      </w:pPr>
      <w:r>
        <w:rPr>
          <w:b/>
        </w:rPr>
        <w:t xml:space="preserve">[159] </w:t>
      </w:r>
      <w:hyperlink r:id="rId274">
        <w:r>
          <w:rPr>
            <w:color w:val="1155CC"/>
            <w:u w:val="single"/>
          </w:rPr>
          <w:t>Tungstotellurate(VI)‐Based Nanocomposite Inhibits Breast Cancer Proliferation and Metastasis by Enhancing Cuproptosis and Apoptosis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75">
        <w:r>
          <w:rPr>
            <w:color w:val="1155CC"/>
            <w:u w:val="single"/>
          </w:rPr>
          <w:t>10.1002/anie.202514795</w:t>
        </w:r>
      </w:hyperlink>
    </w:p>
    <w:p>
      <w:pPr>
        <w:spacing w:before="0" w:after="120"/>
      </w:pPr>
      <w:r>
        <w:rPr>
          <w:b/>
        </w:rPr>
        <w:t xml:space="preserve">Notes: </w:t>
      </w:r>
      <w:r>
        <w:t>abstract_source=crossref</w:t>
      </w:r>
    </w:p>
    <w:p>
      <w:pPr>
        <w:spacing w:before="0" w:after="200" w:lineRule="auto" w:line="276"/>
      </w:pPr>
      <w:r>
        <w:rPr>
          <w:b/>
        </w:rPr>
        <w:t xml:space="preserve">Abstract: </w:t>
      </w:r>
      <w:r>
        <w:t>Cuproptosis, characterized by the accumulation of copper (Cu) ions and mitochondrial respiration modulation, holds great potential in cancer therapy. As a newly defined mode of cell death regulation, the mechanisms of copper efflux and high intracellular levels of reducing substances may impair cuproptosis efficacy. To address this, a nanocomposite designated POM/Cu‐SS@HA was constructed, comprising sandwich‐type polyoxometalate (POM) Na[(CH</w:t>
      </w:r>
      <w:r>
        <w:rPr>
          <w:vertAlign w:val="subscript"/>
        </w:rPr>
        <w:t>3</w:t>
      </w:r>
      <w:r>
        <w:t>)</w:t>
      </w:r>
      <w:r>
        <w:rPr>
          <w:vertAlign w:val="subscript"/>
        </w:rPr>
        <w:t>2</w:t>
      </w:r>
      <w:r>
        <w:t>NH</w:t>
      </w:r>
      <w:r>
        <w:rPr>
          <w:vertAlign w:val="subscript"/>
        </w:rPr>
        <w:t>2</w:t>
      </w:r>
      <w:r>
        <w:t>]</w:t>
      </w:r>
      <w:r>
        <w:rPr>
          <w:vertAlign w:val="subscript"/>
        </w:rPr>
        <w:t>13</w:t>
      </w:r>
      <w:r>
        <w:t>H[Sc</w:t>
      </w:r>
      <w:r>
        <w:rPr>
          <w:vertAlign w:val="subscript"/>
        </w:rPr>
        <w:t>3</w:t>
      </w:r>
      <w:r>
        <w:t>(H</w:t>
      </w:r>
      <w:r>
        <w:rPr>
          <w:vertAlign w:val="subscript"/>
        </w:rPr>
        <w:t>2</w:t>
      </w:r>
      <w:r>
        <w:t>O)</w:t>
      </w:r>
      <w:r>
        <w:rPr>
          <w:vertAlign w:val="subscript"/>
        </w:rPr>
        <w:t>2</w:t>
      </w:r>
      <w:r>
        <w:t>Te</w:t>
      </w:r>
      <w:r>
        <w:rPr>
          <w:vertAlign w:val="subscript"/>
        </w:rPr>
        <w:t>2</w:t>
      </w:r>
      <w:r>
        <w:t>W</w:t>
      </w:r>
      <w:r>
        <w:rPr>
          <w:vertAlign w:val="subscript"/>
        </w:rPr>
        <w:t>24</w:t>
      </w:r>
      <w:r>
        <w:t>O</w:t>
      </w:r>
      <w:r>
        <w:rPr>
          <w:vertAlign w:val="subscript"/>
        </w:rPr>
        <w:t>90</w:t>
      </w:r>
      <w:r>
        <w:t>]·92H</w:t>
      </w:r>
      <w:r>
        <w:rPr>
          <w:vertAlign w:val="subscript"/>
        </w:rPr>
        <w:t>2</w:t>
      </w:r>
      <w:r>
        <w:t>O (</w:t>
      </w:r>
      <w:r>
        <w:t xml:space="preserve"> </w:t>
      </w:r>
      <w:r>
        <w:t>Sc</w:t>
      </w:r>
      <w:r>
        <w:rPr>
          <w:vertAlign w:val="subscript"/>
        </w:rPr>
        <w:t>3</w:t>
      </w:r>
      <w:r>
        <w:t>Te</w:t>
      </w:r>
      <w:r>
        <w:rPr>
          <w:vertAlign w:val="subscript"/>
        </w:rPr>
        <w:t>2</w:t>
      </w:r>
      <w:r>
        <w:t>W</w:t>
      </w:r>
      <w:r>
        <w:rPr>
          <w:vertAlign w:val="subscript"/>
        </w:rPr>
        <w:t>24</w:t>
      </w:r>
      <w:r>
        <w:t xml:space="preserve"> </w:t>
      </w:r>
      <w:r>
        <w:t>), disulfide‐bridged copper‐based complexes (Cu‐SS), and hyaluronic acid (HA) for targeted delivery. This system induces cuproptosis through copper accumulation, leading to lipoylated protein aggregation and iron–sulfur cluster protein depletion, while concurrently facilitating photothermal therapy (PTT) and apoptosis. The POM (</w:t>
      </w:r>
      <w:r>
        <w:t xml:space="preserve"> </w:t>
      </w:r>
      <w:r>
        <w:t>Sc</w:t>
      </w:r>
      <w:r>
        <w:rPr>
          <w:vertAlign w:val="subscript"/>
        </w:rPr>
        <w:t>3</w:t>
      </w:r>
      <w:r>
        <w:t>Te</w:t>
      </w:r>
      <w:r>
        <w:rPr>
          <w:vertAlign w:val="subscript"/>
        </w:rPr>
        <w:t>2</w:t>
      </w:r>
      <w:r>
        <w:t>W</w:t>
      </w:r>
      <w:r>
        <w:rPr>
          <w:vertAlign w:val="subscript"/>
        </w:rPr>
        <w:t>24</w:t>
      </w:r>
      <w:r>
        <w:t xml:space="preserve"> </w:t>
      </w:r>
      <w:r>
        <w:t>) cluster exhibited potent antitumor effects via p53‐dependent apoptotic pathway reactivation. In vitro studies demonstrated over 85.6% inhibition rate against 4T1 breast cancer cells when combining POM/Cu‐SS@HA with 808 nm NIR irradiation. In vivo results showed 92.8% tumor growth suppression compared to the controls. Transcriptome analysis further identified altered expression profiles in glutathione (GSH) metabolism and mitochondrial function‐related genes, confirming the dual induction of cuproptosis and apoptosis. These findings establish a synergistic nanotherapeutic strategy with enhanced efficacy for breast cancer treatment.</w:t>
      </w:r>
    </w:p>
    <w:p>
      <w:pPr>
        <w:spacing w:before="120" w:after="120"/>
      </w:pPr>
      <w:r>
        <w:rPr>
          <w:sz w:val="18"/>
        </w:rPr>
        <w:t>——————————————————————————————————————————————————————————————————————</w:t>
      </w:r>
    </w:p>
    <w:p>
      <w:pPr>
        <w:spacing w:before="160" w:after="80" w:line="240" w:lineRule="auto"/>
      </w:pPr>
      <w:r>
        <w:rPr>
          <w:b/>
        </w:rPr>
        <w:t xml:space="preserve">[160] </w:t>
      </w:r>
      <w:hyperlink r:id="rId276">
        <w:r>
          <w:rPr>
            <w:color w:val="1155CC"/>
            <w:u w:val="single"/>
          </w:rPr>
          <w:t>“Noninnate” Ring‐Opening Polymerization: Palladium‐Catalyzed Stereoselective 1,4‐Polymerization of Alkynylcyclopropanes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77">
        <w:r>
          <w:rPr>
            <w:color w:val="1155CC"/>
            <w:u w:val="single"/>
          </w:rPr>
          <w:t>10.1002/anie.202520974</w:t>
        </w:r>
      </w:hyperlink>
    </w:p>
    <w:p>
      <w:pPr>
        <w:spacing w:before="0" w:after="120"/>
      </w:pPr>
      <w:r>
        <w:rPr>
          <w:b/>
        </w:rPr>
        <w:t xml:space="preserve">Notes: </w:t>
      </w:r>
      <w:r>
        <w:t>abstract_source=crossref</w:t>
      </w:r>
    </w:p>
    <w:p>
      <w:pPr>
        <w:spacing w:before="0" w:after="200" w:lineRule="auto" w:line="276"/>
      </w:pPr>
      <w:r>
        <w:rPr>
          <w:b/>
        </w:rPr>
        <w:t xml:space="preserve">Abstract: </w:t>
      </w:r>
      <w:r>
        <w:t>In ring‐opening polymerization (ROP), main‐chain connectivity is largely dictated by the inherent electronic and steric properties of the monomer. As a result, even when different polymerization mechanisms are employed, the same backbone structure is obtained. Here, we report catalyst‐controlled, noninnate connectivity in the ROP of alkynylcyclopropane dicarboxylates (ACPs). Leveraging π‐propargyl palladium intermediates, we redirect the reactivity from the electronically favored 1,5‐addition to a noninnate 1,4‐addition pathway, furnishing a conjugated diene‐based backbone with high regio‐ and stereoselectivity. The polymerization exhibits controlled characteristics under optimized conditions. Combined experimental and computational studies reveal that a strategically positioned quaternary carbon center enforces high configurational rigidity in the organopalladium intermediate, thereby suppressing undesired cyclization and enabling rapid, stereospecific β‐hydride elimination. This work demonstrates overriding the innate connectivity in ROP by precisely controlling the fate of organometallic intermediates.</w:t>
      </w:r>
    </w:p>
    <w:p>
      <w:pPr>
        <w:spacing w:before="120" w:after="120"/>
      </w:pPr>
      <w:r>
        <w:rPr>
          <w:sz w:val="18"/>
        </w:rPr>
        <w:t>——————————————————————————————————————————————————————————————————————</w:t>
      </w:r>
    </w:p>
    <w:p>
      <w:pPr>
        <w:spacing w:before="160" w:after="80" w:line="240" w:lineRule="auto"/>
      </w:pPr>
      <w:r>
        <w:rPr>
          <w:b/>
        </w:rPr>
        <w:t xml:space="preserve">[161] </w:t>
      </w:r>
      <w:hyperlink r:id="rId278">
        <w:r>
          <w:rPr>
            <w:color w:val="1155CC"/>
            <w:u w:val="single"/>
          </w:rPr>
          <w:t>Functionalization of Polyolefins via Catalytic Nitrene Addition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79">
        <w:r>
          <w:rPr>
            <w:color w:val="1155CC"/>
            <w:u w:val="single"/>
          </w:rPr>
          <w:t>10.1002/anie.202522659</w:t>
        </w:r>
      </w:hyperlink>
    </w:p>
    <w:p>
      <w:pPr>
        <w:spacing w:before="0" w:after="120"/>
      </w:pPr>
      <w:r>
        <w:rPr>
          <w:b/>
        </w:rPr>
        <w:t xml:space="preserve">Notes: </w:t>
      </w:r>
      <w:r>
        <w:t>abstract_source=crossref</w:t>
      </w:r>
    </w:p>
    <w:p>
      <w:pPr>
        <w:spacing w:before="0" w:after="200" w:lineRule="auto" w:line="276"/>
      </w:pPr>
      <w:r>
        <w:rPr>
          <w:b/>
        </w:rPr>
        <w:t xml:space="preserve">Abstract: </w:t>
      </w:r>
      <w:r>
        <w:t>The post‐polymerization functionalization of polyolefins has emerged as a key tool for obtaining new materials with enhanced properties. With an array of approaches being already reported, the incorporation of N‐containing fragments en route to the generation of amino groups in yet scarce and not disclosed for the metal‐catalyzed nitrene transfer strategy. Here we introduce such tactics employing silver‐based catalysts for the incorporation of nitrene NTs (Ts =</w:t>
      </w:r>
      <w:r>
        <w:t xml:space="preserve"> </w:t>
      </w:r>
      <w:r>
        <w:t>p</w:t>
      </w:r>
      <w:r>
        <w:t xml:space="preserve"> </w:t>
      </w:r>
      <w:r>
        <w:t>‐toluenesulfonyl) groups to commercially available polybutadienes. The process occurs at room temperature without appreciable chain scission or cross‐linking processes and enables precise control of the degree of functionalization. Thermal analyses demonstrate a correlation between such degree and the</w:t>
      </w:r>
      <w:r>
        <w:t xml:space="preserve"> </w:t>
      </w:r>
      <w:r>
        <w:t>T</w:t>
      </w:r>
      <w:r>
        <w:t xml:space="preserve"> </w:t>
      </w:r>
      <w:r>
        <w:t>g</w:t>
      </w:r>
      <w:r>
        <w:t xml:space="preserve"> </w:t>
      </w:r>
      <w:r>
        <w:t>values of the functionalized polymers.</w:t>
      </w:r>
    </w:p>
    <w:p>
      <w:pPr>
        <w:spacing w:before="120" w:after="120"/>
      </w:pPr>
      <w:r>
        <w:rPr>
          <w:sz w:val="18"/>
        </w:rPr>
        <w:t>——————————————————————————————————————————————————————————————————————</w:t>
      </w:r>
    </w:p>
    <w:p>
      <w:pPr>
        <w:spacing w:before="160" w:after="80" w:line="240" w:lineRule="auto"/>
      </w:pPr>
      <w:r>
        <w:rPr>
          <w:b/>
        </w:rPr>
        <w:t xml:space="preserve">[162] </w:t>
      </w:r>
      <w:hyperlink r:id="rId280">
        <w:r>
          <w:rPr>
            <w:color w:val="1155CC"/>
            <w:u w:val="single"/>
          </w:rPr>
          <w:t>Three‐Segment Protein Labeling Using a Highly Efficient and Cysteine‐Less Split Intein Identified with Computational Prediction of Aggregation Properties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81">
        <w:r>
          <w:rPr>
            <w:color w:val="1155CC"/>
            <w:u w:val="single"/>
          </w:rPr>
          <w:t>10.1002/anie.202515821</w:t>
        </w:r>
      </w:hyperlink>
    </w:p>
    <w:p>
      <w:pPr>
        <w:spacing w:before="0" w:after="120"/>
      </w:pPr>
      <w:r>
        <w:rPr>
          <w:b/>
        </w:rPr>
        <w:t xml:space="preserve">Notes: </w:t>
      </w:r>
      <w:r>
        <w:t>abstract_source=crossref</w:t>
      </w:r>
    </w:p>
    <w:p>
      <w:pPr>
        <w:spacing w:before="0" w:after="200" w:lineRule="auto" w:line="276"/>
      </w:pPr>
      <w:r>
        <w:rPr>
          <w:b/>
        </w:rPr>
        <w:t xml:space="preserve">Abstract: </w:t>
      </w:r>
      <w:r>
        <w:t>Split inteins are versatile tools in protein engineering. We envisaged a new tandem protein</w:t>
      </w:r>
      <w:r>
        <w:t xml:space="preserve"> </w:t>
      </w:r>
      <w:r>
        <w:t>trans</w:t>
      </w:r>
      <w:r>
        <w:t xml:space="preserve"> </w:t>
      </w:r>
      <w:r>
        <w:t>‐splicing (PTS) scheme to assemble a protein from three segments, of which each can be individually treated with regard to its cysteine oxidation or chemical labeling status. However, only a single highly efficient cysteine‐less split intein has been reported so far. Split intein activities are currently not predictable and require time‐consuming biochemical characterizations. We aimed to accelerate the discovery of novel split inteins with high splicing efficiency by computational sequence analysis. Inspired by our previous finding that linked reduced splicing efficiency of characterized split intein fragments to soluble, β‐sheet‐rich amyloid‐like aggregates, we confirmed the inverse correlation between predicted aggregation propensity and splicing efficiency for new intein candidates by size‐exclusion chromatography and biochemical analysis. The LCGC14 intein emerged as a second available cysteine‐less split intein with virtually quantitative splicing efficiency, significantly expanding protein engineering opportunities independent of thiol chemistries or in oxidizing conditions. We exploit the orthogonality to the cysteine‐less CLm intein to assemble proteins from three selectively labeled segments, as demonstrated for a trimodular non‐ribosomal peptide synthetase (NRPS). The prediction of split intein efficiency from their sequence is a significant advancement to streamline future discovery processes.</w:t>
      </w:r>
    </w:p>
    <w:p>
      <w:pPr>
        <w:spacing w:before="120" w:after="120"/>
      </w:pPr>
      <w:r>
        <w:rPr>
          <w:sz w:val="18"/>
        </w:rPr>
        <w:t>——————————————————————————————————————————————————————————————————————</w:t>
      </w:r>
    </w:p>
    <w:p>
      <w:pPr>
        <w:spacing w:before="160" w:after="80" w:line="240" w:lineRule="auto"/>
      </w:pPr>
      <w:r>
        <w:rPr>
          <w:b/>
        </w:rPr>
        <w:t xml:space="preserve">[163] </w:t>
      </w:r>
      <w:hyperlink r:id="rId282">
        <w:r>
          <w:rPr>
            <w:color w:val="1155CC"/>
            <w:u w:val="single"/>
          </w:rPr>
          <w:t>A Picolyl‐Based Cys Caging/Uncaging Strategy Facilitates Protein Synthesis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83">
        <w:r>
          <w:rPr>
            <w:color w:val="1155CC"/>
            <w:u w:val="single"/>
          </w:rPr>
          <w:t>10.1002/anie.202518002</w:t>
        </w:r>
      </w:hyperlink>
    </w:p>
    <w:p>
      <w:pPr>
        <w:spacing w:before="0" w:after="120"/>
      </w:pPr>
      <w:r>
        <w:rPr>
          <w:b/>
        </w:rPr>
        <w:t xml:space="preserve">Notes: </w:t>
      </w:r>
      <w:r>
        <w:t>abstract_source=crossref</w:t>
      </w:r>
    </w:p>
    <w:p>
      <w:pPr>
        <w:spacing w:before="0" w:after="200" w:lineRule="auto" w:line="276"/>
      </w:pPr>
      <w:r>
        <w:rPr>
          <w:b/>
        </w:rPr>
        <w:t xml:space="preserve">Abstract: </w:t>
      </w:r>
      <w:r>
        <w:t>Endowed with a reactive thiol group, cysteine (Cys) provides a versatile handle for site‐specific bioconjugation and serves as a cornerstone of chemical protein synthesis, particularly in native chemical ligation (NCL). Extensions such as expressed protein ligation (EPL)‐desulfurization have significantly broadened access to challenging proteins. However, they require orthogonal caging/uncaging protecting groups to enable selective desulfurization in the presence of native cysteines, a process that is crucial for synthetic applications. Photolabile protecting groups (PPGs), which are cleaved via irradiation, offer a simpler and less disruptive approach to protein assembly compared to traditional thiol protecting groups. However, current commercially available PPGs are not compatible with orthogonal protection and EPL‐desulfurization. To address this challenge, we developed a novel and simple picolyl‐based PPG for Cys caging/uncaging, which enables rapid orthogonal caging of thiols and their subsequent uncaging via pH and wavelength control. Notably, the picolyl group undergoes photoorthogonal activation in the presence of a nitrobenzyl group. The efficient synthesis of interleukin‐4 (IL‐4) via one‐pot iterative ligation and tumor necrosis factor‐alpha (TNF‐α) via EPL‐desulfurization further highlights how this strategy significantly advances the synthesis of complex proteins.</w:t>
      </w:r>
    </w:p>
    <w:p>
      <w:pPr>
        <w:spacing w:before="120" w:after="120"/>
      </w:pPr>
      <w:r>
        <w:rPr>
          <w:sz w:val="18"/>
        </w:rPr>
        <w:t>——————————————————————————————————————————————————————————————————————</w:t>
      </w:r>
    </w:p>
    <w:p>
      <w:pPr>
        <w:spacing w:before="160" w:after="80" w:line="240" w:lineRule="auto"/>
      </w:pPr>
      <w:r>
        <w:rPr>
          <w:b/>
        </w:rPr>
        <w:t xml:space="preserve">[164] </w:t>
      </w:r>
      <w:hyperlink r:id="rId284">
        <w:r>
          <w:rPr>
            <w:color w:val="1155CC"/>
            <w:u w:val="single"/>
          </w:rPr>
          <w:t>Engineering Nanoscale Interfacial Solvation Inner‐Outer Configuration via Multi‐Group Synergy for Practical Zinc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85">
        <w:r>
          <w:rPr>
            <w:color w:val="1155CC"/>
            <w:u w:val="single"/>
          </w:rPr>
          <w:t>10.1002/anie.202518035</w:t>
        </w:r>
      </w:hyperlink>
    </w:p>
    <w:p>
      <w:pPr>
        <w:spacing w:before="0" w:after="120"/>
      </w:pPr>
      <w:r>
        <w:rPr>
          <w:b/>
        </w:rPr>
        <w:t xml:space="preserve">Notes: </w:t>
      </w:r>
      <w:r>
        <w:t>abstract_source=crossref</w:t>
      </w:r>
    </w:p>
    <w:p>
      <w:pPr>
        <w:spacing w:before="0" w:after="200" w:lineRule="auto" w:line="276"/>
      </w:pPr>
      <w:r>
        <w:rPr>
          <w:b/>
        </w:rPr>
        <w:t xml:space="preserve">Abstract: </w:t>
      </w:r>
      <w:r>
        <w:t>Rational design of interfacial solvation structures in electric double layer (EDL) remains a critical challenge for aqueous zinc metal batteries (AZMBs). Herein, an efficient multi‐group synergy strategy has been proposed to precisely regulate the interfacial solvation structure at nanoscale, which affords long‐lifespan AZMBs under high depth of discharge (DOD) and low temperature. Through combined in situ experiments and theoretical simulations, we demonstrate trace multifunctional group biomolecular additive cannot alter electrolyte solvation structure, but contributes to formation of the positively charged Zn</w:t>
      </w:r>
      <w:r>
        <w:t xml:space="preserve"> </w:t>
      </w:r>
      <w:r>
        <w:t>2+</w:t>
      </w:r>
      <w:r>
        <w:t xml:space="preserve"> </w:t>
      </w:r>
      <w:r>
        <w:t>solvation shell in outer Helmholtz layer (OHL) and additive‐involved and H</w:t>
      </w:r>
      <w:r>
        <w:rPr>
          <w:vertAlign w:val="subscript"/>
        </w:rPr>
        <w:t>2</w:t>
      </w:r>
      <w:r>
        <w:t>O/anion‐less solvation shell in inner Helmholtz layer (IHL). This synergistic configuration enables an organic‐inorganic hybrid interface that simultaneously suppresses hydrogen evolution, accelerates desolvation, offers pH buffering capacity, and regulates Zn</w:t>
      </w:r>
      <w:r>
        <w:rPr>
          <w:vertAlign w:val="subscript"/>
        </w:rPr>
        <w:t>2</w:t>
      </w:r>
      <w:r>
        <w:t>⁺ deposition orientation. Zn anodes deliver high coulombic efficiency of 99.65%, long‐lifespan over 6500 h, and stable operation under low temperature of −20 °C and high DOD of 85.4%. Furthermore, under practical condition of high mass loading (27 mg cm</w:t>
      </w:r>
      <w:r>
        <w:t xml:space="preserve"> </w:t>
      </w:r>
      <w:r>
        <w:t>−2</w:t>
      </w:r>
      <w:r>
        <w:t xml:space="preserve"> </w:t>
      </w:r>
      <w:r>
        <w:t>) and limited N/P ratio of 3.5, Zn||VO</w:t>
      </w:r>
      <w:r>
        <w:rPr>
          <w:vertAlign w:val="subscript"/>
        </w:rPr>
        <w:t>2</w:t>
      </w:r>
      <w:r>
        <w:t>battery delivers a superhigh surface capacity of 8.1 mAh·cm</w:t>
      </w:r>
      <w:r>
        <w:t xml:space="preserve"> </w:t>
      </w:r>
      <w:r>
        <w:t>−2</w:t>
      </w:r>
      <w:r>
        <w:t xml:space="preserve"> </w:t>
      </w:r>
      <w:r>
        <w:t>and remains stable over 800 cycles, and pouch batteries can stably operate for almost 500 cycles.</w:t>
      </w:r>
    </w:p>
    <w:p>
      <w:pPr>
        <w:spacing w:before="120" w:after="120"/>
      </w:pPr>
      <w:r>
        <w:rPr>
          <w:sz w:val="18"/>
        </w:rPr>
        <w:t>——————————————————————————————————————————————————————————————————————</w:t>
      </w:r>
    </w:p>
    <w:p>
      <w:pPr>
        <w:spacing w:before="160" w:after="80" w:line="240" w:lineRule="auto"/>
      </w:pPr>
      <w:r>
        <w:rPr>
          <w:b/>
        </w:rPr>
        <w:t xml:space="preserve">[165] </w:t>
      </w:r>
      <w:hyperlink r:id="rId286">
        <w:r>
          <w:rPr>
            <w:color w:val="1155CC"/>
            <w:u w:val="single"/>
          </w:rPr>
          <w:t>Electrocatalytic Alcohol Oxidation to Aldehyde Through Direct Dehydrogenation Mechanism Using a High‐Performance Pt/Co3O4 Catalyst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87">
        <w:r>
          <w:rPr>
            <w:color w:val="1155CC"/>
            <w:u w:val="single"/>
          </w:rPr>
          <w:t>10.1002/anie.202518122</w:t>
        </w:r>
      </w:hyperlink>
    </w:p>
    <w:p>
      <w:pPr>
        <w:spacing w:before="0" w:after="120"/>
      </w:pPr>
      <w:r>
        <w:rPr>
          <w:b/>
        </w:rPr>
        <w:t xml:space="preserve">Notes: </w:t>
      </w:r>
      <w:r>
        <w:t>abstract_source=crossref</w:t>
      </w:r>
    </w:p>
    <w:p>
      <w:pPr>
        <w:spacing w:before="0" w:after="200" w:lineRule="auto" w:line="276"/>
      </w:pPr>
      <w:r>
        <w:rPr>
          <w:b/>
        </w:rPr>
        <w:t xml:space="preserve">Abstract: </w:t>
      </w:r>
      <w:r>
        <w:t>The electrocatalytic upgrading of low‐value carbon sources has been widely regarded as a green approach for synthesizing diverse chemicals and promising route to attain carbon neutrality goals. However, according to the prevailing reactive oxygen species‐mediated mechanism (ROSMM), these reactions suffer from harsh reaction conditions (strong basic electrolyte) and high energy costs (high reaction potential, especially under neutral conditions). Here, a novel electrochemical direct dehydrogenation mechanism (DDM) has been proposed. As proof‐of‐the‐concept, Pt/Co</w:t>
      </w:r>
      <w:r>
        <w:rPr>
          <w:vertAlign w:val="subscript"/>
        </w:rPr>
        <w:t>3</w:t>
      </w:r>
      <w:r>
        <w:t>O</w:t>
      </w:r>
      <w:r>
        <w:rPr>
          <w:vertAlign w:val="subscript"/>
        </w:rPr>
        <w:t>4</w:t>
      </w:r>
      <w:r>
        <w:t>/CC catalyst has been developed to accelerate the dehydrogenation reaction for efficient upgrading of ethylene glycol to glycolaldehyde dimer. Impressively, an ultralow potential of 0.4 V versus the reversible hydrogen electrode (RHE) at a current density of 3.7 mA cm</w:t>
      </w:r>
      <w:r>
        <w:t xml:space="preserve"> </w:t>
      </w:r>
      <w:r>
        <w:t>−2</w:t>
      </w:r>
      <w:r>
        <w:t xml:space="preserve"> </w:t>
      </w:r>
      <w:r>
        <w:t>, a Faradaic efficiency of ∼100.0%, a selectivity of 99.0% and an extra‐high productivity of 204.9 µmol h</w:t>
      </w:r>
      <w:r>
        <w:t xml:space="preserve"> </w:t>
      </w:r>
      <w:r>
        <w:t>−1</w:t>
      </w:r>
      <w:r>
        <w:t xml:space="preserve"> </w:t>
      </w:r>
      <w:r>
        <w:t>cm</w:t>
      </w:r>
      <w:r>
        <w:t xml:space="preserve"> </w:t>
      </w:r>
      <w:r>
        <w:t>−2</w:t>
      </w:r>
      <w:r>
        <w:t xml:space="preserve"> </w:t>
      </w:r>
      <w:r>
        <w:t>in neutral electrolyte have been obtained, which are among the highest of the state‐of‐the‐art catalysts ever reported. Various value‐added aldehydes can be obtained by similar approach. The proposed direct dehydrogenation mechanism offers novel perspectives for electrocatalyst design, reaction pathway modulation, and energy consumption reduction in the syntheses of high‐value chemicals by electrocatalytic upgrading reactions.</w:t>
      </w:r>
    </w:p>
    <w:p>
      <w:pPr>
        <w:spacing w:before="120" w:after="120"/>
      </w:pPr>
      <w:r>
        <w:rPr>
          <w:sz w:val="18"/>
        </w:rPr>
        <w:t>——————————————————————————————————————————————————————————————————————</w:t>
      </w:r>
    </w:p>
    <w:p>
      <w:pPr>
        <w:spacing w:before="160" w:after="80" w:line="240" w:lineRule="auto"/>
      </w:pPr>
      <w:r>
        <w:rPr>
          <w:b/>
        </w:rPr>
        <w:t xml:space="preserve">[166] </w:t>
      </w:r>
      <w:hyperlink r:id="rId288">
        <w:r>
          <w:rPr>
            <w:color w:val="1155CC"/>
            <w:u w:val="single"/>
          </w:rPr>
          <w:t>Uphill Anion Transporters with Ultrahigh Efficiency Based on N‐Heterocyclic Carbene Metal Complexes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89">
        <w:r>
          <w:rPr>
            <w:color w:val="1155CC"/>
            <w:u w:val="single"/>
          </w:rPr>
          <w:t>10.1002/anie.202518136</w:t>
        </w:r>
      </w:hyperlink>
    </w:p>
    <w:p>
      <w:pPr>
        <w:spacing w:before="0" w:after="120"/>
      </w:pPr>
      <w:r>
        <w:rPr>
          <w:b/>
        </w:rPr>
        <w:t xml:space="preserve">Notes: </w:t>
      </w:r>
      <w:r>
        <w:t>abstract_source=crossref</w:t>
      </w:r>
    </w:p>
    <w:p>
      <w:pPr>
        <w:spacing w:before="0" w:after="200" w:lineRule="auto" w:line="276"/>
      </w:pPr>
      <w:r>
        <w:rPr>
          <w:b/>
        </w:rPr>
        <w:t xml:space="preserve">Abstract: </w:t>
      </w:r>
      <w:r>
        <w:t>Essential to the function of living systems, transmembrane ion transport in nature has inspired synthetic mimics that advance therapeutics, separations, sensing, and bioelectronics. Here, we report highly efficient and selective anion transport mediated by simple</w:t>
      </w:r>
      <w:r>
        <w:t xml:space="preserve"> </w:t>
      </w:r>
      <w:r>
        <w:t>N</w:t>
      </w:r>
      <w:r>
        <w:t xml:space="preserve"> </w:t>
      </w:r>
      <w:r>
        <w:t>‐heterocyclic carbene (NHC) organometallic compounds. Using ruthenium (Ru) as the central metal and ion binding site, we systematically investigated seven classes of organoruthenium scaffolds and found that NHC‐based Ru complexes demonstrated exceptionally high activity and selectivity. Extending the study to more metals, NHC complexes of Pd, Ag, and Cu also exhibited remarkable transport efficiency, with the iPrPh‐NHC organocopper compound achieving an EC</w:t>
      </w:r>
      <w:r>
        <w:rPr>
          <w:vertAlign w:val="subscript"/>
        </w:rPr>
        <w:t>50</w:t>
      </w:r>
      <w:r>
        <w:t>as low as 3.6 pM, surpassing one of the most active ion transporters, prodigiosin. Notably, NHC‐based organometallic transporters leverage distinct kinetics of ligand binding and membrane diffusion to generate transmembrane potentials, and drive uphill ion transport reminiscent of proton pumps and ATPases. This work provides foundations for further development of organometallic ion transporters with high efficiency, tunable selectivity, and unique functions.</w:t>
      </w:r>
    </w:p>
    <w:p>
      <w:pPr>
        <w:spacing w:before="120" w:after="120"/>
      </w:pPr>
      <w:r>
        <w:rPr>
          <w:sz w:val="18"/>
        </w:rPr>
        <w:t>——————————————————————————————————————————————————————————————————————</w:t>
      </w:r>
    </w:p>
    <w:p>
      <w:pPr>
        <w:spacing w:before="160" w:after="80" w:line="240" w:lineRule="auto"/>
      </w:pPr>
      <w:r>
        <w:rPr>
          <w:b/>
        </w:rPr>
        <w:t xml:space="preserve">[167] </w:t>
      </w:r>
      <w:hyperlink r:id="rId290">
        <w:r>
          <w:rPr>
            <w:color w:val="1155CC"/>
            <w:u w:val="single"/>
          </w:rPr>
          <w:t>A Multiply and Long‐Chain Branched Polyolefin with Low Density Polyethylene (LDPE)‐Like Properties Containing Two Types of Functional Groups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91">
        <w:r>
          <w:rPr>
            <w:color w:val="1155CC"/>
            <w:u w:val="single"/>
          </w:rPr>
          <w:t>10.1002/anie.202518150</w:t>
        </w:r>
      </w:hyperlink>
    </w:p>
    <w:p>
      <w:pPr>
        <w:spacing w:before="0" w:after="120"/>
      </w:pPr>
      <w:r>
        <w:rPr>
          <w:b/>
        </w:rPr>
        <w:t xml:space="preserve">Notes: </w:t>
      </w:r>
      <w:r>
        <w:t>abstract_source=crossref</w:t>
      </w:r>
    </w:p>
    <w:p>
      <w:pPr>
        <w:spacing w:before="0" w:after="200" w:lineRule="auto" w:line="276"/>
      </w:pPr>
      <w:r>
        <w:rPr>
          <w:b/>
        </w:rPr>
        <w:t xml:space="preserve">Abstract: </w:t>
      </w:r>
      <w:r>
        <w:t>Low‐density polyethylene (LDPE) is an important material or plastic, which, unfortunately, is synthesized under very harsh conditions and challenging to recycle. We report here on a highly flexible catalytic synthesis of multiply branched and long‐chain branched polyolefins under mild conditions. We combine coordinative chain transfer polymerization of ethylene and branched alpha‐olefins with ring‐opening metathesis polymerization and hydrogenation catalysis. Our plastic contains two types of functional groups: olefins and esters. The olefin functional groups can be used to enable closed‐loop recycling, and the ester groups permit faster decomposition than LDPE to potentially reduce the micro‐plastic formation or enable a second depolymerization pathway. Our material matches key properties of LDPE, such as the melting point, rheology and stress–strain behavior.</w:t>
      </w:r>
    </w:p>
    <w:p>
      <w:pPr>
        <w:spacing w:before="120" w:after="120"/>
      </w:pPr>
      <w:r>
        <w:rPr>
          <w:sz w:val="18"/>
        </w:rPr>
        <w:t>——————————————————————————————————————————————————————————————————————</w:t>
      </w:r>
    </w:p>
    <w:p>
      <w:pPr>
        <w:spacing w:before="160" w:after="80" w:line="240" w:lineRule="auto"/>
      </w:pPr>
      <w:r>
        <w:rPr>
          <w:b/>
        </w:rPr>
        <w:t xml:space="preserve">[168] </w:t>
      </w:r>
      <w:hyperlink r:id="rId292">
        <w:r>
          <w:rPr>
            <w:color w:val="1155CC"/>
            <w:u w:val="single"/>
          </w:rPr>
          <w:t>Crystallographic Study of DNA T‐Junction via Crystal Engineering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93">
        <w:r>
          <w:rPr>
            <w:color w:val="1155CC"/>
            <w:u w:val="single"/>
          </w:rPr>
          <w:t>10.1002/anie.202518174</w:t>
        </w:r>
      </w:hyperlink>
    </w:p>
    <w:p>
      <w:pPr>
        <w:spacing w:before="0" w:after="120"/>
      </w:pPr>
      <w:r>
        <w:rPr>
          <w:b/>
        </w:rPr>
        <w:t xml:space="preserve">Notes: </w:t>
      </w:r>
      <w:r>
        <w:t>abstract_source=crossref</w:t>
      </w:r>
    </w:p>
    <w:p>
      <w:pPr>
        <w:spacing w:before="0" w:after="200" w:lineRule="auto" w:line="276"/>
      </w:pPr>
      <w:r>
        <w:rPr>
          <w:b/>
        </w:rPr>
        <w:t xml:space="preserve">Abstract: </w:t>
      </w:r>
      <w:r>
        <w:t>Engineering DNA crystals is the primary motivation for structural DNA nanotechnology. Among many potential applications, such crystals promise as a platform to precisely (in terms of both location and orientation) organize biomolecules into 3D crystals for X‐ray crystallographic studies of the guest biomolecules. The crystal formation depends on rationally designed DNA frameworks instead of unpredictable interactions between the guest molecule themselves; thus, avoiding the crystallization problem of biomolecules. This approach was proposed 40 years ago, however, has not been realized so far. Herein, we report an effort along this direction to study DNA T‐junction, a common DNA structure used in DNA nanoconstruction. This study is an initial demonstration of the feasibility of the 40‐year‐old proposal. We expect that it would be quickly adapted to study many other molecules, particularly nucleic acids (e.g., aptamers, catalytic DNAs/RNAs, ribozymes, and ribonucleoproteins) that are, otherwise, difficult to be studied.</w:t>
      </w:r>
    </w:p>
    <w:p>
      <w:pPr>
        <w:spacing w:before="120" w:after="120"/>
      </w:pPr>
      <w:r>
        <w:rPr>
          <w:sz w:val="18"/>
        </w:rPr>
        <w:t>——————————————————————————————————————————————————————————————————————</w:t>
      </w:r>
    </w:p>
    <w:p>
      <w:pPr>
        <w:spacing w:before="160" w:after="80" w:line="240" w:lineRule="auto"/>
      </w:pPr>
      <w:r>
        <w:rPr>
          <w:b/>
        </w:rPr>
        <w:t xml:space="preserve">[169] </w:t>
      </w:r>
      <w:hyperlink r:id="rId294">
        <w:r>
          <w:rPr>
            <w:color w:val="1155CC"/>
            <w:u w:val="single"/>
          </w:rPr>
          <w:t>A Theory‐Driven Moderation Strategy for Electrolyte Design Unlocks Stable Aqueous Zinc Deposition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95">
        <w:r>
          <w:rPr>
            <w:color w:val="1155CC"/>
            <w:u w:val="single"/>
          </w:rPr>
          <w:t>10.1002/anie.202518262</w:t>
        </w:r>
      </w:hyperlink>
    </w:p>
    <w:p>
      <w:pPr>
        <w:spacing w:before="0" w:after="120"/>
      </w:pPr>
      <w:r>
        <w:rPr>
          <w:b/>
        </w:rPr>
        <w:t xml:space="preserve">Notes: </w:t>
      </w:r>
      <w:r>
        <w:t>abstract_source=crossref</w:t>
      </w:r>
    </w:p>
    <w:p>
      <w:pPr>
        <w:spacing w:before="0" w:after="200" w:lineRule="auto" w:line="276"/>
      </w:pPr>
      <w:r>
        <w:rPr>
          <w:b/>
        </w:rPr>
        <w:t xml:space="preserve">Abstract: </w:t>
      </w:r>
      <w:r>
        <w:t>How theoretically screened solvation characteristics of additives affect zinc deposition behavior has emerged as a critical question of both scientific and practical relevance. Here, using a series of structurally analogous alcohol‐based molecules as a model system and guided by theoretical calculations, we establish a non‐extremum empirical model for additive screening to balance the relationship between additive theoretically properties and the solvation/interface stability in aqueous Zn‐ion battery electrolytes. Solvation capability, adsorption strength, and interfacial electrostatic properties were calculated to directly probe the critical role of a balanced set of molecular parameters in modulating Zn</w:t>
      </w:r>
      <w:r>
        <w:t xml:space="preserve"> </w:t>
      </w:r>
      <w:r>
        <w:t>2+</w:t>
      </w:r>
      <w:r>
        <w:t xml:space="preserve"> </w:t>
      </w:r>
      <w:r>
        <w:t>coordination structure and interface stability. As a result, 1,6‐hexanediol, exhibited a set of balanced and non‐extremum molecular parameters, significantly enhanced the reversibility of zinc deposition/stripping, delivered the best electrochemical performance that extending the cycling lifespan to 2 600 h, which is consistent with the Sabatier principle. This study provides a new theoretical perspective for the rational screen of electrolyte additives and highlights the importance of expanding the selection criteria for optimizing interfacial stability.</w:t>
      </w:r>
    </w:p>
    <w:p>
      <w:pPr>
        <w:spacing w:before="120" w:after="120"/>
      </w:pPr>
      <w:r>
        <w:rPr>
          <w:sz w:val="18"/>
        </w:rPr>
        <w:t>——————————————————————————————————————————————————————————————————————</w:t>
      </w:r>
    </w:p>
    <w:p>
      <w:pPr>
        <w:spacing w:before="160" w:after="80" w:line="240" w:lineRule="auto"/>
      </w:pPr>
      <w:r>
        <w:rPr>
          <w:b/>
        </w:rPr>
        <w:t xml:space="preserve">[170] </w:t>
      </w:r>
      <w:hyperlink r:id="rId296">
        <w:r>
          <w:rPr>
            <w:color w:val="1155CC"/>
            <w:u w:val="single"/>
          </w:rPr>
          <w:t>Molecular Design‐Enabled Pyridinium‐Based Metal Halide Glass Scintillators with Robust Glass‐Forming Ability and Tailorable Radioluminescence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97">
        <w:r>
          <w:rPr>
            <w:color w:val="1155CC"/>
            <w:u w:val="single"/>
          </w:rPr>
          <w:t>10.1002/anie.202518282</w:t>
        </w:r>
      </w:hyperlink>
    </w:p>
    <w:p>
      <w:pPr>
        <w:spacing w:before="0" w:after="120"/>
      </w:pPr>
      <w:r>
        <w:rPr>
          <w:b/>
        </w:rPr>
        <w:t xml:space="preserve">Notes: </w:t>
      </w:r>
      <w:r>
        <w:t>abstract_source=crossref</w:t>
      </w:r>
    </w:p>
    <w:p>
      <w:pPr>
        <w:spacing w:before="0" w:after="200" w:lineRule="auto" w:line="276"/>
      </w:pPr>
      <w:r>
        <w:rPr>
          <w:b/>
        </w:rPr>
        <w:t xml:space="preserve">Abstract: </w:t>
      </w:r>
      <w:r>
        <w:t>Organic–inorganic hybrid metal halide (OIMH) glasses represent a promising class of functional materials due to their facile synthesis, high transparency, and composition tunability. However, a significant gap persists in the diversity of applicable glassy material systems and the availability of well‐defined structural design guidelines compared to their crystalline counterparts. Herein, we synthesized a series of pyridine‐based OIMH crystals exhibiting efficient luminescence and exceptional melting properties. Through systematic benzyl functionalization and phenyl substitution on the pyridinium cation, we have optimized both luminescence efficiency and glass‐forming ability (GFA). Among them, (1‐Bz‐3‐PhPy)</w:t>
      </w:r>
      <w:r>
        <w:rPr>
          <w:vertAlign w:val="subscript"/>
        </w:rPr>
        <w:t>2</w:t>
      </w:r>
      <w:r>
        <w:t>MnBr</w:t>
      </w:r>
      <w:r>
        <w:rPr>
          <w:vertAlign w:val="subscript"/>
        </w:rPr>
        <w:t>4</w:t>
      </w:r>
      <w:r>
        <w:t>(1‐Bz‐3‐PhPy = 1‐benzyl‐3‐phenylpyridinium) displays the lowest melting temperature (</w:t>
      </w:r>
      <w:r>
        <w:t xml:space="preserve"> </w:t>
      </w:r>
      <w:r>
        <w:t>T</w:t>
      </w:r>
      <w:r>
        <w:t xml:space="preserve"> </w:t>
      </w:r>
      <w:r>
        <w:t>m</w:t>
      </w:r>
      <w:r>
        <w:t xml:space="preserve"> </w:t>
      </w:r>
      <w:r>
        <w:t>= 111.9 °C) and the highest glass transition temperature (</w:t>
      </w:r>
      <w:r>
        <w:t xml:space="preserve"> </w:t>
      </w:r>
      <w:r>
        <w:t>T</w:t>
      </w:r>
      <w:r>
        <w:t xml:space="preserve"> </w:t>
      </w:r>
      <w:r>
        <w:t>g</w:t>
      </w:r>
      <w:r>
        <w:t xml:space="preserve"> </w:t>
      </w:r>
      <w:r>
        <w:t>= 50.3 °C), yielding excellent GFA as indicated by a high</w:t>
      </w:r>
      <w:r>
        <w:t xml:space="preserve"> </w:t>
      </w:r>
      <w:r>
        <w:t>T</w:t>
      </w:r>
      <w:r>
        <w:t xml:space="preserve"> </w:t>
      </w:r>
      <w:r>
        <w:t>g</w:t>
      </w:r>
      <w:r>
        <w:t xml:space="preserve"> </w:t>
      </w:r>
      <w:r>
        <w:t>/</w:t>
      </w:r>
      <w:r>
        <w:t>T</w:t>
      </w:r>
      <w:r>
        <w:t xml:space="preserve"> </w:t>
      </w:r>
      <w:r>
        <w:t>m</w:t>
      </w:r>
      <w:r>
        <w:t xml:space="preserve"> </w:t>
      </w:r>
      <w:r>
        <w:t>ratio of 0.84. The exceptional GFA is further demonstrated by the glass's remarkable stability, retaining an amorphous state even after annealing at 80 °C for 8 weeks. It also allows for co‐melting with other easily crystallizable components, which facilitates the preparation of two‐component glasses with precisely tunable radioluminescence properties. These advanced glassy materials provide opportunities for practical X‐ray imaging and real‐time visualization of multicolor radiation detection, further establishing new design paradigms for OIMH scintillators.</w:t>
      </w:r>
    </w:p>
    <w:p>
      <w:pPr>
        <w:spacing w:before="120" w:after="120"/>
      </w:pPr>
      <w:r>
        <w:rPr>
          <w:sz w:val="18"/>
        </w:rPr>
        <w:t>——————————————————————————————————————————————————————————————————————</w:t>
      </w:r>
    </w:p>
    <w:p>
      <w:pPr>
        <w:spacing w:before="160" w:after="80" w:line="240" w:lineRule="auto"/>
      </w:pPr>
      <w:r>
        <w:rPr>
          <w:b/>
        </w:rPr>
        <w:t xml:space="preserve">[171] </w:t>
      </w:r>
      <w:hyperlink r:id="rId298">
        <w:r>
          <w:rPr>
            <w:color w:val="1155CC"/>
            <w:u w:val="single"/>
          </w:rPr>
          <w:t>Ether‐Anchored MOFs Enable Stable Pseudosuspension Electrolytes for High‐Energy Lithium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299">
        <w:r>
          <w:rPr>
            <w:color w:val="1155CC"/>
            <w:u w:val="single"/>
          </w:rPr>
          <w:t>10.1002/anie.202518384</w:t>
        </w:r>
      </w:hyperlink>
    </w:p>
    <w:p>
      <w:pPr>
        <w:spacing w:before="0" w:after="120"/>
      </w:pPr>
      <w:r>
        <w:rPr>
          <w:b/>
        </w:rPr>
        <w:t xml:space="preserve">Notes: </w:t>
      </w:r>
      <w:r>
        <w:t>abstract_source=crossref</w:t>
      </w:r>
    </w:p>
    <w:p>
      <w:pPr>
        <w:spacing w:before="0" w:after="200" w:lineRule="auto" w:line="276"/>
      </w:pPr>
      <w:r>
        <w:rPr>
          <w:b/>
        </w:rPr>
        <w:t xml:space="preserve">Abstract: </w:t>
      </w:r>
      <w:r>
        <w:t>Rational electrolyte design, capable of simultaneously accelerating bulk ion transport and stabiliz</w:t>
      </w:r>
      <w:r>
        <w:t xml:space="preserve"> </w:t>
      </w:r>
      <w:r>
        <w:t>ing</w:t>
      </w:r>
      <w:r>
        <w:t xml:space="preserve"> </w:t>
      </w:r>
      <w:r>
        <w:t>interfacial chemistry, is indispensable for achieving high‐energy‐density lithium metal batteries (LMBs). Here, we demonstrate that short‐chain ether‐functionalized metal–organic frameworks (S@MOFs) meet these requirements by efficiently tailoring Li⁺ coordination and reconstructing the electrode/electrolyte interphase, achieving durable interfacial ion transport kinetics. Synergistic experimental and theoretical investigations demonstrate that the S@MOF‐based electrolyte features distinctive pseudosuspension characteristics, harnessing ether chemistry that affords Li‐metal compatibility and Li‐salt coordination in concert with MOF's abundant binding sites and ordered rigid frameworks. The resultant S@MOF‐based electrolyte delivers robust thermodynamic stability across −10 to 60 °C, even in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(NCM811)||Li full‐cell configurations. Under lean‐electrolyte and 50 µm‐thick Li‐metal configurations, it achieves 92.40% capacity retention for LiCoO</w:t>
      </w:r>
      <w:r>
        <w:rPr>
          <w:vertAlign w:val="subscript"/>
        </w:rPr>
        <w:t>2</w:t>
      </w:r>
      <w:r>
        <w:t>||Li after 1000 cycles. Remarkably, 90.70% for quasi‐solid‐state NCM811||Li (500 cycles), and 93.21% for Na</w:t>
      </w:r>
      <w:r>
        <w:rPr>
          <w:vertAlign w:val="subscript"/>
        </w:rPr>
        <w:t>3</w:t>
      </w:r>
      <w:r>
        <w:t>V</w:t>
      </w:r>
      <w:r>
        <w:rPr>
          <w:vertAlign w:val="subscript"/>
        </w:rPr>
        <w:t>2</w:t>
      </w:r>
      <w:r>
        <w:t>(PO</w:t>
      </w:r>
      <w:r>
        <w:rPr>
          <w:vertAlign w:val="subscript"/>
        </w:rPr>
        <w:t>4</w:t>
      </w:r>
      <w:r>
        <w:t>)</w:t>
      </w:r>
      <w:r>
        <w:rPr>
          <w:vertAlign w:val="subscript"/>
        </w:rPr>
        <w:t>3</w:t>
      </w:r>
      <w:r>
        <w:t>||Na (3000 cycles) were obtained, confirming its broad applicability across alkali‐metal battery chemistries.</w:t>
      </w:r>
    </w:p>
    <w:p>
      <w:pPr>
        <w:spacing w:before="120" w:after="120"/>
      </w:pPr>
      <w:r>
        <w:rPr>
          <w:sz w:val="18"/>
        </w:rPr>
        <w:t>——————————————————————————————————————————————————————————————————————</w:t>
      </w:r>
    </w:p>
    <w:p>
      <w:pPr>
        <w:spacing w:before="160" w:after="80" w:line="240" w:lineRule="auto"/>
      </w:pPr>
      <w:r>
        <w:rPr>
          <w:b/>
        </w:rPr>
        <w:t xml:space="preserve">[172] </w:t>
      </w:r>
      <w:hyperlink r:id="rId300">
        <w:r>
          <w:rPr>
            <w:color w:val="1155CC"/>
            <w:u w:val="single"/>
          </w:rPr>
          <w:t>Spatially‐Directed C─C Coupling inside Three‐dimensional Metal‐organic Frameworks for CO2 Electroreduction to C2 Products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01">
        <w:r>
          <w:rPr>
            <w:color w:val="1155CC"/>
            <w:u w:val="single"/>
          </w:rPr>
          <w:t>10.1002/anie.202518398</w:t>
        </w:r>
      </w:hyperlink>
    </w:p>
    <w:p>
      <w:pPr>
        <w:spacing w:before="0" w:after="120"/>
      </w:pPr>
      <w:r>
        <w:rPr>
          <w:b/>
        </w:rPr>
        <w:t xml:space="preserve">Notes: </w:t>
      </w:r>
      <w:r>
        <w:t>abstract_source=crossref</w:t>
      </w:r>
    </w:p>
    <w:p>
      <w:pPr>
        <w:spacing w:before="0" w:after="200" w:lineRule="auto" w:line="276"/>
      </w:pPr>
      <w:r>
        <w:rPr>
          <w:b/>
        </w:rPr>
        <w:t xml:space="preserve">Abstract: </w:t>
      </w:r>
      <w:r>
        <w:t>The CO</w:t>
      </w:r>
      <w:r>
        <w:rPr>
          <w:vertAlign w:val="subscript"/>
        </w:rPr>
        <w:t>2</w:t>
      </w:r>
      <w:r>
        <w:t>electroreduction reaction to fuels and chemicals is a promising strategy for storing intermittent energy (such as sunlight and wind power) and closing the carbon cycle. Producing multi‐carbon oxygenates and hydrocarbons (C</w:t>
      </w:r>
      <w:r>
        <w:t xml:space="preserve"> </w:t>
      </w:r>
      <w:r>
        <w:t>2+</w:t>
      </w:r>
      <w:r>
        <w:t xml:space="preserve"> </w:t>
      </w:r>
      <w:r>
        <w:t>) with broader applicability is highly desirable. However, the difficulty of the C─C coupling reaction hinders the conversion of CO</w:t>
      </w:r>
      <w:r>
        <w:rPr>
          <w:vertAlign w:val="subscript"/>
        </w:rPr>
        <w:t>2</w:t>
      </w:r>
      <w:r>
        <w:t>to C</w:t>
      </w:r>
      <w:r>
        <w:t xml:space="preserve"> </w:t>
      </w:r>
      <w:r>
        <w:t>2+</w:t>
      </w:r>
      <w:r>
        <w:t xml:space="preserve"> </w:t>
      </w:r>
      <w:r>
        <w:t>products with high energy input, low reaction rate, and poor selectivity. Here, we construct a three‐dimensional (3D) Fe‐quinoxalinedithiol (Fe‐QDT)‐based metal‐organic framework (MOF) featuring dual Fe sites within its ordered channel walls, enabling efficient interwall electrocatalysis for C</w:t>
      </w:r>
      <w:r>
        <w:rPr>
          <w:vertAlign w:val="subscript"/>
        </w:rPr>
        <w:t>2</w:t>
      </w:r>
      <w:r>
        <w:t>coupling reactions. We found that dual Fe sites can co‐catalyze the dimerization of *OCH</w:t>
      </w:r>
      <w:r>
        <w:rPr>
          <w:vertAlign w:val="subscript"/>
        </w:rPr>
        <w:t>2</w:t>
      </w:r>
      <w:r>
        <w:t>to *OCH</w:t>
      </w:r>
      <w:r>
        <w:rPr>
          <w:vertAlign w:val="subscript"/>
        </w:rPr>
        <w:t>2</w:t>
      </w:r>
      <w:r>
        <w:t>CH</w:t>
      </w:r>
      <w:r>
        <w:rPr>
          <w:vertAlign w:val="subscript"/>
        </w:rPr>
        <w:t>2</w:t>
      </w:r>
      <w:r>
        <w:t>O*, thus facilitating the generation of C</w:t>
      </w:r>
      <w:r>
        <w:rPr>
          <w:vertAlign w:val="subscript"/>
        </w:rPr>
        <w:t>2</w:t>
      </w:r>
      <w:r>
        <w:t>products. The free energy changes for the potential‐limiting steps in the electroreduction of C</w:t>
      </w:r>
      <w:r>
        <w:rPr>
          <w:vertAlign w:val="subscript"/>
        </w:rPr>
        <w:t>2</w:t>
      </w:r>
      <w:r>
        <w:t>species are −0.010 and 0.045 eV for CH</w:t>
      </w:r>
      <w:r>
        <w:rPr>
          <w:vertAlign w:val="subscript"/>
        </w:rPr>
        <w:t>3</w:t>
      </w:r>
      <w:r>
        <w:t>CH</w:t>
      </w:r>
      <w:r>
        <w:rPr>
          <w:vertAlign w:val="subscript"/>
        </w:rPr>
        <w:t>2</w:t>
      </w:r>
      <w:r>
        <w:t>OH and C</w:t>
      </w:r>
      <w:r>
        <w:rPr>
          <w:vertAlign w:val="subscript"/>
        </w:rPr>
        <w:t>2</w:t>
      </w:r>
      <w:r>
        <w:t>H</w:t>
      </w:r>
      <w:r>
        <w:rPr>
          <w:vertAlign w:val="subscript"/>
        </w:rPr>
        <w:t>4</w:t>
      </w:r>
      <w:r>
        <w:t>, respectively, which are significantly lower than those for other C</w:t>
      </w:r>
      <w:r>
        <w:rPr>
          <w:vertAlign w:val="subscript"/>
        </w:rPr>
        <w:t>2</w:t>
      </w:r>
      <w:r>
        <w:t>products. Consequently, the Fe‐QDT MOFs demonstrate high activity and selectivity in converting CO</w:t>
      </w:r>
      <w:r>
        <w:rPr>
          <w:vertAlign w:val="subscript"/>
        </w:rPr>
        <w:t>2</w:t>
      </w:r>
      <w:r>
        <w:t>to CH</w:t>
      </w:r>
      <w:r>
        <w:rPr>
          <w:vertAlign w:val="subscript"/>
        </w:rPr>
        <w:t>3</w:t>
      </w:r>
      <w:r>
        <w:t>CH</w:t>
      </w:r>
      <w:r>
        <w:rPr>
          <w:vertAlign w:val="subscript"/>
        </w:rPr>
        <w:t>2</w:t>
      </w:r>
      <w:r>
        <w:t>OH and C</w:t>
      </w:r>
      <w:r>
        <w:rPr>
          <w:vertAlign w:val="subscript"/>
        </w:rPr>
        <w:t>2</w:t>
      </w:r>
      <w:r>
        <w:t>H</w:t>
      </w:r>
      <w:r>
        <w:rPr>
          <w:vertAlign w:val="subscript"/>
        </w:rPr>
        <w:t>4</w:t>
      </w:r>
      <w:r>
        <w:t>. This work designs a novel and efficient active site for C─C coupling and provides valuable insights into the design principles of electrocatalysts for C</w:t>
      </w:r>
      <w:r>
        <w:rPr>
          <w:vertAlign w:val="subscript"/>
        </w:rPr>
        <w:t>2</w:t>
      </w:r>
      <w:r>
        <w:t>products.</w:t>
      </w:r>
    </w:p>
    <w:p>
      <w:pPr>
        <w:spacing w:before="120" w:after="120"/>
      </w:pPr>
      <w:r>
        <w:rPr>
          <w:sz w:val="18"/>
        </w:rPr>
        <w:t>——————————————————————————————————————————————————————————————————————</w:t>
      </w:r>
    </w:p>
    <w:p>
      <w:pPr>
        <w:spacing w:before="160" w:after="80" w:line="240" w:lineRule="auto"/>
      </w:pPr>
      <w:r>
        <w:rPr>
          <w:b/>
        </w:rPr>
        <w:t xml:space="preserve">[173] </w:t>
      </w:r>
      <w:hyperlink r:id="rId302">
        <w:r>
          <w:rPr>
            <w:color w:val="1155CC"/>
            <w:u w:val="single"/>
          </w:rPr>
          <w:t>Targeting Aurora Kinases as Essential Cell‐Cycle Regulators to Deliver Multi‐Stage Antimalarials Against Plasmodium Falciparum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03">
        <w:r>
          <w:rPr>
            <w:color w:val="1155CC"/>
            <w:u w:val="single"/>
          </w:rPr>
          <w:t>10.1002/anie.202518493</w:t>
        </w:r>
      </w:hyperlink>
    </w:p>
    <w:p>
      <w:pPr>
        <w:spacing w:before="0" w:after="120"/>
      </w:pPr>
      <w:r>
        <w:rPr>
          <w:b/>
        </w:rPr>
        <w:t xml:space="preserve">Notes: </w:t>
      </w:r>
      <w:r>
        <w:t>abstract_source=crossref</w:t>
      </w:r>
    </w:p>
    <w:p>
      <w:pPr>
        <w:spacing w:before="0" w:after="200" w:lineRule="auto" w:line="276"/>
      </w:pPr>
      <w:r>
        <w:rPr>
          <w:b/>
        </w:rPr>
        <w:t xml:space="preserve">Abstract: </w:t>
      </w:r>
      <w:r>
        <w:t>Kinases play critical roles in the development and adaptation of</w:t>
      </w:r>
      <w:r>
        <w:t xml:space="preserve"> </w:t>
      </w:r>
      <w:r>
        <w:t>Plasmodium falciparum</w:t>
      </w:r>
      <w:r>
        <w:t xml:space="preserve"> </w:t>
      </w:r>
      <w:r>
        <w:t>and present novel opportunities for chemotherapeutic intervention. Mitotic kinases that regulate the proliferation of the parasites by controlling nuclear division, segregation, and cytokinesis. We evaluated the potential of human Aurora kinase (Aur) inhibitors to prevent</w:t>
      </w:r>
      <w:r>
        <w:t xml:space="preserve"> </w:t>
      </w:r>
      <w:r>
        <w:t>P. falciparum</w:t>
      </w:r>
      <w:r>
        <w:t xml:space="preserve"> </w:t>
      </w:r>
      <w:r>
        <w:t>development by targeting members of the Aurora‐related kinase (Ark) family in this parasite. Several human AurB inhibitors exhibited multistage potency (&amp;lt; 250 nM) against all proliferative stages of parasite development, including asexual blood stages, liver schizonts, and male gametes. The most potent compounds, hesperadin, TAE684, and AT83, exhibited &amp;gt; 1000x selectivity towards the parasite. Importantly, we identified</w:t>
      </w:r>
      <w:r>
        <w:t xml:space="preserve"> </w:t>
      </w:r>
      <w:r>
        <w:t>Pf</w:t>
      </w:r>
      <w:r>
        <w:t xml:space="preserve"> </w:t>
      </w:r>
      <w:r>
        <w:t>Ark1 as the principal vulnerable Ark family member, with specific inhibition of</w:t>
      </w:r>
      <w:r>
        <w:t xml:space="preserve"> </w:t>
      </w:r>
      <w:r>
        <w:t>Pf</w:t>
      </w:r>
      <w:r>
        <w:t xml:space="preserve"> </w:t>
      </w:r>
      <w:r>
        <w:t>Ark1 as the primary target for hesperadin. Hesperadin's whole‐cell and protein activity validates it as a unique</w:t>
      </w:r>
      <w:r>
        <w:t xml:space="preserve"> </w:t>
      </w:r>
      <w:r>
        <w:t>Pf</w:t>
      </w:r>
      <w:r>
        <w:t xml:space="preserve"> </w:t>
      </w:r>
      <w:r>
        <w:t>Ark1 tool compound. Inhibition of</w:t>
      </w:r>
      <w:r>
        <w:t xml:space="preserve"> </w:t>
      </w:r>
      <w:r>
        <w:t>Pf</w:t>
      </w:r>
      <w:r>
        <w:t xml:space="preserve"> </w:t>
      </w:r>
      <w:r>
        <w:t>Ark1 results in the parasite's inability to complete mitotic processes, presenting with unsegregated, multi‐lobed nuclei caused by aberrant microtubule organization. This suggests</w:t>
      </w:r>
      <w:r>
        <w:t xml:space="preserve"> </w:t>
      </w:r>
      <w:r>
        <w:t>Pf</w:t>
      </w:r>
      <w:r>
        <w:t xml:space="preserve"> </w:t>
      </w:r>
      <w:r>
        <w:t>Ark1 is the main Aur mitotic kinase in proliferative stages of</w:t>
      </w:r>
      <w:r>
        <w:t xml:space="preserve"> </w:t>
      </w:r>
      <w:r>
        <w:t>Plasmodium</w:t>
      </w:r>
      <w:r>
        <w:t xml:space="preserve"> </w:t>
      </w:r>
      <w:r>
        <w:t>, characterized by bifunctional AurA and B activity. This paves the way for drug‐discovery campaigns based on hesperadin targeting</w:t>
      </w:r>
      <w:r>
        <w:t xml:space="preserve"> </w:t>
      </w:r>
      <w:r>
        <w:t>Pf</w:t>
      </w:r>
      <w:r>
        <w:t xml:space="preserve"> </w:t>
      </w:r>
      <w:r>
        <w:t>Ark1.</w:t>
      </w:r>
    </w:p>
    <w:p>
      <w:pPr>
        <w:spacing w:before="120" w:after="120"/>
      </w:pPr>
      <w:r>
        <w:rPr>
          <w:sz w:val="18"/>
        </w:rPr>
        <w:t>——————————————————————————————————————————————————————————————————————</w:t>
      </w:r>
    </w:p>
    <w:p>
      <w:pPr>
        <w:spacing w:before="160" w:after="80" w:line="240" w:lineRule="auto"/>
      </w:pPr>
      <w:r>
        <w:rPr>
          <w:b/>
        </w:rPr>
        <w:t xml:space="preserve">[174] </w:t>
      </w:r>
      <w:hyperlink r:id="rId304">
        <w:r>
          <w:rPr>
            <w:color w:val="1155CC"/>
            <w:u w:val="single"/>
          </w:rPr>
          <w:t>Stabilizing Configurational Entropy in Spinel‐type High Entropy Oxides during Discharge–Charge by Overcoming Kinetic Sluggish Diffusion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05">
        <w:r>
          <w:rPr>
            <w:color w:val="1155CC"/>
            <w:u w:val="single"/>
          </w:rPr>
          <w:t>10.1002/anie.202518569</w:t>
        </w:r>
      </w:hyperlink>
    </w:p>
    <w:p>
      <w:pPr>
        <w:spacing w:before="0" w:after="120"/>
      </w:pPr>
      <w:r>
        <w:rPr>
          <w:b/>
        </w:rPr>
        <w:t xml:space="preserve">Notes: </w:t>
      </w:r>
      <w:r>
        <w:t>abstract_source=crossref</w:t>
      </w:r>
    </w:p>
    <w:p>
      <w:pPr>
        <w:spacing w:before="0" w:after="200" w:lineRule="auto" w:line="276"/>
      </w:pPr>
      <w:r>
        <w:rPr>
          <w:b/>
        </w:rPr>
        <w:t xml:space="preserve">Abstract: </w:t>
      </w:r>
      <w:r>
        <w:t>Spinel‐type high entropy oxides (HEOs) have emerged as promising next‐generation lithium‐ion battery anodes owing to exceptional electrochemical performance. However, suppressing irreversible phase transformations caused by high‐entropy to low‐entropy state transitions during discharge–charge has remained challenging. The core issue stems from an insufficient understanding of phase evolution pathways and the key thermodynamic/kinetic driving forces, which is due to current methodological limitations in analyzing highly disordered structures. Further complicating this challenge is the elusive impact of nanosized effects on both thermodynamic and kinetic processes. This study addresses these challenges through three synergistic approaches: 1) investigating phase evolution mechanisms across different particle sizes to delineate nanosized effects; 2) resolving complex local structures by pair distribution function analyses and</w:t>
      </w:r>
      <w:r>
        <w:rPr>
          <w:vertAlign w:val="subscript"/>
        </w:rPr>
        <w:t>7</w:t>
      </w:r>
      <w:r>
        <w:t>Li magic‐angle spinning nuclear magnetic resonance spectroscopy; 3) elucidating influences of high entropy on phase evolution via DFT calculations. Comprehensive results reveal a complex phase evolution process governed by the thermodynamic‐kinetic interplay. The incomplete phase transformations of the rock‐salt‐like intermediate phase during discharge, which are attributable to high entropy‐mediated kinetic sluggish diffusion, account for the transition from high‐entropy to low‐entropy states. By shortening the solid‐state diffusion lengths, the kinetic limitations can be overcome, as demonstrated by nanosized spinel‐type HEOs achieving reversible phase transformations during discharge‐charge.</w:t>
      </w:r>
    </w:p>
    <w:p>
      <w:pPr>
        <w:spacing w:before="120" w:after="120"/>
      </w:pPr>
      <w:r>
        <w:rPr>
          <w:sz w:val="18"/>
        </w:rPr>
        <w:t>——————————————————————————————————————————————————————————————————————</w:t>
      </w:r>
    </w:p>
    <w:p>
      <w:pPr>
        <w:spacing w:before="160" w:after="80" w:line="240" w:lineRule="auto"/>
      </w:pPr>
      <w:r>
        <w:rPr>
          <w:b/>
        </w:rPr>
        <w:t xml:space="preserve">[175] </w:t>
      </w:r>
      <w:hyperlink r:id="rId306">
        <w:r>
          <w:rPr>
            <w:color w:val="1155CC"/>
            <w:u w:val="single"/>
          </w:rPr>
          <w:t>Modular Synthesis of Pyritide‐Inspired Macrocycles Featuring Bipyridine Motifs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07">
        <w:r>
          <w:rPr>
            <w:color w:val="1155CC"/>
            <w:u w:val="single"/>
          </w:rPr>
          <w:t>10.1002/anie.202518622</w:t>
        </w:r>
      </w:hyperlink>
    </w:p>
    <w:p>
      <w:pPr>
        <w:spacing w:before="0" w:after="120"/>
      </w:pPr>
      <w:r>
        <w:rPr>
          <w:b/>
        </w:rPr>
        <w:t xml:space="preserve">Notes: </w:t>
      </w:r>
      <w:r>
        <w:t>abstract_source=crossref</w:t>
      </w:r>
    </w:p>
    <w:p>
      <w:pPr>
        <w:spacing w:before="0" w:after="200" w:lineRule="auto" w:line="276"/>
      </w:pPr>
      <w:r>
        <w:rPr>
          <w:b/>
        </w:rPr>
        <w:t xml:space="preserve">Abstract: </w:t>
      </w:r>
      <w:r>
        <w:t>Macrocycles represent a promising class of drug‐like scaffolds with unique structural features and the ability to engage challenging targets such as protein–protein interactions. Inspired by structural characteristics of pyritides, we constructed a library of 27 diverse macrocycles via a build/couple/pair approach, enabled by efficient synthesis of bipyridine‐based triaryl building blocks through azaindole cleavage. Kinetic and cheminformatic analyses confirmed both reactivity trends and structural diversity. From this library, we identified a potential ferroptosis inhibitor,</w:t>
      </w:r>
      <w:r>
        <w:t xml:space="preserve"> </w:t>
      </w:r>
      <w:r>
        <w:rPr>
          <w:vertAlign w:val="subscript"/>
        </w:rPr>
        <w:t>6</w:t>
      </w:r>
      <w:r>
        <w:t>p</w:t>
      </w:r>
      <w:r>
        <w:t xml:space="preserve"> </w:t>
      </w:r>
      <w:r>
        <w:t>aW</w:t>
      </w:r>
      <w:r>
        <w:t xml:space="preserve"> </w:t>
      </w:r>
      <w:r>
        <w:t>, with clear structure–activity relationships, validating our diversity‐oriented synthesis platform. This strategy offers a robust approach to macrocycle library design, expanding opportunities for targeting previously inaccessible biological space.</w:t>
      </w:r>
    </w:p>
    <w:p>
      <w:pPr>
        <w:spacing w:before="120" w:after="120"/>
      </w:pPr>
      <w:r>
        <w:rPr>
          <w:sz w:val="18"/>
        </w:rPr>
        <w:t>——————————————————————————————————————————————————————————————————————</w:t>
      </w:r>
    </w:p>
    <w:p>
      <w:pPr>
        <w:spacing w:before="160" w:after="80" w:line="240" w:lineRule="auto"/>
      </w:pPr>
      <w:r>
        <w:rPr>
          <w:b/>
        </w:rPr>
        <w:t xml:space="preserve">[176] </w:t>
      </w:r>
      <w:hyperlink r:id="rId308">
        <w:r>
          <w:rPr>
            <w:color w:val="1155CC"/>
            <w:u w:val="single"/>
          </w:rPr>
          <w:t>Hyperbranched Oxime‐Ester Covalent Adaptive Network for Recyclable Ultralow‐Dielectric Epoxy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09">
        <w:r>
          <w:rPr>
            <w:color w:val="1155CC"/>
            <w:u w:val="single"/>
          </w:rPr>
          <w:t>10.1002/anie.202518647</w:t>
        </w:r>
      </w:hyperlink>
    </w:p>
    <w:p>
      <w:pPr>
        <w:spacing w:before="0" w:after="120"/>
      </w:pPr>
      <w:r>
        <w:rPr>
          <w:b/>
        </w:rPr>
        <w:t xml:space="preserve">Notes: </w:t>
      </w:r>
      <w:r>
        <w:t>abstract_source=crossref</w:t>
      </w:r>
    </w:p>
    <w:p>
      <w:pPr>
        <w:spacing w:before="0" w:after="200" w:lineRule="auto" w:line="276"/>
      </w:pPr>
      <w:r>
        <w:rPr>
          <w:b/>
        </w:rPr>
        <w:t xml:space="preserve">Abstract: </w:t>
      </w:r>
      <w:r>
        <w:t>Epoxy thermosets are indispensable in high‐frequency (5G/6G) electronics, but their permanent crosslinks hinder recyclability and worsen e‐waste. Although covalent adaptable networks (CANs) offer recyclability, their polar dynamic bonds exacerbate dielectric losses at gigahertz (GHz) bands due to dipolar relaxation. Here, we develop generation‐tunable dendritic dynamic crosslinkers that yield recyclable epoxy‐based printed circuit board (PCB) with ultralow dielectric performance.</w:t>
      </w:r>
      <w:r>
        <w:t xml:space="preserve"> </w:t>
      </w:r>
      <w:r>
        <w:t>O</w:t>
      </w:r>
      <w:r>
        <w:t xml:space="preserve"> </w:t>
      </w:r>
      <w:r>
        <w:t>‐acylation reaction of a vanillin‐derived tetrahedral aldoxime with phthalic anhydride affords precise control over generations, branching degree, and nanomorphology of the crosslinkers. This controlled synthesis yields porous coral‐like architecture, which in turn produces graded‐branched epoxy CANs with enhanced free volume and steric confinement. Within the rigid constrained topology, the network containing spherically distributed oxime‐ester motifs exhibits restricted dipolar relaxation and achieves low dielectric loss in GHz bands, while remaining acid‐cleavable for closed‐loop recycling at 80 °C. The resulting PCB exhibits a record‐low dielectric constant/loss (2.02/0.005@10 GHz), 71.53% improved X‐band impedance matching, a tensile strength of 256 MPa, and V‐0 flame retardancy, alongside a 98.9% reduction in ecotoxicity after recycling. This work demonstrates how precision dendrimer synthesis and topology regulation can reconcile the tradeoff between circularity and high‐frequency performance in sustainable electronics.</w:t>
      </w:r>
    </w:p>
    <w:p>
      <w:pPr>
        <w:spacing w:before="120" w:after="120"/>
      </w:pPr>
      <w:r>
        <w:rPr>
          <w:sz w:val="18"/>
        </w:rPr>
        <w:t>——————————————————————————————————————————————————————————————————————</w:t>
      </w:r>
    </w:p>
    <w:p>
      <w:pPr>
        <w:spacing w:before="160" w:after="80" w:line="240" w:lineRule="auto"/>
      </w:pPr>
      <w:r>
        <w:rPr>
          <w:b/>
        </w:rPr>
        <w:t xml:space="preserve">[177] </w:t>
      </w:r>
      <w:hyperlink r:id="rId310">
        <w:r>
          <w:rPr>
            <w:color w:val="1155CC"/>
            <w:u w:val="single"/>
          </w:rPr>
          <w:t>Complete Recycling of Polyester Wastes with Dialkyl Carbonates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11">
        <w:r>
          <w:rPr>
            <w:color w:val="1155CC"/>
            <w:u w:val="single"/>
          </w:rPr>
          <w:t>10.1002/anie.202518885</w:t>
        </w:r>
      </w:hyperlink>
    </w:p>
    <w:p>
      <w:pPr>
        <w:spacing w:before="0" w:after="120"/>
      </w:pPr>
      <w:r>
        <w:rPr>
          <w:b/>
        </w:rPr>
        <w:t xml:space="preserve">Notes: </w:t>
      </w:r>
      <w:r>
        <w:t>abstract_source=crossref</w:t>
      </w:r>
    </w:p>
    <w:p>
      <w:pPr>
        <w:spacing w:before="0" w:after="200" w:lineRule="auto" w:line="276"/>
      </w:pPr>
      <w:r>
        <w:rPr>
          <w:b/>
        </w:rPr>
        <w:t xml:space="preserve">Abstract: </w:t>
      </w:r>
      <w:r>
        <w:t>Chemical and biological recycling of spent polyesters is of great significance for solving problems caused by their accumulation, but generally suffering from requirements for high temperature, specific catalysts or enzymes, and incomplete depolymerization in most cases. Here, we report a novel strategy for complete depolymerization of polyesters (e.g., poly(ethylene terephthalate), PET) with dialkyl carbonates (e.g., dimethyl carbonate, DMC) into monomers over halide salts (e.g., tetrabutylammonium chloride, [N</w:t>
      </w:r>
      <w:r>
        <w:rPr>
          <w:vertAlign w:val="subscript"/>
        </w:rPr>
        <w:t>4444</w:t>
      </w:r>
      <w:r>
        <w:t>]Cl) under mild conditions. We demonstrate that PET can be completely degraded into dimethyl terephthalate (DMT) using DMC over [N</w:t>
      </w:r>
      <w:r>
        <w:rPr>
          <w:vertAlign w:val="subscript"/>
        </w:rPr>
        <w:t>4444</w:t>
      </w:r>
      <w:r>
        <w:t>]Cl at temperatures of 80∼120 °C. Based on this reaction, we have achieved highly efficient and complete depolymerization of PET in various PET blend textiles into DMT while preserving the structural integrity of other components including natural and synthetic components. Mechanistic studies reveal the key role of methoxy anion derived from DMC in cleaving the acyl C─O bond of polyesters. Techno‐economic assessment for recycling of spent PET wastes demonstrates excellent economic profit.</w:t>
      </w:r>
    </w:p>
    <w:p>
      <w:pPr>
        <w:spacing w:before="120" w:after="120"/>
      </w:pPr>
      <w:r>
        <w:rPr>
          <w:sz w:val="18"/>
        </w:rPr>
        <w:t>——————————————————————————————————————————————————————————————————————</w:t>
      </w:r>
    </w:p>
    <w:p>
      <w:pPr>
        <w:spacing w:before="160" w:after="80" w:line="240" w:lineRule="auto"/>
      </w:pPr>
      <w:r>
        <w:rPr>
          <w:b/>
        </w:rPr>
        <w:t xml:space="preserve">[178] </w:t>
      </w:r>
      <w:hyperlink r:id="rId312">
        <w:r>
          <w:rPr>
            <w:color w:val="1155CC"/>
            <w:u w:val="single"/>
          </w:rPr>
          <w:t>Proton Alloying in an Organic‐Inorganic Hybrid Material Enables Unusual Dynamic Birefringence and Martensitic Actuation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13">
        <w:r>
          <w:rPr>
            <w:color w:val="1155CC"/>
            <w:u w:val="single"/>
          </w:rPr>
          <w:t>10.1002/anie.202518937</w:t>
        </w:r>
      </w:hyperlink>
    </w:p>
    <w:p>
      <w:pPr>
        <w:spacing w:before="0" w:after="120"/>
      </w:pPr>
      <w:r>
        <w:rPr>
          <w:b/>
        </w:rPr>
        <w:t xml:space="preserve">Notes: </w:t>
      </w:r>
      <w:r>
        <w:t>abstract_source=crossref</w:t>
      </w:r>
    </w:p>
    <w:p>
      <w:pPr>
        <w:spacing w:before="0" w:after="200" w:lineRule="auto" w:line="276"/>
      </w:pPr>
      <w:r>
        <w:rPr>
          <w:b/>
        </w:rPr>
        <w:t xml:space="preserve">Abstract: </w:t>
      </w:r>
      <w:r>
        <w:t>Alloying is widely recognized as an effective strategy for enhancing or unlocking material properties by combining different elements. Organic‐inorganic hybrid materials (OIHMs) allow for chemical modification at the molecular level, bringing new opportunities and enormous potential to alloying strategies. Hydrogen protons in molecules are essential for structural design and crystal engineering, however, valuable role of proton alloying in OIHMs remains largely unexplored. Herein, for the first time, we present a proton alloying OIHM [Cyclen</w:t>
      </w:r>
      <w:r>
        <w:t xml:space="preserve"> </w:t>
      </w:r>
      <w:r>
        <w:t>4+</w:t>
      </w:r>
      <w:r>
        <w:t xml:space="preserve"> </w:t>
      </w:r>
      <w:r>
        <w:t>Cyclen</w:t>
      </w:r>
      <w:r>
        <w:t xml:space="preserve"> </w:t>
      </w:r>
      <w:r>
        <w:t>2+</w:t>
      </w:r>
      <w:r>
        <w:t xml:space="preserve"> </w:t>
      </w:r>
      <w:r>
        <w:t>]Sb</w:t>
      </w:r>
      <w:r>
        <w:rPr>
          <w:vertAlign w:val="subscript"/>
        </w:rPr>
        <w:t>2</w:t>
      </w:r>
      <w:r>
        <w:t>Cl</w:t>
      </w:r>
      <w:r>
        <w:rPr>
          <w:vertAlign w:val="subscript"/>
        </w:rPr>
        <w:t>12</w:t>
      </w:r>
      <w:r>
        <w:t>(Cyclen‐1D), which exhibits exceptional martensitic actuation behaviors, including jumping, bending and a significant raising effect with a large expansion up to 50%. Meanwhile, Cyclen‐1D also possesses unusual multi‐mode dynamic birefringence featuring continuous modulation and switching mutation, showing an excellent birefringence change (</w:t>
      </w:r>
      <w:r>
        <w:t xml:space="preserve"> </w:t>
      </w:r>
      <w:r>
        <w:t>Δn</w:t>
      </w:r>
      <w:r>
        <w:t xml:space="preserve"> </w:t>
      </w:r>
      <w:r>
        <w:t>≈ 0.044). This interesting integration of mechanical and optical channels originates from the asynchronous orientations of distinct protonated Cyclen cations as well as cooperative transformation with inorganic octahedron through hydrogen bonding. This work reveals the great potential of proton alloying in OIHMs, opening new avenues for designing dynamically stimuli‐responsive materials.</w:t>
      </w:r>
    </w:p>
    <w:p>
      <w:pPr>
        <w:spacing w:before="120" w:after="120"/>
      </w:pPr>
      <w:r>
        <w:rPr>
          <w:sz w:val="18"/>
        </w:rPr>
        <w:t>——————————————————————————————————————————————————————————————————————</w:t>
      </w:r>
    </w:p>
    <w:p>
      <w:pPr>
        <w:spacing w:before="160" w:after="80" w:line="240" w:lineRule="auto"/>
      </w:pPr>
      <w:r>
        <w:rPr>
          <w:b/>
        </w:rPr>
        <w:t xml:space="preserve">[179] </w:t>
      </w:r>
      <w:hyperlink r:id="rId314">
        <w:r>
          <w:rPr>
            <w:color w:val="1155CC"/>
            <w:u w:val="single"/>
          </w:rPr>
          <w:t>A General Strategy to Develop Intramolecular Spirocyclic Boron Dipyrromethene Fluorophores for Self‐Blinking Super‐Resolution Imaging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15">
        <w:r>
          <w:rPr>
            <w:color w:val="1155CC"/>
            <w:u w:val="single"/>
          </w:rPr>
          <w:t>10.1002/anie.202518973</w:t>
        </w:r>
      </w:hyperlink>
    </w:p>
    <w:p>
      <w:pPr>
        <w:spacing w:before="0" w:after="120"/>
      </w:pPr>
      <w:r>
        <w:rPr>
          <w:b/>
        </w:rPr>
        <w:t xml:space="preserve">Notes: </w:t>
      </w:r>
      <w:r>
        <w:t>abstract_source=crossref</w:t>
      </w:r>
    </w:p>
    <w:p>
      <w:pPr>
        <w:spacing w:before="0" w:after="200" w:lineRule="auto" w:line="276"/>
      </w:pPr>
      <w:r>
        <w:rPr>
          <w:b/>
        </w:rPr>
        <w:t xml:space="preserve">Abstract: </w:t>
      </w:r>
      <w:r>
        <w:t>Intramolecular spirocyclic fluorophores, with their controllable on‐off switching, have enabled diverse stimuli‐responsive probes and serve as cornerstones of self‐blinking super‐resolution imaging. However, their design has been largely restricted to Rhodamine frameworks, while boron dipyrromethene (BODIPY) dyes, renowned for their superior photostability, brightness, and near‐infrared tunability, remain underutilized due to the inherent rigidity of the indacene core. To overcome this limitation, we developed a general molecular engineering strategy to confer BODIPY with spirocyclic functionality: Introducing 2‐(hydroxymethyl)phenyl or 2‐carboxyphenyl groups at the</w:t>
      </w:r>
      <w:r>
        <w:t xml:space="preserve"> </w:t>
      </w:r>
      <w:r>
        <w:t>meso</w:t>
      </w:r>
      <w:r>
        <w:t xml:space="preserve"> </w:t>
      </w:r>
      <w:r>
        <w:t>‐position as intramolecular nucleophiles, coupled with electron‐withdrawing groups at</w:t>
      </w:r>
      <w:r>
        <w:t xml:space="preserve"> </w:t>
      </w:r>
      <w:r>
        <w:t>α</w:t>
      </w:r>
      <w:r>
        <w:t xml:space="preserve"> </w:t>
      </w:r>
      <w:r>
        <w:t>/</w:t>
      </w:r>
      <w:r>
        <w:t>β</w:t>
      </w:r>
      <w:r>
        <w:t xml:space="preserve"> </w:t>
      </w:r>
      <w:r>
        <w:t>‐positions to modulate core electron density and enhance</w:t>
      </w:r>
      <w:r>
        <w:t xml:space="preserve"> </w:t>
      </w:r>
      <w:r>
        <w:t>meso</w:t>
      </w:r>
      <w:r>
        <w:t xml:space="preserve"> </w:t>
      </w:r>
      <w:r>
        <w:t>‐carbon's electrophilicity. We present the first single‐crystal X‐ray structure of a spirocyclized BODIPY, unambiguously confirming the closed form and its blinking mechanism. By tuning this system, we established a clear</w:t>
      </w:r>
      <w:r>
        <w:t xml:space="preserve"> </w:t>
      </w:r>
      <w:r>
        <w:t>pK</w:t>
      </w:r>
      <w:r>
        <w:t xml:space="preserve"> </w:t>
      </w:r>
      <w:r>
        <w:t>a</w:t>
      </w:r>
      <w:r>
        <w:t xml:space="preserve"> </w:t>
      </w:r>
      <w:r>
        <w:t>‐structure‐activity relationship, enabling precise prediction and customization of the open‐closed equilibrium. The resulting spirocyclization‐capable BODIPYs exhibited exceptional brightness up to ∼87,122 M</w:t>
      </w:r>
      <w:r>
        <w:t xml:space="preserve"> </w:t>
      </w:r>
      <w:r>
        <w:t>−1</w:t>
      </w:r>
      <w:r>
        <w:t xml:space="preserve"> </w:t>
      </w:r>
      <w:r>
        <w:t>cm</w:t>
      </w:r>
      <w:r>
        <w:t xml:space="preserve"> </w:t>
      </w:r>
      <w:r>
        <w:t>−1</w:t>
      </w:r>
      <w:r>
        <w:t xml:space="preserve"> </w:t>
      </w:r>
      <w:r>
        <w:t>, and enable self‐blinking super‐resolution imaging of mitochondria and lysosomes in living cells under low‐power laser density (≥32 W cm</w:t>
      </w:r>
      <w:r>
        <w:t xml:space="preserve"> </w:t>
      </w:r>
      <w:r>
        <w:t>−2</w:t>
      </w:r>
      <w:r>
        <w:t xml:space="preserve"> </w:t>
      </w:r>
      <w:r>
        <w:t>) without requiring imaging‐enhancing buffers. This work pioneers the extension of intramolecular spirocyclization to the BODIPY scaffold, establishing a general design strategy for a new class of high‐performance, stimuli‐responsive probes.</w:t>
      </w:r>
    </w:p>
    <w:p>
      <w:pPr>
        <w:spacing w:before="120" w:after="120"/>
      </w:pPr>
      <w:r>
        <w:rPr>
          <w:sz w:val="18"/>
        </w:rPr>
        <w:t>——————————————————————————————————————————————————————————————————————</w:t>
      </w:r>
    </w:p>
    <w:p>
      <w:pPr>
        <w:spacing w:before="160" w:after="80" w:line="240" w:lineRule="auto"/>
      </w:pPr>
      <w:r>
        <w:rPr>
          <w:b/>
        </w:rPr>
        <w:t xml:space="preserve">[180] </w:t>
      </w:r>
      <w:hyperlink r:id="rId316">
        <w:r>
          <w:rPr>
            <w:color w:val="1155CC"/>
            <w:u w:val="single"/>
          </w:rPr>
          <w:t>Remote Enantioselective Redox ε‐Alkylation of Copper Allylic Allenylidenes with Enals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17">
        <w:r>
          <w:rPr>
            <w:color w:val="1155CC"/>
            <w:u w:val="single"/>
          </w:rPr>
          <w:t>10.1002/anie.202519335</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asymmetric functionalization at positions distant from the catalytic center—achieving high complexity, diversity, and stereocontrol—poses significant challenges. Here, we introduce an</w:t>
      </w:r>
      <w:r>
        <w:t xml:space="preserve"> </w:t>
      </w:r>
      <w:r>
        <w:t>N</w:t>
      </w:r>
      <w:r>
        <w:t xml:space="preserve"> </w:t>
      </w:r>
      <w:r>
        <w:t>‐heterocyclic carbene (NHC)/copper cooperative catalytic strategy for the regioselective remote ε‐alkylation of yne‐allylic esters and yne‐heteroarenic esters with enals, producing a diverse array of oxindoles with outstanding stereoselectivity (up to &amp;gt;95:5 dr, 99% ee). Remarkably, copper allylic allenylidenes are proven to be compatible with NHC‐bound intermediates, facilitating efficient, regioselective, and stereoselective intermolecular C─C bond formation at distant sites.</w:t>
      </w:r>
    </w:p>
    <w:p>
      <w:pPr>
        <w:spacing w:before="120" w:after="120"/>
      </w:pPr>
      <w:r>
        <w:rPr>
          <w:sz w:val="18"/>
        </w:rPr>
        <w:t>——————————————————————————————————————————————————————————————————————</w:t>
      </w:r>
    </w:p>
    <w:p>
      <w:pPr>
        <w:spacing w:before="160" w:after="80" w:line="240" w:lineRule="auto"/>
      </w:pPr>
      <w:r>
        <w:rPr>
          <w:b/>
        </w:rPr>
        <w:t xml:space="preserve">[181] </w:t>
      </w:r>
      <w:hyperlink r:id="rId318">
        <w:r>
          <w:rPr>
            <w:color w:val="1155CC"/>
            <w:u w:val="single"/>
          </w:rPr>
          <w:t>Ni‐Bridged Biphasic Molybdenum Carbide Interfaces: A Synergistic Catalyst for High‐Performance Lithium–Selenium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19">
        <w:r>
          <w:rPr>
            <w:color w:val="1155CC"/>
            <w:u w:val="single"/>
          </w:rPr>
          <w:t>10.1002/anie.202519816</w:t>
        </w:r>
      </w:hyperlink>
    </w:p>
    <w:p>
      <w:pPr>
        <w:spacing w:before="0" w:after="120"/>
      </w:pPr>
      <w:r>
        <w:rPr>
          <w:b/>
        </w:rPr>
        <w:t xml:space="preserve">Notes: </w:t>
      </w:r>
      <w:r>
        <w:t>abstract_source=crossref</w:t>
      </w:r>
    </w:p>
    <w:p>
      <w:pPr>
        <w:spacing w:before="0" w:after="200" w:lineRule="auto" w:line="276"/>
      </w:pPr>
      <w:r>
        <w:rPr>
          <w:b/>
        </w:rPr>
        <w:t xml:space="preserve">Abstract: </w:t>
      </w:r>
      <w:r>
        <w:t>Transition metal catalysts are key to developing high‐performance lithium‐selenium (Li‐Se) batteries. Herein, we report a rationally designed Ni‐bridged biphasic molybdenum carbide (Mo</w:t>
      </w:r>
      <w:r>
        <w:rPr>
          <w:vertAlign w:val="subscript"/>
        </w:rPr>
        <w:t>2</w:t>
      </w:r>
      <w:r>
        <w:t>C) with a multi‐interface structure that exposes abundant active sites and significantly enhances the electrochemically reversibility of Li–Se batteries under high current operation. The synergistic integration of catalytic and conductive functions facilitates the rapid deposition and conversion of Se/Li</w:t>
      </w:r>
      <w:r>
        <w:rPr>
          <w:vertAlign w:val="subscript"/>
        </w:rPr>
        <w:t>2</w:t>
      </w:r>
      <w:r>
        <w:t>Se</w:t>
      </w:r>
      <w:r>
        <w:t xml:space="preserve"> </w:t>
      </w:r>
      <w:r>
        <w:t>x</w:t>
      </w:r>
      <w:r>
        <w:t xml:space="preserve"> </w:t>
      </w:r>
      <w:r>
        <w:t>, effectively preventing electrode passivation caused by inactive accumulation during high‐rate and long‐term cycling. Furthermore, Ni serves dual roles as a structural bridge to link Mo</w:t>
      </w:r>
      <w:r>
        <w:rPr>
          <w:vertAlign w:val="subscript"/>
        </w:rPr>
        <w:t>2</w:t>
      </w:r>
      <w:r>
        <w:t>C lattice and an electronic modulator to optimize the d‐orbital configuration of Mo, thereby maximizing the catalytic efficiency of functionalized Mo</w:t>
      </w:r>
      <w:r>
        <w:rPr>
          <w:vertAlign w:val="subscript"/>
        </w:rPr>
        <w:t>2</w:t>
      </w:r>
      <w:r>
        <w:t>C. The synergistic effects of adsorption, desorption, and catalysis enable the rationally designed metal carbide/Se electrode to promote not only the rapid conversion of long‐chain Li</w:t>
      </w:r>
      <w:r>
        <w:rPr>
          <w:vertAlign w:val="subscript"/>
        </w:rPr>
        <w:t>2</w:t>
      </w:r>
      <w:r>
        <w:t>Se</w:t>
      </w:r>
      <w:r>
        <w:t xml:space="preserve"> </w:t>
      </w:r>
      <w:r>
        <w:t>n</w:t>
      </w:r>
      <w:r>
        <w:t xml:space="preserve"> </w:t>
      </w:r>
      <w:r>
        <w:t>species but also the solid–solid transformation of Li</w:t>
      </w:r>
      <w:r>
        <w:rPr>
          <w:vertAlign w:val="subscript"/>
        </w:rPr>
        <w:t>2</w:t>
      </w:r>
      <w:r>
        <w:t>Se</w:t>
      </w:r>
      <w:r>
        <w:rPr>
          <w:vertAlign w:val="subscript"/>
        </w:rPr>
        <w:t>2</w:t>
      </w:r>
      <w:r>
        <w:t>into Li</w:t>
      </w:r>
      <w:r>
        <w:rPr>
          <w:vertAlign w:val="subscript"/>
        </w:rPr>
        <w:t>2</w:t>
      </w:r>
      <w:r>
        <w:t>Se. As a result, the electrode achieves full‐process catalytic conversion in Li–Se batteries, delivering excellent cycling stability and high‐rate performance. Even under high Se loading (5.6 mg cm</w:t>
      </w:r>
      <w:r>
        <w:t xml:space="preserve"> </w:t>
      </w:r>
      <w:r>
        <w:t>−2</w:t>
      </w:r>
      <w:r>
        <w:t xml:space="preserve"> </w:t>
      </w:r>
      <w:r>
        <w:t>), the electrode delivers an initial capacity of 400 mAh g</w:t>
      </w:r>
      <w:r>
        <w:t xml:space="preserve"> </w:t>
      </w:r>
      <w:r>
        <w:t>−1</w:t>
      </w:r>
      <w:r>
        <w:t xml:space="preserve"> </w:t>
      </w:r>
      <w:r>
        <w:t>at 0.1 C. These results highlight the effectiveness of the synergistic adsorption/desorption/catalysis mechanism in enabling a fast solid–solid conversion pathway for Li–Se batteries.</w:t>
      </w:r>
    </w:p>
    <w:p>
      <w:pPr>
        <w:spacing w:before="120" w:after="120"/>
      </w:pPr>
      <w:r>
        <w:rPr>
          <w:sz w:val="18"/>
        </w:rPr>
        <w:t>——————————————————————————————————————————————————————————————————————</w:t>
      </w:r>
    </w:p>
    <w:p>
      <w:pPr>
        <w:spacing w:before="160" w:after="80" w:line="240" w:lineRule="auto"/>
      </w:pPr>
      <w:r>
        <w:rPr>
          <w:b/>
        </w:rPr>
        <w:t xml:space="preserve">[182] </w:t>
      </w:r>
      <w:hyperlink r:id="rId320">
        <w:r>
          <w:rPr>
            <w:color w:val="1155CC"/>
            <w:u w:val="single"/>
          </w:rPr>
          <w:t>Asymmetric Carbenoid Allylic C─H Alkylation of α‐Olefins Using Tailored Chiral Indenyl‐Rhodium 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21">
        <w:r>
          <w:rPr>
            <w:color w:val="1155CC"/>
            <w:u w:val="single"/>
          </w:rPr>
          <w:t>10.1002/anie.202519953</w:t>
        </w:r>
      </w:hyperlink>
    </w:p>
    <w:p>
      <w:pPr>
        <w:spacing w:before="0" w:after="120"/>
      </w:pPr>
      <w:r>
        <w:rPr>
          <w:b/>
        </w:rPr>
        <w:t xml:space="preserve">Notes: </w:t>
      </w:r>
      <w:r>
        <w:t>abstract_source=crossref</w:t>
      </w:r>
    </w:p>
    <w:p>
      <w:pPr>
        <w:spacing w:before="0" w:after="200" w:lineRule="auto" w:line="276"/>
      </w:pPr>
      <w:r>
        <w:rPr>
          <w:b/>
        </w:rPr>
        <w:t xml:space="preserve">Abstract: </w:t>
      </w:r>
      <w:r>
        <w:t>Alpha (α)‐olefins represent cornerstone feedstocks in the chemical industry, offering a versatile platform for enhancing molecular complexity from readily available precursors. While remarkable strides have been made in the asymmetric functionalization of olefinic double bonds, the selective activation of allylic C─H bonds remain a formidable challenge. Herein, we unveil a catalytic asymmetric allylic C─H activation of α‐olefins through carbene transfer, leveraging highly active and synthetically accessible indenyl–rhodium complexes. These complexes, featuring indenyl ligands prepared via a streamlined, one‐step Pd‐catalyzed atropisomeric Suzuki–Miyaura coupling, enable precise control over chemo‐, regio‐, and enantioselectivity. This method exhibits exceptional versatility, accommodating a diverse array of olefins, ranging from bulk industrial products to those adorned with various functional groups. A comprehensive series of experiments was conducted to illustrate the wide‐ranging applicability of the asymmetric C─H activation reaction. Mechanistic investigations elucidate critical factors governing rhodium carbenoid formation, branch selectivity, and enantioselectivity during the C─H activation process.</w:t>
      </w:r>
    </w:p>
    <w:p>
      <w:pPr>
        <w:spacing w:before="120" w:after="120"/>
      </w:pPr>
      <w:r>
        <w:rPr>
          <w:sz w:val="18"/>
        </w:rPr>
        <w:t>——————————————————————————————————————————————————————————————————————</w:t>
      </w:r>
    </w:p>
    <w:p>
      <w:pPr>
        <w:spacing w:before="160" w:after="80" w:line="240" w:lineRule="auto"/>
      </w:pPr>
      <w:r>
        <w:rPr>
          <w:b/>
        </w:rPr>
        <w:t xml:space="preserve">[183] </w:t>
      </w:r>
      <w:hyperlink r:id="rId322">
        <w:r>
          <w:rPr>
            <w:color w:val="1155CC"/>
            <w:u w:val="single"/>
          </w:rPr>
          <w:t>NHC‐Terphenyl Radicals and Anions: Tuning Stability and Redox Properties via Substituent Patterning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23">
        <w:r>
          <w:rPr>
            <w:color w:val="1155CC"/>
            <w:u w:val="single"/>
          </w:rPr>
          <w:t>10.1002/anie.202520260</w:t>
        </w:r>
      </w:hyperlink>
    </w:p>
    <w:p>
      <w:pPr>
        <w:spacing w:before="0" w:after="120"/>
      </w:pPr>
      <w:r>
        <w:rPr>
          <w:b/>
        </w:rPr>
        <w:t xml:space="preserve">Notes: </w:t>
      </w:r>
      <w:r>
        <w:t>abstract_source=crossref</w:t>
      </w:r>
    </w:p>
    <w:p>
      <w:pPr>
        <w:spacing w:before="0" w:after="200" w:lineRule="auto" w:line="276"/>
      </w:pPr>
      <w:r>
        <w:rPr>
          <w:b/>
        </w:rPr>
        <w:t xml:space="preserve">Abstract: </w:t>
      </w:r>
      <w:r>
        <w:t>Herein, we report the influence of C2‐terphenyl substitution patterns (i.e.,</w:t>
      </w:r>
      <w:r>
        <w:t xml:space="preserve"> </w:t>
      </w:r>
      <w:r>
        <w:t>p</w:t>
      </w:r>
      <w:r>
        <w:t xml:space="preserve"> </w:t>
      </w:r>
      <w:r>
        <w:t>‐terphenyl versus</w:t>
      </w:r>
      <w:r>
        <w:t xml:space="preserve"> </w:t>
      </w:r>
      <w:r>
        <w:t>m</w:t>
      </w:r>
      <w:r>
        <w:t xml:space="preserve"> </w:t>
      </w:r>
      <w:r>
        <w:t>‐terphenyl) on the redox behavior and stability of the corresponding radicals and anions derived from</w:t>
      </w:r>
      <w:r>
        <w:t xml:space="preserve"> </w:t>
      </w:r>
      <w:r>
        <w:t>N</w:t>
      </w:r>
      <w:r>
        <w:t xml:space="preserve"> </w:t>
      </w:r>
      <w:r>
        <w:t>‐heterocyclic carbenes (NHCs). Three well‐known NHCs; SIPr (</w:t>
      </w:r>
      <w:r>
        <w:t xml:space="preserve"> </w:t>
      </w:r>
      <w:r>
        <w:t>1a</w:t>
      </w:r>
      <w:r>
        <w:t xml:space="preserve"> </w:t>
      </w:r>
      <w:r>
        <w:t>), IPr (</w:t>
      </w:r>
      <w:r>
        <w:t xml:space="preserve"> </w:t>
      </w:r>
      <w:r>
        <w:t>1b</w:t>
      </w:r>
      <w:r>
        <w:t xml:space="preserve"> </w:t>
      </w:r>
      <w:r>
        <w:t>), and Me‐IPr (</w:t>
      </w:r>
      <w:r>
        <w:t xml:space="preserve"> </w:t>
      </w:r>
      <w:r>
        <w:t>1c</w:t>
      </w:r>
      <w:r>
        <w:t xml:space="preserve"> </w:t>
      </w:r>
      <w:r>
        <w:t>) (SIPr = C{N(Dipp)CH</w:t>
      </w:r>
      <w:r>
        <w:rPr>
          <w:vertAlign w:val="subscript"/>
        </w:rPr>
        <w:t>2</w:t>
      </w:r>
      <w:r>
        <w:t>}</w:t>
      </w:r>
      <w:r>
        <w:rPr>
          <w:vertAlign w:val="subscript"/>
        </w:rPr>
        <w:t>2</w:t>
      </w:r>
      <w:r>
        <w:t>, IPr = C{N(Dipp)CH}</w:t>
      </w:r>
      <w:r>
        <w:rPr>
          <w:vertAlign w:val="subscript"/>
        </w:rPr>
        <w:t>2</w:t>
      </w:r>
      <w:r>
        <w:t>; Me‐IPr = C{N(Dipp)CCH</w:t>
      </w:r>
      <w:r>
        <w:rPr>
          <w:vertAlign w:val="subscript"/>
        </w:rPr>
        <w:t>3</w:t>
      </w:r>
      <w:r>
        <w:t>}</w:t>
      </w:r>
      <w:r>
        <w:rPr>
          <w:vertAlign w:val="subscript"/>
        </w:rPr>
        <w:t>2</w:t>
      </w:r>
      <w:r>
        <w:t>; Dipp = 2,6‐</w:t>
      </w:r>
      <w:r>
        <w:t xml:space="preserve"> </w:t>
      </w:r>
      <w:r>
        <w:t>i</w:t>
      </w:r>
      <w:r>
        <w:t xml:space="preserve"> </w:t>
      </w:r>
      <w:r>
        <w:t>Pr</w:t>
      </w:r>
      <w:r>
        <w:rPr>
          <w:vertAlign w:val="subscript"/>
        </w:rPr>
        <w:t>2</w:t>
      </w:r>
      <w:r>
        <w:t>C</w:t>
      </w:r>
      <w:r>
        <w:rPr>
          <w:vertAlign w:val="subscript"/>
        </w:rPr>
        <w:t>6</w:t>
      </w:r>
      <w:r>
        <w:t>H</w:t>
      </w:r>
      <w:r>
        <w:rPr>
          <w:vertAlign w:val="subscript"/>
        </w:rPr>
        <w:t>3</w:t>
      </w:r>
      <w:r>
        <w:t>); were functionalized at the C2 position using 4‐bromo‐</w:t>
      </w:r>
      <w:r>
        <w:t xml:space="preserve"> </w:t>
      </w:r>
      <w:r>
        <w:t>p</w:t>
      </w:r>
      <w:r>
        <w:t xml:space="preserve"> </w:t>
      </w:r>
      <w:r>
        <w:t>‐terphenyl (</w:t>
      </w:r>
      <w:r>
        <w:t xml:space="preserve"> </w:t>
      </w:r>
      <w:r>
        <w:t>p</w:t>
      </w:r>
      <w:r>
        <w:t xml:space="preserve"> </w:t>
      </w:r>
      <w:r>
        <w:t>‐TerBr) and 5′‐bromo‐</w:t>
      </w:r>
      <w:r>
        <w:t xml:space="preserve"> </w:t>
      </w:r>
      <w:r>
        <w:t>m</w:t>
      </w:r>
      <w:r>
        <w:t xml:space="preserve"> </w:t>
      </w:r>
      <w:r>
        <w:t>‐terphenyl (</w:t>
      </w:r>
      <w:r>
        <w:t xml:space="preserve"> </w:t>
      </w:r>
      <w:r>
        <w:t>m</w:t>
      </w:r>
      <w:r>
        <w:t xml:space="preserve"> </w:t>
      </w:r>
      <w:r>
        <w:t>‐TerBr) under nickel catalysis, yielding the corresponding cations [(NHC)</w:t>
      </w:r>
      <w:r>
        <w:t xml:space="preserve"> </w:t>
      </w:r>
      <w:r>
        <w:t>p</w:t>
      </w:r>
      <w:r>
        <w:t xml:space="preserve"> </w:t>
      </w:r>
      <w:r>
        <w:t>‐Ter]Br (</w:t>
      </w:r>
      <w:r>
        <w:t xml:space="preserve"> </w:t>
      </w:r>
      <w:r>
        <w:t>2a</w:t>
      </w:r>
      <w:r>
        <w:t xml:space="preserve"> </w:t>
      </w:r>
      <w:r>
        <w:t>–</w:t>
      </w:r>
      <w:r>
        <w:t xml:space="preserve"> </w:t>
      </w:r>
      <w:r>
        <w:t>c</w:t>
      </w:r>
      <w:r>
        <w:t xml:space="preserve"> </w:t>
      </w:r>
      <w:r>
        <w:t>) and [(NHC)</w:t>
      </w:r>
      <w:r>
        <w:t xml:space="preserve"> </w:t>
      </w:r>
      <w:r>
        <w:t>m</w:t>
      </w:r>
      <w:r>
        <w:t xml:space="preserve"> </w:t>
      </w:r>
      <w:r>
        <w:t>‐Ter]Br (</w:t>
      </w:r>
      <w:r>
        <w:t xml:space="preserve"> </w:t>
      </w:r>
      <w:r>
        <w:t>3a</w:t>
      </w:r>
      <w:r>
        <w:t xml:space="preserve"> </w:t>
      </w:r>
      <w:r>
        <w:t>–</w:t>
      </w:r>
      <w:r>
        <w:t xml:space="preserve"> </w:t>
      </w:r>
      <w:r>
        <w:t>c</w:t>
      </w:r>
      <w:r>
        <w:t xml:space="preserve"> </w:t>
      </w:r>
      <w:r>
        <w:t>), respectively. Cyclic voltammetry (CV) measurements of</w:t>
      </w:r>
      <w:r>
        <w:t xml:space="preserve"> </w:t>
      </w:r>
      <w:r>
        <w:t>2a</w:t>
      </w:r>
      <w:r>
        <w:t xml:space="preserve"> </w:t>
      </w:r>
      <w:r>
        <w:t>–</w:t>
      </w:r>
      <w:r>
        <w:t xml:space="preserve"> </w:t>
      </w:r>
      <w:r>
        <w:t>c</w:t>
      </w:r>
      <w:r>
        <w:t xml:space="preserve"> </w:t>
      </w:r>
      <w:r>
        <w:t>reveal two distinct reversible redox events, while</w:t>
      </w:r>
      <w:r>
        <w:t xml:space="preserve"> </w:t>
      </w:r>
      <w:r>
        <w:t>3a</w:t>
      </w:r>
      <w:r>
        <w:t xml:space="preserve"> </w:t>
      </w:r>
      <w:r>
        <w:t>–</w:t>
      </w:r>
      <w:r>
        <w:t xml:space="preserve"> </w:t>
      </w:r>
      <w:r>
        <w:t>c</w:t>
      </w:r>
      <w:r>
        <w:t xml:space="preserve"> </w:t>
      </w:r>
      <w:r>
        <w:t>exhibit one reversible and one irreversible or quasi‐reversible wave. Reduction of</w:t>
      </w:r>
      <w:r>
        <w:t xml:space="preserve"> </w:t>
      </w:r>
      <w:r>
        <w:t>2a</w:t>
      </w:r>
      <w:r>
        <w:t xml:space="preserve"> </w:t>
      </w:r>
      <w:r>
        <w:t>–</w:t>
      </w:r>
      <w:r>
        <w:t xml:space="preserve"> </w:t>
      </w:r>
      <w:r>
        <w:t>c</w:t>
      </w:r>
      <w:r>
        <w:t xml:space="preserve"> </w:t>
      </w:r>
      <w:r>
        <w:t>and</w:t>
      </w:r>
      <w:r>
        <w:t xml:space="preserve"> </w:t>
      </w:r>
      <w:r>
        <w:t>3a</w:t>
      </w:r>
      <w:r>
        <w:t xml:space="preserve"> </w:t>
      </w:r>
      <w:r>
        <w:t>–</w:t>
      </w:r>
      <w:r>
        <w:t xml:space="preserve"> </w:t>
      </w:r>
      <w:r>
        <w:t>c</w:t>
      </w:r>
      <w:r>
        <w:t xml:space="preserve"> </w:t>
      </w:r>
      <w:r>
        <w:t>with KC</w:t>
      </w:r>
      <w:r>
        <w:rPr>
          <w:vertAlign w:val="subscript"/>
        </w:rPr>
        <w:t>8</w:t>
      </w:r>
      <w:r>
        <w:t>readily affords stable radicals [(NHC)</w:t>
      </w:r>
      <w:r>
        <w:t xml:space="preserve"> </w:t>
      </w:r>
      <w:r>
        <w:t>p</w:t>
      </w:r>
      <w:r>
        <w:t xml:space="preserve"> </w:t>
      </w:r>
      <w:r>
        <w:t>‐Ter]</w:t>
      </w:r>
      <w:r>
        <w:t xml:space="preserve"> </w:t>
      </w:r>
      <w:r>
        <w:t>●</w:t>
      </w:r>
      <w:r>
        <w:t xml:space="preserve"> </w:t>
      </w:r>
      <w:r>
        <w:t>(</w:t>
      </w:r>
      <w:r>
        <w:t xml:space="preserve"> </w:t>
      </w:r>
      <w:r>
        <w:t>4a</w:t>
      </w:r>
      <w:r>
        <w:t xml:space="preserve"> </w:t>
      </w:r>
      <w:r>
        <w:t>–</w:t>
      </w:r>
      <w:r>
        <w:t xml:space="preserve"> </w:t>
      </w:r>
      <w:r>
        <w:t>c</w:t>
      </w:r>
      <w:r>
        <w:t xml:space="preserve"> </w:t>
      </w:r>
      <w:r>
        <w:t>) and [(NHC‐</w:t>
      </w:r>
      <w:r>
        <w:t xml:space="preserve"> </w:t>
      </w:r>
      <w:r>
        <w:t>m</w:t>
      </w:r>
      <w:r>
        <w:t xml:space="preserve"> </w:t>
      </w:r>
      <w:r>
        <w:t>‐Ter]</w:t>
      </w:r>
      <w:r>
        <w:t xml:space="preserve"> </w:t>
      </w:r>
      <w:r>
        <w:t>●</w:t>
      </w:r>
      <w:r>
        <w:t xml:space="preserve"> </w:t>
      </w:r>
      <w:r>
        <w:t>(</w:t>
      </w:r>
      <w:r>
        <w:t xml:space="preserve"> </w:t>
      </w:r>
      <w:r>
        <w:t>5a</w:t>
      </w:r>
      <w:r>
        <w:t xml:space="preserve"> </w:t>
      </w:r>
      <w:r>
        <w:t>–</w:t>
      </w:r>
      <w:r>
        <w:t xml:space="preserve"> </w:t>
      </w:r>
      <w:r>
        <w:t>c</w:t>
      </w:r>
      <w:r>
        <w:t xml:space="preserve"> </w:t>
      </w:r>
      <w:r>
        <w:t>), isolated as crystalline solids. Further reduction of</w:t>
      </w:r>
      <w:r>
        <w:t xml:space="preserve"> </w:t>
      </w:r>
      <w:r>
        <w:t>4a</w:t>
      </w:r>
      <w:r>
        <w:t xml:space="preserve"> </w:t>
      </w:r>
      <w:r>
        <w:t>–</w:t>
      </w:r>
      <w:r>
        <w:t xml:space="preserve"> </w:t>
      </w:r>
      <w:r>
        <w:t>c</w:t>
      </w:r>
      <w:r>
        <w:t xml:space="preserve"> </w:t>
      </w:r>
      <w:r>
        <w:t>produces diamagnetic anions [(NHC)</w:t>
      </w:r>
      <w:r>
        <w:t xml:space="preserve"> </w:t>
      </w:r>
      <w:r>
        <w:t>p</w:t>
      </w:r>
      <w:r>
        <w:t xml:space="preserve"> </w:t>
      </w:r>
      <w:r>
        <w:t>‐Ter]K (</w:t>
      </w:r>
      <w:r>
        <w:t xml:space="preserve"> </w:t>
      </w:r>
      <w:r>
        <w:t>6a</w:t>
      </w:r>
      <w:r>
        <w:t xml:space="preserve"> </w:t>
      </w:r>
      <w:r>
        <w:t>–</w:t>
      </w:r>
      <w:r>
        <w:t xml:space="preserve"> </w:t>
      </w:r>
      <w:r>
        <w:t>c‐K</w:t>
      </w:r>
      <w:r>
        <w:t xml:space="preserve"> </w:t>
      </w:r>
      <w:r>
        <w:t>), consistent with the electrochemical data. In contrast,</w:t>
      </w:r>
      <w:r>
        <w:t xml:space="preserve"> </w:t>
      </w:r>
      <w:r>
        <w:t>5b</w:t>
      </w:r>
      <w:r>
        <w:t xml:space="preserve"> </w:t>
      </w:r>
      <w:r>
        <w:t>and</w:t>
      </w:r>
      <w:r>
        <w:t xml:space="preserve"> </w:t>
      </w:r>
      <w:r>
        <w:t>5c</w:t>
      </w:r>
      <w:r>
        <w:t xml:space="preserve"> </w:t>
      </w:r>
      <w:r>
        <w:t>are unreactive toward KC</w:t>
      </w:r>
      <w:r>
        <w:rPr>
          <w:vertAlign w:val="subscript"/>
        </w:rPr>
        <w:t>8</w:t>
      </w:r>
      <w:r>
        <w:t>under similar conditions, while</w:t>
      </w:r>
      <w:r>
        <w:t xml:space="preserve"> </w:t>
      </w:r>
      <w:r>
        <w:t>5a</w:t>
      </w:r>
      <w:r>
        <w:t xml:space="preserve"> </w:t>
      </w:r>
      <w:r>
        <w:t>(derived from the more electrophilic NHC</w:t>
      </w:r>
      <w:r>
        <w:t xml:space="preserve"> </w:t>
      </w:r>
      <w:r>
        <w:t>1a</w:t>
      </w:r>
      <w:r>
        <w:t xml:space="preserve"> </w:t>
      </w:r>
      <w:r>
        <w:t>) can be reduced to the corresponding anion [(SIPr)</w:t>
      </w:r>
      <w:r>
        <w:t xml:space="preserve"> </w:t>
      </w:r>
      <w:r>
        <w:t>m</w:t>
      </w:r>
      <w:r>
        <w:t xml:space="preserve"> </w:t>
      </w:r>
      <w:r>
        <w:t>‐Ter]K (</w:t>
      </w:r>
      <w:r>
        <w:t xml:space="preserve"> </w:t>
      </w:r>
      <w:r>
        <w:t>7a‐K</w:t>
      </w:r>
      <w:r>
        <w:t xml:space="preserve"> </w:t>
      </w:r>
      <w:r>
        <w:t>). Selected compounds have been characterized by spectroscopic techniques and single‐crystal X‐ray diffraction, with computational studies supporting the experimental findings. The results highlight how the NHC and the C2‐terphenyl substituent influence the properties and stability of the resulting species.</w:t>
      </w:r>
    </w:p>
    <w:p>
      <w:pPr>
        <w:spacing w:before="120" w:after="120"/>
      </w:pPr>
      <w:r>
        <w:rPr>
          <w:sz w:val="18"/>
        </w:rPr>
        <w:t>——————————————————————————————————————————————————————————————————————</w:t>
      </w:r>
    </w:p>
    <w:p>
      <w:pPr>
        <w:spacing w:before="160" w:after="80" w:line="240" w:lineRule="auto"/>
      </w:pPr>
      <w:r>
        <w:rPr>
          <w:b/>
        </w:rPr>
        <w:t xml:space="preserve">[184] </w:t>
      </w:r>
      <w:hyperlink r:id="rId324">
        <w:r>
          <w:rPr>
            <w:color w:val="1155CC"/>
            <w:u w:val="single"/>
          </w:rPr>
          <w:t>Access to Inherently and Centrally Chiral Calix[4]Arenes via Rhodium‐Catalyzed C─H Activation and Insertion into Diverse Olefins and Alkynes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25">
        <w:r>
          <w:rPr>
            <w:color w:val="1155CC"/>
            <w:u w:val="single"/>
          </w:rPr>
          <w:t>10.1002/anie.202520283</w:t>
        </w:r>
      </w:hyperlink>
    </w:p>
    <w:p>
      <w:pPr>
        <w:spacing w:before="0" w:after="120"/>
      </w:pPr>
      <w:r>
        <w:rPr>
          <w:b/>
        </w:rPr>
        <w:t xml:space="preserve">Notes: </w:t>
      </w:r>
      <w:r>
        <w:t>abstract_source=crossref</w:t>
      </w:r>
    </w:p>
    <w:p>
      <w:pPr>
        <w:spacing w:before="0" w:after="200" w:lineRule="auto" w:line="276"/>
      </w:pPr>
      <w:r>
        <w:rPr>
          <w:b/>
        </w:rPr>
        <w:t xml:space="preserve">Abstract: </w:t>
      </w:r>
      <w:r>
        <w:t>Inherently chiral calix[4]arenes are important scaffolds in asymmetric catalysis and sensing, yet their enantioselective synthesis remains challenging due to limited synthetic methodology and lengthy synthetic routes. By resorting to rhodium‐catalyzed C─H activation of calix[4]arene‐based carboxamides, atom‐economical construction of inherently chiral calix[4]arenes has been realized with alkenes, alkynes, and 1,3‐enynes as the coupling partner. Several classes of calix[4]arenes with inherent chirality (up to &amp;gt; 99% ee) and integrated inherent and central chirality (up to 97% ee, &amp;gt;20:1 dr) have been readily accessed under nearly unified conditions. Gram‐scale synthesis and diverse downstream transformations demonstrated the scalability and broad utility of this methodology to access other calix[4]arene‐fused heterocycles, such as isoquinoline and isoindolinone. Representative products exhibit promising fluorescence properties, suggesting potential applications in organic optoelectronics.</w:t>
      </w:r>
    </w:p>
    <w:p>
      <w:pPr>
        <w:spacing w:before="120" w:after="120"/>
      </w:pPr>
      <w:r>
        <w:rPr>
          <w:sz w:val="18"/>
        </w:rPr>
        <w:t>——————————————————————————————————————————————————————————————————————</w:t>
      </w:r>
    </w:p>
    <w:p>
      <w:pPr>
        <w:spacing w:before="160" w:after="80" w:line="240" w:lineRule="auto"/>
      </w:pPr>
      <w:r>
        <w:rPr>
          <w:b/>
        </w:rPr>
        <w:t xml:space="preserve">[185] </w:t>
      </w:r>
      <w:hyperlink r:id="rId326">
        <w:r>
          <w:rPr>
            <w:color w:val="1155CC"/>
            <w:u w:val="single"/>
          </w:rPr>
          <w:t>Pentagonal/Heptagonal‐Lock Strategy Enables Narrowband Red Multiple Resonance Emitters Through Temperature‐Controlled Scholl Reaction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27">
        <w:r>
          <w:rPr>
            <w:color w:val="1155CC"/>
            <w:u w:val="single"/>
          </w:rPr>
          <w:t>10.1002/anie.202520322</w:t>
        </w:r>
      </w:hyperlink>
    </w:p>
    <w:p>
      <w:pPr>
        <w:spacing w:before="0" w:after="120"/>
      </w:pPr>
      <w:r>
        <w:rPr>
          <w:b/>
        </w:rPr>
        <w:t xml:space="preserve">Notes: </w:t>
      </w:r>
      <w:r>
        <w:t>abstract_source=crossref</w:t>
      </w:r>
    </w:p>
    <w:p>
      <w:pPr>
        <w:spacing w:before="0" w:after="200" w:lineRule="auto" w:line="276"/>
      </w:pPr>
      <w:r>
        <w:rPr>
          <w:b/>
        </w:rPr>
        <w:t xml:space="preserve">Abstract: </w:t>
      </w:r>
      <w:r>
        <w:t>Although π‐extension has shown considerable success in achieving red‐shifted emission in multiple resonance (MR) emitters, it often induces substantial spectral broadening, thereby limiting its utility for developing high‐performance red MR materials. Herein, we report a straightforward naphthalene‐based pentagonal/heptagonal‐lock π‐extension strategy that enables a significant redshift of 116 nm while maintaining a narrow emission bandwidth. By controlling the Scholl reaction at different temperatures, we achieved precise π‐extension through sequential pentagonal and heptagonal ring formation, enabling broad color tuning via fine adjustment of frontier molecular orbital energy gaps. As a result, a red fluorescent emitter was obtained, exhibiting an emission peak at 600 nm and a narrow full‐width‐at‐half‐maximum of 30 nm. Furthermore, the corresponding OLED devices exhibited a high external quantum efficiency of 21.3% with minimal efficiency roll‐off.</w:t>
      </w:r>
    </w:p>
    <w:p>
      <w:pPr>
        <w:spacing w:before="120" w:after="120"/>
      </w:pPr>
      <w:r>
        <w:rPr>
          <w:sz w:val="18"/>
        </w:rPr>
        <w:t>——————————————————————————————————————————————————————————————————————</w:t>
      </w:r>
    </w:p>
    <w:p>
      <w:pPr>
        <w:spacing w:before="160" w:after="80" w:line="240" w:lineRule="auto"/>
      </w:pPr>
      <w:r>
        <w:rPr>
          <w:b/>
        </w:rPr>
        <w:t xml:space="preserve">[186] </w:t>
      </w:r>
      <w:hyperlink r:id="rId328">
        <w:r>
          <w:rPr>
            <w:color w:val="1155CC"/>
            <w:u w:val="single"/>
          </w:rPr>
          <w:t>The Weakened Super‐Exchange Interaction Realizes the Direct Regeneration of Spent Lithium‐lon Battery Cathodes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29">
        <w:r>
          <w:rPr>
            <w:color w:val="1155CC"/>
            <w:u w:val="single"/>
          </w:rPr>
          <w:t>10.1002/anie.202520448</w:t>
        </w:r>
      </w:hyperlink>
    </w:p>
    <w:p>
      <w:pPr>
        <w:spacing w:before="0" w:after="120"/>
      </w:pPr>
      <w:r>
        <w:rPr>
          <w:b/>
        </w:rPr>
        <w:t xml:space="preserve">Notes: </w:t>
      </w:r>
      <w:r>
        <w:t>abstract_source=crossref</w:t>
      </w:r>
    </w:p>
    <w:p>
      <w:pPr>
        <w:spacing w:before="0" w:after="200" w:lineRule="auto" w:line="276"/>
      </w:pPr>
      <w:r>
        <w:rPr>
          <w:b/>
        </w:rPr>
        <w:t xml:space="preserve">Abstract: </w:t>
      </w:r>
      <w:r>
        <w:t>The direct regeneration of cathodes is an effective technique to address resource waste and environmental pollution caused by spent lithium‐ion batteries (LIBs). However, Li</w:t>
      </w:r>
      <w:r>
        <w:t xml:space="preserve"> </w:t>
      </w:r>
      <w:r>
        <w:t>+</w:t>
      </w:r>
      <w:r>
        <w:t xml:space="preserve"> </w:t>
      </w:r>
      <w:r>
        <w:t>migration within the rock‐salt phase of degraded LiNi</w:t>
      </w:r>
      <w:r>
        <w:t xml:space="preserve"> </w:t>
      </w:r>
      <w:r>
        <w:t>0.5</w:t>
      </w:r>
      <w:r>
        <w:t xml:space="preserve"> </w:t>
      </w:r>
      <w:r>
        <w:t>Co</w:t>
      </w:r>
      <w:r>
        <w:t xml:space="preserve"> </w:t>
      </w:r>
      <w:r>
        <w:t>0.2</w:t>
      </w:r>
      <w:r>
        <w:t xml:space="preserve"> </w:t>
      </w:r>
      <w:r>
        <w:t>Mn</w:t>
      </w:r>
      <w:r>
        <w:t xml:space="preserve"> </w:t>
      </w:r>
      <w:r>
        <w:t>0.3</w:t>
      </w:r>
      <w:r>
        <w:t xml:space="preserve"> </w:t>
      </w:r>
      <w:r>
        <w:t>O</w:t>
      </w:r>
      <w:r>
        <w:rPr>
          <w:vertAlign w:val="subscript"/>
        </w:rPr>
        <w:t>2</w:t>
      </w:r>
      <w:r>
        <w:t>cathodes follows an energetically unfavorable 2‐transition metal (2‐TM) transport pathway (tetrahedral sites between face‐sharing octahedra), creating a kinetic barrier that fundamentally limits direct regeneration. A Na‐based molten salt pretreatment is applied to introduce Na atoms into the unoccupied tetrahedral sites of the rock‐salt phase, which alters the electronic state distribution of bridged oxygen anions and reduces super‐exchange interactions between TM atoms in adjacent layers, thereby triggering a phase transformation from rock‐salt to targeted layered structure. Consequently, the Li</w:t>
      </w:r>
      <w:r>
        <w:t xml:space="preserve"> </w:t>
      </w:r>
      <w:r>
        <w:t>+</w:t>
      </w:r>
      <w:r>
        <w:t xml:space="preserve"> </w:t>
      </w:r>
      <w:r>
        <w:t>migration pathway shifts from a high‐energy 2‐TM route to a more favorable low‐barrier 1‐TM route, enabling efficient lithiation and complete restoration of the cathode. The regenerated materials exhibit high structural uniformity and excellent electrochemical performance, achieving 78% capacity retention after 500 cycles. This study provides an insightful perspective on direct LIB recycling by regulating super‐exchange interactions within the degraded cathode structures.</w:t>
      </w:r>
    </w:p>
    <w:p>
      <w:pPr>
        <w:spacing w:before="120" w:after="120"/>
      </w:pPr>
      <w:r>
        <w:rPr>
          <w:sz w:val="18"/>
        </w:rPr>
        <w:t>——————————————————————————————————————————————————————————————————————</w:t>
      </w:r>
    </w:p>
    <w:p>
      <w:pPr>
        <w:spacing w:before="160" w:after="80" w:line="240" w:lineRule="auto"/>
      </w:pPr>
      <w:r>
        <w:rPr>
          <w:b/>
        </w:rPr>
        <w:t xml:space="preserve">[187] </w:t>
      </w:r>
      <w:hyperlink r:id="rId330">
        <w:r>
          <w:rPr>
            <w:color w:val="1155CC"/>
            <w:u w:val="single"/>
          </w:rPr>
          <w:t>Azobenzene/Triptycene‐Based Cholesteric Liquid Crystal Dopants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31">
        <w:r>
          <w:rPr>
            <w:color w:val="1155CC"/>
            <w:u w:val="single"/>
          </w:rPr>
          <w:t>10.1002/anie.202520563</w:t>
        </w:r>
      </w:hyperlink>
    </w:p>
    <w:p>
      <w:pPr>
        <w:spacing w:before="0" w:after="120"/>
      </w:pPr>
      <w:r>
        <w:rPr>
          <w:b/>
        </w:rPr>
        <w:t xml:space="preserve">Notes: </w:t>
      </w:r>
      <w:r>
        <w:t>abstract_source=crossref</w:t>
      </w:r>
    </w:p>
    <w:p>
      <w:pPr>
        <w:spacing w:before="0" w:after="200" w:lineRule="auto" w:line="276"/>
      </w:pPr>
      <w:r>
        <w:rPr>
          <w:b/>
        </w:rPr>
        <w:t xml:space="preserve">Abstract: </w:t>
      </w:r>
      <w:r>
        <w:t>The noncovalent interactions in cholesteric liquid crystals (CLCs) can be modulated using switchable chiral dopants resulting in the phototuning of the reflected structural color. The nature of the interactions between the CLC and dopant, and how the latter can effectively transfer chiral information to the former is still somewhat of a black box. To gain insights into the nature of these interactions, we conducted structure–property analysis of five photoswitchable chiral dopants comprised of triptycene as the chiral core and azobenzene as the switchable unit. Our findings show that this combination results in high (e.g., 127 µm</w:t>
      </w:r>
      <w:r>
        <w:t xml:space="preserve"> </w:t>
      </w:r>
      <w:r>
        <w:t>−1</w:t>
      </w:r>
      <w:r>
        <w:t xml:space="preserve"> </w:t>
      </w:r>
      <w:r>
        <w:t>) helical twisting power (</w:t>
      </w:r>
      <w:r>
        <w:t xml:space="preserve"> </w:t>
      </w:r>
      <w:r>
        <w:t>β</w:t>
      </w:r>
      <w:r>
        <w:t xml:space="preserve"> </w:t>
      </w:r>
      <w:r>
        <w:t>) values (i.e., extent of chiral information transfer between dopant and host), with dispersion interactions and/or electron deficient aromatic units playing a crucial role in determining the value. The large change in</w:t>
      </w:r>
      <w:r>
        <w:t xml:space="preserve"> </w:t>
      </w:r>
      <w:r>
        <w:t>β</w:t>
      </w:r>
      <w:r>
        <w:t xml:space="preserve"> </w:t>
      </w:r>
      <w:r>
        <w:t>values upon</w:t>
      </w:r>
      <w:r>
        <w:t xml:space="preserve"> </w:t>
      </w:r>
      <w:r>
        <w:t>E/Z</w:t>
      </w:r>
      <w:r>
        <w:t xml:space="preserve"> </w:t>
      </w:r>
      <w:r>
        <w:t>photoswitching enabled us to devise multicolor, high contrast LC films that reflect across the UV to infrared light range.</w:t>
      </w:r>
    </w:p>
    <w:p>
      <w:pPr>
        <w:spacing w:before="120" w:after="120"/>
      </w:pPr>
      <w:r>
        <w:rPr>
          <w:sz w:val="18"/>
        </w:rPr>
        <w:t>——————————————————————————————————————————————————————————————————————</w:t>
      </w:r>
    </w:p>
    <w:p>
      <w:pPr>
        <w:spacing w:before="160" w:after="80" w:line="240" w:lineRule="auto"/>
      </w:pPr>
      <w:r>
        <w:rPr>
          <w:b/>
        </w:rPr>
        <w:t xml:space="preserve">[188] </w:t>
      </w:r>
      <w:hyperlink r:id="rId332">
        <w:r>
          <w:rPr>
            <w:color w:val="1155CC"/>
            <w:u w:val="single"/>
          </w:rPr>
          <w:t>Ultrawideband Emission of Bi3+ Ions Spanning Visible to Near‐Infrared Spectral Regions (400 nm–1700 nm)</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33">
        <w:r>
          <w:rPr>
            <w:color w:val="1155CC"/>
            <w:u w:val="single"/>
          </w:rPr>
          <w:t>10.1002/anie.202520587</w:t>
        </w:r>
      </w:hyperlink>
    </w:p>
    <w:p>
      <w:pPr>
        <w:spacing w:before="0" w:after="120"/>
      </w:pPr>
      <w:r>
        <w:rPr>
          <w:b/>
        </w:rPr>
        <w:t xml:space="preserve">Notes: </w:t>
      </w:r>
      <w:r>
        <w:t>abstract_source=crossref</w:t>
      </w:r>
    </w:p>
    <w:p>
      <w:pPr>
        <w:spacing w:before="0" w:after="200" w:lineRule="auto" w:line="276"/>
      </w:pPr>
      <w:r>
        <w:rPr>
          <w:b/>
        </w:rPr>
        <w:t xml:space="preserve">Abstract: </w:t>
      </w:r>
      <w:r>
        <w:t>Although Bi</w:t>
      </w:r>
      <w:r>
        <w:t xml:space="preserve"> </w:t>
      </w:r>
      <w:r>
        <w:t>3+</w:t>
      </w:r>
      <w:r>
        <w:t xml:space="preserve"> </w:t>
      </w:r>
      <w:r>
        <w:t>ions exhibit exceptional luminescent properties and spectral tunability, their potential as activators for near‐infrared (NIR) ultrawideband emission remains underexplored, while transition metal ions such as Ni</w:t>
      </w:r>
      <w:r>
        <w:t xml:space="preserve"> </w:t>
      </w:r>
      <w:r>
        <w:t>2+</w:t>
      </w:r>
      <w:r>
        <w:t xml:space="preserve"> </w:t>
      </w:r>
      <w:r>
        <w:t>, Fe</w:t>
      </w:r>
      <w:r>
        <w:t xml:space="preserve"> </w:t>
      </w:r>
      <w:r>
        <w:t>3+</w:t>
      </w:r>
      <w:r>
        <w:t xml:space="preserve"> </w:t>
      </w:r>
      <w:r>
        <w:t>, and Cr</w:t>
      </w:r>
      <w:r>
        <w:t xml:space="preserve"> </w:t>
      </w:r>
      <w:r>
        <w:t>3+/4+</w:t>
      </w:r>
      <w:r>
        <w:t xml:space="preserve"> </w:t>
      </w:r>
      <w:r>
        <w:t>have long been the predominant candidates in this demanding research area. Herein, we demonstrate ultrawideband emission from 400 to 1700 nm in K</w:t>
      </w:r>
      <w:r>
        <w:rPr>
          <w:vertAlign w:val="subscript"/>
        </w:rPr>
        <w:t>2</w:t>
      </w:r>
      <w:r>
        <w:t>MgGeO</w:t>
      </w:r>
      <w:r>
        <w:rPr>
          <w:vertAlign w:val="subscript"/>
        </w:rPr>
        <w:t>4</w:t>
      </w:r>
      <w:r>
        <w:t>:Bi</w:t>
      </w:r>
      <w:r>
        <w:t xml:space="preserve"> </w:t>
      </w:r>
      <w:r>
        <w:t>3+</w:t>
      </w:r>
      <w:r>
        <w:t xml:space="preserve"> </w:t>
      </w:r>
      <w:r>
        <w:t>(KMGO:Bi</w:t>
      </w:r>
      <w:r>
        <w:t xml:space="preserve"> </w:t>
      </w:r>
      <w:r>
        <w:t>3+</w:t>
      </w:r>
      <w:r>
        <w:t xml:space="preserve"> </w:t>
      </w:r>
      <w:r>
        <w:t>), achieving an internal quantum efficiency (IQE) of 88.02% and external quantum efficiency (EQE) of 66.41%. The emission spectrum features interconnected visible and NIR bands, peaking at 614 and 1125 nm, respectively. Notably, the full width at half‐maximum (FWHM) of the NIR band exceeds 340 nm, significantly broader than most of the conventional phosphors doped with transition metal ions. Through a comprehensive combination of experimental investigations and crystal structure analysis, we elucidate the underlying mechanism of this ultra‐broadband emission, attributing it to Bi</w:t>
      </w:r>
      <w:r>
        <w:t xml:space="preserve"> </w:t>
      </w:r>
      <w:r>
        <w:t>3+</w:t>
      </w:r>
      <w:r>
        <w:t xml:space="preserve"> </w:t>
      </w:r>
      <w:r>
        <w:t>centers formed by the substitution of K</w:t>
      </w:r>
      <w:r>
        <w:t xml:space="preserve"> </w:t>
      </w:r>
      <w:r>
        <w:t>+</w:t>
      </w:r>
      <w:r>
        <w:t xml:space="preserve"> </w:t>
      </w:r>
      <w:r>
        <w:t>and Mg</w:t>
      </w:r>
      <w:r>
        <w:t xml:space="preserve"> </w:t>
      </w:r>
      <w:r>
        <w:t>2+</w:t>
      </w:r>
      <w:r>
        <w:t xml:space="preserve"> </w:t>
      </w:r>
      <w:r>
        <w:t>sites. This work expands the role of Bi</w:t>
      </w:r>
      <w:r>
        <w:t xml:space="preserve"> </w:t>
      </w:r>
      <w:r>
        <w:t>3+</w:t>
      </w:r>
      <w:r>
        <w:t xml:space="preserve"> </w:t>
      </w:r>
      <w:r>
        <w:t>ions as activators in the second NIR (NIR‐II) region, offering new insights into the design of ultra‐broadband‐emitting materials and introducing the only known phosphor capable of spanning the full 400 nm to 1700 nm spectrum, thereby filling a longstanding gap in this field.</w:t>
      </w:r>
    </w:p>
    <w:p>
      <w:pPr>
        <w:spacing w:before="120" w:after="120"/>
      </w:pPr>
      <w:r>
        <w:rPr>
          <w:sz w:val="18"/>
        </w:rPr>
        <w:t>——————————————————————————————————————————————————————————————————————</w:t>
      </w:r>
    </w:p>
    <w:p>
      <w:pPr>
        <w:spacing w:before="160" w:after="80" w:line="240" w:lineRule="auto"/>
      </w:pPr>
      <w:r>
        <w:rPr>
          <w:b/>
        </w:rPr>
        <w:t xml:space="preserve">[189] </w:t>
      </w:r>
      <w:hyperlink r:id="rId334">
        <w:r>
          <w:rPr>
            <w:color w:val="1155CC"/>
            <w:u w:val="single"/>
          </w:rPr>
          <w:t>Dynamic Kinetic Resolution Polymerization: Synthesis of Chiral Polythioesters from Racemic Monomers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35">
        <w:r>
          <w:rPr>
            <w:color w:val="1155CC"/>
            <w:u w:val="single"/>
          </w:rPr>
          <w:t>10.1002/anie.202520707</w:t>
        </w:r>
      </w:hyperlink>
    </w:p>
    <w:p>
      <w:pPr>
        <w:spacing w:before="0" w:after="120"/>
      </w:pPr>
      <w:r>
        <w:rPr>
          <w:b/>
        </w:rPr>
        <w:t xml:space="preserve">Notes: </w:t>
      </w:r>
      <w:r>
        <w:t>abstract_source=crossref</w:t>
      </w:r>
    </w:p>
    <w:p>
      <w:pPr>
        <w:spacing w:before="0" w:after="200" w:lineRule="auto" w:line="276"/>
      </w:pPr>
      <w:r>
        <w:rPr>
          <w:b/>
        </w:rPr>
        <w:t xml:space="preserve">Abstract: </w:t>
      </w:r>
      <w:r>
        <w:t>Chiral polymers are fundamentally important and interesting in nature and scientific research. For the preparation of chiral polymers, the standard kinetic resolution polymerization (KRP) of racemic monomers could only afford a 50% yield of chiral polymers with 50% unreacted monomer leftover. In this contribution, we have developed a dynamic kinetic resolution polymerization (DKRP) strategy to synthesize chiral polymers with complete conversion and improved isoselectivity from racemic monomers. A “Lewis acid/base‐SalBinamAl” catalytic system was employed to achieve efficient DKRP of thiolactones with full monomer conversion and allowed access to chiral polythioesters with perfectly isotacticities (</w:t>
      </w:r>
      <w:r>
        <w:t xml:space="preserve"> </w:t>
      </w:r>
      <w:r>
        <w:t>P</w:t>
      </w:r>
      <w:r>
        <w:t xml:space="preserve"> </w:t>
      </w:r>
      <w:r>
        <w:t>m</w:t>
      </w:r>
      <w:r>
        <w:t xml:space="preserve"> </w:t>
      </w:r>
      <w:r>
        <w:t>up to 0.99). The formation of chiral polythioesters was confirmed by circular dichroism spectroscopy and optical rotation testing. Detailed kinetic investigation supported a DKRP mechanism. This work represented the very first example of dynamic kinetic resolution ring‐opening polymerization and could provide a new conceptual strategy to guide and inspire the synthesis of chiral polymers from racemic monomers.</w:t>
      </w:r>
    </w:p>
    <w:p>
      <w:pPr>
        <w:spacing w:before="120" w:after="120"/>
      </w:pPr>
      <w:r>
        <w:rPr>
          <w:sz w:val="18"/>
        </w:rPr>
        <w:t>——————————————————————————————————————————————————————————————————————</w:t>
      </w:r>
    </w:p>
    <w:p>
      <w:pPr>
        <w:spacing w:before="160" w:after="80" w:line="240" w:lineRule="auto"/>
      </w:pPr>
      <w:r>
        <w:rPr>
          <w:b/>
        </w:rPr>
        <w:t xml:space="preserve">[190] </w:t>
      </w:r>
      <w:hyperlink r:id="rId336">
        <w:r>
          <w:rPr>
            <w:color w:val="1155CC"/>
            <w:u w:val="single"/>
          </w:rPr>
          <w:t>Harnessing Halogen Bonds in Porous Molecular Crystals for Efficient SF6/N2 Separation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37">
        <w:r>
          <w:rPr>
            <w:color w:val="1155CC"/>
            <w:u w:val="single"/>
          </w:rPr>
          <w:t>10.1002/anie.202517907</w:t>
        </w:r>
      </w:hyperlink>
    </w:p>
    <w:p>
      <w:pPr>
        <w:spacing w:before="0" w:after="120"/>
      </w:pPr>
      <w:r>
        <w:rPr>
          <w:b/>
        </w:rPr>
        <w:t xml:space="preserve">Notes: </w:t>
      </w:r>
      <w:r>
        <w:t>abstract_source=crossref</w:t>
      </w:r>
    </w:p>
    <w:p>
      <w:pPr>
        <w:spacing w:before="0" w:after="200" w:lineRule="auto" w:line="276"/>
      </w:pPr>
      <w:r>
        <w:rPr>
          <w:b/>
        </w:rPr>
        <w:t xml:space="preserve">Abstract: </w:t>
      </w:r>
      <w:r>
        <w:t>Halogen bonding offers a directional and tunable noncovalent interaction that remains underexplored in the design of porous molecular materials. Here, we report</w:t>
      </w:r>
      <w:r>
        <w:t xml:space="preserve"> </w:t>
      </w:r>
      <w:r>
        <w:t>FPMC‐1‐β</w:t>
      </w:r>
      <w:r>
        <w:t xml:space="preserve"> </w:t>
      </w:r>
      <w:r>
        <w:t>, a porous molecular crystal that uniquely integrates permanent porosity, high thermal stability, solution processability, and halogen bonding capability. Upon desolvation,</w:t>
      </w:r>
      <w:r>
        <w:t xml:space="preserve"> </w:t>
      </w:r>
      <w:r>
        <w:t>FPMC‐1‐α</w:t>
      </w:r>
      <w:r>
        <w:t xml:space="preserve"> </w:t>
      </w:r>
      <w:r>
        <w:t>undergoes a structural transformation into the denser</w:t>
      </w:r>
      <w:r>
        <w:t xml:space="preserve"> </w:t>
      </w:r>
      <w:r>
        <w:t>FPMC‐1‐β</w:t>
      </w:r>
      <w:r>
        <w:t xml:space="preserve"> </w:t>
      </w:r>
      <w:r>
        <w:t>phase, featuring distorted 1D channels lined with exposed σ‐holes on bromine atoms. This architecture enables selective halogen bond‐mediated interactions with fluorinated gases.</w:t>
      </w:r>
      <w:r>
        <w:t xml:space="preserve"> </w:t>
      </w:r>
      <w:r>
        <w:t>FPMC‐1‐β</w:t>
      </w:r>
      <w:r>
        <w:t xml:space="preserve"> </w:t>
      </w:r>
      <w:r>
        <w:t>exhibits a sulfur hexafluoride (SF</w:t>
      </w:r>
      <w:r>
        <w:rPr>
          <w:vertAlign w:val="subscript"/>
        </w:rPr>
        <w:t>6</w:t>
      </w:r>
      <w:r>
        <w:t>)/N</w:t>
      </w:r>
      <w:r>
        <w:rPr>
          <w:vertAlign w:val="subscript"/>
        </w:rPr>
        <w:t>2</w:t>
      </w:r>
      <w:r>
        <w:t>selectivity of 178.6 at 298 K and 1 bar—setting a new record among all reported porous molecular crystals and soluble porous materials. Combined experimental and computational studies reveal that the high selectivity arises from strong F⋯Br halogen bonding with SF</w:t>
      </w:r>
      <w:r>
        <w:rPr>
          <w:vertAlign w:val="subscript"/>
        </w:rPr>
        <w:t>6</w:t>
      </w:r>
      <w:r>
        <w:t>, in contrast to the weak, nonspecific interactions observed for N</w:t>
      </w:r>
      <w:r>
        <w:rPr>
          <w:vertAlign w:val="subscript"/>
        </w:rPr>
        <w:t>2</w:t>
      </w:r>
      <w:r>
        <w:t>.</w:t>
      </w:r>
    </w:p>
    <w:p>
      <w:pPr>
        <w:spacing w:before="120" w:after="120"/>
      </w:pPr>
      <w:r>
        <w:rPr>
          <w:sz w:val="18"/>
        </w:rPr>
        <w:t>——————————————————————————————————————————————————————————————————————</w:t>
      </w:r>
    </w:p>
    <w:p>
      <w:pPr>
        <w:spacing w:before="160" w:after="80" w:line="240" w:lineRule="auto"/>
      </w:pPr>
      <w:r>
        <w:rPr>
          <w:b/>
        </w:rPr>
        <w:t xml:space="preserve">[191] </w:t>
      </w:r>
      <w:hyperlink r:id="rId338">
        <w:r>
          <w:rPr>
            <w:color w:val="1155CC"/>
            <w:u w:val="single"/>
          </w:rPr>
          <w:t>Unconventional Inverse Size‐Effects Enable Efficient C–N Coupling on Copper Electrocatalysts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39">
        <w:r>
          <w:rPr>
            <w:color w:val="1155CC"/>
            <w:u w:val="single"/>
          </w:rPr>
          <w:t>10.1002/anie.202517830</w:t>
        </w:r>
      </w:hyperlink>
    </w:p>
    <w:p>
      <w:pPr>
        <w:spacing w:before="0" w:after="120"/>
      </w:pPr>
      <w:r>
        <w:rPr>
          <w:b/>
        </w:rPr>
        <w:t xml:space="preserve">Notes: </w:t>
      </w:r>
      <w:r>
        <w:t>abstract_source=crossref</w:t>
      </w:r>
    </w:p>
    <w:p>
      <w:pPr>
        <w:spacing w:before="0" w:after="200" w:lineRule="auto" w:line="276"/>
      </w:pPr>
      <w:r>
        <w:rPr>
          <w:b/>
        </w:rPr>
        <w:t xml:space="preserve">Abstract: </w:t>
      </w:r>
      <w:r>
        <w:t>Exposed coordinatively unsaturated sites (CUS) with the reducing geometrical sizes of catalysts commonly offers significant advantages in heterogeneous electrocatalytic processes. However, this empirical rule might be unsuitable for the innovative electrocatalytic C–N coupling reaction, as one of the parallel reactions. In this study, we observe an inverse size‐effect in the electrocatalytic synthesis of benzaldehyde oximes (BAO) from nitrates and benzaldehyde. Cu nanocatalysts with more exposed CUS thermodynamically favor the over‐reduction of coupling intermediates, i.e., adsrobed hydroxylamine (*NH</w:t>
      </w:r>
      <w:r>
        <w:rPr>
          <w:vertAlign w:val="subscript"/>
        </w:rPr>
        <w:t>2</w:t>
      </w:r>
      <w:r>
        <w:t>OH) and benzaldehyde (*Ph‐CHO), leading to a low BAO yield. Notably, Cu foil with few CUS enables the enrichment of *NH</w:t>
      </w:r>
      <w:r>
        <w:rPr>
          <w:vertAlign w:val="subscript"/>
        </w:rPr>
        <w:t>2</w:t>
      </w:r>
      <w:r>
        <w:t>OH and *Ph‐CHO, achieving a BAO yield of 91%. Moreover, this electrosynthesis strategy on Cu foil demonstrates versatility and broad applicability for producing various oximes. This work highlights the significant potential of inverse size effects in guiding the design of catalysts for electrocatalytic C–N coupling reactions.</w:t>
      </w:r>
    </w:p>
    <w:p>
      <w:pPr>
        <w:spacing w:before="120" w:after="120"/>
      </w:pPr>
      <w:r>
        <w:rPr>
          <w:sz w:val="18"/>
        </w:rPr>
        <w:t>——————————————————————————————————————————————————————————————————————</w:t>
      </w:r>
    </w:p>
    <w:p>
      <w:pPr>
        <w:spacing w:before="160" w:after="80" w:line="240" w:lineRule="auto"/>
      </w:pPr>
      <w:r>
        <w:rPr>
          <w:b/>
        </w:rPr>
        <w:t xml:space="preserve">[192] </w:t>
      </w:r>
      <w:hyperlink r:id="rId340">
        <w:r>
          <w:rPr>
            <w:color w:val="1155CC"/>
            <w:u w:val="single"/>
          </w:rPr>
          <w:t>Carbon‐Driven Interfacial Charge Redistribution in TiO2‐Ni(OH)2 Photoanodes for Formate Production From Plastics and CO2</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41">
        <w:r>
          <w:rPr>
            <w:color w:val="1155CC"/>
            <w:u w:val="single"/>
          </w:rPr>
          <w:t>10.1002/anie.202517808</w:t>
        </w:r>
      </w:hyperlink>
    </w:p>
    <w:p>
      <w:pPr>
        <w:spacing w:before="0" w:after="120"/>
      </w:pPr>
      <w:r>
        <w:rPr>
          <w:b/>
        </w:rPr>
        <w:t xml:space="preserve">Notes: </w:t>
      </w:r>
      <w:r>
        <w:t>abstract_source=crossref</w:t>
      </w:r>
    </w:p>
    <w:p>
      <w:pPr>
        <w:spacing w:before="0" w:after="200" w:lineRule="auto" w:line="276"/>
      </w:pPr>
      <w:r>
        <w:rPr>
          <w:b/>
        </w:rPr>
        <w:t xml:space="preserve">Abstract: </w:t>
      </w:r>
      <w:r>
        <w:t>Coupling photoelectrochemical (PEC) waste plastic reforming with CO</w:t>
      </w:r>
      <w:r>
        <w:rPr>
          <w:vertAlign w:val="subscript"/>
        </w:rPr>
        <w:t>2</w:t>
      </w:r>
      <w:r>
        <w:t>utilization to co‐produce value‐added chemicals offers a promising strategy to mitigate plastic pollution and carbon emissions. Yet, achieving high selectivity still requires highly active plastic‐reforming photoanodes and effective integration with CO</w:t>
      </w:r>
      <w:r>
        <w:rPr>
          <w:vertAlign w:val="subscript"/>
        </w:rPr>
        <w:t>2</w:t>
      </w:r>
      <w:r>
        <w:t>reduction photocathodes. Here, an ultrathin carbon interlayer was introduced into Ni(OH)</w:t>
      </w:r>
      <w:r>
        <w:rPr>
          <w:vertAlign w:val="subscript"/>
        </w:rPr>
        <w:t>2</w:t>
      </w:r>
      <w:r>
        <w:t>‐TiO</w:t>
      </w:r>
      <w:r>
        <w:rPr>
          <w:vertAlign w:val="subscript"/>
        </w:rPr>
        <w:t>2</w:t>
      </w:r>
      <w:r>
        <w:t>(named Ni(OH)</w:t>
      </w:r>
      <w:r>
        <w:rPr>
          <w:vertAlign w:val="subscript"/>
        </w:rPr>
        <w:t>2</w:t>
      </w:r>
      <w:r>
        <w:t>/C/TiO</w:t>
      </w:r>
      <w:r>
        <w:rPr>
          <w:vertAlign w:val="subscript"/>
        </w:rPr>
        <w:t>2</w:t>
      </w:r>
      <w:r>
        <w:t>) photoanode to modulate its interfacial electronic structure, thereby converting alkaline‐pretreated polyethylene terephthalate (PET) into formate. The optimized photoanode delivered a formate yield 2.7 times that of bare Ni(OH)</w:t>
      </w:r>
      <w:r>
        <w:rPr>
          <w:vertAlign w:val="subscript"/>
        </w:rPr>
        <w:t>2</w:t>
      </w:r>
      <w:r>
        <w:t>/TiO</w:t>
      </w:r>
      <w:r>
        <w:rPr>
          <w:vertAlign w:val="subscript"/>
        </w:rPr>
        <w:t>2</w:t>
      </w:r>
      <w:r>
        <w:t>with a stable Faradaic efficiency (FE) of 96.2% across 0.4–1.2 V versus RHE. The enhancement mechanism of the carbon layer was elucidated by in situ characterization and theoretical calculations. The carbon layer modulated interfacial charge distribution at the photoanode, which not only facilitates charge transfer but also strengthens adsorption of PET‐derived ethylene glycol and stabilizes key intermediates, achieving high selectivity for formate. Additionally, a stable PEC tandem cell was assembled that co‐converted PET and CO</w:t>
      </w:r>
      <w:r>
        <w:rPr>
          <w:vertAlign w:val="subscript"/>
        </w:rPr>
        <w:t>2</w:t>
      </w:r>
      <w:r>
        <w:t>to formate without external bias, attaining a formate FE of 171.1% (FE</w:t>
      </w:r>
      <w:r>
        <w:t xml:space="preserve"> </w:t>
      </w:r>
      <w:r>
        <w:t>max</w:t>
      </w:r>
      <w:r>
        <w:t xml:space="preserve"> </w:t>
      </w:r>
      <w:r>
        <w:t>= 192.2% at 0.3 V). This study provides insights into the role of carbon layers in optimizing interfacial reactions, guiding the development of an integrated PEC cell for simultaneous valorization of plastics and CO</w:t>
      </w:r>
      <w:r>
        <w:rPr>
          <w:vertAlign w:val="subscript"/>
        </w:rPr>
        <w:t>2</w:t>
      </w:r>
      <w:r>
        <w:t>.</w:t>
      </w:r>
    </w:p>
    <w:p>
      <w:pPr>
        <w:spacing w:before="120" w:after="120"/>
      </w:pPr>
      <w:r>
        <w:rPr>
          <w:sz w:val="18"/>
        </w:rPr>
        <w:t>——————————————————————————————————————————————————————————————————————</w:t>
      </w:r>
    </w:p>
    <w:p>
      <w:pPr>
        <w:spacing w:before="160" w:after="80" w:line="240" w:lineRule="auto"/>
      </w:pPr>
      <w:r>
        <w:rPr>
          <w:b/>
        </w:rPr>
        <w:t xml:space="preserve">[193] </w:t>
      </w:r>
      <w:hyperlink r:id="rId342">
        <w:r>
          <w:rPr>
            <w:color w:val="1155CC"/>
            <w:u w:val="single"/>
          </w:rPr>
          <w:t>Effective Coordination Promoted Carbene N─H Bond Insertion on Heterogeneous Cu Catalyst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43">
        <w:r>
          <w:rPr>
            <w:color w:val="1155CC"/>
            <w:u w:val="single"/>
          </w:rPr>
          <w:t>10.1002/anie.202517764</w:t>
        </w:r>
      </w:hyperlink>
    </w:p>
    <w:p>
      <w:pPr>
        <w:spacing w:before="0" w:after="120"/>
      </w:pPr>
      <w:r>
        <w:rPr>
          <w:b/>
        </w:rPr>
        <w:t xml:space="preserve">Notes: </w:t>
      </w:r>
      <w:r>
        <w:t>abstract_source=crossref</w:t>
      </w:r>
    </w:p>
    <w:p>
      <w:pPr>
        <w:spacing w:before="0" w:after="200" w:lineRule="auto" w:line="276"/>
      </w:pPr>
      <w:r>
        <w:rPr>
          <w:b/>
        </w:rPr>
        <w:t xml:space="preserve">Abstract: </w:t>
      </w:r>
      <w:r>
        <w:t>In this study, we present a rationally designed Cu nanowire (NW) catalyst for carbene N─H bond insertion, addressing the challenges associated with highly coordinative aliphatic amines. The heterogeneous Cu NW catalyst with well‐defined structures efficiently catalyzed carbene insertion reactions between various α‐aryl diazoesters and aliphatic amines including monoethanolamine (MEA), achieving moderate to high yields. Infrared spectroscopy analysis and theoretical studies confirm the strong coordination of MEA on the surface of the Cu NW. Comprehensive kinetic studies reveal that both the two substrates and Cu NW were involved in the rate‐determining step (RDS). Notably, the observed second‐order dependence on Cu NW suggests that two identical Cu atoms participated in the RDS, one coordinating with the carbene carbon and the other binding with the amine nitrogen. A Hammett‐plot study with 4‐substituted benzylamines reveal that amines bearing electron‐donating groups reacted significantly more slowly than those bearing electron‐withdrawing groups, supporting a concerted N─H carbene insertion mechanism. Collectively, these findings elucidate the exceptional catalytic performance of Cu NW in carbene N─H bond insertion reactions, further underscoring the significance of heterogeneous catalysts in organic transformations.</w:t>
      </w:r>
    </w:p>
    <w:p>
      <w:pPr>
        <w:spacing w:before="120" w:after="120"/>
      </w:pPr>
      <w:r>
        <w:rPr>
          <w:sz w:val="18"/>
        </w:rPr>
        <w:t>——————————————————————————————————————————————————————————————————————</w:t>
      </w:r>
    </w:p>
    <w:p>
      <w:pPr>
        <w:spacing w:before="160" w:after="80" w:line="240" w:lineRule="auto"/>
      </w:pPr>
      <w:r>
        <w:rPr>
          <w:b/>
        </w:rPr>
        <w:t xml:space="preserve">[194] </w:t>
      </w:r>
      <w:hyperlink r:id="rId344">
        <w:r>
          <w:rPr>
            <w:color w:val="1155CC"/>
            <w:u w:val="single"/>
          </w:rPr>
          <w:t>Hemi‐Indigiosin: A pH and Red‐Light Responsive Transmembrane HCl Transporter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45">
        <w:r>
          <w:rPr>
            <w:color w:val="1155CC"/>
            <w:u w:val="single"/>
          </w:rPr>
          <w:t>10.1002/anie.202515930</w:t>
        </w:r>
      </w:hyperlink>
    </w:p>
    <w:p>
      <w:pPr>
        <w:spacing w:before="0" w:after="120"/>
      </w:pPr>
      <w:r>
        <w:rPr>
          <w:b/>
        </w:rPr>
        <w:t xml:space="preserve">Notes: </w:t>
      </w:r>
      <w:r>
        <w:t>abstract_source=crossref</w:t>
      </w:r>
    </w:p>
    <w:p>
      <w:pPr>
        <w:spacing w:before="0" w:after="200" w:lineRule="auto" w:line="276"/>
      </w:pPr>
      <w:r>
        <w:rPr>
          <w:b/>
        </w:rPr>
        <w:t xml:space="preserve">Abstract: </w:t>
      </w:r>
      <w:r>
        <w:t>Synthetic anion transporters have emerged as promising therapeutic agents. However, their targeting ability is still low. Herein, we present hemi‐indigiosin, which is structurally related to prodigiosin—a well‐studied natural product exhibiting a wide range of biological activities. Our hemi‐indigiosin is shown to have similar HCl transport selectivity and pH‐dependent activity as prodigiosin, while in addition it can be deactivated by irradiation with visible light. This deactivation is effective due to high photoconversion from the active chloride‐binding</w:t>
      </w:r>
      <w:r>
        <w:t xml:space="preserve"> </w:t>
      </w:r>
      <w:r>
        <w:t>Z</w:t>
      </w:r>
      <w:r>
        <w:t xml:space="preserve"> </w:t>
      </w:r>
      <w:r>
        <w:t>‐isomer to the inactive</w:t>
      </w:r>
      <w:r>
        <w:t xml:space="preserve"> </w:t>
      </w:r>
      <w:r>
        <w:t>E</w:t>
      </w:r>
      <w:r>
        <w:t xml:space="preserve"> </w:t>
      </w:r>
      <w:r>
        <w:t>‐isomer, not exposing a chloride‐binding site. Transport activity is thus controlled by both pH change and light, which will allow improved targeting of pathological sites and prevent ecological impact after drug excretion into the environment.</w:t>
      </w:r>
    </w:p>
    <w:p>
      <w:pPr>
        <w:spacing w:before="120" w:after="120"/>
      </w:pPr>
      <w:r>
        <w:rPr>
          <w:sz w:val="18"/>
        </w:rPr>
        <w:t>——————————————————————————————————————————————————————————————————————</w:t>
      </w:r>
    </w:p>
    <w:p>
      <w:pPr>
        <w:spacing w:before="160" w:after="80" w:line="240" w:lineRule="auto"/>
      </w:pPr>
      <w:r>
        <w:rPr>
          <w:b/>
        </w:rPr>
        <w:t xml:space="preserve">[195] </w:t>
      </w:r>
      <w:hyperlink r:id="rId346">
        <w:r>
          <w:rPr>
            <w:color w:val="1155CC"/>
            <w:u w:val="single"/>
          </w:rPr>
          <w:t>Rapid Fabrication of Defective CuInP2S6 Nanosheets for Efficient CO2‐to‐Formate Conversion over Wide Current Densities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47">
        <w:r>
          <w:rPr>
            <w:color w:val="1155CC"/>
            <w:u w:val="single"/>
          </w:rPr>
          <w:t>10.1002/anie.202516041</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CO</w:t>
      </w:r>
      <w:r>
        <w:rPr>
          <w:vertAlign w:val="subscript"/>
        </w:rPr>
        <w:t>2</w:t>
      </w:r>
      <w:r>
        <w:t>reduction reaction (CO</w:t>
      </w:r>
      <w:r>
        <w:rPr>
          <w:vertAlign w:val="subscript"/>
        </w:rPr>
        <w:t>2</w:t>
      </w:r>
      <w:r>
        <w:t>RR) to produce value‐added chemicals offers a promising approach to mitigate global warming and address the energy crisis. However, the development of highly selective and durable catalysts that perform reliably across varying operational conditions remains challenging. In this work, we report the synthesis of lithium‐intercalated CuInP</w:t>
      </w:r>
      <w:r>
        <w:rPr>
          <w:vertAlign w:val="subscript"/>
        </w:rPr>
        <w:t>2</w:t>
      </w:r>
      <w:r>
        <w:t>S</w:t>
      </w:r>
      <w:r>
        <w:rPr>
          <w:vertAlign w:val="subscript"/>
        </w:rPr>
        <w:t>6</w:t>
      </w:r>
      <w:r>
        <w:t>(Li‐CIPS) with a layered structure via a one‐step chemical vapor transport method. Compared to pristine CuInP</w:t>
      </w:r>
      <w:r>
        <w:rPr>
          <w:vertAlign w:val="subscript"/>
        </w:rPr>
        <w:t>2</w:t>
      </w:r>
      <w:r>
        <w:t>S</w:t>
      </w:r>
      <w:r>
        <w:rPr>
          <w:vertAlign w:val="subscript"/>
        </w:rPr>
        <w:t>6</w:t>
      </w:r>
      <w:r>
        <w:t>, lithium intercalation in Li‐CIPS facilitates the rapid production of ultrathin CuInP</w:t>
      </w:r>
      <w:r>
        <w:rPr>
          <w:vertAlign w:val="subscript"/>
        </w:rPr>
        <w:t>2</w:t>
      </w:r>
      <w:r>
        <w:t>S</w:t>
      </w:r>
      <w:r>
        <w:rPr>
          <w:vertAlign w:val="subscript"/>
        </w:rPr>
        <w:t>6</w:t>
      </w:r>
      <w:r>
        <w:t>nanosheets through simple soaking in water. Experimental and theoretical investigations reveal that these ultrathin Li‐CIPS nanosheets contain abundant sulfur vacancies (Vs), which can substantially enhance the CO</w:t>
      </w:r>
      <w:r>
        <w:rPr>
          <w:vertAlign w:val="subscript"/>
        </w:rPr>
        <w:t>2</w:t>
      </w:r>
      <w:r>
        <w:t>RR activity while suppressing the competing hydrogen evolution reaction. As a result, the Li‐CIPS catalyst achieves over 90% Faradaic efficiency (FE) for formate production across wide current densities ranging from 100 to 800 mA cm</w:t>
      </w:r>
      <w:r>
        <w:t xml:space="preserve"> </w:t>
      </w:r>
      <w:r>
        <w:t>−2</w:t>
      </w:r>
      <w:r>
        <w:t xml:space="preserve"> </w:t>
      </w:r>
      <w:r>
        <w:t>, and it maintains stable operation over 100 h at 200 mA cm</w:t>
      </w:r>
      <w:r>
        <w:t xml:space="preserve"> </w:t>
      </w:r>
      <w:r>
        <w:t>−2</w:t>
      </w:r>
      <w:r>
        <w:t xml:space="preserve"> </w:t>
      </w:r>
      <w:r>
        <w:t>. This study highlights a promising and selective AMP</w:t>
      </w:r>
      <w:r>
        <w:rPr>
          <w:vertAlign w:val="subscript"/>
        </w:rPr>
        <w:t>2</w:t>
      </w:r>
      <w:r>
        <w:t>X</w:t>
      </w:r>
      <w:r>
        <w:rPr>
          <w:vertAlign w:val="subscript"/>
        </w:rPr>
        <w:t>6</w:t>
      </w:r>
      <w:r>
        <w:t>‐based electrocatalyst for efficient CO</w:t>
      </w:r>
      <w:r>
        <w:rPr>
          <w:vertAlign w:val="subscript"/>
        </w:rPr>
        <w:t>2</w:t>
      </w:r>
      <w:r>
        <w:t>‐to‐formate conversion in practical applications.</w:t>
      </w:r>
    </w:p>
    <w:p>
      <w:pPr>
        <w:spacing w:before="120" w:after="120"/>
      </w:pPr>
      <w:r>
        <w:rPr>
          <w:sz w:val="18"/>
        </w:rPr>
        <w:t>——————————————————————————————————————————————————————————————————————</w:t>
      </w:r>
    </w:p>
    <w:p>
      <w:pPr>
        <w:spacing w:before="160" w:after="80" w:line="240" w:lineRule="auto"/>
      </w:pPr>
      <w:r>
        <w:rPr>
          <w:b/>
        </w:rPr>
        <w:t xml:space="preserve">[196] </w:t>
      </w:r>
      <w:hyperlink r:id="rId348">
        <w:r>
          <w:rPr>
            <w:color w:val="1155CC"/>
            <w:u w:val="single"/>
          </w:rPr>
          <w:t>RETRACTION: Adaptive Amphiphilic Dendrimer‐Based Nanoassemblies as Robust and Versatile siRNA Delivery Systems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[197] </w:t>
      </w:r>
      <w:hyperlink r:id="rId349">
        <w:r>
          <w:rPr>
            <w:color w:val="1155CC"/>
            <w:u w:val="single"/>
          </w:rPr>
          <w:t>Xiao‐Hui Yang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50">
        <w:r>
          <w:rPr>
            <w:color w:val="1155CC"/>
            <w:u w:val="single"/>
          </w:rPr>
          <w:t>10.1002/anie.202522612</w:t>
        </w:r>
      </w:hyperlink>
    </w:p>
    <w:p>
      <w:pPr>
        <w:spacing w:before="0" w:after="120"/>
      </w:pPr>
      <w:r>
        <w:rPr>
          <w:b/>
        </w:rPr>
        <w:t xml:space="preserve">Notes: </w:t>
      </w:r>
      <w:r>
        <w:t>abstract_source=openalex</w:t>
      </w:r>
    </w:p>
    <w:p>
      <w:pPr>
        <w:spacing w:before="0" w:after="200" w:lineRule="auto" w:line="276"/>
      </w:pPr>
      <w:r>
        <w:rPr>
          <w:b/>
        </w:rPr>
        <w:t xml:space="preserve">Abstract: </w:t>
      </w:r>
      <w:r>
        <w:t>"The most important thing I have learned from my students is to never stop asking "naïve" questions. Their fresh perspectives, unburdened by established dogma, often challenge my assumptions and lead to the most innovative approaches… I get my best ideas when I'm not actively trying to have them. They often appear during a long walk, in the shower, or right as I'm waking up…" Find out more about Xiao-Hui Yang in her Introducing… Profile.</w:t>
      </w:r>
    </w:p>
    <w:p>
      <w:pPr>
        <w:spacing w:before="120" w:after="120"/>
      </w:pPr>
      <w:r>
        <w:rPr>
          <w:sz w:val="18"/>
        </w:rPr>
        <w:t>——————————————————————————————————————————————————————————————————————</w:t>
      </w:r>
    </w:p>
    <w:p>
      <w:pPr>
        <w:spacing w:before="160" w:after="80" w:line="240" w:lineRule="auto"/>
      </w:pPr>
      <w:r>
        <w:rPr>
          <w:b/>
        </w:rPr>
        <w:t xml:space="preserve">[198] </w:t>
      </w:r>
      <w:hyperlink r:id="rId351">
        <w:r>
          <w:rPr>
            <w:color w:val="1155CC"/>
            <w:u w:val="single"/>
          </w:rPr>
          <w:t>Cooperative Brønsted Acid and Photo‐Promoted Stereoselective Synthesis of Substituted Piperidones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52">
        <w:r>
          <w:rPr>
            <w:color w:val="1155CC"/>
            <w:u w:val="single"/>
          </w:rPr>
          <w:t>10.1002/anie.202516050</w:t>
        </w:r>
      </w:hyperlink>
    </w:p>
    <w:p>
      <w:pPr>
        <w:spacing w:before="0" w:after="120"/>
      </w:pPr>
      <w:r>
        <w:rPr>
          <w:b/>
        </w:rPr>
        <w:t xml:space="preserve">Notes: </w:t>
      </w:r>
      <w:r>
        <w:t>abstract_source=crossref</w:t>
      </w:r>
    </w:p>
    <w:p>
      <w:pPr>
        <w:spacing w:before="0" w:after="200" w:lineRule="auto" w:line="276"/>
      </w:pPr>
      <w:r>
        <w:rPr>
          <w:b/>
        </w:rPr>
        <w:t xml:space="preserve">Abstract: </w:t>
      </w:r>
      <w:r>
        <w:t>Saturated nitrogen heterocycles are highly prevalent in medicinal chemistry, agrochemistry, and material science. Despite extensive research to access substituted piperidines and related compounds, there remains a strong demand for new stereoselective approaches. We present a Brønsted acid‐promoted, light‐induced formal ring‐insertion strategy for the efficient synthesis of piperidone and pyrrolidone derivatives. This method enables the efficient construction of thermodynamically disfavored</w:t>
      </w:r>
      <w:r>
        <w:t xml:space="preserve"> </w:t>
      </w:r>
      <w:r>
        <w:t>cis</w:t>
      </w:r>
      <w:r>
        <w:t xml:space="preserve"> </w:t>
      </w:r>
      <w:r>
        <w:t>‐disubstituted piperidone and pyrrolidone derivatives. A key aspect of this strategy is the use of an acyl imidazole as a uniquely capable chromophore activator, in cooperation with the Brønsted acid, which controls both reactivity and stereoselectivity without the need for photosensitizers. The unique properties of the in situ generated carbonyl triplet diradical enable a selective 1,5‐hydrogen atom transfer process, followed by C─N bond cleavage and a subsequent Mannich reaction, offering broad functional group tolerance. The synthetic utility of this methodology was exemplified by the preparation of key intermediates for the synthesis of neurokinin 1 antagonist drug candidates.</w:t>
      </w:r>
    </w:p>
    <w:p>
      <w:pPr>
        <w:spacing w:before="120" w:after="120"/>
      </w:pPr>
      <w:r>
        <w:rPr>
          <w:sz w:val="18"/>
        </w:rPr>
        <w:t>——————————————————————————————————————————————————————————————————————</w:t>
      </w:r>
    </w:p>
    <w:p>
      <w:pPr>
        <w:spacing w:before="160" w:after="80" w:line="240" w:lineRule="auto"/>
      </w:pPr>
      <w:r>
        <w:rPr>
          <w:b/>
        </w:rPr>
        <w:t xml:space="preserve">[199] </w:t>
      </w:r>
      <w:hyperlink r:id="rId353">
        <w:r>
          <w:rPr>
            <w:color w:val="1155CC"/>
            <w:u w:val="single"/>
          </w:rPr>
          <w:t>Beyond van der Waals: Modular Identification of 2D Materials in Strongly Bonded Layered Crystals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54">
        <w:r>
          <w:rPr>
            <w:color w:val="1155CC"/>
            <w:u w:val="single"/>
          </w:rPr>
          <w:t>10.1002/anie.202516076</w:t>
        </w:r>
      </w:hyperlink>
    </w:p>
    <w:p>
      <w:pPr>
        <w:spacing w:before="0" w:after="120"/>
      </w:pPr>
      <w:r>
        <w:rPr>
          <w:b/>
        </w:rPr>
        <w:t xml:space="preserve">Notes: </w:t>
      </w:r>
      <w:r>
        <w:t>abstract_source=crossref</w:t>
      </w:r>
    </w:p>
    <w:p>
      <w:pPr>
        <w:spacing w:before="0" w:after="200" w:lineRule="auto" w:line="276"/>
      </w:pPr>
      <w:r>
        <w:rPr>
          <w:b/>
        </w:rPr>
        <w:t xml:space="preserve">Abstract: </w:t>
      </w:r>
      <w:r>
        <w:t>Top‐down exfoliation of layered solids has revolutionized materials innovation by enabling unprecedented access to atomically thin architectures. To expand the frontier of two‐dimensional (2D) materials, it is imperative to systematically identify non‐van der Waals (non‐vdW) layered systems with strong interlayer bonding. While conventional atomic distance‐based algorithms effectively identify vdW materials, they are considerably limited when applied to chemically bonded non‐vdW systems due to their inherent bonding complexity. Here, we introduce a structural modularity paradigm that resolves dimensional identification challenges by removing specific elements from strongly bonded crystals to construct artificial substructures from residual atoms. Coupled with the appropriate layer‐recognition algorithms for vdW lattices, this approach reveals 8,889 hidden 2D modules across 30,147 ternary compounds, of which 80.6% are undetectable by traditional layer‐detection approaches. These findings show that non‐vdW layered solids significantly outnumber vdW counterparts (1,383), highlighting a vast chemical space for 2D materials exploration. High‐throughput thermodynamic screening of 15,312 ternary oxides identifies 1,083 chemically stable 2D modules exfoliable via a proton exchange‐assisted method. Validation against 15 experimentally reported 2D oxide nanosheets, along with the first synthesis of ultrathin H</w:t>
      </w:r>
      <w:r>
        <w:t xml:space="preserve"> </w:t>
      </w:r>
      <w:r>
        <w:t>x</w:t>
      </w:r>
      <w:r>
        <w:t xml:space="preserve"> </w:t>
      </w:r>
      <w:r>
        <w:t>RuO</w:t>
      </w:r>
      <w:r>
        <w:rPr>
          <w:vertAlign w:val="subscript"/>
        </w:rPr>
        <w:t>3</w:t>
      </w:r>
      <w:r>
        <w:t>nanosheets from non‐vdW Na</w:t>
      </w:r>
      <w:r>
        <w:rPr>
          <w:vertAlign w:val="subscript"/>
        </w:rPr>
        <w:t>2</w:t>
      </w:r>
      <w:r>
        <w:t>RuO</w:t>
      </w:r>
      <w:r>
        <w:rPr>
          <w:vertAlign w:val="subscript"/>
        </w:rPr>
        <w:t>3</w:t>
      </w:r>
      <w:r>
        <w:t>crystal, confirms the reliability and predictive strength of this method for both known and previously unexplored systems.</w:t>
      </w:r>
    </w:p>
    <w:p>
      <w:pPr>
        <w:spacing w:before="120" w:after="120"/>
      </w:pPr>
      <w:r>
        <w:rPr>
          <w:sz w:val="18"/>
        </w:rPr>
        <w:t>——————————————————————————————————————————————————————————————————————</w:t>
      </w:r>
    </w:p>
    <w:p>
      <w:pPr>
        <w:spacing w:before="160" w:after="80" w:line="240" w:lineRule="auto"/>
      </w:pPr>
      <w:r>
        <w:rPr>
          <w:b/>
        </w:rPr>
        <w:t xml:space="preserve">[200] </w:t>
      </w:r>
      <w:hyperlink r:id="rId355">
        <w:r>
          <w:rPr>
            <w:color w:val="1155CC"/>
            <w:u w:val="single"/>
          </w:rPr>
          <w:t>Mechanistic Insights into Adsorptive and Catalytic Reactions from Controllable Distributions of Metal Cations (Pd, Pt, Ni, Cr, Cu) as [M‐OH]+1/1Al or M+2/2Al in Zeolites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56">
        <w:r>
          <w:rPr>
            <w:color w:val="1155CC"/>
            <w:u w:val="single"/>
          </w:rPr>
          <w:t>10.1002/anie.202516086</w:t>
        </w:r>
      </w:hyperlink>
    </w:p>
    <w:p>
      <w:pPr>
        <w:spacing w:before="0" w:after="120"/>
      </w:pPr>
      <w:r>
        <w:rPr>
          <w:b/>
        </w:rPr>
        <w:t xml:space="preserve">Notes: </w:t>
      </w:r>
      <w:r>
        <w:t>abstract_source=crossref</w:t>
      </w:r>
    </w:p>
    <w:p>
      <w:pPr>
        <w:spacing w:before="0" w:after="200" w:lineRule="auto" w:line="276"/>
      </w:pPr>
      <w:r>
        <w:rPr>
          <w:b/>
        </w:rPr>
        <w:t xml:space="preserve">Abstract: </w:t>
      </w:r>
      <w:r>
        <w:t>Anchoring divalent metal ions in the same zeolite framework with similar Si/Al ratio selectively as zeolite‐bound M</w:t>
      </w:r>
      <w:r>
        <w:t xml:space="preserve"> </w:t>
      </w:r>
      <w:r>
        <w:t>+2</w:t>
      </w:r>
      <w:r>
        <w:t xml:space="preserve"> </w:t>
      </w:r>
      <w:r>
        <w:t>or [M</w:t>
      </w:r>
      <w:r>
        <w:t xml:space="preserve"> </w:t>
      </w:r>
      <w:r>
        <w:t>+2</w:t>
      </w:r>
      <w:r>
        <w:t xml:space="preserve"> </w:t>
      </w:r>
      <w:r>
        <w:t>‐OH]</w:t>
      </w:r>
      <w:r>
        <w:t xml:space="preserve"> </w:t>
      </w:r>
      <w:r>
        <w:t>+1</w:t>
      </w:r>
      <w:r>
        <w:t xml:space="preserve"> </w:t>
      </w:r>
      <w:r>
        <w:t>cationic species enables critical comparison of the species’ intrinsic reactivity for industrially and fundamentally relevant reactions. H‐BEA zeolites with similar Si/Al ratios but differing framework Al siting were used to anchored multiple divalent metal cations (Ni, Pd, Pt, Cr, Cu) in the zeolite micropores. State‐of‐the‐art infrared (IR) spectroscopy, electron paramagnetic resonance (EPR) measurements, including two‐dimensional pulsed HYSCORE EPR, extended X‐ray absorption fine structure (EXAFS), and density functional theory (DFT) calculations together provide unambiguous evidence for the selective formation of divalent metal cations as M</w:t>
      </w:r>
      <w:r>
        <w:t xml:space="preserve"> </w:t>
      </w:r>
      <w:r>
        <w:t>+2</w:t>
      </w:r>
      <w:r>
        <w:t xml:space="preserve"> </w:t>
      </w:r>
      <w:r>
        <w:t>/2Al species (for H‐BEA prepared in the conventional hydroxide media), and [M</w:t>
      </w:r>
      <w:r>
        <w:t xml:space="preserve"> </w:t>
      </w:r>
      <w:r>
        <w:t>+2</w:t>
      </w:r>
      <w:r>
        <w:t xml:space="preserve"> </w:t>
      </w:r>
      <w:r>
        <w:t>OH]</w:t>
      </w:r>
      <w:r>
        <w:t xml:space="preserve"> </w:t>
      </w:r>
      <w:r>
        <w:t>+1</w:t>
      </w:r>
      <w:r>
        <w:t xml:space="preserve"> </w:t>
      </w:r>
      <w:r>
        <w:t>/1Al species for H‐BEA prepared in HF. Solid‐state proton‐decoupled triple‐quantum magic‐angle spinning (3Q MAS) NMR measurements confirmed contrasting Al distributions in the two H‐BEA zeolites, which led to a contrasting divalent cation speciation. The reactivities of the two cationic species were explored for catalytic and adsorptive applications in both organometallic homogeneous and heterogeneous catalysis. This work demonstrates their divergent reactivity in ethylene dimerization, ethylene oxidation (Wacker process), selective catalytic reduction (SCR) of NO, NO adsorption, and methane oxidation. Both M</w:t>
      </w:r>
      <w:r>
        <w:t xml:space="preserve"> </w:t>
      </w:r>
      <w:r>
        <w:t>+2</w:t>
      </w:r>
      <w:r>
        <w:t xml:space="preserve"> </w:t>
      </w:r>
      <w:r>
        <w:t>/2Al and [M</w:t>
      </w:r>
      <w:r>
        <w:t xml:space="preserve"> </w:t>
      </w:r>
      <w:r>
        <w:t>+2</w:t>
      </w:r>
      <w:r>
        <w:t xml:space="preserve"> </w:t>
      </w:r>
      <w:r>
        <w:t>OH]</w:t>
      </w:r>
      <w:r>
        <w:t xml:space="preserve"> </w:t>
      </w:r>
      <w:r>
        <w:t>+1</w:t>
      </w:r>
      <w:r>
        <w:t xml:space="preserve"> </w:t>
      </w:r>
      <w:r>
        <w:t>/1Al cations are both active for ethylene dimerization, but [M</w:t>
      </w:r>
      <w:r>
        <w:t xml:space="preserve"> </w:t>
      </w:r>
      <w:r>
        <w:t>+2</w:t>
      </w:r>
      <w:r>
        <w:t xml:space="preserve"> </w:t>
      </w:r>
      <w:r>
        <w:t>OH]</w:t>
      </w:r>
      <w:r>
        <w:t xml:space="preserve"> </w:t>
      </w:r>
      <w:r>
        <w:t>+1</w:t>
      </w:r>
      <w:r>
        <w:t xml:space="preserve"> </w:t>
      </w:r>
      <w:r>
        <w:t>/1Al species show higher reaction rates for each Pd, Ni, Pt. [M</w:t>
      </w:r>
      <w:r>
        <w:t xml:space="preserve"> </w:t>
      </w:r>
      <w:r>
        <w:t>+2</w:t>
      </w:r>
      <w:r>
        <w:t xml:space="preserve"> </w:t>
      </w:r>
      <w:r>
        <w:t>OH]</w:t>
      </w:r>
      <w:r>
        <w:t xml:space="preserve"> </w:t>
      </w:r>
      <w:r>
        <w:t>+1</w:t>
      </w:r>
      <w:r>
        <w:t xml:space="preserve"> </w:t>
      </w:r>
      <w:r>
        <w:t>/1Al is active for acetaldehyde formation in Wacker ethylene oxidation. A new active site for ethylene oligomerization is proposed that possesses a terminal OH group (Cr‐OH) in Phillips catalysts evident by a nearly inactive isolated Cr</w:t>
      </w:r>
      <w:r>
        <w:t xml:space="preserve"> </w:t>
      </w:r>
      <w:r>
        <w:t>+2</w:t>
      </w:r>
      <w:r>
        <w:t xml:space="preserve"> </w:t>
      </w:r>
      <w:r>
        <w:t>/2Al species that contrast an active Cr─OH motif.</w:t>
      </w:r>
    </w:p>
    <w:p>
      <w:pPr>
        <w:spacing w:before="120" w:after="120"/>
      </w:pPr>
      <w:r>
        <w:rPr>
          <w:sz w:val="18"/>
        </w:rPr>
        <w:t>——————————————————————————————————————————————————————————————————————</w:t>
      </w:r>
    </w:p>
    <w:p>
      <w:pPr>
        <w:spacing w:before="160" w:after="80" w:line="240" w:lineRule="auto"/>
      </w:pPr>
      <w:r>
        <w:rPr>
          <w:b/>
        </w:rPr>
        <w:t xml:space="preserve">[201] </w:t>
      </w:r>
      <w:hyperlink r:id="rId357">
        <w:r>
          <w:rPr>
            <w:color w:val="1155CC"/>
            <w:u w:val="single"/>
          </w:rPr>
          <w:t>Hydroxylamine Cation as B‐Site with Radius and Dipole Moment Modulation for Metal‐Free Halide Perovskite to Enhance X‐ray Detection Performance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58">
        <w:r>
          <w:rPr>
            <w:color w:val="1155CC"/>
            <w:u w:val="single"/>
          </w:rPr>
          <w:t>10.1002/anie.202516090</w:t>
        </w:r>
      </w:hyperlink>
    </w:p>
    <w:p>
      <w:pPr>
        <w:spacing w:before="0" w:after="120"/>
      </w:pPr>
      <w:r>
        <w:rPr>
          <w:b/>
        </w:rPr>
        <w:t xml:space="preserve">Notes: </w:t>
      </w:r>
      <w:r>
        <w:t>abstract_source=crossref</w:t>
      </w:r>
    </w:p>
    <w:p>
      <w:pPr>
        <w:spacing w:before="0" w:after="200" w:lineRule="auto" w:line="276"/>
      </w:pPr>
      <w:r>
        <w:rPr>
          <w:b/>
        </w:rPr>
        <w:t xml:space="preserve">Abstract: </w:t>
      </w:r>
      <w:r>
        <w:t>Nowadays, metal‐free halide perovskites (MFHPs) with good structural tunability, biocompatibility, and light weight have been studied in the X‐ray field. Unlike the strong ionic bonds in metal halide perovskites, weak hydrogen bonds play a significant role in the stability and performance of MFHPs. However, as a critical component in the formation of hydrogen‐bond networks, the B‐site cation (NH</w:t>
      </w:r>
      <w:r>
        <w:rPr>
          <w:vertAlign w:val="subscript"/>
        </w:rPr>
        <w:t>4</w:t>
      </w:r>
      <w:r>
        <w:t>+</w:t>
      </w:r>
      <w:r>
        <w:t xml:space="preserve"> </w:t>
      </w:r>
      <w:r>
        <w:t>) exhibits spatial, geometric, and symmetry conflicts with the octahedral framework, constraining the viable material and structure compositions in MFHPs. In this study, the NH</w:t>
      </w:r>
      <w:r>
        <w:rPr>
          <w:vertAlign w:val="subscript"/>
        </w:rPr>
        <w:t>3</w:t>
      </w:r>
      <w:r>
        <w:t>OH</w:t>
      </w:r>
      <w:r>
        <w:t xml:space="preserve"> </w:t>
      </w:r>
      <w:r>
        <w:t>+</w:t>
      </w:r>
      <w:r>
        <w:t xml:space="preserve"> </w:t>
      </w:r>
      <w:r>
        <w:t>cation with larger radius and dipole moment is successfully incorporated into MFHPs to explore the functional mechanisms of B‐site design. Theoretical simulations and experiments reveal that the NH</w:t>
      </w:r>
      <w:r>
        <w:rPr>
          <w:vertAlign w:val="subscript"/>
        </w:rPr>
        <w:t>3</w:t>
      </w:r>
      <w:r>
        <w:t>OH</w:t>
      </w:r>
      <w:r>
        <w:t xml:space="preserve"> </w:t>
      </w:r>
      <w:r>
        <w:t>+</w:t>
      </w:r>
      <w:r>
        <w:t xml:space="preserve"> </w:t>
      </w:r>
      <w:r>
        <w:t>cation can regulate octahedral composition and structural dimensionality of MFHPs, thereby optimizing bandgap and carrier transport capacity. Importantly, hydroxyl groups in NH</w:t>
      </w:r>
      <w:r>
        <w:rPr>
          <w:vertAlign w:val="subscript"/>
        </w:rPr>
        <w:t>3</w:t>
      </w:r>
      <w:r>
        <w:t>OH</w:t>
      </w:r>
      <w:r>
        <w:t xml:space="preserve"> </w:t>
      </w:r>
      <w:r>
        <w:t>+</w:t>
      </w:r>
      <w:r>
        <w:t xml:space="preserve"> </w:t>
      </w:r>
      <w:r>
        <w:t>can increase hydrogen‐bond sites and strength, reinforcing the hydrogen‐bond networks to stabilize the lattice structure and inhibit ion migration, thereby optimizing the device stability. Finally, the designed DABCO‐NH</w:t>
      </w:r>
      <w:r>
        <w:rPr>
          <w:vertAlign w:val="subscript"/>
        </w:rPr>
        <w:t>3</w:t>
      </w:r>
      <w:r>
        <w:t>OHCl</w:t>
      </w:r>
      <w:r>
        <w:rPr>
          <w:vertAlign w:val="subscript"/>
        </w:rPr>
        <w:t>3</w:t>
      </w:r>
      <w:r>
        <w:t>detector exhibited exceptional stability and sensitivity (1460 µC Gy</w:t>
      </w:r>
      <w:r>
        <w:t xml:space="preserve"> </w:t>
      </w:r>
      <w:r>
        <w:t>air</w:t>
      </w:r>
      <w:r>
        <w:t xml:space="preserve"> </w:t>
      </w:r>
      <w:r>
        <w:t>−1</w:t>
      </w:r>
      <w:r>
        <w:t xml:space="preserve"> </w:t>
      </w:r>
      <w:r>
        <w:t>cm</w:t>
      </w:r>
      <w:r>
        <w:t xml:space="preserve"> </w:t>
      </w:r>
      <w:r>
        <w:t>−2</w:t>
      </w:r>
      <w:r>
        <w:t xml:space="preserve"> </w:t>
      </w:r>
      <w:r>
        <w:t>at 200 V bias) under prolonged X‐ray irradiation, achieving ultralow dark current drift (1.86 × 10</w:t>
      </w:r>
      <w:r>
        <w:t xml:space="preserve"> </w:t>
      </w:r>
      <w:r>
        <w:t>−7</w:t>
      </w:r>
      <w:r>
        <w:t xml:space="preserve"> </w:t>
      </w:r>
      <w:r>
        <w:t>nA cm</w:t>
      </w:r>
      <w:r>
        <w:t xml:space="preserve"> </w:t>
      </w:r>
      <w:r>
        <w:t>−1</w:t>
      </w:r>
      <w:r>
        <w:t xml:space="preserve"> </w:t>
      </w:r>
      <w:r>
        <w:t>V</w:t>
      </w:r>
      <w:r>
        <w:t xml:space="preserve"> </w:t>
      </w:r>
      <w:r>
        <w:t>−1</w:t>
      </w:r>
      <w:r>
        <w:t xml:space="preserve"> </w:t>
      </w:r>
      <w:r>
        <w:t>s</w:t>
      </w:r>
      <w:r>
        <w:t xml:space="preserve"> </w:t>
      </w:r>
      <w:r>
        <w:t>−1</w:t>
      </w:r>
      <w:r>
        <w:t xml:space="preserve"> </w:t>
      </w:r>
      <w:r>
        <w:t>). Hence, the reported NH</w:t>
      </w:r>
      <w:r>
        <w:rPr>
          <w:vertAlign w:val="subscript"/>
        </w:rPr>
        <w:t>3</w:t>
      </w:r>
      <w:r>
        <w:t>OH</w:t>
      </w:r>
      <w:r>
        <w:t xml:space="preserve"> </w:t>
      </w:r>
      <w:r>
        <w:t>+</w:t>
      </w:r>
      <w:r>
        <w:t xml:space="preserve"> </w:t>
      </w:r>
      <w:r>
        <w:t>cation will offer design guidelines for future MFHPs optimization.</w:t>
      </w:r>
    </w:p>
    <w:p>
      <w:pPr>
        <w:spacing w:before="120" w:after="120"/>
      </w:pPr>
      <w:r>
        <w:rPr>
          <w:sz w:val="18"/>
        </w:rPr>
        <w:t>——————————————————————————————————————————————————————————————————————</w:t>
      </w:r>
    </w:p>
    <w:p>
      <w:pPr>
        <w:spacing w:before="160" w:after="80" w:line="240" w:lineRule="auto"/>
      </w:pPr>
      <w:r>
        <w:rPr>
          <w:b/>
        </w:rPr>
        <w:t xml:space="preserve">[202] </w:t>
      </w:r>
      <w:hyperlink r:id="rId359">
        <w:r>
          <w:rPr>
            <w:color w:val="1155CC"/>
            <w:u w:val="single"/>
          </w:rPr>
          <w:t>Biosynthesis of the Biphenomycin Family of Potent Antibiotics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60">
        <w:r>
          <w:rPr>
            <w:color w:val="1155CC"/>
            <w:u w:val="single"/>
          </w:rPr>
          <w:t>10.1002/anie.202516156</w:t>
        </w:r>
      </w:hyperlink>
    </w:p>
    <w:p>
      <w:pPr>
        <w:spacing w:before="0" w:after="120"/>
      </w:pPr>
      <w:r>
        <w:rPr>
          <w:b/>
        </w:rPr>
        <w:t xml:space="preserve">Notes: </w:t>
      </w:r>
      <w:r>
        <w:t>abstract_source=crossref</w:t>
      </w:r>
    </w:p>
    <w:p>
      <w:pPr>
        <w:spacing w:before="0" w:after="200" w:lineRule="auto" w:line="276"/>
      </w:pPr>
      <w:r>
        <w:rPr>
          <w:b/>
        </w:rPr>
        <w:t xml:space="preserve">Abstract: </w:t>
      </w:r>
      <w:r>
        <w:t>Peptide natural products are important molecules for the development of efficient drugs for human health applications. The biphenomycins are bacterial macrocyclic peptides characterized by unique</w:t>
      </w:r>
      <w:r>
        <w:t xml:space="preserve"> </w:t>
      </w:r>
      <w:r>
        <w:t>ortho</w:t>
      </w:r>
      <w:r>
        <w:t xml:space="preserve"> </w:t>
      </w:r>
      <w:r>
        <w:t>‐tyrosine (</w:t>
      </w:r>
      <w:r>
        <w:t xml:space="preserve"> </w:t>
      </w:r>
      <w:r>
        <w:t>o</w:t>
      </w:r>
      <w:r>
        <w:t xml:space="preserve"> </w:t>
      </w:r>
      <w:r>
        <w:t>Tyr) residues connected by biaryl linkages. Biphenomycins possess potent antibacterial activity against Gram‐positive pathogens at low doses with no eukaryotic toxicity. Despite their initial discovery in 1967, their biosynthetic pathway has remained elusive. Within this work, we identified the ribosomal biosynthetic origin of biphenomycins and elucidated all enzymatic maturation steps by in‐depth functional characterization in vivo and in vitro. Key steps include selective</w:t>
      </w:r>
      <w:r>
        <w:t xml:space="preserve"> </w:t>
      </w:r>
      <w:r>
        <w:t>ortho</w:t>
      </w:r>
      <w:r>
        <w:t xml:space="preserve"> </w:t>
      </w:r>
      <w:r>
        <w:t>‐hydroxylation events at two phenyl alanine residues catalyzed by a bifunctional multinuclear nonheme iron‐dependent oxidase yielding the</w:t>
      </w:r>
      <w:r>
        <w:t xml:space="preserve"> </w:t>
      </w:r>
      <w:r>
        <w:t>o</w:t>
      </w:r>
      <w:r>
        <w:t xml:space="preserve"> </w:t>
      </w:r>
      <w:r>
        <w:t>Tyr functionalities, biaryl cross coupling by a B12‐dependent radical SAM enzyme, amino acid side‐chain modifications by a highly regioselective arginase and by dedicated hydroxylases, as well as a stepwise proteolytic processing by a TldD‐type but self‐sufficient protease. These findings clarify the molecular basis of biphenomycin assembly, reveal unprecedented enzymatic dual functions, and provide the foundation for the targeted discovery of novel biphenomycins and for the development of bioengineering strategies to enhance yields and develop antibiotics with further increased potency, addressing the urgent need for new antimicrobial agents.</w:t>
      </w:r>
    </w:p>
    <w:p>
      <w:pPr>
        <w:spacing w:before="120" w:after="120"/>
      </w:pPr>
      <w:r>
        <w:rPr>
          <w:sz w:val="18"/>
        </w:rPr>
        <w:t>——————————————————————————————————————————————————————————————————————</w:t>
      </w:r>
    </w:p>
    <w:p>
      <w:pPr>
        <w:spacing w:before="160" w:after="80" w:line="240" w:lineRule="auto"/>
      </w:pPr>
      <w:r>
        <w:rPr>
          <w:b/>
        </w:rPr>
        <w:t xml:space="preserve">[203] </w:t>
      </w:r>
      <w:hyperlink r:id="rId361">
        <w:r>
          <w:rPr>
            <w:color w:val="1155CC"/>
            <w:u w:val="single"/>
          </w:rPr>
          <w:t>An Atomically Precise Ru1Au6(TBBT)6(PPh3)6 Cluster Catalyst for Ammonia Production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62">
        <w:r>
          <w:rPr>
            <w:color w:val="1155CC"/>
            <w:u w:val="single"/>
          </w:rPr>
          <w:t>10.1002/anie.202516398</w:t>
        </w:r>
      </w:hyperlink>
    </w:p>
    <w:p>
      <w:pPr>
        <w:spacing w:before="0" w:after="120"/>
      </w:pPr>
      <w:r>
        <w:rPr>
          <w:b/>
        </w:rPr>
        <w:t xml:space="preserve">Notes: </w:t>
      </w:r>
      <w:r>
        <w:t>abstract_source=crossref</w:t>
      </w:r>
    </w:p>
    <w:p>
      <w:pPr>
        <w:spacing w:before="0" w:after="200" w:lineRule="auto" w:line="276"/>
      </w:pPr>
      <w:r>
        <w:rPr>
          <w:b/>
        </w:rPr>
        <w:t xml:space="preserve">Abstract: </w:t>
      </w:r>
      <w:r>
        <w:t>Only one active site in a catalyst is not able to handle a deal of multitasking at once to facilitate distinct elementary steps in a catalytic cycle. To overcome this, a multi‐functional system is required by two or more functional units combined in one catalyst, with each unit playing a complementary role. Here we find that the Au site of Au(TBBT)PPh</w:t>
      </w:r>
      <w:r>
        <w:rPr>
          <w:vertAlign w:val="subscript"/>
        </w:rPr>
        <w:t>3</w:t>
      </w:r>
      <w:r>
        <w:t>(TBBT = 4‐</w:t>
      </w:r>
      <w:r>
        <w:t xml:space="preserve"> </w:t>
      </w:r>
      <w:r>
        <w:t>tert</w:t>
      </w:r>
      <w:r>
        <w:t xml:space="preserve"> </w:t>
      </w:r>
      <w:r>
        <w:t>‐butylbenzenethiol) complex not only activates water but also reduces nitrate to ammonia, resulting in a low efficiency for the electrocatalytic reduction of nitrate. To decouple the responsibility of the Au site, we synthesize a Ru</w:t>
      </w:r>
      <w:r>
        <w:rPr>
          <w:vertAlign w:val="subscript"/>
        </w:rPr>
        <w:t>1</w:t>
      </w:r>
      <w:r>
        <w:t>Au</w:t>
      </w:r>
      <w:r>
        <w:rPr>
          <w:vertAlign w:val="subscript"/>
        </w:rPr>
        <w:t>6</w:t>
      </w:r>
      <w:r>
        <w:t>(TBBT)</w:t>
      </w:r>
      <w:r>
        <w:rPr>
          <w:vertAlign w:val="subscript"/>
        </w:rPr>
        <w:t>6</w:t>
      </w:r>
      <w:r>
        <w:t>(PPh</w:t>
      </w:r>
      <w:r>
        <w:rPr>
          <w:vertAlign w:val="subscript"/>
        </w:rPr>
        <w:t>3</w:t>
      </w:r>
      <w:r>
        <w:t>)</w:t>
      </w:r>
      <w:r>
        <w:rPr>
          <w:vertAlign w:val="subscript"/>
        </w:rPr>
        <w:t>6</w:t>
      </w:r>
      <w:r>
        <w:t>cluster consisted of one Ru atom and six Au(TBBT)PPh</w:t>
      </w:r>
      <w:r>
        <w:rPr>
          <w:vertAlign w:val="subscript"/>
        </w:rPr>
        <w:t>3</w:t>
      </w:r>
      <w:r>
        <w:t>complexes bridged by the S atoms, in which the water dissociation is mostly undertaken on the Ru site for the steady supply of proton, while the nitrate is sequentially reduced on the Au sites. More notably, the hopping of proton from Ru to Au is readily proceeded over the S bridge, giving rise to positively cooperative couple of one Ru site and six Au sites among this cluster, and thereby 19‐fold efficiency increase is observed in comparison to this complex catalyst.</w:t>
      </w:r>
    </w:p>
    <w:p>
      <w:pPr>
        <w:spacing w:before="120" w:after="120"/>
      </w:pPr>
      <w:r>
        <w:rPr>
          <w:sz w:val="18"/>
        </w:rPr>
        <w:t>——————————————————————————————————————————————————————————————————————</w:t>
      </w:r>
    </w:p>
    <w:p>
      <w:pPr>
        <w:spacing w:before="160" w:after="80" w:line="240" w:lineRule="auto"/>
      </w:pPr>
      <w:r>
        <w:rPr>
          <w:b/>
        </w:rPr>
        <w:t xml:space="preserve">[204] </w:t>
      </w:r>
      <w:hyperlink r:id="rId363">
        <w:r>
          <w:rPr>
            <w:color w:val="1155CC"/>
            <w:u w:val="single"/>
          </w:rPr>
          <w:t>Stereodivergent Alkylation of Unstrained C(sp3)─C(sp3) Bonds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64">
        <w:r>
          <w:rPr>
            <w:color w:val="1155CC"/>
            <w:u w:val="single"/>
          </w:rPr>
          <w:t>10.1002/anie.202516620</w:t>
        </w:r>
      </w:hyperlink>
    </w:p>
    <w:p>
      <w:pPr>
        <w:spacing w:before="0" w:after="120"/>
      </w:pPr>
      <w:r>
        <w:rPr>
          <w:b/>
        </w:rPr>
        <w:t xml:space="preserve">Notes: </w:t>
      </w:r>
      <w:r>
        <w:t>abstract_source=crossref</w:t>
      </w:r>
    </w:p>
    <w:p>
      <w:pPr>
        <w:spacing w:before="0" w:after="200" w:lineRule="auto" w:line="276"/>
      </w:pPr>
      <w:r>
        <w:rPr>
          <w:b/>
        </w:rPr>
        <w:t xml:space="preserve">Abstract: </w:t>
      </w:r>
      <w:r>
        <w:t>Asymmetric functionalization of C─C σ bond is a straightforward way to edit molecule backbones but heavily relies on strained rings. The related process with unstrained structure is highly challenging, and only several cases are reported. However, these examples can just achieve related enantiomers through C─C σ bond activation. The stereodivergent C─C σ bond functionalization for precise access to all stereoisomers is unknown. Here we have established two catalytic systems to show the feasibility of unstrained C─C σ bond functionalization as an efficient pathway in stereodivergent synthesis. Both unnatural amino acid derivatives bearing two vicinal stereocenters and carbonyl compounds containing a tertiary fluoride are constructed in good yields with high diastereo‐ and enantioselectivities. Stereodivergent access to all these chiral skeletons is demonstrated possible with simple dictation of ligand configurations. Mechanistic studies unveil the resolution pathway of racemic allyl substrates through diene formation instead of typical metal interconversion and C─C formation as rate‐determining step.</w:t>
      </w:r>
    </w:p>
    <w:p>
      <w:pPr>
        <w:spacing w:before="120" w:after="120"/>
      </w:pPr>
      <w:r>
        <w:rPr>
          <w:sz w:val="18"/>
        </w:rPr>
        <w:t>——————————————————————————————————————————————————————————————————————</w:t>
      </w:r>
    </w:p>
    <w:p>
      <w:pPr>
        <w:spacing w:before="160" w:after="80" w:line="240" w:lineRule="auto"/>
      </w:pPr>
      <w:r>
        <w:rPr>
          <w:b/>
        </w:rPr>
        <w:t xml:space="preserve">[205] </w:t>
      </w:r>
      <w:hyperlink r:id="rId365">
        <w:r>
          <w:rPr>
            <w:color w:val="1155CC"/>
            <w:u w:val="single"/>
          </w:rPr>
          <w:t>Organic Microemulsion Electrolytes for Advanced Metal Secondary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66">
        <w:r>
          <w:rPr>
            <w:color w:val="1155CC"/>
            <w:u w:val="single"/>
          </w:rPr>
          <w:t>10.1002/anie.202516637</w:t>
        </w:r>
      </w:hyperlink>
    </w:p>
    <w:p>
      <w:pPr>
        <w:spacing w:before="0" w:after="120"/>
      </w:pPr>
      <w:r>
        <w:rPr>
          <w:b/>
        </w:rPr>
        <w:t xml:space="preserve">Notes: </w:t>
      </w:r>
      <w:r>
        <w:t>abstract_source=crossref</w:t>
      </w:r>
    </w:p>
    <w:p>
      <w:pPr>
        <w:spacing w:before="0" w:after="200" w:lineRule="auto" w:line="276"/>
      </w:pPr>
      <w:r>
        <w:rPr>
          <w:b/>
        </w:rPr>
        <w:t xml:space="preserve">Abstract: </w:t>
      </w:r>
      <w:r>
        <w:t>Current carbonate electrolytes encounter a bottleneck for high‐performance lithium rechargeable batteries due to their potential safety issues, narrow operating temperature range, limited electrochemical windows, and chemical instability. Herein, advanced organic microemulsion electrolytes (OMEs) are developed by emulsifying the high‐molar‐ratio electrolytes to decrease the viscosity and molarity with nonpolar solvents and surfactants. The as‐prepared nonflammable LiFSI‐TMP/TFEP/PFPN OME shows intrinsic safety and high stability toward the graphite anode and LiCoO</w:t>
      </w:r>
      <w:r>
        <w:rPr>
          <w:vertAlign w:val="subscript"/>
        </w:rPr>
        <w:t>2</w:t>
      </w:r>
      <w:r>
        <w:t>cathode. The pouch cells with this OME demonstrate long‐term cycling stability of 200 cycles, along with excellent low‐temperature performance, and meanwhile pass the nail penetration safety test. Moreover, the concept of “OME” can be extended to prepare other electrolyte systems with compatible electrochemical properties for different battery systems at extreme conditions, which opens a new avenue in electrolyte development by extending the choice of solvents for broadening the application fields of advanced rechargeable batteries.</w:t>
      </w:r>
    </w:p>
    <w:p>
      <w:pPr>
        <w:spacing w:before="120" w:after="120"/>
      </w:pPr>
      <w:r>
        <w:rPr>
          <w:sz w:val="18"/>
        </w:rPr>
        <w:t>——————————————————————————————————————————————————————————————————————</w:t>
      </w:r>
    </w:p>
    <w:p>
      <w:pPr>
        <w:spacing w:before="160" w:after="80" w:line="240" w:lineRule="auto"/>
      </w:pPr>
      <w:r>
        <w:rPr>
          <w:b/>
        </w:rPr>
        <w:t xml:space="preserve">[206] </w:t>
      </w:r>
      <w:hyperlink r:id="rId367">
        <w:r>
          <w:rPr>
            <w:color w:val="1155CC"/>
            <w:u w:val="single"/>
          </w:rPr>
          <w:t>Ionic Covalent Organic Framework Membranes for Rapid Moisture‐Driven Actuation and Sensing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68">
        <w:r>
          <w:rPr>
            <w:color w:val="1155CC"/>
            <w:u w:val="single"/>
          </w:rPr>
          <w:t>10.1002/anie.202521896</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smart materials capable of rapid and reversible responses to ambient humidity is essential for next‐generation sensors, monitoring systems, and adaptive devices. Covalent organic frameworks (COFs), with their tunable porosity and designable architectures, represent a promising class of materials for such stimuli‐responsive systems, yet practical implementation remains limited. In this study, we report a self‐standing ionic COF membrane, synthesized by integrating hydrogen‐bonding ionic functionalities into the framework backbone. This rational design endows the membrane with exceptional moisture‐driven actuation and sensing behavior. The unique hydrogen bonding interactions within the framework facilitate rapid water uptake and release, enabling a rapid response time of</w:t>
      </w:r>
      <w:r>
        <w:t xml:space="preserve"> </w:t>
      </w:r>
      <w:r>
        <w:t>1 s. The membrane demonstrates excellent mechanical flexibility, high water sorption capacity, and robust cycling durability. Results from DFT calculations and MD simulations revealed that water molecules could strongly adsorb onto the membrane via hydrogen bonding to modulate its micropore structure and facilitate its responsive behavior. Furthermore, its responsive behavior to subtle humidity changes makes it suitable for applications such as human‐interfacing soft actuators, smart switches, and soil moisture sensors. This study highlights the utility of ionic COF membranes as a versatile platform for creating next‐generation intelligent materials.</w:t>
      </w:r>
    </w:p>
    <w:p>
      <w:pPr>
        <w:spacing w:before="120" w:after="120"/>
      </w:pPr>
      <w:r>
        <w:rPr>
          <w:sz w:val="18"/>
        </w:rPr>
        <w:t>——————————————————————————————————————————————————————————————————————</w:t>
      </w:r>
    </w:p>
    <w:p>
      <w:pPr>
        <w:spacing w:before="160" w:after="80" w:line="240" w:lineRule="auto"/>
      </w:pPr>
      <w:r>
        <w:rPr>
          <w:b/>
        </w:rPr>
        <w:t xml:space="preserve">[207] </w:t>
      </w:r>
      <w:hyperlink r:id="rId369">
        <w:r>
          <w:rPr>
            <w:color w:val="1155CC"/>
            <w:u w:val="single"/>
          </w:rPr>
          <w:t>In Situ Visualization of Lattice‐Coherent Phase Oscillations and Active Brownian Motion of a Copper Catalyst During Hydrogen Oxidation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70">
        <w:r>
          <w:rPr>
            <w:color w:val="1155CC"/>
            <w:u w:val="single"/>
          </w:rPr>
          <w:t>10.1002/anie.202515820</w:t>
        </w:r>
      </w:hyperlink>
    </w:p>
    <w:p>
      <w:pPr>
        <w:spacing w:before="0" w:after="120"/>
      </w:pPr>
      <w:r>
        <w:rPr>
          <w:b/>
        </w:rPr>
        <w:t xml:space="preserve">Notes: </w:t>
      </w:r>
      <w:r>
        <w:t>abstract_source=crossref</w:t>
      </w:r>
    </w:p>
    <w:p>
      <w:pPr>
        <w:spacing w:before="0" w:after="200" w:lineRule="auto" w:line="276"/>
      </w:pPr>
      <w:r>
        <w:rPr>
          <w:b/>
        </w:rPr>
        <w:t xml:space="preserve">Abstract: </w:t>
      </w:r>
      <w:r>
        <w:t>Structural dynamics govern the catalytic activity of metal nanoparticles (NPs), yet their atomic‐scale mechanisms remain unclear. Using in situ transmission electron microscopy, we reveal redox‐driven lattice‐coherent Cu↔Cu</w:t>
      </w:r>
      <w:r>
        <w:rPr>
          <w:vertAlign w:val="subscript"/>
        </w:rPr>
        <w:t>2</w:t>
      </w:r>
      <w:r>
        <w:t>O phase oscillations in individual Cu NPs during hydrogen oxidation conditions. These oscillations generate active Brownian particles, wherein asymmetric H</w:t>
      </w:r>
      <w:r>
        <w:rPr>
          <w:vertAlign w:val="subscript"/>
        </w:rPr>
        <w:t>2</w:t>
      </w:r>
      <w:r>
        <w:t>oxidation leads to directional motion that results in particle collisions and sintering. Crucially, the same active Brownian motion also triggers particle splitting, counteracting surface area loss and deactivation. Such active matter behavior arises from the formation of a head–tail morphology at critical H</w:t>
      </w:r>
      <w:r>
        <w:rPr>
          <w:vertAlign w:val="subscript"/>
        </w:rPr>
        <w:t>2</w:t>
      </w:r>
      <w:r>
        <w:t>:O</w:t>
      </w:r>
      <w:r>
        <w:rPr>
          <w:vertAlign w:val="subscript"/>
        </w:rPr>
        <w:t>2</w:t>
      </w:r>
      <w:r>
        <w:t>ratios (e.g., 5:1), featuring a metallic‐rich head and an oxide‐dominated tail, with their volumetric balance dynamically shifting through competitive oxidation‐reduction cycles. Quantitative analysis establishes a direct correlation between migration velocity and redox dynamics, revealing that the oxidation process significantly enhances particle mobility while the followed reduction process slows the velocity. Molecular dynamics (MD) simulations demonstrate that particle elongation and oxide tail fragmentation, accompanying particle migration, can be explained by asymmetric adhesion forces between the metallic/oxide phases and the silicon nitride support, alongside the redox reactions occurring on the particles. This work provides atomic‐scale insights into catalyst dynamics under</w:t>
      </w:r>
      <w:r>
        <w:t xml:space="preserve"> </w:t>
      </w:r>
      <w:r>
        <w:t>operando</w:t>
      </w:r>
      <w:r>
        <w:t xml:space="preserve"> </w:t>
      </w:r>
      <w:r>
        <w:t>redox conditions, offering foundational knowledge for designing stable, high‐performance catalytic systems.</w:t>
      </w:r>
    </w:p>
    <w:p>
      <w:pPr>
        <w:spacing w:before="120" w:after="120"/>
      </w:pPr>
      <w:r>
        <w:rPr>
          <w:sz w:val="18"/>
        </w:rPr>
        <w:t>——————————————————————————————————————————————————————————————————————</w:t>
      </w:r>
    </w:p>
    <w:p>
      <w:pPr>
        <w:spacing w:before="160" w:after="80" w:line="240" w:lineRule="auto"/>
      </w:pPr>
      <w:r>
        <w:rPr>
          <w:b/>
        </w:rPr>
        <w:t xml:space="preserve">[208] </w:t>
      </w:r>
      <w:hyperlink r:id="rId371">
        <w:r>
          <w:rPr>
            <w:color w:val="1155CC"/>
            <w:u w:val="single"/>
          </w:rPr>
          <w:t>Phase‐Transition Nanoparticles Enable Fluorescence Self‐Reporting for Close‐Loop Photodynamic Therapy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72">
        <w:r>
          <w:rPr>
            <w:color w:val="1155CC"/>
            <w:u w:val="single"/>
          </w:rPr>
          <w:t>10.1002/anie.202516764</w:t>
        </w:r>
      </w:hyperlink>
    </w:p>
    <w:p>
      <w:pPr>
        <w:spacing w:before="0" w:after="120"/>
      </w:pPr>
      <w:r>
        <w:rPr>
          <w:b/>
        </w:rPr>
        <w:t xml:space="preserve">Notes: </w:t>
      </w:r>
      <w:r>
        <w:t>abstract_source=crossref</w:t>
      </w:r>
    </w:p>
    <w:p>
      <w:pPr>
        <w:spacing w:before="0" w:after="200" w:lineRule="auto" w:line="276"/>
      </w:pPr>
      <w:r>
        <w:rPr>
          <w:b/>
        </w:rPr>
        <w:t xml:space="preserve">Abstract: </w:t>
      </w:r>
      <w:r>
        <w:t>Photodynamic therapy (PDT) faces a fundamental limitation of the intrinsic energy utilization competition between fluorescence and reactive oxygen species (ROS) generation, while conventional “open‐loop” protocols with pre‐determined irradiation parameters risk overtreatment damage. To circumvent both challenges, we herein report phase transition nanoparticles (PTNPs) that enable self‐regulated, self‐reported, close‐loop PDT via switching photosensitizers’ molecular conformation. PTNPs were fabricated by co‐encapsulating a twisted intramolecular charge transfer‐aggregation‐induced emission (TICT‐AIE) photosensitizer (OTPA‐DCPP) and the phase‐change material</w:t>
      </w:r>
      <w:r>
        <w:t xml:space="preserve"> </w:t>
      </w:r>
      <w:r>
        <w:t>n</w:t>
      </w:r>
      <w:r>
        <w:t xml:space="preserve"> </w:t>
      </w:r>
      <w:r>
        <w:t>‐docosane (C22,</w:t>
      </w:r>
      <w:r>
        <w:t xml:space="preserve"> </w:t>
      </w:r>
      <w:r>
        <w:t>T</w:t>
      </w:r>
      <w:r>
        <w:t xml:space="preserve"> </w:t>
      </w:r>
      <w:r>
        <w:t>m</w:t>
      </w:r>
      <w:r>
        <w:t xml:space="preserve"> </w:t>
      </w:r>
      <w:r>
        <w:t>≈ 44.4 °C) into lipid‐PEG nanoparticles. With TICT effect to reduce the singlet–triplet energy gap and AIE effect to suppress nonradiative dissipation, OTPA‐DCPP exhibits polarity‐enhanced type I ROS generation. C22 initially creates a rigid and polar microenvironment that stabilizes OTPA‐DCPP's TICT and AIE effects, maximizing ROS generation. During PDT progress, PTNPs consumed oxygen and accumulated heat, the melted C22 above</w:t>
      </w:r>
      <w:r>
        <w:t xml:space="preserve"> </w:t>
      </w:r>
      <w:r>
        <w:t>T</w:t>
      </w:r>
      <w:r>
        <w:t xml:space="preserve"> </w:t>
      </w:r>
      <w:r>
        <w:t>m</w:t>
      </w:r>
      <w:r>
        <w:t xml:space="preserve"> </w:t>
      </w:r>
      <w:r>
        <w:t>created a nonpolar microenvironment, restoring the intense fluorescence while halting ROS generation. The emerged fluorescence serves as a real‐time indicator of OTPA‐DCPP's functional status, providing an unambiguous cue to cease irradiation to avoid energy waste and excessive heat buildup. As such, PTNPs circumvent excited‐state energy reallocation challenges, which also serve as a self‐reported, close‐loop PDT system for safe and precise phototheranostics.</w:t>
      </w:r>
    </w:p>
    <w:p>
      <w:pPr>
        <w:spacing w:before="120" w:after="120"/>
      </w:pPr>
      <w:r>
        <w:rPr>
          <w:sz w:val="18"/>
        </w:rPr>
        <w:t>——————————————————————————————————————————————————————————————————————</w:t>
      </w:r>
    </w:p>
    <w:p>
      <w:pPr>
        <w:spacing w:before="160" w:after="80" w:line="240" w:lineRule="auto"/>
      </w:pPr>
      <w:r>
        <w:rPr>
          <w:b/>
        </w:rPr>
        <w:t xml:space="preserve">[209] </w:t>
      </w:r>
      <w:hyperlink r:id="rId373">
        <w:r>
          <w:rPr>
            <w:color w:val="1155CC"/>
            <w:u w:val="single"/>
          </w:rPr>
          <w:t>Microemulsion Engineering Reconciles Propylene Carbonate Electrolytes and Graphite Anodes for All‐Climate Lithium‐Ion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74">
        <w:r>
          <w:rPr>
            <w:color w:val="1155CC"/>
            <w:u w:val="single"/>
          </w:rPr>
          <w:t>10.1002/anie.202516984</w:t>
        </w:r>
      </w:hyperlink>
    </w:p>
    <w:p>
      <w:pPr>
        <w:spacing w:before="0" w:after="120"/>
      </w:pPr>
      <w:r>
        <w:rPr>
          <w:b/>
        </w:rPr>
        <w:t xml:space="preserve">Notes: </w:t>
      </w:r>
      <w:r>
        <w:t>abstract_source=crossref</w:t>
      </w:r>
    </w:p>
    <w:p>
      <w:pPr>
        <w:spacing w:before="0" w:after="200" w:lineRule="auto" w:line="276"/>
      </w:pPr>
      <w:r>
        <w:rPr>
          <w:b/>
        </w:rPr>
        <w:t xml:space="preserve">Abstract: </w:t>
      </w:r>
      <w:r>
        <w:t>Propylene carbonate (PC)‐based electrolytes are promising for all‐climate lithium‐ion batteries due to their wide liquid range. However, detrimental Li</w:t>
      </w:r>
      <w:r>
        <w:t xml:space="preserve"> </w:t>
      </w:r>
      <w:r>
        <w:t>+</w:t>
      </w:r>
      <w:r>
        <w:t xml:space="preserve"> </w:t>
      </w:r>
      <w:r>
        <w:t>‐PC co‐intercalation causes severe graphite (Gr) anode exfoliation, remaining the biggest barrier for their practical application. Although the issue can be mitigated via solvation regulation, complex interfacial chemistry limits long‐term cycling ability. Herein, we designed a PC‐based microemulsion electrolyte to achieve PC/Gr compatibility through interfacial manipulation. Specifically, insoluble glyceryl monostearate (GMS) and amphiphilic tetrahydrofuran (THF) are introduced into the PC‐based electrolyte. GMS self‐assembles in THF to form core‐shell GMS@THF micelles dispersed in the continuous PC electrolyte medium. This microemulsion structure generates abundant liquid‐liquid interfacial tension at micelle/electrolyte interfaces, spontaneously directing micelles to the electrode interfaces during operation. At the Gr anode, adsorbed GMS@THF micelles leverage solvophobic effects to synergistically form PC‐poor Li</w:t>
      </w:r>
      <w:r>
        <w:t xml:space="preserve"> </w:t>
      </w:r>
      <w:r>
        <w:t>+</w:t>
      </w:r>
      <w:r>
        <w:t xml:space="preserve"> </w:t>
      </w:r>
      <w:r>
        <w:t>solvation sheaths and block free PC, effectively suppressing detrimental PC co‐intercalation. This design enables Li||Gr cells achieve a high initial Coulombic efficiency of 92.8% and supports 1 Ah Gr||LiFePO</w:t>
      </w:r>
      <w:r>
        <w:rPr>
          <w:vertAlign w:val="subscript"/>
        </w:rPr>
        <w:t>4</w:t>
      </w:r>
      <w:r>
        <w:t>pouch cells to operate over 4000 cycles. Remarkably, the pouch cells work well across extreme temperatures (−40∼100 °C cycling; −60∼100 °C operation), demonstrating exceptional all‐climate capability. This microemulsion engineering establishes a universal paradigm for optimizing electrolyte/electrode interphases in the PC/Gr system.</w:t>
      </w:r>
    </w:p>
    <w:p>
      <w:pPr>
        <w:spacing w:before="120" w:after="120"/>
      </w:pPr>
      <w:r>
        <w:rPr>
          <w:sz w:val="18"/>
        </w:rPr>
        <w:t>——————————————————————————————————————————————————————————————————————</w:t>
      </w:r>
    </w:p>
    <w:p>
      <w:pPr>
        <w:spacing w:before="160" w:after="80" w:line="240" w:lineRule="auto"/>
      </w:pPr>
      <w:r>
        <w:rPr>
          <w:b/>
        </w:rPr>
        <w:t xml:space="preserve">[210] </w:t>
      </w:r>
      <w:hyperlink r:id="rId375">
        <w:r>
          <w:rPr>
            <w:color w:val="1155CC"/>
            <w:u w:val="single"/>
          </w:rPr>
          <w:t>Optimizing *CO/CO Supply by Atomically Dispersed Fe Sites for High‐rate CO2‐to‐C2H4 Conversion Under Visible Light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76">
        <w:r>
          <w:rPr>
            <w:color w:val="1155CC"/>
            <w:u w:val="single"/>
          </w:rPr>
          <w:t>10.1002/anie.202517013</w:t>
        </w:r>
      </w:hyperlink>
    </w:p>
    <w:p>
      <w:pPr>
        <w:spacing w:before="0" w:after="120"/>
      </w:pPr>
      <w:r>
        <w:rPr>
          <w:b/>
        </w:rPr>
        <w:t xml:space="preserve">Notes: </w:t>
      </w:r>
      <w:r>
        <w:t>abstract_source=crossref</w:t>
      </w:r>
    </w:p>
    <w:p>
      <w:pPr>
        <w:spacing w:before="0" w:after="200" w:lineRule="auto" w:line="276"/>
      </w:pPr>
      <w:r>
        <w:rPr>
          <w:b/>
        </w:rPr>
        <w:t xml:space="preserve">Abstract: </w:t>
      </w:r>
      <w:r>
        <w:t>Visible light driven carbon dioxide (CO</w:t>
      </w:r>
      <w:r>
        <w:rPr>
          <w:vertAlign w:val="subscript"/>
        </w:rPr>
        <w:t>2</w:t>
      </w:r>
      <w:r>
        <w:t>) reduction to ethylene (C</w:t>
      </w:r>
      <w:r>
        <w:rPr>
          <w:vertAlign w:val="subscript"/>
        </w:rPr>
        <w:t>2</w:t>
      </w:r>
      <w:r>
        <w:t>H</w:t>
      </w:r>
      <w:r>
        <w:rPr>
          <w:vertAlign w:val="subscript"/>
        </w:rPr>
        <w:t>4</w:t>
      </w:r>
      <w:r>
        <w:t>) is a promising pathway to obtain renewable fuels and valuable chemicals. However, the insufficient supply of *CO/CO severely limits the rate of C–C coupling toward C</w:t>
      </w:r>
      <w:r>
        <w:rPr>
          <w:vertAlign w:val="subscript"/>
        </w:rPr>
        <w:t>2</w:t>
      </w:r>
      <w:r>
        <w:t>H</w:t>
      </w:r>
      <w:r>
        <w:rPr>
          <w:vertAlign w:val="subscript"/>
        </w:rPr>
        <w:t>4</w:t>
      </w:r>
      <w:r>
        <w:t>. Herein, we present a synergistic engineering strategy to construct a Fe</w:t>
      </w:r>
      <w:r>
        <w:t xml:space="preserve"> </w:t>
      </w:r>
      <w:r>
        <w:t>0.2</w:t>
      </w:r>
      <w:r>
        <w:t xml:space="preserve"> </w:t>
      </w:r>
      <w:r>
        <w:t>/H‐MOF‐1 composite catalyst by anchoring high‐density iron single atoms sites (Fe SAs) onto a pyridinic nitrogen rich metal–organic framework (H‐MOF‐1). Under visible light, the catalyst achieves an exceptional C</w:t>
      </w:r>
      <w:r>
        <w:rPr>
          <w:vertAlign w:val="subscript"/>
        </w:rPr>
        <w:t>2</w:t>
      </w:r>
      <w:r>
        <w:t>H</w:t>
      </w:r>
      <w:r>
        <w:rPr>
          <w:vertAlign w:val="subscript"/>
        </w:rPr>
        <w:t>4</w:t>
      </w:r>
      <w:r>
        <w:t>yield of 1056.2 µmol·g</w:t>
      </w:r>
      <w:r>
        <w:t xml:space="preserve"> </w:t>
      </w:r>
      <w:r>
        <w:t>−1</w:t>
      </w:r>
      <w:r>
        <w:t xml:space="preserve"> </w:t>
      </w:r>
      <w:r>
        <w:t>·h</w:t>
      </w:r>
      <w:r>
        <w:t xml:space="preserve"> </w:t>
      </w:r>
      <w:r>
        <w:t>−1</w:t>
      </w:r>
      <w:r>
        <w:t xml:space="preserve"> </w:t>
      </w:r>
      <w:r>
        <w:t>. This performance surpasses state‐of‐the‐art systems for visible light driven CO</w:t>
      </w:r>
      <w:r>
        <w:rPr>
          <w:vertAlign w:val="subscript"/>
        </w:rPr>
        <w:t>2</w:t>
      </w:r>
      <w:r>
        <w:t>‐to‐C</w:t>
      </w:r>
      <w:r>
        <w:rPr>
          <w:vertAlign w:val="subscript"/>
        </w:rPr>
        <w:t>2</w:t>
      </w:r>
      <w:r>
        <w:t>H</w:t>
      </w:r>
      <w:r>
        <w:rPr>
          <w:vertAlign w:val="subscript"/>
        </w:rPr>
        <w:t>4</w:t>
      </w:r>
      <w:r>
        <w:t>. The X‐ray absorption fine structure (XAFS) analysis, CO adsorption experiments and density functional theory (DFT) calculations demonstrate that the Fe‐N active sites in the Fe</w:t>
      </w:r>
      <w:r>
        <w:t xml:space="preserve"> </w:t>
      </w:r>
      <w:r>
        <w:t>0.2</w:t>
      </w:r>
      <w:r>
        <w:t xml:space="preserve"> </w:t>
      </w:r>
      <w:r>
        <w:t>/H‐MOF‐1 catalyst not only significantly reduce the energy barrier from *COOH to *CO but also maintain abundant *CO/CO for C–C coupling through strong CO adsorption, thus efficiently promoting the rapid generation of C</w:t>
      </w:r>
      <w:r>
        <w:rPr>
          <w:vertAlign w:val="subscript"/>
        </w:rPr>
        <w:t>2</w:t>
      </w:r>
      <w:r>
        <w:t>H</w:t>
      </w:r>
      <w:r>
        <w:rPr>
          <w:vertAlign w:val="subscript"/>
        </w:rPr>
        <w:t>4</w:t>
      </w:r>
      <w:r>
        <w:t>. This study provides insights into the rapid generation of C</w:t>
      </w:r>
      <w:r>
        <w:rPr>
          <w:vertAlign w:val="subscript"/>
        </w:rPr>
        <w:t>2</w:t>
      </w:r>
      <w:r>
        <w:t>H</w:t>
      </w:r>
      <w:r>
        <w:rPr>
          <w:vertAlign w:val="subscript"/>
        </w:rPr>
        <w:t>4</w:t>
      </w:r>
      <w:r>
        <w:t>through photocatalytic CO</w:t>
      </w:r>
      <w:r>
        <w:rPr>
          <w:vertAlign w:val="subscript"/>
        </w:rPr>
        <w:t>2</w:t>
      </w:r>
      <w:r>
        <w:t>reduction, paving the way for visible light‐driven CO</w:t>
      </w:r>
      <w:r>
        <w:rPr>
          <w:vertAlign w:val="subscript"/>
        </w:rPr>
        <w:t>2</w:t>
      </w:r>
      <w:r>
        <w:t>reduction reactions.</w:t>
      </w:r>
    </w:p>
    <w:p>
      <w:pPr>
        <w:spacing w:before="120" w:after="120"/>
      </w:pPr>
      <w:r>
        <w:rPr>
          <w:sz w:val="18"/>
        </w:rPr>
        <w:t>——————————————————————————————————————————————————————————————————————</w:t>
      </w:r>
    </w:p>
    <w:p>
      <w:pPr>
        <w:spacing w:before="160" w:after="80" w:line="240" w:lineRule="auto"/>
      </w:pPr>
      <w:r>
        <w:rPr>
          <w:b/>
        </w:rPr>
        <w:t xml:space="preserve">[211] </w:t>
      </w:r>
      <w:hyperlink r:id="rId377">
        <w:r>
          <w:rPr>
            <w:color w:val="1155CC"/>
            <w:u w:val="single"/>
          </w:rPr>
          <w:t>Novel α‐KG/Fe(II)‐Dependent Dioxygenases Catalyzing C1β‐Hydroxylation and Construction of 5/7/6‐Skeleton of Highly Oxygenated Taxoids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78">
        <w:r>
          <w:rPr>
            <w:color w:val="1155CC"/>
            <w:u w:val="single"/>
          </w:rPr>
          <w:t>10.1002/anie.202517041</w:t>
        </w:r>
      </w:hyperlink>
    </w:p>
    <w:p>
      <w:pPr>
        <w:spacing w:before="0" w:after="120"/>
      </w:pPr>
      <w:r>
        <w:rPr>
          <w:b/>
        </w:rPr>
        <w:t xml:space="preserve">Notes: </w:t>
      </w:r>
      <w:r>
        <w:t>abstract_source=crossref</w:t>
      </w:r>
    </w:p>
    <w:p>
      <w:pPr>
        <w:spacing w:before="0" w:after="200" w:lineRule="auto" w:line="276"/>
      </w:pPr>
      <w:r>
        <w:rPr>
          <w:b/>
        </w:rPr>
        <w:t xml:space="preserve">Abstract: </w:t>
      </w:r>
      <w:r>
        <w:t>Here, we report the discovery and functional characterization of one novel taxane C1</w:t>
      </w:r>
      <w:r>
        <w:t xml:space="preserve"> </w:t>
      </w:r>
      <w:r>
        <w:t>β</w:t>
      </w:r>
      <w:r>
        <w:t xml:space="preserve"> </w:t>
      </w:r>
      <w:r>
        <w:t>‐hydroxylase (</w:t>
      </w:r>
      <w:r>
        <w:t xml:space="preserve"> </w:t>
      </w:r>
      <w:r>
        <w:t>Tm</w:t>
      </w:r>
      <w:r>
        <w:t xml:space="preserve"> </w:t>
      </w:r>
      <w:r>
        <w:t>T1</w:t>
      </w:r>
      <w:r>
        <w:t xml:space="preserve"> </w:t>
      </w:r>
      <w:r>
        <w:t>β</w:t>
      </w:r>
      <w:r>
        <w:t xml:space="preserve"> </w:t>
      </w:r>
      <w:r>
        <w:t>H), belonging to the</w:t>
      </w:r>
      <w:r>
        <w:t xml:space="preserve"> </w:t>
      </w:r>
      <w:r>
        <w:t>α</w:t>
      </w:r>
      <w:r>
        <w:t xml:space="preserve"> </w:t>
      </w:r>
      <w:r>
        <w:t>‐ketoglutarate (</w:t>
      </w:r>
      <w:r>
        <w:t xml:space="preserve"> </w:t>
      </w:r>
      <w:r>
        <w:t>α</w:t>
      </w:r>
      <w:r>
        <w:t xml:space="preserve"> </w:t>
      </w:r>
      <w:r>
        <w:t>‐KG)/Fe(II)‐dependent dioxygenase family from</w:t>
      </w:r>
      <w:r>
        <w:t xml:space="preserve"> </w:t>
      </w:r>
      <w:r>
        <w:t>Taxus × media</w:t>
      </w:r>
      <w:r>
        <w:t xml:space="preserve"> </w:t>
      </w:r>
      <w:r>
        <w:t>cell cultures. The incubation of recombinant</w:t>
      </w:r>
      <w:r>
        <w:t xml:space="preserve"> </w:t>
      </w:r>
      <w:r>
        <w:t>Tm</w:t>
      </w:r>
      <w:r>
        <w:t xml:space="preserve"> </w:t>
      </w:r>
      <w:r>
        <w:t>T1</w:t>
      </w:r>
      <w:r>
        <w:t xml:space="preserve"> </w:t>
      </w:r>
      <w:r>
        <w:t>β</w:t>
      </w:r>
      <w:r>
        <w:t xml:space="preserve"> </w:t>
      </w:r>
      <w:r>
        <w:t>H with 1</w:t>
      </w:r>
      <w:r>
        <w:t xml:space="preserve"> </w:t>
      </w:r>
      <w:r>
        <w:t>β</w:t>
      </w:r>
      <w:r>
        <w:t xml:space="preserve"> </w:t>
      </w:r>
      <w:r>
        <w:t>‐dehydroxybaccatin IV (</w:t>
      </w:r>
      <w:r>
        <w:rPr>
          <w:vertAlign w:val="subscript"/>
        </w:rPr>
        <w:t>1</w:t>
      </w:r>
      <w:r>
        <w:t>) as a substrate led to the production of a major C1‐hydroxylated product, baccatin IV (</w:t>
      </w:r>
      <w:r>
        <w:t xml:space="preserve"> </w:t>
      </w:r>
      <w:r>
        <w:t>1a</w:t>
      </w:r>
      <w:r>
        <w:t xml:space="preserve"> </w:t>
      </w:r>
      <w:r>
        <w:t>), and a minor product, 15‐hydroxy‐11(15→1)</w:t>
      </w:r>
      <w:r>
        <w:t xml:space="preserve"> </w:t>
      </w:r>
      <w:r>
        <w:t>abeo</w:t>
      </w:r>
      <w:r>
        <w:t xml:space="preserve"> </w:t>
      </w:r>
      <w:r>
        <w:t>‐baccatin IV (</w:t>
      </w:r>
      <w:r>
        <w:t xml:space="preserve"> </w:t>
      </w:r>
      <w:r>
        <w:t>1b</w:t>
      </w:r>
      <w:r>
        <w:t xml:space="preserve"> </w:t>
      </w:r>
      <w:r>
        <w:t>), a non‐classical 5/7/6‐type taxane. Moreover, in vitro biochemical assays, molecular docking, and molecular dynamics simulation combined with site‐directed mutagenesis revealed the critical amino acid residues for</w:t>
      </w:r>
      <w:r>
        <w:t xml:space="preserve"> </w:t>
      </w:r>
      <w:r>
        <w:t>Tm</w:t>
      </w:r>
      <w:r>
        <w:t xml:space="preserve"> </w:t>
      </w:r>
      <w:r>
        <w:t>T1</w:t>
      </w:r>
      <w:r>
        <w:t xml:space="preserve"> </w:t>
      </w:r>
      <w:r>
        <w:t>β</w:t>
      </w:r>
      <w:r>
        <w:t xml:space="preserve"> </w:t>
      </w:r>
      <w:r>
        <w:t>H catalysis. Substrate specificity investigations revealed that</w:t>
      </w:r>
      <w:r>
        <w:t xml:space="preserve"> </w:t>
      </w:r>
      <w:r>
        <w:t>Tm</w:t>
      </w:r>
      <w:r>
        <w:t xml:space="preserve"> </w:t>
      </w:r>
      <w:r>
        <w:t>T1</w:t>
      </w:r>
      <w:r>
        <w:t xml:space="preserve"> </w:t>
      </w:r>
      <w:r>
        <w:t>β</w:t>
      </w:r>
      <w:r>
        <w:t xml:space="preserve"> </w:t>
      </w:r>
      <w:r>
        <w:t>H preferred taxoids with high oxygenation level. Notably, we have also discovered a novel specific enzyme (</w:t>
      </w:r>
      <w:r>
        <w:t xml:space="preserve"> </w:t>
      </w:r>
      <w:r>
        <w:t>Tm</w:t>
      </w:r>
      <w:r>
        <w:t xml:space="preserve"> </w:t>
      </w:r>
      <w:r>
        <w:t>576) belonging to</w:t>
      </w:r>
      <w:r>
        <w:t xml:space="preserve"> </w:t>
      </w:r>
      <w:r>
        <w:t>α</w:t>
      </w:r>
      <w:r>
        <w:t xml:space="preserve"> </w:t>
      </w:r>
      <w:r>
        <w:t>‐KG/Fe(II)‐dependent dioxygenase that was able to convert</w:t>
      </w:r>
      <w:r>
        <w:rPr>
          <w:vertAlign w:val="subscript"/>
        </w:rPr>
        <w:t>1</w:t>
      </w:r>
      <w:r>
        <w:t>to</w:t>
      </w:r>
      <w:r>
        <w:t xml:space="preserve"> </w:t>
      </w:r>
      <w:r>
        <w:t>1b</w:t>
      </w:r>
      <w:r>
        <w:t xml:space="preserve"> </w:t>
      </w:r>
      <w:r>
        <w:t>independently. A mechanism that the 5/7/6‐membered carbon framework arises from prototypical 6/8/6‐type taxane skeleton via radical rearrangement was proposed based on DFT calculations. More importantly, we artificially reconstructed the biosynthetic pathway of two important taxanes, baccatin IV, and baccatin VI, from GGPP in tobacco system. This work not only fully characterizes the role of C1</w:t>
      </w:r>
      <w:r>
        <w:t xml:space="preserve"> </w:t>
      </w:r>
      <w:r>
        <w:t>β</w:t>
      </w:r>
      <w:r>
        <w:t xml:space="preserve"> </w:t>
      </w:r>
      <w:r>
        <w:t>‐hydroxylase of taxoids, but also offered new insights into the formation of taxane structural diversity.</w:t>
      </w:r>
    </w:p>
    <w:p>
      <w:pPr>
        <w:spacing w:before="120" w:after="120"/>
      </w:pPr>
      <w:r>
        <w:rPr>
          <w:sz w:val="18"/>
        </w:rPr>
        <w:t>——————————————————————————————————————————————————————————————————————</w:t>
      </w:r>
    </w:p>
    <w:p>
      <w:pPr>
        <w:spacing w:before="160" w:after="80" w:line="240" w:lineRule="auto"/>
      </w:pPr>
      <w:r>
        <w:rPr>
          <w:b/>
        </w:rPr>
        <w:t xml:space="preserve">[212] </w:t>
      </w:r>
      <w:hyperlink r:id="rId379">
        <w:r>
          <w:rPr>
            <w:color w:val="1155CC"/>
            <w:u w:val="single"/>
          </w:rPr>
          <w:t>Post‐Selenium‐Leaching Induced Fast Micro‐Bubble Detachment on Nickel‐Iron‐Based OER Catalyst for Efficient AEM‐WE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80">
        <w:r>
          <w:rPr>
            <w:color w:val="1155CC"/>
            <w:u w:val="single"/>
          </w:rPr>
          <w:t>10.1002/anie.202517132</w:t>
        </w:r>
      </w:hyperlink>
    </w:p>
    <w:p>
      <w:pPr>
        <w:spacing w:before="0" w:after="120"/>
      </w:pPr>
      <w:r>
        <w:rPr>
          <w:b/>
        </w:rPr>
        <w:t xml:space="preserve">Notes: </w:t>
      </w:r>
      <w:r>
        <w:t>abstract_source=crossref</w:t>
      </w:r>
    </w:p>
    <w:p>
      <w:pPr>
        <w:spacing w:before="0" w:after="200" w:lineRule="auto" w:line="276"/>
      </w:pPr>
      <w:r>
        <w:rPr>
          <w:b/>
        </w:rPr>
        <w:t xml:space="preserve">Abstract: </w:t>
      </w:r>
      <w:r>
        <w:t>Developing efficient and durable oxygen evolution reaction (OER) catalysts is critical for advancing anion exchange membrane water electrolysers (AEM‐WE) for green hydrogen production driven by solar or wind power. This study explored the impact of the selenium (Se) modification on the OER performance of nickel‐iron layered double hydroxide‐based catalysts (i.e., NiFeSe), focusing on micro‐bubble formation/detachment and its role in optimizing mass transport. The introduction of Se influenced the surface and interface properties of the NiFeSe, including enhanced surface roughness, facilitated rapid nucleation and detachment of smaller oxygen bubbles, and reduced bubble‐induced diffusion limitations. As a result, the NiFeSe catalyst achieved a low overpotential of 190 mV at 1000 mA cm</w:t>
      </w:r>
      <w:r>
        <w:t xml:space="preserve"> </w:t>
      </w:r>
      <w:r>
        <w:t>−2</w:t>
      </w:r>
      <w:r>
        <w:t xml:space="preserve"> </w:t>
      </w:r>
      <w:r>
        <w:t>and demonstrated a high durability beyond 2000 h in 1 M KOH. In the practical AEM‐WE device, it reached 8800 mA cm</w:t>
      </w:r>
      <w:r>
        <w:t xml:space="preserve"> </w:t>
      </w:r>
      <w:r>
        <w:t>−2</w:t>
      </w:r>
      <w:r>
        <w:t xml:space="preserve"> </w:t>
      </w:r>
      <w:r>
        <w:t>at 2.0 V and worked continuously for over 3000 h at 1000 mA cm</w:t>
      </w:r>
      <w:r>
        <w:t xml:space="preserve"> </w:t>
      </w:r>
      <w:r>
        <w:t>−2</w:t>
      </w:r>
      <w:r>
        <w:t xml:space="preserve"> </w:t>
      </w:r>
      <w:r>
        <w:t>. These findings highlight the crucial role of selenium‐induced micro‐bubble formation/detachment in improving mass transport and catalytic efficiency, providing new insights for next‐generation OER catalysts in industrial water electrolysis.</w:t>
      </w:r>
    </w:p>
    <w:p>
      <w:pPr>
        <w:spacing w:before="120" w:after="120"/>
      </w:pPr>
      <w:r>
        <w:rPr>
          <w:sz w:val="18"/>
        </w:rPr>
        <w:t>——————————————————————————————————————————————————————————————————————</w:t>
      </w:r>
    </w:p>
    <w:p>
      <w:pPr>
        <w:spacing w:before="160" w:after="80" w:line="240" w:lineRule="auto"/>
      </w:pPr>
      <w:r>
        <w:rPr>
          <w:b/>
        </w:rPr>
        <w:t xml:space="preserve">[213] </w:t>
      </w:r>
      <w:hyperlink r:id="rId381">
        <w:r>
          <w:rPr>
            <w:color w:val="1155CC"/>
            <w:u w:val="single"/>
          </w:rPr>
          <w:t>Catalytic Nano‐Reactor Engineering of Metal Single‐Atom Site and Metal‐Free Chemical Group for Accelerating Sulfur Redox Electrocatalysis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82">
        <w:r>
          <w:rPr>
            <w:color w:val="1155CC"/>
            <w:u w:val="single"/>
          </w:rPr>
          <w:t>10.1002/anie.202517190</w:t>
        </w:r>
      </w:hyperlink>
    </w:p>
    <w:p>
      <w:pPr>
        <w:spacing w:before="0" w:after="120"/>
      </w:pPr>
      <w:r>
        <w:rPr>
          <w:b/>
        </w:rPr>
        <w:t xml:space="preserve">Notes: </w:t>
      </w:r>
      <w:r>
        <w:t>abstract_source=crossref</w:t>
      </w:r>
    </w:p>
    <w:p>
      <w:pPr>
        <w:spacing w:before="0" w:after="200" w:lineRule="auto" w:line="276"/>
      </w:pPr>
      <w:r>
        <w:rPr>
          <w:b/>
        </w:rPr>
        <w:t xml:space="preserve">Abstract: </w:t>
      </w:r>
      <w:r>
        <w:t>Precisely constructing atomic engineering of catalytic site and thus accelerating sulfur redox kinetics are meaningful but challenging for energy storage and conversion. Herein, the catalytic nano‐reactor engineering containing Fe‐N</w:t>
      </w:r>
      <w:r>
        <w:rPr>
          <w:vertAlign w:val="subscript"/>
        </w:rPr>
        <w:t>4</w:t>
      </w:r>
      <w:r>
        <w:t>catalytic site and the adjacent PO chemical group as synergistic catalytic site (Fe‐N</w:t>
      </w:r>
      <w:r>
        <w:rPr>
          <w:vertAlign w:val="subscript"/>
        </w:rPr>
        <w:t>4</w:t>
      </w:r>
      <w:r>
        <w:t>/CNPO) was first designed for Li‐S batteries with remarkably improved performance. The adjacent PO chemical group of Fe‐N</w:t>
      </w:r>
      <w:r>
        <w:rPr>
          <w:vertAlign w:val="subscript"/>
        </w:rPr>
        <w:t>4</w:t>
      </w:r>
      <w:r>
        <w:t>site in catalytic nano‐reactor simultaneously strengthened the adsorption of lithium polysulfides and facilitated the fracture of Li─S bonds by Li─O interaction, thus lowering the free energy change of potential‐determining step and accelerating sulfur redox kinetics, which was further verified via density functional theory calculation. The optimized Fe‐N</w:t>
      </w:r>
      <w:r>
        <w:rPr>
          <w:vertAlign w:val="subscript"/>
        </w:rPr>
        <w:t>4</w:t>
      </w:r>
      <w:r>
        <w:t>/CNPO modified separator exhibited much higher battery capacity of 1322.1 mAh g</w:t>
      </w:r>
      <w:r>
        <w:t xml:space="preserve"> </w:t>
      </w:r>
      <w:r>
        <w:t>−1</w:t>
      </w:r>
      <w:r>
        <w:t xml:space="preserve"> </w:t>
      </w:r>
      <w:r>
        <w:t>at 0.2 C and enhanced long‐term stability (low capacity decay of 0.08% per cycle over 500 cycles at 1.0 C). This work demonstrated the enormous potentiality of catalytic nano‐reactor engineering containing metal single‐atom catalytic site and chemical group as synergistic catalytic site for accelerating sulfur redox in metal‐sulfur batteries.</w:t>
      </w:r>
    </w:p>
    <w:p>
      <w:pPr>
        <w:spacing w:before="120" w:after="120"/>
      </w:pPr>
      <w:r>
        <w:rPr>
          <w:sz w:val="18"/>
        </w:rPr>
        <w:t>——————————————————————————————————————————————————————————————————————</w:t>
      </w:r>
    </w:p>
    <w:p>
      <w:pPr>
        <w:spacing w:before="160" w:after="80" w:line="240" w:lineRule="auto"/>
      </w:pPr>
      <w:r>
        <w:rPr>
          <w:b/>
        </w:rPr>
        <w:t xml:space="preserve">[214] </w:t>
      </w:r>
      <w:hyperlink r:id="rId383">
        <w:r>
          <w:rPr>
            <w:color w:val="1155CC"/>
            <w:u w:val="single"/>
          </w:rPr>
          <w:t>Accelerating Medicinal Chemistry: A C(sp3)‐Rich Fragment Toolbox for Redox‐Neutral Cross‐Coupling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84">
        <w:r>
          <w:rPr>
            <w:color w:val="1155CC"/>
            <w:u w:val="single"/>
          </w:rPr>
          <w:t>10.1002/anie.202517207</w:t>
        </w:r>
      </w:hyperlink>
    </w:p>
    <w:p>
      <w:pPr>
        <w:spacing w:before="0" w:after="120"/>
      </w:pPr>
      <w:r>
        <w:rPr>
          <w:b/>
        </w:rPr>
        <w:t xml:space="preserve">Notes: </w:t>
      </w:r>
      <w:r>
        <w:t>abstract_source=crossref</w:t>
      </w:r>
    </w:p>
    <w:p>
      <w:pPr>
        <w:spacing w:before="0" w:after="200" w:lineRule="auto" w:line="276"/>
      </w:pPr>
      <w:r>
        <w:rPr>
          <w:b/>
        </w:rPr>
        <w:t xml:space="preserve">Abstract: </w:t>
      </w:r>
      <w:r>
        <w:t>The hit‐to‐lead phase of drug discovery is frequently bottlenecked by the time‐consuming, iterative synthesis of analogs, especially when incorporating small C(sp</w:t>
      </w:r>
      <w:r>
        <w:rPr>
          <w:vertAlign w:val="subscript"/>
        </w:rPr>
        <w:t>3</w:t>
      </w:r>
      <w:r>
        <w:t>)‐rich fragments such as methyl, cyclopropyl, or oxetanyl groups—moieties known to improve drug solubility, bioactivity, and metabolic stability. Conventional approaches like Suzuki or Negishi couplings make use of unstable reagents, high costs, and harsh reaction conditions, while many modern radical‐based methods rely on exogenous redox agents or costly metal catalysts. To overcome these limitations, a toolbox of 15 sulfonyl hydrazide reagents is disclosed to facilitate redox‐neutral, nickel‐catalyzed radical cross‐coupling of 14 distinct small fragments onto (hetero)arenes under mild conditions. These crystalline, bench‐stable reagents are straightforward to synthesize from accessible precursors and require no additional oxidants, reductants, or precious metals, offering a modular and operationally simple platform. Demonstrated across a diverse set of over 60 (hetero)aryl halides, the method exhibits exceptional substrate scope and functional group tolerance, accommodating complex, medicinally relevant scaffolds. Comparative studies with existing techniques underscore its advantages, including a 51% yield for trideuteromethylation of a MET kinase inhibitor precursor (versus a precedented 14% via Kumada coupling) and a streamlined one‐step cyclobutylation of an NLRP3 inhibitor intermediate at 41% yield (versus a known &amp;lt; 5% over a four‐step sequence).</w:t>
      </w:r>
    </w:p>
    <w:p>
      <w:pPr>
        <w:spacing w:before="120" w:after="120"/>
      </w:pPr>
      <w:r>
        <w:rPr>
          <w:sz w:val="18"/>
        </w:rPr>
        <w:t>——————————————————————————————————————————————————————————————————————</w:t>
      </w:r>
    </w:p>
    <w:p>
      <w:pPr>
        <w:spacing w:before="160" w:after="80" w:line="240" w:lineRule="auto"/>
      </w:pPr>
      <w:r>
        <w:rPr>
          <w:b/>
        </w:rPr>
        <w:t xml:space="preserve">[215] </w:t>
      </w:r>
      <w:hyperlink r:id="rId385">
        <w:r>
          <w:rPr>
            <w:color w:val="1155CC"/>
            <w:u w:val="single"/>
          </w:rPr>
          <w:t>Artificial Decision Tree Guided Screening of Ultralong Room‐Temperature Phosphorescent Cocrystals with Locally Excited States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86">
        <w:r>
          <w:rPr>
            <w:color w:val="1155CC"/>
            <w:u w:val="single"/>
          </w:rPr>
          <w:t>10.1002/anie.202521837</w:t>
        </w:r>
      </w:hyperlink>
    </w:p>
    <w:p>
      <w:pPr>
        <w:spacing w:before="0" w:after="120"/>
      </w:pPr>
      <w:r>
        <w:rPr>
          <w:b/>
        </w:rPr>
        <w:t xml:space="preserve">Notes: </w:t>
      </w:r>
      <w:r>
        <w:t>abstract_source=crossref</w:t>
      </w:r>
    </w:p>
    <w:p>
      <w:pPr>
        <w:spacing w:before="0" w:after="200" w:lineRule="auto" w:line="276"/>
      </w:pPr>
      <w:r>
        <w:rPr>
          <w:b/>
        </w:rPr>
        <w:t xml:space="preserve">Abstract: </w:t>
      </w:r>
      <w:r>
        <w:t>High‐throughput screening of ultralong room‐temperature phosphorescence (RTP) systems is essential for advancing photofunctional materials. Among molecular solids, charge‐transfer (CT) cocrystals offer great potential due to the wide range of electron donors and acceptors with tunable energy levels. However, realizing RTP in CT systems remains difficult, as intricate orbital interactions in donor–acceptor pairs often lead to spin‐forbidden singlet‐to‐triplet transitions. To overcome this challenge, we developed an artificial‐decision‐tree method guided by theoretical calculations and introduced an energy‐based descriptor (</w:t>
      </w:r>
      <w:r>
        <w:t xml:space="preserve"> </w:t>
      </w:r>
      <w:r>
        <w:t>E</w:t>
      </w:r>
      <w:r>
        <w:t xml:space="preserve"> </w:t>
      </w:r>
      <w:r>
        <w:t>) to streamline the design of RTP‐active cocrystals. This descriptor enables CT‐dominated singlet emission alongside locally excited triplet emission, effectively promoting intersystem crossing. Applying this strategy, we predicted and experimentally validated new cocrystals (TP&amp;amp;1,2‐TFP and TP&amp;amp;1,4‐TFP), which achieved RTP lifetimes up to 1.223 s, the longest reported among current CT cocrystals. We further demonstrated the versatility of this strategy by identifying additional RTP‐active systems (TP&amp;amp;1,2‐TCP and TP&amp;amp;1,4‐TCP). Owing to their tunable emission and time‐resolved RTP, these materials were successfully employed in digital and visual information encryption and time‐gated optical logic gate applications. Therefore, this work presents a robust framework that combines machine learning‐driven prediction with experimental validation, offering a systematic and efficient alternative to traditional trial‐and‐error methods in the discovery of luminescent materials.</w:t>
      </w:r>
    </w:p>
    <w:p>
      <w:pPr>
        <w:spacing w:before="120" w:after="120"/>
      </w:pPr>
      <w:r>
        <w:rPr>
          <w:sz w:val="18"/>
        </w:rPr>
        <w:t>——————————————————————————————————————————————————————————————————————</w:t>
      </w:r>
    </w:p>
    <w:p>
      <w:pPr>
        <w:spacing w:before="160" w:after="80" w:line="240" w:lineRule="auto"/>
      </w:pPr>
      <w:r>
        <w:rPr>
          <w:b/>
        </w:rPr>
        <w:t xml:space="preserve">[216] </w:t>
      </w:r>
      <w:hyperlink r:id="rId387">
        <w:r>
          <w:rPr>
            <w:color w:val="1155CC"/>
            <w:u w:val="single"/>
          </w:rPr>
          <w:t>High Energy Density Heterostructured Sodium Layered Oxide Cathodes Enabled by Mechanical‐Chemical Coupling Effect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88">
        <w:r>
          <w:rPr>
            <w:color w:val="1155CC"/>
            <w:u w:val="single"/>
          </w:rPr>
          <w:t>10.1002/anie.202517300</w:t>
        </w:r>
      </w:hyperlink>
    </w:p>
    <w:p>
      <w:pPr>
        <w:spacing w:before="0" w:after="120"/>
      </w:pPr>
      <w:r>
        <w:rPr>
          <w:b/>
        </w:rPr>
        <w:t xml:space="preserve">Notes: </w:t>
      </w:r>
      <w:r>
        <w:t>abstract_source=crossref</w:t>
      </w:r>
    </w:p>
    <w:p>
      <w:pPr>
        <w:spacing w:before="0" w:after="200" w:lineRule="auto" w:line="276"/>
      </w:pPr>
      <w:r>
        <w:rPr>
          <w:b/>
        </w:rPr>
        <w:t xml:space="preserve">Abstract: </w:t>
      </w:r>
      <w:r>
        <w:t>Designing cobalt‐free manganese‐based oxide cathode materials with high energy density and excellent stability is of great significance and a challenge. Here, we construct a P2/O3 core–shell heterostructured layered oxide cathode material with a mechanical‐chemical coupling effect to achieve precise structural modulation and superior electrochemical performance. Using O3‐NaNi</w:t>
      </w:r>
      <w:r>
        <w:t xml:space="preserve"> </w:t>
      </w:r>
      <w:r>
        <w:t>0.4</w:t>
      </w:r>
      <w:r>
        <w:t xml:space="preserve"> </w:t>
      </w:r>
      <w:r>
        <w:t>Fe</w:t>
      </w:r>
      <w:r>
        <w:t xml:space="preserve"> </w:t>
      </w:r>
      <w:r>
        <w:t>0.2</w:t>
      </w:r>
      <w:r>
        <w:t xml:space="preserve"> </w:t>
      </w:r>
      <w:r>
        <w:t>Mn</w:t>
      </w:r>
      <w:r>
        <w:t xml:space="preserve"> </w:t>
      </w:r>
      <w:r>
        <w:t>0.4</w:t>
      </w:r>
      <w:r>
        <w:t xml:space="preserve"> </w:t>
      </w:r>
      <w:r>
        <w:t>O</w:t>
      </w:r>
      <w:r>
        <w:rPr>
          <w:vertAlign w:val="subscript"/>
        </w:rPr>
        <w:t>2</w:t>
      </w:r>
      <w:r>
        <w:t>as the core material, the P2/O3 core–shell heterostructured cathode was obtained by accurately regulating the epitaxial layer. Benefiting from the synergistic effect of the O3 bulk phase and P2 shell layer, this heterostructured cathode shows a high energy density (587.34 Wh·kg</w:t>
      </w:r>
      <w:r>
        <w:t xml:space="preserve"> </w:t>
      </w:r>
      <w:r>
        <w:t>−1</w:t>
      </w:r>
      <w:r>
        <w:t xml:space="preserve"> </w:t>
      </w:r>
      <w:r>
        <w:t>, based on cathode active materials), excellent structure, superior air stability, and full cell performance. The phase transition mechanism of the cathode as well as the atomic arrangement characteristics were analyzed by in situ X‐ray diffraction and spherical aberration‐corrected scanning transmission electron microscopy (STEM), respectively. Most importantly, it was verified using stress simulation calculations that the P2 shell layer can share the mechanical stress of the internal O3 bulk phase on a micro‐scale, suppressing the plastic yielding and structural degradation of the material during electrochemical processes, and dramatically enhancing the structural stability. The heterostructured cathode with the mechanical‐chemical coupling effect designed in this study will provide new insights for the optimization of other electrode materials.</w:t>
      </w:r>
    </w:p>
    <w:p>
      <w:pPr>
        <w:spacing w:before="120" w:after="120"/>
      </w:pPr>
      <w:r>
        <w:rPr>
          <w:sz w:val="18"/>
        </w:rPr>
        <w:t>——————————————————————————————————————————————————————————————————————</w:t>
      </w:r>
    </w:p>
    <w:p>
      <w:pPr>
        <w:spacing w:before="160" w:after="80" w:line="240" w:lineRule="auto"/>
      </w:pPr>
      <w:r>
        <w:rPr>
          <w:b/>
        </w:rPr>
        <w:t xml:space="preserve">[217] </w:t>
      </w:r>
      <w:hyperlink r:id="rId389">
        <w:r>
          <w:rPr>
            <w:color w:val="1155CC"/>
            <w:u w:val="single"/>
          </w:rPr>
          <w:t>Breaking Solubility Limitation via Molecule Design to Build Localized Ultrahigh‐Concentration Electrolytes for Lithium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90">
        <w:r>
          <w:rPr>
            <w:color w:val="1155CC"/>
            <w:u w:val="single"/>
          </w:rPr>
          <w:t>10.1002/anie.202517359</w:t>
        </w:r>
      </w:hyperlink>
    </w:p>
    <w:p>
      <w:pPr>
        <w:spacing w:before="0" w:after="120"/>
      </w:pPr>
      <w:r>
        <w:rPr>
          <w:b/>
        </w:rPr>
        <w:t xml:space="preserve">Notes: </w:t>
      </w:r>
      <w:r>
        <w:t>abstract_source=crossref</w:t>
      </w:r>
    </w:p>
    <w:p>
      <w:pPr>
        <w:spacing w:before="0" w:after="200" w:lineRule="auto" w:line="276"/>
      </w:pPr>
      <w:r>
        <w:rPr>
          <w:b/>
        </w:rPr>
        <w:t xml:space="preserve">Abstract: </w:t>
      </w:r>
      <w:r>
        <w:t>The increase in salt concentration of electrolytes has been known as a simple but effective approach to restrain solvent activity and regulate solvation structure, thus enabling the long‐term interfacial stability of batteries. Nevertheless, the ion electrostatic intercalations and finite coordination states have frustrated the efforts to further elevate the salt solubility. Here, we break the upper limit of lithium‐salt dissolution through a molecule engineering strategy, in which the solvent with three ether‐oxygen groups provides multi‐coordination sites and the intrinsically inert diluents with low steric hindrance are activated to shield electrostatic repulsion. As a result, a series of localized ultrahigh‐concentration electrolytes (LUCEs) are prepared with a molar ratio of Li</w:t>
      </w:r>
      <w:r>
        <w:t xml:space="preserve"> </w:t>
      </w:r>
      <w:r>
        <w:t>+</w:t>
      </w:r>
      <w:r>
        <w:t xml:space="preserve"> </w:t>
      </w:r>
      <w:r>
        <w:t>to the solvent as high as 1.8. The LUCEs are endowed with high Li</w:t>
      </w:r>
      <w:r>
        <w:t xml:space="preserve"> </w:t>
      </w:r>
      <w:r>
        <w:t>+</w:t>
      </w:r>
      <w:r>
        <w:t xml:space="preserve"> </w:t>
      </w:r>
      <w:r>
        <w:t>transference number of 0.682, high Coulombic efficiency for lithium plating/stripping up to 99.97%, and high oxidation stability over 6.5 V. Meanwhile, the scarce free solvent promotes the formation of a robust inorganic‐rich interphase on both the lithium anode and a high‐voltage cathode, which enables the operation of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batteries over 180 cycles (&amp;gt;80% capacity retention) under a lean lithium source (20 µm) and high‐loading cathode (3.885 mAh cm</w:t>
      </w:r>
      <w:r>
        <w:t xml:space="preserve"> </w:t>
      </w:r>
      <w:r>
        <w:t>−2</w:t>
      </w:r>
      <w:r>
        <w:t xml:space="preserve"> </w:t>
      </w:r>
      <w:r>
        <w:t>). Our work elucidates the underlying mechanism of salt dissolution chemistry and offers an affordable method for stabilizing energy‐dense electrochemical storage devices.</w:t>
      </w:r>
    </w:p>
    <w:p>
      <w:pPr>
        <w:spacing w:before="120" w:after="120"/>
      </w:pPr>
      <w:r>
        <w:rPr>
          <w:sz w:val="18"/>
        </w:rPr>
        <w:t>——————————————————————————————————————————————————————————————————————</w:t>
      </w:r>
    </w:p>
    <w:p>
      <w:pPr>
        <w:spacing w:before="160" w:after="80" w:line="240" w:lineRule="auto"/>
      </w:pPr>
      <w:r>
        <w:rPr>
          <w:b/>
        </w:rPr>
        <w:t xml:space="preserve">[218] </w:t>
      </w:r>
      <w:hyperlink r:id="rId391">
        <w:r>
          <w:rPr>
            <w:color w:val="1155CC"/>
            <w:u w:val="single"/>
          </w:rPr>
          <w:t>A Probe Design Strategy Based on Cholesterol‐Induced Differential Cellular Uptake for Cancer Cells Specific Penetration and Imaging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92">
        <w:r>
          <w:rPr>
            <w:color w:val="1155CC"/>
            <w:u w:val="single"/>
          </w:rPr>
          <w:t>10.1002/anie.202517406</w:t>
        </w:r>
      </w:hyperlink>
    </w:p>
    <w:p>
      <w:pPr>
        <w:spacing w:before="0" w:after="120"/>
      </w:pPr>
      <w:r>
        <w:rPr>
          <w:b/>
        </w:rPr>
        <w:t xml:space="preserve">Notes: </w:t>
      </w:r>
      <w:r>
        <w:t>abstract_source=crossref</w:t>
      </w:r>
    </w:p>
    <w:p>
      <w:pPr>
        <w:spacing w:before="0" w:after="200" w:lineRule="auto" w:line="276"/>
      </w:pPr>
      <w:r>
        <w:rPr>
          <w:b/>
        </w:rPr>
        <w:t xml:space="preserve">Abstract: </w:t>
      </w:r>
      <w:r>
        <w:t>Cancer metastasis and postoperative recurrence continue to pose significant challenges in the treatment of advanced‐stage cancer, highlighting the urgent necessity for early diagnosis and precise intraoperative identification of lesions. In this study, we synthesized a series of molecules derived from the traditional nucleic acid probe thiazole orange (TO), by incorporating alkyl chains of varying lengths and hydrophilic functional groups. Among them, the specific lipophilicity of TO‐Ac (a derivative of TO) enables its penetration into cancer cells, where it binds to nucleic acids and generates intense fluorescence, while being effectively excluded by normal cell membranes. The differential cholesterol content in cell plasma membranes was confirmed to influence the selective uptake of molecules in cancer cells. Accordingly, we established a quantitative design criterion (LogP = 1.48–1.62) that predicts cancer cell specificity based on oil‐water partition coefficients. Finally, TO‐Ac was successfully applied for detection of early‐stage colon cancer, enabling complete tumor resection via fluorescence imaging while identifying lesions that would otherwise remain undetected. This passive targeting strategy fundamentally challenges the conventional paradigm of ligand‐modified probes, offering a transformative approach for the development of universal tumor identification systems.</w:t>
      </w:r>
    </w:p>
    <w:p>
      <w:pPr>
        <w:spacing w:before="120" w:after="120"/>
      </w:pPr>
      <w:r>
        <w:rPr>
          <w:sz w:val="18"/>
        </w:rPr>
        <w:t>——————————————————————————————————————————————————————————————————————</w:t>
      </w:r>
    </w:p>
    <w:p>
      <w:pPr>
        <w:spacing w:before="160" w:after="80" w:line="240" w:lineRule="auto"/>
      </w:pPr>
      <w:r>
        <w:rPr>
          <w:b/>
        </w:rPr>
        <w:t xml:space="preserve">[219] </w:t>
      </w:r>
      <w:hyperlink r:id="rId393">
        <w:r>
          <w:rPr>
            <w:color w:val="1155CC"/>
            <w:u w:val="single"/>
          </w:rPr>
          <w:t>Tailoring Na⁺ Chelation Dynamics for Expedient Sulfur Redox Kinetics in Low‐Temperature Sodium–Sulfur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94">
        <w:r>
          <w:rPr>
            <w:color w:val="1155CC"/>
            <w:u w:val="single"/>
          </w:rPr>
          <w:t>10.1002/anie.202517612</w:t>
        </w:r>
      </w:hyperlink>
    </w:p>
    <w:p>
      <w:pPr>
        <w:spacing w:before="0" w:after="120"/>
      </w:pPr>
      <w:r>
        <w:rPr>
          <w:b/>
        </w:rPr>
        <w:t xml:space="preserve">Notes: </w:t>
      </w:r>
      <w:r>
        <w:t>abstract_source=crossref</w:t>
      </w:r>
    </w:p>
    <w:p>
      <w:pPr>
        <w:spacing w:before="0" w:after="200" w:lineRule="auto" w:line="276"/>
      </w:pPr>
      <w:r>
        <w:rPr>
          <w:b/>
        </w:rPr>
        <w:t xml:space="preserve">Abstract: </w:t>
      </w:r>
      <w:r>
        <w:t>Sodium–sulfur (Na–S) batteries have attracted considerable attention due to their high theoretical energy density and the abundant natural availability of sodium and sulfur. However, sluggish kinetics of sulfur conversion, slow Na⁺ transport, and interfacial instability at low temperatures pose significant challenges for their operation and limit their practical application. Herein, three solvents with well‐designed molecular configurations are examined. We systematically investigate the impact of chelation effect on the desolvation behavior, sulfur conversion process, ion dynamics, and Na⁺ plating/stripping behavior. Compared with conventional linear ether solvents, the incorporation of methyl groups not only weaken the chelation capability and tailors the inner solvation sheath, but also reduces the energy barrier for Na⁺ transport, thus promoting enhanced sulfur conversion kinetics under low temperature conditions. This work elucidates the relationship among solvent molecules, Na⁺ desolvation behavior, and sulfur reaction kinetics, and offers a strategy for rational design of electrolytes for low‐temperature metal–sulfur batteries.</w:t>
      </w:r>
    </w:p>
    <w:p>
      <w:pPr>
        <w:spacing w:before="120" w:after="120"/>
      </w:pPr>
      <w:r>
        <w:rPr>
          <w:sz w:val="18"/>
        </w:rPr>
        <w:t>——————————————————————————————————————————————————————————————————————</w:t>
      </w:r>
    </w:p>
    <w:p>
      <w:pPr>
        <w:spacing w:before="160" w:after="80" w:line="240" w:lineRule="auto"/>
      </w:pPr>
      <w:r>
        <w:rPr>
          <w:b/>
        </w:rPr>
        <w:t xml:space="preserve">[220] </w:t>
      </w:r>
      <w:hyperlink r:id="rId395">
        <w:r>
          <w:rPr>
            <w:color w:val="1155CC"/>
            <w:u w:val="single"/>
          </w:rPr>
          <w:t>Achieving Charge‐Transfer from the Boron‐Vertices of o‐Carborane: Dual‐Emission with a Shift of 505 nm (2.1 eV)</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96">
        <w:r>
          <w:rPr>
            <w:color w:val="1155CC"/>
            <w:u w:val="single"/>
          </w:rPr>
          <w:t>10.1002/anie.202521735</w:t>
        </w:r>
      </w:hyperlink>
    </w:p>
    <w:p>
      <w:pPr>
        <w:spacing w:before="0" w:after="120"/>
      </w:pPr>
      <w:r>
        <w:rPr>
          <w:b/>
        </w:rPr>
        <w:t xml:space="preserve">Notes: </w:t>
      </w:r>
      <w:r>
        <w:t>abstract_source=crossref</w:t>
      </w:r>
    </w:p>
    <w:p>
      <w:pPr>
        <w:spacing w:before="0" w:after="200" w:lineRule="auto" w:line="276"/>
      </w:pPr>
      <w:r>
        <w:rPr>
          <w:b/>
        </w:rPr>
        <w:t xml:space="preserve">Abstract: </w:t>
      </w:r>
      <w:r>
        <w:t>The boron‐vertices of</w:t>
      </w:r>
      <w:r>
        <w:t xml:space="preserve"> </w:t>
      </w:r>
      <w:r>
        <w:t>o</w:t>
      </w:r>
      <w:r>
        <w:t xml:space="preserve"> </w:t>
      </w:r>
      <w:r>
        <w:t>‐carborane have long been considered to be inert in conjugation with π‐substituents. Herein, we demonstrate that the boron vertices of</w:t>
      </w:r>
      <w:r>
        <w:t xml:space="preserve"> </w:t>
      </w:r>
      <w:r>
        <w:t>o</w:t>
      </w:r>
      <w:r>
        <w:t xml:space="preserve"> </w:t>
      </w:r>
      <w:r>
        <w:t>‐carborane can be engineered to participate in intense charge‐transfer (CT) transitions. Through strategic design—appending electron‐donating carbazoles at the boron vertices—we synthesized three 9,12‐substituted</w:t>
      </w:r>
      <w:r>
        <w:t xml:space="preserve"> </w:t>
      </w:r>
      <w:r>
        <w:t>o</w:t>
      </w:r>
      <w:r>
        <w:t xml:space="preserve"> </w:t>
      </w:r>
      <w:r>
        <w:t>‐carboranes (</w:t>
      </w:r>
      <w:r>
        <w:rPr>
          <w:vertAlign w:val="subscript"/>
        </w:rPr>
        <w:t>1</w:t>
      </w:r>
      <w:r>
        <w:t>,</w:t>
      </w:r>
      <w:r>
        <w:t xml:space="preserve"> </w:t>
      </w:r>
      <w:r>
        <w:t>2a</w:t>
      </w:r>
      <w:r>
        <w:t xml:space="preserve"> </w:t>
      </w:r>
      <w:r>
        <w:t>, and</w:t>
      </w:r>
      <w:r>
        <w:t xml:space="preserve"> </w:t>
      </w:r>
      <w:r>
        <w:t>2b</w:t>
      </w:r>
      <w:r>
        <w:t xml:space="preserve"> </w:t>
      </w:r>
      <w:r>
        <w:t>). While</w:t>
      </w:r>
      <w:r>
        <w:rPr>
          <w:vertAlign w:val="subscript"/>
        </w:rPr>
        <w:t>1</w:t>
      </w:r>
      <w:r>
        <w:t>only shows LE emission, compounds</w:t>
      </w:r>
      <w:r>
        <w:t xml:space="preserve"> </w:t>
      </w:r>
      <w:r>
        <w:t>2a</w:t>
      </w:r>
      <w:r>
        <w:t xml:space="preserve"> </w:t>
      </w:r>
      <w:r>
        <w:t>and</w:t>
      </w:r>
      <w:r>
        <w:t xml:space="preserve"> </w:t>
      </w:r>
      <w:r>
        <w:t>2b</w:t>
      </w:r>
      <w:r>
        <w:t xml:space="preserve"> </w:t>
      </w:r>
      <w:r>
        <w:t>, which contain phenyl groups at the carbon vertices, show unprecedented dual emission with a colossal gap of up to 505 nm (2.1 eV) between bands. Photophysical and theoretical studies reveal that photoexcitation triggers a unidirectional conversion from a locally excited (LE) state to a CT state, yielding the first direct evidence of CT from a boron‐functionalized donor into the carborane cage. This CT emission is highly sensitive to environment, exhibiting aggregation‐induced emission enhancement with quantum yields reaching 80%. Our findings disrupt the longstanding carbon‐centric view of carborane‐based luminescence, unveiling a new strategy to activate boron‐vertex participation in electronic conjugation, opening a pathway for the development of high‐performance dual‐emissive materials based on</w:t>
      </w:r>
      <w:r>
        <w:t xml:space="preserve"> </w:t>
      </w:r>
      <w:r>
        <w:t>o</w:t>
      </w:r>
      <w:r>
        <w:t xml:space="preserve"> </w:t>
      </w:r>
      <w:r>
        <w:t>‐carborane.</w:t>
      </w:r>
    </w:p>
    <w:p>
      <w:pPr>
        <w:spacing w:before="120" w:after="120"/>
      </w:pPr>
      <w:r>
        <w:rPr>
          <w:sz w:val="18"/>
        </w:rPr>
        <w:t>——————————————————————————————————————————————————————————————————————</w:t>
      </w:r>
    </w:p>
    <w:p>
      <w:pPr>
        <w:spacing w:before="160" w:after="80" w:line="240" w:lineRule="auto"/>
      </w:pPr>
      <w:r>
        <w:rPr>
          <w:b/>
        </w:rPr>
        <w:t xml:space="preserve">[221] </w:t>
      </w:r>
      <w:hyperlink r:id="rId397">
        <w:r>
          <w:rPr>
            <w:color w:val="1155CC"/>
            <w:u w:val="single"/>
          </w:rPr>
          <w:t>Reversible Sandwich‐Based Particle Nanoswitch for Continuous Protein Monitoring at Picomolar Concentrations with Automated Calibration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398">
        <w:r>
          <w:rPr>
            <w:color w:val="1155CC"/>
            <w:u w:val="single"/>
          </w:rPr>
          <w:t>10.1002/anie.202517725</w:t>
        </w:r>
      </w:hyperlink>
    </w:p>
    <w:p>
      <w:pPr>
        <w:spacing w:before="0" w:after="120"/>
      </w:pPr>
      <w:r>
        <w:rPr>
          <w:b/>
        </w:rPr>
        <w:t xml:space="preserve">Notes: </w:t>
      </w:r>
      <w:r>
        <w:t>abstract_source=crossref</w:t>
      </w:r>
    </w:p>
    <w:p>
      <w:pPr>
        <w:spacing w:before="0" w:after="200" w:lineRule="auto" w:line="276"/>
      </w:pPr>
      <w:r>
        <w:rPr>
          <w:b/>
        </w:rPr>
        <w:t xml:space="preserve">Abstract: </w:t>
      </w:r>
      <w:r>
        <w:t>Continuous monitoring of specific proteins is essential for understanding the dynamics of biological systems and for enabling real‐time measurement‐and‐control strategies in bioprocesses. Ideally, sensors for continuous monitoring should be intrinsically reversible and able to perform accurate measurements over long time spans. Here, we present a particle nanoswitch sensor containing two different antibody fragments that bind reversibly to a protein of interest and thus form transient sandwich complexes. The antibody fragments are incorporated into the sensor using site‐specific conjugation strategies to achieve optimal antibody orientation. Short‐lived sandwich complexes are detected with single‐molecule resolution, by tracking the motion of tethered particles. The sensing concept is demonstrated for lactoferrin, an iron‐binding and immune‐modulating protein. We show continuous measurements of picomolar concentrations, with a delay time of less than 12 min, over a monitoring period of more than 12 h. Automated calibration strategies are described that result in a mean absolute relative difference below 10% compared to reference measurements. These results demonstrate how rapid continuous protein sensing at picomolar concentrations can be achieved using reversible sandwich‐based particle nanoswitches, enabling long‐term monitoring of dynamic bioprocesses.</w:t>
      </w:r>
    </w:p>
    <w:p>
      <w:pPr>
        <w:spacing w:before="120" w:after="120"/>
      </w:pPr>
      <w:r>
        <w:rPr>
          <w:sz w:val="18"/>
        </w:rPr>
        <w:t>——————————————————————————————————————————————————————————————————————</w:t>
      </w:r>
    </w:p>
    <w:p>
      <w:pPr>
        <w:spacing w:before="160" w:after="80" w:line="240" w:lineRule="auto"/>
      </w:pPr>
      <w:r>
        <w:rPr>
          <w:b/>
        </w:rPr>
        <w:t xml:space="preserve">[222] </w:t>
      </w:r>
      <w:hyperlink r:id="rId399">
        <w:r>
          <w:rPr>
            <w:color w:val="1155CC"/>
            <w:u w:val="single"/>
          </w:rPr>
          <w:t>Self‐Adaptive Interface Reconstruction over Black Phosphorus Complex for Wide‐Temperature and Fast‐Charging Potassium Ion Storage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00">
        <w:r>
          <w:rPr>
            <w:color w:val="1155CC"/>
            <w:u w:val="single"/>
          </w:rPr>
          <w:t>10.1002/anie.202514456</w:t>
        </w:r>
      </w:hyperlink>
    </w:p>
    <w:p>
      <w:pPr>
        <w:spacing w:before="0" w:after="120"/>
      </w:pPr>
      <w:r>
        <w:rPr>
          <w:b/>
        </w:rPr>
        <w:t xml:space="preserve">Notes: </w:t>
      </w:r>
      <w:r>
        <w:t>abstract_source=crossref</w:t>
      </w:r>
    </w:p>
    <w:p>
      <w:pPr>
        <w:spacing w:before="0" w:after="200" w:lineRule="auto" w:line="276"/>
      </w:pPr>
      <w:r>
        <w:rPr>
          <w:b/>
        </w:rPr>
        <w:t xml:space="preserve">Abstract: </w:t>
      </w:r>
      <w:r>
        <w:t>Black phosphorus (BP), exhibiting a large spatial layer and high theoretical capacity, has been heralded as a promising candidate for K</w:t>
      </w:r>
      <w:r>
        <w:t xml:space="preserve"> </w:t>
      </w:r>
      <w:r>
        <w:t>+</w:t>
      </w:r>
      <w:r>
        <w:t xml:space="preserve"> </w:t>
      </w:r>
      <w:r>
        <w:t>storage. Nevertheless, the unpredictability of the structural/interfacial reconstruction guides the arduous kinetics and poor stability, especially conferring to high current density and wide‐temperature operation. To address these challenges, self‐adaptive interface reconstruction with a multiple secondary bonds mediation (IRSM) strategy is adopted for amphipathic BP complex to improve kinetics and stability, wherein BP nanospheres encapsulated into a sacciform B‐doped carbon matrix (BC) are further grafted with polybromoisobutyryloxy benzenesulfonic (PBBS), which undergoes in situ polymerization and is transformed into metal‐organic bromoisobutyrylox supramolecular (PBS). Consequently, combining the flexibility/rigidity advantage of organic moiety and the stability advantage of inorganic moiety, BC@BP@PBS manifests excellent fast charging behaviors, a wide‐temperature operation from −70 °C to 80 °C, and an extended cycle life of up to 1300 cycles. This work builds an ingenious protocol for leveraging the trade‐off between fast charging, wide‐temperature operation, and long life span for high‐performance cell devices.</w:t>
      </w:r>
    </w:p>
    <w:p>
      <w:pPr>
        <w:spacing w:before="120" w:after="120"/>
      </w:pPr>
      <w:r>
        <w:rPr>
          <w:sz w:val="18"/>
        </w:rPr>
        <w:t>——————————————————————————————————————————————————————————————————————</w:t>
      </w:r>
    </w:p>
    <w:p>
      <w:pPr>
        <w:spacing w:before="160" w:after="80" w:line="240" w:lineRule="auto"/>
      </w:pPr>
      <w:r>
        <w:rPr>
          <w:b/>
        </w:rPr>
        <w:t xml:space="preserve">[223] </w:t>
      </w:r>
      <w:hyperlink r:id="rId401">
        <w:r>
          <w:rPr>
            <w:color w:val="1155CC"/>
            <w:u w:val="single"/>
          </w:rPr>
          <w:t>Asymmetric Structure‐Induced d‐Orbital Splitting Boosts Highly Active and Stable Li–CO2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02">
        <w:r>
          <w:rPr>
            <w:color w:val="1155CC"/>
            <w:u w:val="single"/>
          </w:rPr>
          <w:t>10.1002/anie.202516978</w:t>
        </w:r>
      </w:hyperlink>
    </w:p>
    <w:p>
      <w:pPr>
        <w:spacing w:before="0" w:after="120"/>
      </w:pPr>
      <w:r>
        <w:rPr>
          <w:b/>
        </w:rPr>
        <w:t xml:space="preserve">Notes: </w:t>
      </w:r>
      <w:r>
        <w:t>abstract_source=crossref</w:t>
      </w:r>
    </w:p>
    <w:p>
      <w:pPr>
        <w:spacing w:before="0" w:after="200" w:lineRule="auto" w:line="276"/>
      </w:pPr>
      <w:r>
        <w:rPr>
          <w:b/>
        </w:rPr>
        <w:t xml:space="preserve">Abstract: </w:t>
      </w:r>
      <w:r>
        <w:t>Lithium‐carbon dioxide (Li‐CO</w:t>
      </w:r>
      <w:r>
        <w:rPr>
          <w:vertAlign w:val="subscript"/>
        </w:rPr>
        <w:t>2</w:t>
      </w:r>
      <w:r>
        <w:t>) batteries provide an extremely feasible strategy for sustainable development and carbon neutrality. However, due to the sluggish kinetics and complex interfacial reactions, Li‐CO</w:t>
      </w:r>
      <w:r>
        <w:rPr>
          <w:vertAlign w:val="subscript"/>
        </w:rPr>
        <w:t>2</w:t>
      </w:r>
      <w:r>
        <w:t>batteries are limited by low output voltage and poor cycling stability. Developing efficient and durable catalysts remains an urgent challenge. Transition metal oxides have gained significant attention owing to their availability and stability for electrocatalytic reactions, but their catalytic activity remains unsatisfactory toward Li‐CO</w:t>
      </w:r>
      <w:r>
        <w:rPr>
          <w:vertAlign w:val="subscript"/>
        </w:rPr>
        <w:t>2</w:t>
      </w:r>
      <w:r>
        <w:t>batteries. Herein, this work proposes an asymmetric Fe/Cu‐incorporated Co</w:t>
      </w:r>
      <w:r>
        <w:rPr>
          <w:vertAlign w:val="subscript"/>
        </w:rPr>
        <w:t>3</w:t>
      </w:r>
      <w:r>
        <w:t>O</w:t>
      </w:r>
      <w:r>
        <w:rPr>
          <w:vertAlign w:val="subscript"/>
        </w:rPr>
        <w:t>4</w:t>
      </w:r>
      <w:r>
        <w:t>tactic system to tune charge distribution for motivating efficient electrocatalysis and decipher the mechanism of asymmetric structure modulation on the promotion of catalytic activity and stability. It is unraveled that d‐orbital spin splitting induces the modification of nondegenerate state, which enhances catalyst durability, while simultaneously increasing electron occupancy in d</w:t>
      </w:r>
      <w:r>
        <w:t xml:space="preserve"> </w:t>
      </w:r>
      <w:r>
        <w:t>xz</w:t>
      </w:r>
      <w:r>
        <w:t xml:space="preserve"> </w:t>
      </w:r>
      <w:r>
        <w:t>/</w:t>
      </w:r>
      <w:r>
        <w:t xml:space="preserve"> </w:t>
      </w:r>
      <w:r>
        <w:t>yz</w:t>
      </w:r>
      <w:r>
        <w:t xml:space="preserve"> </w:t>
      </w:r>
      <w:r>
        <w:t>orbitals. This higher electron occupancy facilitates the hybridization with the p orbitals of reactants and intermediates via π bonding, thereby strengthening the adsorption activity. In consequence, the Li‐CO</w:t>
      </w:r>
      <w:r>
        <w:rPr>
          <w:vertAlign w:val="subscript"/>
        </w:rPr>
        <w:t>2</w:t>
      </w:r>
      <w:r>
        <w:t>battery with Cu‐Co</w:t>
      </w:r>
      <w:r>
        <w:rPr>
          <w:vertAlign w:val="subscript"/>
        </w:rPr>
        <w:t>3</w:t>
      </w:r>
      <w:r>
        <w:t>O</w:t>
      </w:r>
      <w:r>
        <w:rPr>
          <w:vertAlign w:val="subscript"/>
        </w:rPr>
        <w:t>4</w:t>
      </w:r>
      <w:r>
        <w:t>cathode demonstrates a low overpotential of 0.73 V and high Coulombic efficiency of 96%, outperforming batteries with Co</w:t>
      </w:r>
      <w:r>
        <w:rPr>
          <w:vertAlign w:val="subscript"/>
        </w:rPr>
        <w:t>3</w:t>
      </w:r>
      <w:r>
        <w:t>O</w:t>
      </w:r>
      <w:r>
        <w:rPr>
          <w:vertAlign w:val="subscript"/>
        </w:rPr>
        <w:t>4</w:t>
      </w:r>
      <w:r>
        <w:t>and Fe‐Co</w:t>
      </w:r>
      <w:r>
        <w:rPr>
          <w:vertAlign w:val="subscript"/>
        </w:rPr>
        <w:t>3</w:t>
      </w:r>
      <w:r>
        <w:t>O</w:t>
      </w:r>
      <w:r>
        <w:rPr>
          <w:vertAlign w:val="subscript"/>
        </w:rPr>
        <w:t>4</w:t>
      </w:r>
      <w:r>
        <w:t>. This work offers a unique insight for electronic structure regulation strategy and displays a high‐performance catalyst for Li‐CO</w:t>
      </w:r>
      <w:r>
        <w:rPr>
          <w:vertAlign w:val="subscript"/>
        </w:rPr>
        <w:t>2</w:t>
      </w:r>
      <w:r>
        <w:t>batteries.</w:t>
      </w:r>
    </w:p>
    <w:p>
      <w:pPr>
        <w:spacing w:before="120" w:after="120"/>
      </w:pPr>
      <w:r>
        <w:rPr>
          <w:sz w:val="18"/>
        </w:rPr>
        <w:t>——————————————————————————————————————————————————————————————————————</w:t>
      </w:r>
    </w:p>
    <w:p>
      <w:pPr>
        <w:spacing w:before="160" w:after="80" w:line="240" w:lineRule="auto"/>
      </w:pPr>
      <w:r>
        <w:rPr>
          <w:b/>
        </w:rPr>
        <w:t xml:space="preserve">[224] </w:t>
      </w:r>
      <w:hyperlink r:id="rId403">
        <w:r>
          <w:rPr>
            <w:color w:val="1155CC"/>
            <w:u w:val="single"/>
          </w:rPr>
          <w:t>Ultralow Thermal Conductivity in Layered CuGe2Se3</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04">
        <w:r>
          <w:rPr>
            <w:color w:val="1155CC"/>
            <w:u w:val="single"/>
          </w:rPr>
          <w:t>10.1002/anie.202509226</w:t>
        </w:r>
      </w:hyperlink>
    </w:p>
    <w:p>
      <w:pPr>
        <w:spacing w:before="0" w:after="120"/>
      </w:pPr>
      <w:r>
        <w:rPr>
          <w:b/>
        </w:rPr>
        <w:t xml:space="preserve">Notes: </w:t>
      </w:r>
      <w:r>
        <w:t>abstract_source=crossref</w:t>
      </w:r>
    </w:p>
    <w:p>
      <w:pPr>
        <w:spacing w:before="0" w:after="200" w:lineRule="auto" w:line="276"/>
      </w:pPr>
      <w:r>
        <w:rPr>
          <w:b/>
        </w:rPr>
        <w:t xml:space="preserve">Abstract: </w:t>
      </w:r>
      <w:r>
        <w:t>Unraveling the relationship between thermodynamic factors, interatomic interactions, and electronic structure remains a crucial yet elusive challenge in the discovery of novel materials in solid‐state (SS) chemistry. In the quest for new thermoelectric (TE) materials, we overcame that fundamental problem for the case of CuGe</w:t>
      </w:r>
      <w:r>
        <w:rPr>
          <w:vertAlign w:val="subscript"/>
        </w:rPr>
        <w:t>2</w:t>
      </w:r>
      <w:r>
        <w:t>Se</w:t>
      </w:r>
      <w:r>
        <w:rPr>
          <w:vertAlign w:val="subscript"/>
        </w:rPr>
        <w:t>3</w:t>
      </w:r>
      <w:r>
        <w:t>, whose synthesis, unique crystal structure, and transport properties are reported herein. The giant two‐dimensional (2D) structure of CuGe</w:t>
      </w:r>
      <w:r>
        <w:rPr>
          <w:vertAlign w:val="subscript"/>
        </w:rPr>
        <w:t>2</w:t>
      </w:r>
      <w:r>
        <w:t>Se</w:t>
      </w:r>
      <w:r>
        <w:rPr>
          <w:vertAlign w:val="subscript"/>
        </w:rPr>
        <w:t>3</w:t>
      </w:r>
      <w:r>
        <w:t>, consisting of Se/(Cu─Ge)/Se and Se/(Ge─Ge)/Se slabs stacked along the</w:t>
      </w:r>
      <w:r>
        <w:t xml:space="preserve"> </w:t>
      </w:r>
      <w:r>
        <w:t>c</w:t>
      </w:r>
      <w:r>
        <w:t xml:space="preserve"> </w:t>
      </w:r>
      <w:r>
        <w:t>‐axis, exhibits short Cu─Ge and Ge─Ge interactions, as evidenced by single‐crystal X‐ray diffraction (SCXRD) and SS NMR spectroscopic studies. These homopolar bonds might be surprising, as such interactions are rarely observed in group IV‐chalcogenides. The compound is thermally stable up to ∼823 K. Transport properties measurements revealed a high Seebeck coefficient (∼373.6 µV·K</w:t>
      </w:r>
      <w:r>
        <w:t xml:space="preserve"> </w:t>
      </w:r>
      <w:r>
        <w:t>−1</w:t>
      </w:r>
      <w:r>
        <w:t xml:space="preserve"> </w:t>
      </w:r>
      <w:r>
        <w:t>) and ultralow thermal conductivity (∼0.35 W·m</w:t>
      </w:r>
      <w:r>
        <w:t xml:space="preserve"> </w:t>
      </w:r>
      <w:r>
        <w:t>−1</w:t>
      </w:r>
      <w:r>
        <w:t xml:space="preserve"> </w:t>
      </w:r>
      <w:r>
        <w:t>K</w:t>
      </w:r>
      <w:r>
        <w:t xml:space="preserve"> </w:t>
      </w:r>
      <w:r>
        <w:t>−1</w:t>
      </w:r>
      <w:r>
        <w:t xml:space="preserve"> </w:t>
      </w:r>
      <w:r>
        <w:t>) at 755 K, ascribed to its weak bonding interactions. We followed up with a theoretical analysis to gain insight into its structural peculiarities, focusing on vibrational properties and the nature of chemical bonding. The formation of Ge─Ge bonds is favored in light of the presence of multicenter bonds, which receive contributions from stereochemically non‐active Ge lone pairs.</w:t>
      </w:r>
    </w:p>
    <w:p>
      <w:pPr>
        <w:spacing w:before="120" w:after="120"/>
      </w:pPr>
      <w:r>
        <w:rPr>
          <w:sz w:val="18"/>
        </w:rPr>
        <w:t>——————————————————————————————————————————————————————————————————————</w:t>
      </w:r>
    </w:p>
    <w:p>
      <w:pPr>
        <w:spacing w:before="160" w:after="80" w:line="240" w:lineRule="auto"/>
      </w:pPr>
      <w:r>
        <w:rPr>
          <w:b/>
        </w:rPr>
        <w:t xml:space="preserve">[225] </w:t>
      </w:r>
      <w:hyperlink r:id="rId405">
        <w:r>
          <w:rPr>
            <w:color w:val="1155CC"/>
            <w:u w:val="single"/>
          </w:rPr>
          <w:t>Mechanically Robust Bilayer Solid Electrolyte Interphase Enabled by Sequential Decomposition Mechanism for High‐Performance Micron‐Sized SiOx Anodes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06">
        <w:r>
          <w:rPr>
            <w:color w:val="1155CC"/>
            <w:u w:val="single"/>
          </w:rPr>
          <w:t>10.1002/anie.202514076</w:t>
        </w:r>
      </w:hyperlink>
    </w:p>
    <w:p>
      <w:pPr>
        <w:spacing w:before="0" w:after="120"/>
      </w:pPr>
      <w:r>
        <w:rPr>
          <w:b/>
        </w:rPr>
        <w:t xml:space="preserve">Notes: </w:t>
      </w:r>
      <w:r>
        <w:t>abstract_source=crossref</w:t>
      </w:r>
    </w:p>
    <w:p>
      <w:pPr>
        <w:spacing w:before="0" w:after="200" w:lineRule="auto" w:line="276"/>
      </w:pPr>
      <w:r>
        <w:rPr>
          <w:b/>
        </w:rPr>
        <w:t xml:space="preserve">Abstract: </w:t>
      </w:r>
      <w:r>
        <w:t>Micron‐sized Si‐based materials are promising anodes due to their high capacity, low cost, and ease of production, yet in application they suffer from severe volume expansion upon lithiation, which puts mechanical stress on the solid electrolyte interphase (SEI) that leads to premature capacity decay. Constructing a robust SEI with high Li</w:t>
      </w:r>
      <w:r>
        <w:t xml:space="preserve"> </w:t>
      </w:r>
      <w:r>
        <w:t>+</w:t>
      </w:r>
      <w:r>
        <w:t xml:space="preserve"> </w:t>
      </w:r>
      <w:r>
        <w:t>conductivity is crucial in addressing this challenge, but most SEI regulation strategies for Si‐based anodes come at the expense of manufacturability and cost. A novel and low‐cost combination of additives comprised of 3 wt% trimethyl phosphate (TMP) and 5 wt% fluoroethylene carbonate (FEC) in carbonate electrolyte (BE‐TF) was used to generate a bilayer SEI architecture specifically tailored for Si‐based anodes by a sequential decomposition mechanism, where the lithium fluoride (LiF)‐rich inner layer suppresses the volume expansion and the Li</w:t>
      </w:r>
      <w:r>
        <w:rPr>
          <w:vertAlign w:val="subscript"/>
        </w:rPr>
        <w:t>3</w:t>
      </w:r>
      <w:r>
        <w:t>PO</w:t>
      </w:r>
      <w:r>
        <w:rPr>
          <w:vertAlign w:val="subscript"/>
        </w:rPr>
        <w:t>4</w:t>
      </w:r>
      <w:r>
        <w:t>‐rich outer layer forms a barrier that shields inner particles from detrimental side reactions. A high capacity retention of 88% after 200 cycles at 1 A g</w:t>
      </w:r>
      <w:r>
        <w:t xml:space="preserve"> </w:t>
      </w:r>
      <w:r>
        <w:t>−1</w:t>
      </w:r>
      <w:r>
        <w:t xml:space="preserve"> </w:t>
      </w:r>
      <w:r>
        <w:t>can be achieved in a battery with a micron‐sized SiO</w:t>
      </w:r>
      <w:r>
        <w:t xml:space="preserve"> </w:t>
      </w:r>
      <w:r>
        <w:t>x</w:t>
      </w:r>
      <w:r>
        <w:t xml:space="preserve"> </w:t>
      </w:r>
      <w:r>
        <w:t>(0 &amp;lt;</w:t>
      </w:r>
      <w:r>
        <w:t xml:space="preserve"> </w:t>
      </w:r>
      <w:r>
        <w:t>x</w:t>
      </w:r>
      <w:r>
        <w:t xml:space="preserve"> </w:t>
      </w:r>
      <w:r>
        <w:t>&amp;lt; 2) anode using BE‐TF electrolyte. Additionally, an industrial‐grade 3.5 Ah NCM||Gr‐micron‐sized SiO</w:t>
      </w:r>
      <w:r>
        <w:t xml:space="preserve"> </w:t>
      </w:r>
      <w:r>
        <w:t>x</w:t>
      </w:r>
      <w:r>
        <w:t xml:space="preserve"> </w:t>
      </w:r>
      <w:r>
        <w:t>pouch cell using BE‐TF electrolyte could maintain long‐term stability after 1000 cycles with high‐capacity retention of &amp;gt;81% at a high charging rate of 3 C.</w:t>
      </w:r>
    </w:p>
    <w:p>
      <w:pPr>
        <w:spacing w:before="120" w:after="120"/>
      </w:pPr>
      <w:r>
        <w:rPr>
          <w:sz w:val="18"/>
        </w:rPr>
        <w:t>——————————————————————————————————————————————————————————————————————</w:t>
      </w:r>
    </w:p>
    <w:p>
      <w:pPr>
        <w:spacing w:before="160" w:after="80" w:line="240" w:lineRule="auto"/>
      </w:pPr>
      <w:r>
        <w:rPr>
          <w:b/>
        </w:rPr>
        <w:t xml:space="preserve">[226] </w:t>
      </w:r>
      <w:hyperlink r:id="rId407">
        <w:r>
          <w:rPr>
            <w:color w:val="1155CC"/>
            <w:u w:val="single"/>
          </w:rPr>
          <w:t>Molecular Design‐Driven Interface Engineering Enabling Simultaneous Defect Passivation and Enhanced Hole Extraction in Perovskite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08">
        <w:r>
          <w:rPr>
            <w:color w:val="1155CC"/>
            <w:u w:val="single"/>
          </w:rPr>
          <w:t>10.1002/anie.202513869</w:t>
        </w:r>
      </w:hyperlink>
    </w:p>
    <w:p>
      <w:pPr>
        <w:spacing w:before="0" w:after="120"/>
      </w:pPr>
      <w:r>
        <w:rPr>
          <w:b/>
        </w:rPr>
        <w:t xml:space="preserve">Notes: </w:t>
      </w:r>
      <w:r>
        <w:t>abstract_source=crossref</w:t>
      </w:r>
    </w:p>
    <w:p>
      <w:pPr>
        <w:spacing w:before="0" w:after="200" w:lineRule="auto" w:line="276"/>
      </w:pPr>
      <w:r>
        <w:rPr>
          <w:b/>
        </w:rPr>
        <w:t xml:space="preserve">Abstract: </w:t>
      </w:r>
      <w:r>
        <w:t>Interface engineering has emerged as an effective strategy to address interface defects and energy level misalignment between the perovskite and hole transport layer (HTL). Herein, three novel multifunctional hole interface molecules with distinct substituents were designed to passivate defects at the perovskite/HTL interface. These molecules integrate hole‐transporting groups with passivating units, enabling effective defect passivation, improved energy level alignment, and facilitating efficient carrier extraction. Among the three hole transport interface molecules (HTIMs), the 3‐(3,6‐bis(4‐(bis(4‐(methylthio)phenyl)amino)phenyl)‐9H‐carbazol‐9‐yl)hexan‐1‐amine hydroiodide (MeS‐TPA‐Cbz‐HAI), comprising ‐MeS and HAI units, exhibited superior interface passivation capability and greater chemical compatibility with 2,2′,7,7′‐Tetrakis (N,N‐di‐p‐methoxyphenylamine)‐9,9′‐spirobifluorene (Spiro‐OMeTAD), leading to a reduction in defect density and enhanced hole transport. Consequently, the device based on MeS‐TPA‐Cbz‐HAI achieved a notable power conversion efficiency (PCE) of 25.83%. Moreover, the unencapsulated device maintained 94% of its initial efficiency after 1000 hours of continuous operation under ambient conditions (30%–65% relative humidity), demonstrating remarkable long‐term stability. This design strategy for hole interface molecules presents a promising avenue for achieving both high efficiency and operational stability in perovskite solar cells.</w:t>
      </w:r>
    </w:p>
    <w:p>
      <w:pPr>
        <w:spacing w:before="120" w:after="120"/>
      </w:pPr>
      <w:r>
        <w:rPr>
          <w:sz w:val="18"/>
        </w:rPr>
        <w:t>——————————————————————————————————————————————————————————————————————</w:t>
      </w:r>
    </w:p>
    <w:p>
      <w:pPr>
        <w:spacing w:before="160" w:after="80" w:line="240" w:lineRule="auto"/>
      </w:pPr>
      <w:r>
        <w:rPr>
          <w:b/>
        </w:rPr>
        <w:t xml:space="preserve">[227] </w:t>
      </w:r>
      <w:hyperlink r:id="rId409">
        <w:r>
          <w:rPr>
            <w:color w:val="1155CC"/>
            <w:u w:val="single"/>
          </w:rPr>
          <w:t>Mechanical Constraints Promote Noncanonical Base‐Pairing Interactions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10">
        <w:r>
          <w:rPr>
            <w:color w:val="1155CC"/>
            <w:u w:val="single"/>
          </w:rPr>
          <w:t>10.1002/anie.202513760</w:t>
        </w:r>
      </w:hyperlink>
    </w:p>
    <w:p>
      <w:pPr>
        <w:spacing w:before="0" w:after="120"/>
      </w:pPr>
      <w:r>
        <w:rPr>
          <w:b/>
        </w:rPr>
        <w:t xml:space="preserve">Notes: </w:t>
      </w:r>
      <w:r>
        <w:t>abstract_source=crossref</w:t>
      </w:r>
    </w:p>
    <w:p>
      <w:pPr>
        <w:spacing w:before="0" w:after="200" w:lineRule="auto" w:line="276"/>
      </w:pPr>
      <w:r>
        <w:rPr>
          <w:b/>
        </w:rPr>
        <w:t xml:space="preserve">Abstract: </w:t>
      </w:r>
      <w:r>
        <w:t>Mechanical perturbations profoundly influence nucleobase interactions in cells, serving as key modulators of fundamental cellular processes such as transcriptional regulation. However, their precise roles remain elusive due to methodological limitations. Here, we have developed a DNA origami‐based nanobender system that probes base–base interactions under mechanical constraints. This system imposes tunable geometric and mechanical constraints on single‐stranded DNA/RNA by pulling its two ends together while adjusting its contour length, and enables the assessment of weak interactions between bases through the detection of DNA origami dimerization. Combining experiments and molecular dynamics simulations, we speculate that mechanical constraints promote stacking‐driven noncanonical base‐pairing via entropy compensation and favorable nucleobase orientation (hydrophobic exposure), advancing our understanding of base recognition diversity. Customizable nanobender parameters allow investigation of the effects of geometric and mechanical constraints on hybridization thermodynamics across DNA‐DNA, RNA‐RNA, DNA‐RNA, and epigenetically modified nucleotides. Notably, we suggest that entropy modulation mediated by mechanical constraints enables fine‐tuning of binding free energy, thereby expanding material assembly applications while conferring environmental sensitivity.</w:t>
      </w:r>
    </w:p>
    <w:p>
      <w:pPr>
        <w:spacing w:before="120" w:after="120"/>
      </w:pPr>
      <w:r>
        <w:rPr>
          <w:sz w:val="18"/>
        </w:rPr>
        <w:t>——————————————————————————————————————————————————————————————————————</w:t>
      </w:r>
    </w:p>
    <w:p>
      <w:pPr>
        <w:spacing w:before="160" w:after="80" w:line="240" w:lineRule="auto"/>
      </w:pPr>
      <w:r>
        <w:rPr>
          <w:b/>
        </w:rPr>
        <w:t xml:space="preserve">[228] </w:t>
      </w:r>
      <w:hyperlink r:id="rId411">
        <w:r>
          <w:rPr>
            <w:color w:val="1155CC"/>
            <w:u w:val="single"/>
          </w:rPr>
          <w:t>A‐Site Cation‐Regulated Operando Restructuring of Cu‐Based Perovskite Oxides for Selective Carbon Monoxide Electroreduction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12">
        <w:r>
          <w:rPr>
            <w:color w:val="1155CC"/>
            <w:u w:val="single"/>
          </w:rPr>
          <w:t>10.1002/anie.202513246</w:t>
        </w:r>
      </w:hyperlink>
    </w:p>
    <w:p>
      <w:pPr>
        <w:spacing w:before="0" w:after="120"/>
      </w:pPr>
      <w:r>
        <w:rPr>
          <w:b/>
        </w:rPr>
        <w:t xml:space="preserve">Notes: </w:t>
      </w:r>
      <w:r>
        <w:t>abstract_source=crossref</w:t>
      </w:r>
    </w:p>
    <w:p>
      <w:pPr>
        <w:spacing w:before="0" w:after="200" w:lineRule="auto" w:line="276"/>
      </w:pPr>
      <w:r>
        <w:rPr>
          <w:b/>
        </w:rPr>
        <w:t xml:space="preserve">Abstract: </w:t>
      </w:r>
      <w:r>
        <w:t>Understanding the correlation between surface catalytic motifs and electrochemical reaction pathways is crucial for the rational design of high‐performance electrocatalysts, yet remains hindered by the dynamic reconfiguration of active sites under operating conditions. In this study, we establish a tunable platform based on a series of Cu‐based perovskite oxides with systematically varied A‐site cations to investigate how A‐site chemistry regulates the structural dynamics of Cu and its interplay with the carbon monoxide reduction (COR) pathway.</w:t>
      </w:r>
      <w:r>
        <w:t xml:space="preserve"> </w:t>
      </w:r>
      <w:r>
        <w:t>Operando</w:t>
      </w:r>
      <w:r>
        <w:t xml:space="preserve"> </w:t>
      </w:r>
      <w:r>
        <w:t>spectroscopic analyses reveal that those perovskites with alkaline‐earth A‐site cations promote Cu clustering into metallic states, favoring multicarbon product formation. In contrast, rare‐earth A‐site perovskites stabilize surface Cu</w:t>
      </w:r>
      <w:r>
        <w:t xml:space="preserve"> </w:t>
      </w:r>
      <w:r>
        <w:t>+</w:t>
      </w:r>
      <w:r>
        <w:t xml:space="preserve"> </w:t>
      </w:r>
      <w:r>
        <w:t>species through strong Cu–O interactions, thereby enhancing the selectivity of methane. Complementary theoretical calculations further demonstrate that the Cu─O bond strength—modulated by A‐site composition—dictates the electrochemical stability of Cu active sites. These findings underscore the pivotal role of local coordination environments in steering catalyst reconstruction and product distribution, and provide guiding principles for A‐site engineering in perovskite‐based COR catalysts.</w:t>
      </w:r>
    </w:p>
    <w:p>
      <w:pPr>
        <w:spacing w:before="120" w:after="120"/>
      </w:pPr>
      <w:r>
        <w:rPr>
          <w:sz w:val="18"/>
        </w:rPr>
        <w:t>——————————————————————————————————————————————————————————————————————</w:t>
      </w:r>
    </w:p>
    <w:p>
      <w:pPr>
        <w:spacing w:before="160" w:after="80" w:line="240" w:lineRule="auto"/>
      </w:pPr>
      <w:r>
        <w:rPr>
          <w:b/>
        </w:rPr>
        <w:t xml:space="preserve">[229] </w:t>
      </w:r>
      <w:hyperlink r:id="rId413">
        <w:r>
          <w:rPr>
            <w:color w:val="1155CC"/>
            <w:u w:val="single"/>
          </w:rPr>
          <w:t>Pd─N4 Sites in MOFs Modulate Oxygen Reduction Pathways for 100% Selective Photocatalytic CO2‐to‐CH4 Conversion from Oxygenated Flue Gas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14">
        <w:r>
          <w:rPr>
            <w:color w:val="1155CC"/>
            <w:u w:val="single"/>
          </w:rPr>
          <w:t>10.1002/anie.202513157</w:t>
        </w:r>
      </w:hyperlink>
    </w:p>
    <w:p>
      <w:pPr>
        <w:spacing w:before="0" w:after="120"/>
      </w:pPr>
      <w:r>
        <w:rPr>
          <w:b/>
        </w:rPr>
        <w:t xml:space="preserve">Notes: </w:t>
      </w:r>
      <w:r>
        <w:t>abstract_source=crossref</w:t>
      </w:r>
    </w:p>
    <w:p>
      <w:pPr>
        <w:spacing w:before="0" w:after="200" w:lineRule="auto" w:line="276"/>
      </w:pPr>
      <w:r>
        <w:rPr>
          <w:b/>
        </w:rPr>
        <w:t xml:space="preserve">Abstract: </w:t>
      </w:r>
      <w:r>
        <w:t>Direct photocatalytic CO</w:t>
      </w:r>
      <w:r>
        <w:rPr>
          <w:vertAlign w:val="subscript"/>
        </w:rPr>
        <w:t>2</w:t>
      </w:r>
      <w:r>
        <w:t>reduction in flue gas is significantly challenged by the thermodynamically favored oxygen reduction reaction. While conventional approaches showed promise, the inherent O</w:t>
      </w:r>
      <w:r>
        <w:rPr>
          <w:vertAlign w:val="subscript"/>
        </w:rPr>
        <w:t>2</w:t>
      </w:r>
      <w:r>
        <w:t>affinity of transition and noble metals prevented full suppression of O</w:t>
      </w:r>
      <w:r>
        <w:rPr>
          <w:vertAlign w:val="subscript"/>
        </w:rPr>
        <w:t>2</w:t>
      </w:r>
      <w:r>
        <w:t>adsorption and activation, severely constraining the multi‐step proton‐coupled electron transfers required for the CO</w:t>
      </w:r>
      <w:r>
        <w:rPr>
          <w:vertAlign w:val="subscript"/>
        </w:rPr>
        <w:t>2</w:t>
      </w:r>
      <w:r>
        <w:t>‐to‐CH</w:t>
      </w:r>
      <w:r>
        <w:rPr>
          <w:vertAlign w:val="subscript"/>
        </w:rPr>
        <w:t>4</w:t>
      </w:r>
      <w:r>
        <w:t>pathway. We therefore envisioned a CO‐mediated oxygen scavenging mechanism by modulating oxygen reduction pathways. Via Pd─N</w:t>
      </w:r>
      <w:r>
        <w:rPr>
          <w:vertAlign w:val="subscript"/>
        </w:rPr>
        <w:t>4</w:t>
      </w:r>
      <w:r>
        <w:t>site engineering, the resulting Pd/Cu</w:t>
      </w:r>
      <w:r>
        <w:rPr>
          <w:vertAlign w:val="subscript"/>
        </w:rPr>
        <w:t>3</w:t>
      </w:r>
      <w:r>
        <w:t>(HITP)</w:t>
      </w:r>
      <w:r>
        <w:rPr>
          <w:vertAlign w:val="subscript"/>
        </w:rPr>
        <w:t>2</w:t>
      </w:r>
      <w:r>
        <w:t>/TiO</w:t>
      </w:r>
      <w:r>
        <w:rPr>
          <w:vertAlign w:val="subscript"/>
        </w:rPr>
        <w:t>2</w:t>
      </w:r>
      <w:r>
        <w:t>composite effectively suppressed competitive oxygen reduction reaction, enabling selective CO</w:t>
      </w:r>
      <w:r>
        <w:rPr>
          <w:vertAlign w:val="subscript"/>
        </w:rPr>
        <w:t>2</w:t>
      </w:r>
      <w:r>
        <w:t>‐to‐CH</w:t>
      </w:r>
      <w:r>
        <w:rPr>
          <w:vertAlign w:val="subscript"/>
        </w:rPr>
        <w:t>4</w:t>
      </w:r>
      <w:r>
        <w:t>conversion under aerobic conditions. Control experiments and density functional theory calculations revealed that the Pd─N</w:t>
      </w:r>
      <w:r>
        <w:rPr>
          <w:vertAlign w:val="subscript"/>
        </w:rPr>
        <w:t>4</w:t>
      </w:r>
      <w:r>
        <w:t>sites steered oxygen reduction toward CO‐mediated pathways—thermodynamically and kinetically favored over conventional oxygen reduction reaction, thereby mitigating competitive effects and simultaneously purifying the product. Consequently, such composite exhibited complete CH</w:t>
      </w:r>
      <w:r>
        <w:rPr>
          <w:vertAlign w:val="subscript"/>
        </w:rPr>
        <w:t>4</w:t>
      </w:r>
      <w:r>
        <w:t>selectivity at 6.7 µmol g</w:t>
      </w:r>
      <w:r>
        <w:t xml:space="preserve"> </w:t>
      </w:r>
      <w:r>
        <w:t>−1</w:t>
      </w:r>
      <w:r>
        <w:t xml:space="preserve"> </w:t>
      </w:r>
      <w:r>
        <w:t>h</w:t>
      </w:r>
      <w:r>
        <w:t xml:space="preserve"> </w:t>
      </w:r>
      <w:r>
        <w:t>−1</w:t>
      </w:r>
      <w:r>
        <w:t xml:space="preserve"> </w:t>
      </w:r>
      <w:r>
        <w:t>under simulated industrial flue gas conditions (15 vol% CO</w:t>
      </w:r>
      <w:r>
        <w:rPr>
          <w:vertAlign w:val="subscript"/>
        </w:rPr>
        <w:t>2</w:t>
      </w:r>
      <w:r>
        <w:t>, 3 vol% O</w:t>
      </w:r>
      <w:r>
        <w:rPr>
          <w:vertAlign w:val="subscript"/>
        </w:rPr>
        <w:t>2</w:t>
      </w:r>
      <w:r>
        <w:t>, 5 vol% H</w:t>
      </w:r>
      <w:r>
        <w:rPr>
          <w:vertAlign w:val="subscript"/>
        </w:rPr>
        <w:t>2</w:t>
      </w:r>
      <w:r>
        <w:t>O, balanced N</w:t>
      </w:r>
      <w:r>
        <w:rPr>
          <w:vertAlign w:val="subscript"/>
        </w:rPr>
        <w:t>2</w:t>
      </w:r>
      <w:r>
        <w:t>). Our work highlights catalytic site modulation and advances a new strategy for photocatalytic CO</w:t>
      </w:r>
      <w:r>
        <w:rPr>
          <w:vertAlign w:val="subscript"/>
        </w:rPr>
        <w:t>2</w:t>
      </w:r>
      <w:r>
        <w:t>reduction in oxygenated flue gas via pathway‐selective oxygen reduction.</w:t>
      </w:r>
    </w:p>
    <w:p>
      <w:pPr>
        <w:spacing w:before="120" w:after="120"/>
      </w:pPr>
      <w:r>
        <w:rPr>
          <w:sz w:val="18"/>
        </w:rPr>
        <w:t>——————————————————————————————————————————————————————————————————————</w:t>
      </w:r>
    </w:p>
    <w:p>
      <w:pPr>
        <w:spacing w:before="160" w:after="80" w:line="240" w:lineRule="auto"/>
      </w:pPr>
      <w:r>
        <w:rPr>
          <w:b/>
        </w:rPr>
        <w:t xml:space="preserve">[230] </w:t>
      </w:r>
      <w:hyperlink r:id="rId415">
        <w:r>
          <w:rPr>
            <w:color w:val="1155CC"/>
            <w:u w:val="single"/>
          </w:rPr>
          <w:t>Four Cytochrome P450 Enzymes Mediate Oxidation Cascades in the Biosynthesis of Cephalotane‐Type Diterpenoids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16">
        <w:r>
          <w:rPr>
            <w:color w:val="1155CC"/>
            <w:u w:val="single"/>
          </w:rPr>
          <w:t>10.1002/anie.202512854</w:t>
        </w:r>
      </w:hyperlink>
    </w:p>
    <w:p>
      <w:pPr>
        <w:spacing w:before="0" w:after="120"/>
      </w:pPr>
      <w:r>
        <w:rPr>
          <w:b/>
        </w:rPr>
        <w:t xml:space="preserve">Notes: </w:t>
      </w:r>
      <w:r>
        <w:t>abstract_source=crossref</w:t>
      </w:r>
    </w:p>
    <w:p>
      <w:pPr>
        <w:spacing w:before="0" w:after="200" w:lineRule="auto" w:line="276"/>
      </w:pPr>
      <w:r>
        <w:rPr>
          <w:b/>
        </w:rPr>
        <w:t xml:space="preserve">Abstract: </w:t>
      </w:r>
      <w:r>
        <w:t>Cephalotane‐type diterpenoids, a class of natural products exclusively found in</w:t>
      </w:r>
      <w:r>
        <w:t xml:space="preserve"> </w:t>
      </w:r>
      <w:r>
        <w:t>Cephalotaxus</w:t>
      </w:r>
      <w:r>
        <w:t xml:space="preserve"> </w:t>
      </w:r>
      <w:r>
        <w:t>plants, are well known for their attractive structures and potent biological activities. However, their low natural abundance and intricate cage‐like structures hinder their accessibility. Recently, the identification of a cephalotene synthase (</w:t>
      </w:r>
      <w:r>
        <w:t xml:space="preserve"> </w:t>
      </w:r>
      <w:r>
        <w:t>Cs</w:t>
      </w:r>
      <w:r>
        <w:t xml:space="preserve"> </w:t>
      </w:r>
      <w:r>
        <w:t>CTS) has addressed the first committed step in the biosynthesis. However, the enzymes involved in the complex post‐modification of the cephalotene core into structurally diverse cephalotane‐type diterpenoids remain obscure. In this study, we functionally characterised four novel cytochrome P450 enzymes from</w:t>
      </w:r>
      <w:r>
        <w:t xml:space="preserve"> </w:t>
      </w:r>
      <w:r>
        <w:t>C. sinensis</w:t>
      </w:r>
      <w:r>
        <w:t xml:space="preserve"> </w:t>
      </w:r>
      <w:r>
        <w:t>. These enzymes demonstrate multiple oxidative functions and cooperatively catalyse a cascade of oxidation reactions, including the formation of signature 13,17‐lactone, 5,19‐lactone, and tropone. We further co‐expressed the characterised CYP450 enzymes in combination with</w:t>
      </w:r>
      <w:r>
        <w:t xml:space="preserve"> </w:t>
      </w:r>
      <w:r>
        <w:t>Cs</w:t>
      </w:r>
      <w:r>
        <w:t xml:space="preserve"> </w:t>
      </w:r>
      <w:r>
        <w:t>CTS to produce a variety of cephalotane‐type diterpenoids, including hainanolidol (</w:t>
      </w:r>
      <w:r>
        <w:rPr>
          <w:vertAlign w:val="subscript"/>
        </w:rPr>
        <w:t>2</w:t>
      </w:r>
      <w:r>
        <w:t>), mannolide C (</w:t>
      </w:r>
      <w:r>
        <w:rPr>
          <w:vertAlign w:val="subscript"/>
        </w:rPr>
        <w:t>3</w:t>
      </w:r>
      <w:r>
        <w:t>), mannolide A (</w:t>
      </w:r>
      <w:r>
        <w:rPr>
          <w:vertAlign w:val="subscript"/>
        </w:rPr>
        <w:t>4</w:t>
      </w:r>
      <w:r>
        <w:t>), and cephinoid H (</w:t>
      </w:r>
      <w:r>
        <w:rPr>
          <w:vertAlign w:val="subscript"/>
        </w:rPr>
        <w:t>5</w:t>
      </w:r>
      <w:r>
        <w:t>), in</w:t>
      </w:r>
      <w:r>
        <w:t xml:space="preserve"> </w:t>
      </w:r>
      <w:r>
        <w:t>Nicotiana benthamiana</w:t>
      </w:r>
      <w:r>
        <w:t xml:space="preserve"> </w:t>
      </w:r>
      <w:r>
        <w:t>. Subsequently, harringtonolide (</w:t>
      </w:r>
      <w:r>
        <w:rPr>
          <w:vertAlign w:val="subscript"/>
        </w:rPr>
        <w:t>1</w:t>
      </w:r>
      <w:r>
        <w:t>) was chemically converted from hainanolidol (3.9 µmol with 10 equiv of Pb(OAc)</w:t>
      </w:r>
      <w:r>
        <w:rPr>
          <w:vertAlign w:val="subscript"/>
        </w:rPr>
        <w:t>4</w:t>
      </w:r>
      <w:r>
        <w:t>) in 87.5% yield. In this study, the biosynthetic pathways of representative cephalotane‐type diterpenoids were elucidated and reconstructed, thereby establishing a foundation for their sustainable production through biosynthesis and/or chemo‐biosynthesis, highlighting the remarkable efficiency of merely five</w:t>
      </w:r>
      <w:r>
        <w:t xml:space="preserve"> </w:t>
      </w:r>
      <w:r>
        <w:t>Cephalotaxus</w:t>
      </w:r>
      <w:r>
        <w:t xml:space="preserve"> </w:t>
      </w:r>
      <w:r>
        <w:t>‐specific enzymes in assembling such structurally complex natural products.</w:t>
      </w:r>
    </w:p>
    <w:p>
      <w:pPr>
        <w:spacing w:before="120" w:after="120"/>
      </w:pPr>
      <w:r>
        <w:rPr>
          <w:sz w:val="18"/>
        </w:rPr>
        <w:t>——————————————————————————————————————————————————————————————————————</w:t>
      </w:r>
    </w:p>
    <w:p>
      <w:pPr>
        <w:spacing w:before="160" w:after="80" w:line="240" w:lineRule="auto"/>
      </w:pPr>
      <w:r>
        <w:rPr>
          <w:b/>
        </w:rPr>
        <w:t xml:space="preserve">[231] </w:t>
      </w:r>
      <w:hyperlink r:id="rId417">
        <w:r>
          <w:rPr>
            <w:color w:val="1155CC"/>
            <w:u w:val="single"/>
          </w:rPr>
          <w:t>Built‐in Axial Electric Field‐Driven Electron‐Rich Monomolecular Co Sites for Promoting CO2 Electroreduction to CO Over Ultrawide Potential Window</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18">
        <w:r>
          <w:rPr>
            <w:color w:val="1155CC"/>
            <w:u w:val="single"/>
          </w:rPr>
          <w:t>10.1002/anie.202511671</w:t>
        </w:r>
      </w:hyperlink>
    </w:p>
    <w:p>
      <w:pPr>
        <w:spacing w:before="0" w:after="120"/>
      </w:pPr>
      <w:r>
        <w:rPr>
          <w:b/>
        </w:rPr>
        <w:t xml:space="preserve">Notes: </w:t>
      </w:r>
      <w:r>
        <w:t>abstract_source=crossref</w:t>
      </w:r>
    </w:p>
    <w:p>
      <w:pPr>
        <w:spacing w:before="0" w:after="200" w:lineRule="auto" w:line="276"/>
      </w:pPr>
      <w:r>
        <w:rPr>
          <w:b/>
        </w:rPr>
        <w:t xml:space="preserve">Abstract: </w:t>
      </w:r>
      <w:r>
        <w:t>Using renewable electricity to convert CO</w:t>
      </w:r>
      <w:r>
        <w:rPr>
          <w:vertAlign w:val="subscript"/>
        </w:rPr>
        <w:t>2</w:t>
      </w:r>
      <w:r>
        <w:t>into CO offers a sustainable route to producing a versatile intermediate to synthesize various chemicals and fuels. However, the conversion at scale is largely constrained owing to the lack of potential‐universal feasibility. Here, we developed an electrocatalyst featuring CoPc anchored ZnO with rich oxygen vacancies (CoPc@ZnO</w:t>
      </w:r>
      <w:r>
        <w:t xml:space="preserve"> </w:t>
      </w:r>
      <w:r>
        <w:t>v</w:t>
      </w:r>
      <w:r>
        <w:t xml:space="preserve"> </w:t>
      </w:r>
      <w:r>
        <w:t>), thus improving the activity and selectivity of CO</w:t>
      </w:r>
      <w:r>
        <w:rPr>
          <w:vertAlign w:val="subscript"/>
        </w:rPr>
        <w:t>2</w:t>
      </w:r>
      <w:r>
        <w:t>‐to‐CO conversion. Notably, the FEco of CoPc@ZnO</w:t>
      </w:r>
      <w:r>
        <w:t xml:space="preserve"> </w:t>
      </w:r>
      <w:r>
        <w:t>v</w:t>
      </w:r>
      <w:r>
        <w:t xml:space="preserve"> </w:t>
      </w:r>
      <w:r>
        <w:t>remains above 90% over an ultrawide potential window of 1.3 V (−0.7 to −2.0 V versus RHE) in H‐type cell, 1.40 V (−0.4 to −1.8 V versus RHE) in flow cell and 1.0 V (low cell voltages of 2.0–3.0 V) in the MEA device, surpassing those of previously reported molecular CoPc‐based electrocatalysts and even most single metal site materials. Density functional theory calculations combined with in‐situ spectroscopies reveal that the built‐in axial electric field arising from the p–n junction rectification effect could drive electron‐rich single Co‐N</w:t>
      </w:r>
      <w:r>
        <w:rPr>
          <w:vertAlign w:val="subscript"/>
        </w:rPr>
        <w:t>4</w:t>
      </w:r>
      <w:r>
        <w:t>sites with asymmetric charge distribution and geometric curvature, which promotes *COOH formation (i.e., strong CO</w:t>
      </w:r>
      <w:r>
        <w:rPr>
          <w:vertAlign w:val="subscript"/>
        </w:rPr>
        <w:t>2</w:t>
      </w:r>
      <w:r>
        <w:t>adsorption, rapid H</w:t>
      </w:r>
      <w:r>
        <w:rPr>
          <w:vertAlign w:val="subscript"/>
        </w:rPr>
        <w:t>2</w:t>
      </w:r>
      <w:r>
        <w:t>O dissociation and proton supply), *CO desorption and as well suppresses the hydrogen evolution reaction, thus favoring the production of CO via CO</w:t>
      </w:r>
      <w:r>
        <w:rPr>
          <w:vertAlign w:val="subscript"/>
        </w:rPr>
        <w:t>2</w:t>
      </w:r>
      <w:r>
        <w:t>RR over ultrawide potential windows. This work presents a novel catalyst design strategy of asymmetrical monomolecular Co‐N</w:t>
      </w:r>
      <w:r>
        <w:rPr>
          <w:vertAlign w:val="subscript"/>
        </w:rPr>
        <w:t>4</w:t>
      </w:r>
      <w:r>
        <w:t>sites based on the built‐in axial electric field theory, as well as a new way to tune the out‐of‐plane polarization for improved catalytic performance.</w:t>
      </w:r>
    </w:p>
    <w:p>
      <w:pPr>
        <w:spacing w:before="120" w:after="120"/>
      </w:pPr>
      <w:r>
        <w:rPr>
          <w:sz w:val="18"/>
        </w:rPr>
        <w:t>——————————————————————————————————————————————————————————————————————</w:t>
      </w:r>
    </w:p>
    <w:p>
      <w:pPr>
        <w:spacing w:before="160" w:after="80" w:line="240" w:lineRule="auto"/>
      </w:pPr>
      <w:r>
        <w:rPr>
          <w:b/>
        </w:rPr>
        <w:t xml:space="preserve">[232] </w:t>
      </w:r>
      <w:hyperlink r:id="rId419">
        <w:r>
          <w:rPr>
            <w:color w:val="1155CC"/>
            <w:u w:val="single"/>
          </w:rPr>
          <w:t>Deep Depolymerization of Lignin via Reductive Acidolysis Yielding Copious Aromatics Thoroughly Revealed by NMR Chromatography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20">
        <w:r>
          <w:rPr>
            <w:color w:val="1155CC"/>
            <w:u w:val="single"/>
          </w:rPr>
          <w:t>10.1002/anie.202511535</w:t>
        </w:r>
      </w:hyperlink>
    </w:p>
    <w:p>
      <w:pPr>
        <w:spacing w:before="0" w:after="120"/>
      </w:pPr>
      <w:r>
        <w:rPr>
          <w:b/>
        </w:rPr>
        <w:t xml:space="preserve">Notes: </w:t>
      </w:r>
      <w:r>
        <w:t>abstract_source=crossref</w:t>
      </w:r>
    </w:p>
    <w:p>
      <w:pPr>
        <w:spacing w:before="0" w:after="200" w:lineRule="auto" w:line="276"/>
      </w:pPr>
      <w:r>
        <w:rPr>
          <w:b/>
        </w:rPr>
        <w:t xml:space="preserve">Abstract: </w:t>
      </w:r>
      <w:r>
        <w:t>Depolymerization is the cornerstone of lignin valorization. Although this field of research has advanced significantly in the past decade, there are still obstacles preventing large‐scale application. The high cost of precious metal catalysts and the use of pressurized hydrogen gas account for some of the limitations. In this work, it is designed to synergize the reductive acidolytic power of hydrogen iodide and the advantageous physicochemical properties of ionic liquids (ILs) as green solvents for the deep depolymerization of real lignin. The results showed that nearly 100% of model compounds were converted in the reaction medium comprising 1‐butyl‐3 methylimidazolium iodide ([Bmim]I) plus organic acids and a yield up to 81 wt% of depolymerized products of low molecular weights was achieved for real lignins. In addition, a detailed structural assignment of the products was made straightforward by nuclear magnetic resonance chromatography. The advantages of the [Bmim]I/organic acids demonstrated in this study are featured by mild reaction conditions, easy scalability, and cost‐effectiveness, paving the way toward the democratization of lignin‐derived products.</w:t>
      </w:r>
    </w:p>
    <w:p>
      <w:pPr>
        <w:spacing w:before="120" w:after="120"/>
      </w:pPr>
      <w:r>
        <w:rPr>
          <w:sz w:val="18"/>
        </w:rPr>
        <w:t>——————————————————————————————————————————————————————————————————————</w:t>
      </w:r>
    </w:p>
    <w:p>
      <w:pPr>
        <w:spacing w:before="160" w:after="80" w:line="240" w:lineRule="auto"/>
      </w:pPr>
      <w:r>
        <w:rPr>
          <w:b/>
        </w:rPr>
        <w:t xml:space="preserve">[233] </w:t>
      </w:r>
      <w:hyperlink r:id="rId421">
        <w:r>
          <w:rPr>
            <w:color w:val="1155CC"/>
            <w:u w:val="single"/>
          </w:rPr>
          <w:t>Chemical Reactions in Cellular Microenvironments Directed by Conjugated Polymers Toward Biomedical Advances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22">
        <w:r>
          <w:rPr>
            <w:color w:val="1155CC"/>
            <w:u w:val="single"/>
          </w:rPr>
          <w:t>10.1002/anie.202514135</w:t>
        </w:r>
      </w:hyperlink>
    </w:p>
    <w:p>
      <w:pPr>
        <w:spacing w:before="0" w:after="120"/>
      </w:pPr>
      <w:r>
        <w:rPr>
          <w:b/>
        </w:rPr>
        <w:t xml:space="preserve">Notes: </w:t>
      </w:r>
      <w:r>
        <w:t>abstract_source=crossref</w:t>
      </w:r>
    </w:p>
    <w:p>
      <w:pPr>
        <w:spacing w:before="0" w:after="200" w:lineRule="auto" w:line="276"/>
      </w:pPr>
      <w:r>
        <w:rPr>
          <w:b/>
        </w:rPr>
        <w:t xml:space="preserve">Abstract: </w:t>
      </w:r>
      <w:r>
        <w:t>Conjugated polymers exhibit unique structural and optoelectronic properties, enabling precise modulation of chemical reactions within cellular microenvironments. This review highlights recent advances in CP‐directed biomedical strategies, focusing on their roles in light‐driven biophotocatalysis, photodynamic and photothermal therapies, and precision cellular regulation. By facilitating targeted redox transformations, gas generation, and supramolecular interactions, CPs provide spatiotemporal control over complex biological processes. The integration of CPs into dynamic assemblies and biointerfaces enables responsive, minimally invasive interventions for cancer, inflammation, and metabolic dysfunctions. Furthermore, emerging approaches that combine artificial intelligence with molecular design are accelerating the development of CP‐based platforms for personalized medicine. These interdisciplinary innovations underscore the transformative potential of CPs in therapeutic modulation, diagnostic enhancement, and the development of next‐generation biomedical devices.</w:t>
      </w:r>
    </w:p>
    <w:p>
      <w:pPr>
        <w:spacing w:before="120" w:after="120"/>
      </w:pPr>
      <w:r>
        <w:rPr>
          <w:sz w:val="18"/>
        </w:rPr>
        <w:t>——————————————————————————————————————————————————————————————————————</w:t>
      </w:r>
    </w:p>
    <w:p>
      <w:pPr>
        <w:spacing w:before="160" w:after="80" w:line="240" w:lineRule="auto"/>
      </w:pPr>
      <w:r>
        <w:rPr>
          <w:b/>
        </w:rPr>
        <w:t xml:space="preserve">[234] </w:t>
      </w:r>
      <w:hyperlink r:id="rId423">
        <w:r>
          <w:rPr>
            <w:color w:val="1155CC"/>
            <w:u w:val="single"/>
          </w:rPr>
          <w:t>Frontispiece: A General Strategy to Develop Intramolecular Spirocyclic Boron Dipyrromethene Fluorophores for Self‐Blinking Super‐Resolution Imaging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[235] </w:t>
      </w:r>
      <w:hyperlink r:id="rId424">
        <w:r>
          <w:rPr>
            <w:color w:val="1155CC"/>
            <w:u w:val="single"/>
          </w:rPr>
          <w:t>Elucidating Ligand‐Dependent Selectivities in Pd‐Catalyzed C–H Activations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r>
        <w:t xml:space="preserve">    </w:t>
      </w:r>
      <w:r>
        <w:rPr>
          <w:b/>
        </w:rPr>
        <w:t xml:space="preserve">DOI: </w:t>
      </w:r>
      <w:hyperlink r:id="rId425">
        <w:r>
          <w:rPr>
            <w:color w:val="1155CC"/>
            <w:u w:val="single"/>
          </w:rPr>
          <w:t>10.1002/anie.202507500</w:t>
        </w:r>
      </w:hyperlink>
    </w:p>
    <w:p>
      <w:pPr>
        <w:spacing w:before="0" w:after="120"/>
      </w:pPr>
      <w:r>
        <w:rPr>
          <w:b/>
        </w:rPr>
        <w:t xml:space="preserve">Notes: </w:t>
      </w:r>
      <w:r>
        <w:t>abstract_source=crossref</w:t>
      </w:r>
    </w:p>
    <w:p>
      <w:pPr>
        <w:spacing w:before="0" w:after="200" w:lineRule="auto" w:line="276"/>
      </w:pPr>
      <w:r>
        <w:rPr>
          <w:b/>
        </w:rPr>
        <w:t xml:space="preserve">Abstract: </w:t>
      </w:r>
      <w:r>
        <w:t>Achieving regioselectivity in C–H activation remains a major challenge. Controlling or even reversing the regioisomeric outcome through the choice of ligand is even harder to achieve, let alone to predict. In this study, we investigated ligand effects in the regioselective Pd‐catalyzed alkynylation of thiophenes using multivariate linear regression to build predictive models that offer deeper insight into the structural factors driving regioselectivity and enabled the discovery of a more selective ligand. Combining experimental and DFT studies, we propose a Curtin–Hammett scenario between the C–H activation and migratory insertion as the origin of the ligand‐controlled selectivities. A detailed investigation of solvent effects uncovered an inadequate description of solvent‐solute dispersion interactions by implicit solvation models. The crucial role of the solvent in substrate coordination is further evidenced by an inverse solvent kinetic isotope effect. Additionally, the often poorly understood role of silver was scrutinized, showing that it serves to mitigate a detrimental side reaction. This study provides generalizable insights for the computational description of challenging regio‐ and stereoselectivities and is expected to aid future mechanistic investigations in Pd‐catalyzed C–H activation that holistically consider the role of all reaction components.</w:t>
      </w:r>
    </w:p>
    <w:p>
      <w:pPr>
        <w:spacing w:before="120" w:after="120"/>
      </w:pPr>
      <w:r>
        <w:rPr>
          <w:sz w:val="18"/>
        </w:rPr>
        <w:t>——————————————————————————————————————————————————————————————————————</w:t>
      </w:r>
    </w:p>
    <w:p>
      <w:pPr>
        <w:spacing w:before="160" w:after="80" w:line="240" w:lineRule="auto"/>
      </w:pPr>
      <w:r>
        <w:rPr>
          <w:b/>
        </w:rPr>
        <w:t xml:space="preserve">[236] </w:t>
      </w:r>
      <w:hyperlink r:id="rId426">
        <w:r>
          <w:rPr>
            <w:color w:val="1155CC"/>
            <w:u w:val="single"/>
          </w:rPr>
          <w:t>Outside Back Cover: Artificial Decision Tree Guided Screening of Ultralong Room‐Temperature Phosphorescent Cocrystals with Locally Excited States (Angew. Chem. Int. Ed. 51/2025)</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[237] </w:t>
      </w:r>
      <w:hyperlink r:id="rId427">
        <w:r>
          <w:rPr>
            <w:color w:val="1155CC"/>
            <w:u w:val="single"/>
          </w:rPr>
          <w:t>Inside Front Cover: Harnessing Halogen Bonds in Porous Molecular Crystals for Efficient SF6/N2 Separation (Angew. Chem. Int. Ed. 51/2025)</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[238] </w:t>
      </w:r>
      <w:hyperlink r:id="rId428">
        <w:r>
          <w:rPr>
            <w:color w:val="1155CC"/>
            <w:u w:val="single"/>
          </w:rPr>
          <w:t>Inside Back Cover: Miniature Photoenzyme Enables Organelle‐Specific Cellular Control via Deboronative Hydroxylation (Angew. Chem. Int. Ed. 51/2025)</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[239] </w:t>
      </w:r>
      <w:hyperlink r:id="rId429">
        <w:r>
          <w:rPr>
            <w:color w:val="1155CC"/>
            <w:u w:val="single"/>
          </w:rPr>
          <w:t>Outside Front Cover: Modular Synthesis of Pyritide‐Inspired Macrocycles Featuring Bipyridine Motifs (Angew. Chem. Int. Ed. 51/2025)</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2025-12-16 15:14:44+00:00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[240] </w:t>
      </w:r>
      <w:hyperlink r:id="rId430">
        <w:r>
          <w:rPr>
            <w:color w:val="1155CC"/>
            <w:u w:val="single"/>
          </w:rPr>
          <w:t>[ASAP] Flash-Infrared-Annealing-Enabled High-Temperature Sintering of Photoanodes on Flexible Polymer Foils for Ultralight Photovoltaics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2025-12-16 15:22:35+00:00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[241] </w:t>
      </w:r>
      <w:hyperlink r:id="rId431">
        <w:r>
          <w:rPr>
            <w:color w:val="1155CC"/>
            <w:u w:val="single"/>
          </w:rPr>
          <w:t>[ASAP] Photocatalytic Strain-Release Transformation of Bicyclo[1.1.0]butanes (BCB) Using Strategically Tuned Covalent Organic Frameworks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16:27:44+00:00</w:t>
      </w:r>
      <w:r>
        <w:t xml:space="preserve">    </w:t>
      </w:r>
      <w:r>
        <w:rPr>
          <w:b/>
        </w:rPr>
        <w:t xml:space="preserve">DOI: </w:t>
      </w:r>
      <w:hyperlink r:id="rId432">
        <w:r>
          <w:rPr>
            <w:color w:val="1155CC"/>
            <w:u w:val="single"/>
          </w:rPr>
          <w:t>10.1021/jacs.5c15288</w:t>
        </w:r>
      </w:hyperlink>
    </w:p>
    <w:p>
      <w:pPr>
        <w:spacing w:before="0" w:after="120"/>
      </w:pPr>
      <w:r>
        <w:rPr>
          <w:b/>
        </w:rPr>
        <w:t xml:space="preserve">Notes: </w:t>
      </w:r>
      <w:r>
        <w:t>abstract_source=pubmed</w:t>
      </w:r>
    </w:p>
    <w:p>
      <w:pPr>
        <w:spacing w:before="0" w:after="200" w:lineRule="auto" w:line="276"/>
      </w:pPr>
      <w:r>
        <w:rPr>
          <w:b/>
        </w:rPr>
        <w:t xml:space="preserve">Abstract: </w:t>
      </w:r>
      <w:r>
        <w:t>We designed and synthesized crystalline, porous, covalent organic framework (COF) photocatalysts featuring highly stabilized valence band edges to promote facile charge transport, active site accessibility, and delayed electron-hole recombination. These COFs enabled the photocatalytic strain-release Minisci reaction of bicyclo[1.1.0]butane (BCB) for the direct synthesis of N-heteroarene-functionalized spiro-cyclobutyl oxindoles. The transformation operates through halogen-atom transfer (XAT) mediated by α-aminoalkyl radicals generated via photocatalytic oxidation of alkyl amines. This strategy permits rapid access to structurally diverse spirocyclic scaffolds, including those bearing all-carbon quaternary centers, and facilitates late-stage functionalization of N-heteroarene-containing bioactive molecules and natural products. The heterogeneous COF catalysts exhibit exceptional recyclability, retaining full activity over eight consecutive cycles. Detailed mechanistic investigations, including control reactions, photophysical measurements, and electrochemical studies, provide insight into the reaction pathway.</w:t>
      </w:r>
    </w:p>
    <w:p>
      <w:pPr>
        <w:spacing w:before="120" w:after="120"/>
      </w:pPr>
      <w:r>
        <w:rPr>
          <w:sz w:val="18"/>
        </w:rPr>
        <w:t>——————————————————————————————————————————————————————————————————————</w:t>
      </w:r>
    </w:p>
    <w:p>
      <w:pPr>
        <w:spacing w:before="160" w:after="80" w:line="240" w:lineRule="auto"/>
      </w:pPr>
      <w:r>
        <w:rPr>
          <w:b/>
        </w:rPr>
        <w:t xml:space="preserve">[242] </w:t>
      </w:r>
      <w:hyperlink r:id="rId433">
        <w:r>
          <w:rPr>
            <w:color w:val="1155CC"/>
            <w:u w:val="single"/>
          </w:rPr>
          <w:t>[ASAP] Highly Accurate and Fast Prediction of MOF Free Energy via Machine Learning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17:08:56+00:00</w:t>
      </w:r>
      <w:r>
        <w:t xml:space="preserve">    </w:t>
      </w:r>
      <w:r>
        <w:rPr>
          <w:b/>
        </w:rPr>
        <w:t xml:space="preserve">DOI: </w:t>
      </w:r>
      <w:hyperlink r:id="rId434">
        <w:r>
          <w:rPr>
            <w:color w:val="1155CC"/>
            <w:u w:val="single"/>
          </w:rPr>
          <w:t>10.1021/jacs.5c13960</w:t>
        </w:r>
      </w:hyperlink>
    </w:p>
    <w:p>
      <w:pPr>
        <w:spacing w:before="0" w:after="120"/>
      </w:pPr>
      <w:r>
        <w:rPr>
          <w:b/>
        </w:rPr>
        <w:t xml:space="preserve">Notes: </w:t>
      </w:r>
      <w:r>
        <w:t>abstract_source=pubmed</w:t>
      </w:r>
    </w:p>
    <w:p>
      <w:pPr>
        <w:spacing w:before="0" w:after="200" w:lineRule="auto" w:line="276"/>
      </w:pPr>
      <w:r>
        <w:rPr>
          <w:b/>
        </w:rPr>
        <w:t xml:space="preserve">Abstract: </w:t>
      </w:r>
      <w:r>
        <w:t>A major bottleneck in translating computational screening of metal-organic frameworks (MOFs) to laboratory synthesis is the uncertain synthetic accessibility of computer-generated MOF designs. While MOF free energy calculations are emerging as a way to anticipate synthetic accessibility, the computational cost of traditional molecular simulation methods remains incompatible with the immense MOF design space, which spans trillions of structures. Here, we propose and demonstrate the efficient prediction of this important quantity using machine learning. Our approach is based on three ingredients: (1) a newly curated data set of nearly 1 million MOFs (MOFMinE) and their properties, including simulated strain energies, as well as simulated free energies for a subset of these structures; (2) a novel sequence representation of MOFs, called MOFSeq, that incorporates both local and global MOF features; and (3) a large language model (LLM-Prop) pretrained on strain energy prediction and then fine-tuned on free energy prediction using MOFSeq. Our trained model achieves a mean absolute error (MAE) of 0.789 kJ/molMOFatom on free energy prediction. Remarkably, this same model, without retraining, demonstrated exceptional versatility by predicting whether MOFs were above or below an empirical free energy-based synthesizability threshold with a 97% F1 score. Furthermore, it correctly selected the lowest free energy MOF polymorph with an average accuracy of 78.1%, with this accuracy increasing to 100% for free energy differences greater than 4.05 kJ/molMOFatom and remaining above 60% even when having to sort out free energy differences as low as 0.16 kJ/molMOFatom.</w:t>
      </w:r>
    </w:p>
    <w:p>
      <w:pPr>
        <w:spacing w:before="120" w:after="120"/>
      </w:pPr>
      <w:r>
        <w:rPr>
          <w:sz w:val="18"/>
        </w:rPr>
        <w:t>——————————————————————————————————————————————————————————————————————</w:t>
      </w:r>
    </w:p>
    <w:p>
      <w:pPr>
        <w:spacing w:before="160" w:after="80" w:line="240" w:lineRule="auto"/>
      </w:pPr>
      <w:r>
        <w:rPr>
          <w:b/>
        </w:rPr>
        <w:t xml:space="preserve">[243] </w:t>
      </w:r>
      <w:hyperlink r:id="rId435">
        <w:r>
          <w:rPr>
            <w:color w:val="1155CC"/>
            <w:u w:val="single"/>
          </w:rPr>
          <w:t>[ASAP] A Funnel-Structured 12 × 10-Ring Zeolite Customized for Biomass Catalytic Pyrolysis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17:09:53+00:00</w:t>
      </w:r>
      <w:r>
        <w:t xml:space="preserve">    </w:t>
      </w:r>
      <w:r>
        <w:rPr>
          <w:b/>
        </w:rPr>
        <w:t xml:space="preserve">DOI: </w:t>
      </w:r>
      <w:hyperlink r:id="rId436">
        <w:r>
          <w:rPr>
            <w:color w:val="1155CC"/>
            <w:u w:val="single"/>
          </w:rPr>
          <w:t>10.1021/jacs.5c17648</w:t>
        </w:r>
      </w:hyperlink>
    </w:p>
    <w:p>
      <w:pPr>
        <w:spacing w:before="0" w:after="120"/>
      </w:pPr>
      <w:r>
        <w:rPr>
          <w:b/>
        </w:rPr>
        <w:t xml:space="preserve">Notes: </w:t>
      </w:r>
      <w:r>
        <w:t>abstract_source=pubmed</w:t>
      </w:r>
    </w:p>
    <w:p>
      <w:pPr>
        <w:spacing w:before="0" w:after="200" w:lineRule="auto" w:line="276"/>
      </w:pPr>
      <w:r>
        <w:rPr>
          <w:b/>
        </w:rPr>
        <w:t xml:space="preserve">Abstract: </w:t>
      </w:r>
      <w:r>
        <w:t>"Ab initio" synthesis of reaction-customized zeolites is essential for zeolite engineering. Catalytic fast pyrolysis (CFP) represents a promising reaction to directly convert biomass into drop-in hydrocarbon fuels, which necessitates zeolites with a gradient large-/medium-porosity. However, the synthesis of such a predefined zeolite is challenging. Herein, an in situ partial interzeolite transformation strategy is proposed to fabricate a core-shell HS-ZSM-5@Beta heterozeolite tailored for biomass CFP. HS-ZSM-5@Beta features a seamless core-to-shell interface and funnel-structured 12 × 10-membered ring (MR) channels, as revealed by atomic-level integrated differential phase contrast scanning transmission electron microscopy (iDPC-STEM). With the well-defined "core-to-shell" pathway and enhanced porosity synergy, HS-ZSM-5@Beta delivers a hydrocarbon selectivity of 57.4 area % during maize straw CFP, which is twice that of conventional ZSM-5. The robust catalytic activity is retained over eight pyrolysis-regeneration cycles. A structure-property relationship investigation underscores the kinetic advantages of this synthetic approach. This study advances the real rational design of zeolites for pre-established reactions.</w:t>
      </w:r>
    </w:p>
    <w:p>
      <w:pPr>
        <w:spacing w:before="120" w:after="120"/>
      </w:pPr>
      <w:r>
        <w:rPr>
          <w:sz w:val="18"/>
        </w:rPr>
        <w:t>——————————————————————————————————————————————————————————————————————</w:t>
      </w:r>
    </w:p>
    <w:p>
      <w:pPr>
        <w:spacing w:before="160" w:after="80" w:line="240" w:lineRule="auto"/>
      </w:pPr>
      <w:r>
        <w:rPr>
          <w:b/>
        </w:rPr>
        <w:t xml:space="preserve">[244] </w:t>
      </w:r>
      <w:hyperlink r:id="rId437">
        <w:r>
          <w:rPr>
            <w:color w:val="1155CC"/>
            <w:u w:val="single"/>
          </w:rPr>
          <w:t>[ASAP] A Leap toward Quasi-Solid-State Chloride-Ion Batteries with Metal–Organic Frameworks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2025-12-16 17:11:07+00:00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[245] </w:t>
      </w:r>
      <w:hyperlink r:id="rId438">
        <w:r>
          <w:rPr>
            <w:color w:val="1155CC"/>
            <w:u w:val="single"/>
          </w:rPr>
          <w:t>[ASAP] Single-Layer Silica Nanosheets with In-Plane Porosity Enable High-Performance Nanolaminate Membranes for Organic Solvent Nanofiltration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17:31:50+00:00</w:t>
      </w:r>
      <w:r>
        <w:t xml:space="preserve">    </w:t>
      </w:r>
      <w:r>
        <w:rPr>
          <w:b/>
        </w:rPr>
        <w:t xml:space="preserve">DOI: </w:t>
      </w:r>
      <w:hyperlink r:id="rId439">
        <w:r>
          <w:rPr>
            <w:color w:val="1155CC"/>
            <w:u w:val="single"/>
          </w:rPr>
          <w:t>10.1021/jacs.5c13454</w:t>
        </w:r>
      </w:hyperlink>
    </w:p>
    <w:p>
      <w:pPr>
        <w:spacing w:before="0" w:after="120"/>
      </w:pPr>
      <w:r>
        <w:rPr>
          <w:b/>
        </w:rPr>
        <w:t xml:space="preserve">Notes: </w:t>
      </w:r>
      <w:r>
        <w:t>abstract_source=pubmed</w:t>
      </w:r>
    </w:p>
    <w:p>
      <w:pPr>
        <w:spacing w:before="0" w:after="200" w:lineRule="auto" w:line="276"/>
      </w:pPr>
      <w:r>
        <w:rPr>
          <w:b/>
        </w:rPr>
        <w:t xml:space="preserve">Abstract: </w:t>
      </w:r>
      <w:r>
        <w:t>Organic solvent nanofiltration (OSN) membranes hold substantial promise for energy-efficient molecular separations in chemical and pharmaceutical industries, yet current technologies often face limitations in solvent permeation and precise sieving. To address these issues, we introduce novel nanolaminated membranes assembled from single-layer, two-dimensional (2D) mesoporous silica nanosheets with inherently uniform in-plane pores. These silica nanosheets, synthesized via a surfactant-templated soft approach, feature highly ordered and tunable hexagonal porosity with sub-10 nm thickness. By adjusting the surfactant carbon chain length, silica nanosheets with controllable pore dimensions were prepared and subsequently stacked into defect-minimized nanolaminate structures. The resulting membranes exhibited polarity-dependent solvent permeation, with permeance values up to 238 L m-2 h-1 bar-1 [LMHB] for polar solvents. Molecular sieving evaluations further revealed robust size-selective performance, achieving molecular weight cut-offs as low as 678 Da with high solvent flux. Remarkably, these nanolaminated silica membranes surpassed existing state-of-the-art OSN membranes in both permeability and selectivity benchmarks. Our findings underscore the potential of precisely engineered 2D mesoporous silica nanosheets as scalable and chemically robust building blocks for next-generation OSN membranes tailored for advanced molecular separation applications.</w:t>
      </w:r>
    </w:p>
    <w:p>
      <w:pPr>
        <w:spacing w:before="120" w:after="120"/>
      </w:pPr>
      <w:r>
        <w:rPr>
          <w:sz w:val="18"/>
        </w:rPr>
        <w:t>——————————————————————————————————————————————————————————————————————</w:t>
      </w:r>
    </w:p>
    <w:p>
      <w:pPr>
        <w:spacing w:before="160" w:after="80" w:line="240" w:lineRule="auto"/>
      </w:pPr>
      <w:r>
        <w:rPr>
          <w:b/>
        </w:rPr>
        <w:t xml:space="preserve">[246] </w:t>
      </w:r>
      <w:hyperlink r:id="rId440">
        <w:r>
          <w:rPr>
            <w:color w:val="1155CC"/>
            <w:u w:val="single"/>
          </w:rPr>
          <w:t>[ASAP] Regio- and Stereoselective Halogenation by an Iron(II)- and 2-Oxoglutarate-Dependent Halogenase in the Biosynthesis of Halogenated Nucleosides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17:32:57+00:00</w:t>
      </w:r>
      <w:r>
        <w:t xml:space="preserve">    </w:t>
      </w:r>
      <w:r>
        <w:rPr>
          <w:b/>
        </w:rPr>
        <w:t xml:space="preserve">DOI: </w:t>
      </w:r>
      <w:hyperlink r:id="rId441">
        <w:r>
          <w:rPr>
            <w:color w:val="1155CC"/>
            <w:u w:val="single"/>
          </w:rPr>
          <w:t>10.1021/jacs.5c16374</w:t>
        </w:r>
      </w:hyperlink>
    </w:p>
    <w:p>
      <w:pPr>
        <w:spacing w:before="0" w:after="120"/>
      </w:pPr>
      <w:r>
        <w:rPr>
          <w:b/>
        </w:rPr>
        <w:t xml:space="preserve">Notes: </w:t>
      </w:r>
      <w:r>
        <w:t>abstract_source=pubmed</w:t>
      </w:r>
    </w:p>
    <w:p>
      <w:pPr>
        <w:spacing w:before="0" w:after="200" w:lineRule="auto" w:line="276"/>
      </w:pPr>
      <w:r>
        <w:rPr>
          <w:b/>
        </w:rPr>
        <w:t xml:space="preserve">Abstract: </w:t>
      </w:r>
      <w:r>
        <w:t>Iron(II)- and 2-oxoglutarate-dependent (Fe/2OG) enzymes have garnered strong research interest in past decades due to their ability to catalyze regio- and stereoselective C-H functionalization via a single reactive intermediate, the oxyferryl species. In addition to the hydroxylation reaction that is commonly observed, other reaction outcomes have also been discovered in Fe/2OG enzymes. Among them, halogenation has attracted much research effort with the goal of revealing the molecular determinants to favor halogenation over hydroxylation; however, a full mechanistic picture is still missing. In this study, by investigating a recently identified Fe/2OG halogenase, AdeV, from the biosynthetic pathway of Adechlorin, we show, via biochemical, kinetics, and spectroscopic characterizations, that two oxyferryl intermediates are formed during the AdeV reaction in a sequential manner, which interconvert but only one shows kinetic competency to enable C-H activation and leads to the conversion of 2'-deoxyadenosine monophosphate (2'-dAMP) and 2',3'-dideoxyadenosine monophosphate (ddAMP) to 2'-Cl-dAMP and 2'-Cl-ddAMP, respectively. By applying chemical synthesis and product characterization by detailed NMR analysis, the stereochemical assignment of the AdeV-catalyzed reaction is resolved, whereof the C-H bond cleavage and the C-Cl bond formation occur in a suprafacial manner. Using the experimental observations as a guide, the computational studies reveal that the kinetically competent oxyferryl intermediate structurally exhibits an offline configuration. However, this offline oxyferryl intermediate requires a structural conversion to a metastable inline configuration to perform a regio- and stereospecific C-H activation via a σ reaction channel. The subsequent conversion back to the offline configuration in the hydroxy-ferric state facilitates the final C-Cl bond formation.</w:t>
      </w:r>
    </w:p>
    <w:p>
      <w:pPr>
        <w:spacing w:before="120" w:after="120"/>
      </w:pPr>
      <w:r>
        <w:rPr>
          <w:sz w:val="18"/>
        </w:rPr>
        <w:t>——————————————————————————————————————————————————————————————————————</w:t>
      </w:r>
    </w:p>
    <w:p>
      <w:pPr>
        <w:spacing w:before="160" w:after="80" w:line="240" w:lineRule="auto"/>
      </w:pPr>
      <w:r>
        <w:rPr>
          <w:b/>
        </w:rPr>
        <w:t xml:space="preserve">[247] </w:t>
      </w:r>
      <w:hyperlink r:id="rId442">
        <w:r>
          <w:rPr>
            <w:color w:val="1155CC"/>
            <w:u w:val="single"/>
          </w:rPr>
          <w:t>Government rolls back nature protections to boost housing</w:t>
        </w:r>
      </w:hyperlink>
    </w:p>
    <w:p>
      <w:pPr>
        <w:spacing w:before="0" w:after="120" w:line="240" w:lineRule="auto"/>
      </w:pPr>
      <w:r>
        <w:rPr>
          <w:b/>
        </w:rPr>
        <w:t xml:space="preserve">Source: </w:t>
      </w:r>
      <w:r>
        <w:t>BBC News</w:t>
      </w:r>
      <w:r>
        <w:t xml:space="preserve">    </w:t>
      </w:r>
      <w:r>
        <w:rPr>
          <w:b/>
        </w:rPr>
        <w:t xml:space="preserve">Pub date: </w:t>
      </w:r>
      <w:r>
        <w:t>2025-12-16 17:51:04+00:00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[248] </w:t>
      </w:r>
      <w:hyperlink r:id="rId443">
        <w:r>
          <w:rPr>
            <w:color w:val="1155CC"/>
            <w:u w:val="single"/>
          </w:rPr>
          <w:t>[ASAP] Controlling Intramolecular Rotation with Five-Membered Heterocycles Facilitates the Design of Highly Cell-Permeable Xanthene-Based Fluorogenic Probes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18:48:46+00:00</w:t>
      </w:r>
      <w:r>
        <w:t xml:space="preserve">    </w:t>
      </w:r>
      <w:r>
        <w:rPr>
          <w:b/>
        </w:rPr>
        <w:t xml:space="preserve">DOI: </w:t>
      </w:r>
      <w:hyperlink r:id="rId444">
        <w:r>
          <w:rPr>
            <w:color w:val="1155CC"/>
            <w:u w:val="single"/>
          </w:rPr>
          <w:t>10.1021/jacs.5c12696</w:t>
        </w:r>
      </w:hyperlink>
    </w:p>
    <w:p>
      <w:pPr>
        <w:spacing w:before="0" w:after="120"/>
      </w:pPr>
      <w:r>
        <w:rPr>
          <w:b/>
        </w:rPr>
        <w:t xml:space="preserve">Notes: </w:t>
      </w:r>
      <w:r>
        <w:t>abstract_source=pubmed</w:t>
      </w:r>
    </w:p>
    <w:p>
      <w:pPr>
        <w:spacing w:before="0" w:after="200" w:lineRule="auto" w:line="276"/>
      </w:pPr>
      <w:r>
        <w:rPr>
          <w:b/>
        </w:rPr>
        <w:t xml:space="preserve">Abstract: </w:t>
      </w:r>
      <w:r>
        <w:t>Fluorogenic probes are invaluable tools in biology and medicine, offering high sensitivity and background-free imaging. However, achieving a high signal-to-noise ratio, target specificity, and robust cell permeability in wash-free imaging remains a significant challenge. Here, we report a new class of fluorogenic fluorophores engineered by incorporating five-membered heterocycles such as furan or thiophene at 9-position of the xanthene core. This structural modification enables precise control over intramolecular rotation, which is suppressed in viscous environments or upon interaction with biomolecular targets to allow for fluorescence activation independent of the spirolactone equilibrium characteristic of traditional rhodamine fluorophores. This rotation-based activation strategy was further extended to develop furan- and thiophene-substituted carborhodamine and silicon-rhodamine fluorophores, demonstrating the versatility and modularity of our approach. Using this design, we developed practical fluorogenic probes for self-labeling protein tags, including HaloTag, SNAP-tag, and PYP-tag, achieving high cell permeability and strong fluorescence activation under no-wash live-cell imaging conditions. The HaloTag probe enabled real-time visualization of the endoplasmic reticulum whorl formation in live cells, showcasing its utility in dynamic cellular imaging. To enhance the applicability of our design, we developed BRD4- and EGFR-targeting probes by conjugating our fluorophores with JQ1 and gefitinib/erlotinib inhibitors, utilizing a non-covalent binding strategy. The EGFR-targeting probes exhibited strong fluorescence in cells with high levels of EGFR expression, demonstrating their effectiveness for detecting EGFR overexpression. This work presents a versatile design strategy that leverages the controlled intramolecular rotation of furan/thiophene rings to create innovative OFF/ON fluorogenic probes, offering a robust platform for selective, wash-free live-cell imaging of diverse cellular targets.</w:t>
      </w:r>
    </w:p>
    <w:p>
      <w:pPr>
        <w:spacing w:before="120" w:after="120"/>
      </w:pPr>
      <w:r>
        <w:rPr>
          <w:sz w:val="18"/>
        </w:rPr>
        <w:t>——————————————————————————————————————————————————————————————————————</w:t>
      </w:r>
    </w:p>
    <w:p>
      <w:pPr>
        <w:spacing w:before="160" w:after="80" w:line="240" w:lineRule="auto"/>
      </w:pPr>
      <w:r>
        <w:rPr>
          <w:b/>
        </w:rPr>
        <w:t xml:space="preserve">[249] </w:t>
      </w:r>
      <w:hyperlink r:id="rId445">
        <w:r>
          <w:rPr>
            <w:color w:val="1155CC"/>
            <w:u w:val="single"/>
          </w:rPr>
          <w:t>[ASAP] Multilayer Formation, Interfacial Binding, and Stability of Self-Assembled Molecules in Perovskite Solar Cells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18:49:45+00:00</w:t>
      </w:r>
      <w:r>
        <w:t xml:space="preserve">    </w:t>
      </w:r>
      <w:r>
        <w:rPr>
          <w:b/>
        </w:rPr>
        <w:t xml:space="preserve">DOI: </w:t>
      </w:r>
      <w:hyperlink r:id="rId446">
        <w:r>
          <w:rPr>
            <w:color w:val="1155CC"/>
            <w:u w:val="single"/>
          </w:rPr>
          <w:t>10.1021/jacs.5c15955</w:t>
        </w:r>
      </w:hyperlink>
    </w:p>
    <w:p>
      <w:pPr>
        <w:spacing w:before="0" w:after="120"/>
      </w:pPr>
      <w:r>
        <w:rPr>
          <w:b/>
        </w:rPr>
        <w:t xml:space="preserve">Notes: </w:t>
      </w:r>
      <w:r>
        <w:t>abstract_source=pubmed</w:t>
      </w:r>
    </w:p>
    <w:p>
      <w:pPr>
        <w:spacing w:before="0" w:after="200" w:lineRule="auto" w:line="276"/>
      </w:pPr>
      <w:r>
        <w:rPr>
          <w:b/>
        </w:rPr>
        <w:t xml:space="preserve">Abstract: </w:t>
      </w:r>
      <w:r>
        <w:t>Carbazole-based self-assembled monolayers (SAMs) have played a key role in advancing the efficiency and stability of inverted perovskite solar cells (PSCs). However, weakly bound SAM molecules can be removed by polar solvents used in perovskite deposition. The loss of SAM molecules, especially those bound to the transparent conductive oxide substrate, disrupts interfacial energetics and accelerates PSC degradation. Quantifying initial SAM coverage and tracking its loss during fabrication are therefore critical yet experimentally challenging. Here, we develop a computational-experimental approach combining density functional theory with multimodal surface characterization, including X-ray photoelectron spectroscopy and cyclic voltammetry, to selectively remove and quantify SAM molecules in distinct adsorption modes, enabling reconstruction of their initial structure and evolution during processing. We reveal that SAMs, although commonly treated as single molecular layers, comprise multiple layers. Furthermore, SAMs undergo major restructuring upon exposure to N,N-dimethylformamide (DMF), a common perovskite precursor solvent, which removes all upper layers and nearly half of the first-layer molecules. To mitigate these losses, we implemented a redeposition strategy introducing new SAM molecules onto the DMF-washed SAM. Redeposition resulted in 13-21% more molecules retained after a second DMF wash compared to the DMF-washed SAM without redeposition. Devices with redeposited SAMs retain 90% of the initial efficiency for 480 h under 85 °C and 50% relative humidity─a 5-fold improvement in operational stability compared to unwashed samples. More broadly, this work establishes a first-layer-sensitive, quantitative method to track SAM evolution during fabrication and offers a simple, generalizable route to durable interfaces in PSCs.</w:t>
      </w:r>
    </w:p>
    <w:p>
      <w:pPr>
        <w:spacing w:before="120" w:after="120"/>
      </w:pPr>
      <w:r>
        <w:rPr>
          <w:sz w:val="18"/>
        </w:rPr>
        <w:t>——————————————————————————————————————————————————————————————————————</w:t>
      </w:r>
    </w:p>
    <w:p>
      <w:pPr>
        <w:spacing w:before="160" w:after="80" w:line="240" w:lineRule="auto"/>
      </w:pPr>
      <w:r>
        <w:rPr>
          <w:b/>
        </w:rPr>
        <w:t xml:space="preserve">[250] </w:t>
      </w:r>
      <w:hyperlink r:id="rId447">
        <w:r>
          <w:rPr>
            <w:color w:val="1155CC"/>
            <w:u w:val="single"/>
          </w:rPr>
          <w:t>EU waters down plans to end new petrol and diesel car sales by 2035</w:t>
        </w:r>
      </w:hyperlink>
    </w:p>
    <w:p>
      <w:pPr>
        <w:spacing w:before="0" w:after="120" w:line="240" w:lineRule="auto"/>
      </w:pPr>
      <w:r>
        <w:rPr>
          <w:b/>
        </w:rPr>
        <w:t xml:space="preserve">Source: </w:t>
      </w:r>
      <w:r>
        <w:t>BBC News</w:t>
      </w:r>
      <w:r>
        <w:t xml:space="preserve">    </w:t>
      </w:r>
      <w:r>
        <w:rPr>
          <w:b/>
        </w:rPr>
        <w:t xml:space="preserve">Pub date: </w:t>
      </w:r>
      <w:r>
        <w:t>2025-12-16 19:28:36+00:00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[251] </w:t>
      </w:r>
      <w:hyperlink r:id="rId448">
        <w:r>
          <w:rPr>
            <w:color w:val="1155CC"/>
            <w:u w:val="single"/>
          </w:rPr>
          <w:t>[ASAP] Basic Aluminum Benzoate is Low-Cost, Porous, and Superhydrophobic</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19:58:02+00:00</w:t>
      </w:r>
      <w:r>
        <w:t xml:space="preserve">    </w:t>
      </w:r>
      <w:r>
        <w:rPr>
          <w:b/>
        </w:rPr>
        <w:t xml:space="preserve">DOI: </w:t>
      </w:r>
      <w:hyperlink r:id="rId449">
        <w:r>
          <w:rPr>
            <w:color w:val="1155CC"/>
            <w:u w:val="single"/>
          </w:rPr>
          <w:t>10.1021/jacs.5c12200</w:t>
        </w:r>
      </w:hyperlink>
    </w:p>
    <w:p>
      <w:pPr>
        <w:spacing w:before="0" w:after="120"/>
      </w:pPr>
      <w:r>
        <w:rPr>
          <w:b/>
        </w:rPr>
        <w:t xml:space="preserve">Notes: </w:t>
      </w:r>
      <w:r>
        <w:t>abstract_source=pubmed</w:t>
      </w:r>
    </w:p>
    <w:p>
      <w:pPr>
        <w:spacing w:before="0" w:after="200" w:lineRule="auto" w:line="276"/>
      </w:pPr>
      <w:r>
        <w:rPr>
          <w:b/>
        </w:rPr>
        <w:t xml:space="preserve">Abstract: </w:t>
      </w:r>
      <w:r>
        <w:t>Superhydrophobic materials are of tremendous application prospects, but they typically need to be prepared by relatively expensive reagents or complex treatments. Here, we report a simple aluminum-based coordination polymer [Al(OH)(ba)2] (MCF-66, Hba = benzoic acid), which can be facilely synthesized by various low-cost raw materials. For example, based on the simple acid-base reaction between Hba and Al(OH)3 (raw material costs ∼ 1 USD kg-1), MCF-66 can be synthesized in ca. 100% yield without using any solvent or additive, with water as the sole byproduct. MCF-66 consists of insufficiently packed butterfly-like chains, with hydrophobic phenyl rings exposed on the crystal surfaces, enabling superhydrophobicity. The compressed pellet showed a high water contact angle of 152°, which identified MCF-66 as a rare superhydrophobic material. Although the small discrete pores formed between the chains are just slightly larger than H2, it can deform to adsorb various small molecules and show special separation behavior for the n-C4H10/i-C4H10 mixture. MCF-66 can also be directly grown on aluminum meshes for highly efficient oil-water separation (8.8 × 103 L m-2 h-1 bar-1).</w:t>
      </w:r>
    </w:p>
    <w:p>
      <w:pPr>
        <w:spacing w:before="120" w:after="120"/>
      </w:pPr>
      <w:r>
        <w:rPr>
          <w:sz w:val="18"/>
        </w:rPr>
        <w:t>——————————————————————————————————————————————————————————————————————</w:t>
      </w:r>
    </w:p>
    <w:p>
      <w:pPr>
        <w:spacing w:before="160" w:after="80" w:line="240" w:lineRule="auto"/>
      </w:pPr>
      <w:r>
        <w:rPr>
          <w:b/>
        </w:rPr>
        <w:t xml:space="preserve">[252] </w:t>
      </w:r>
      <w:hyperlink r:id="rId450">
        <w:r>
          <w:rPr>
            <w:color w:val="1155CC"/>
            <w:u w:val="single"/>
          </w:rPr>
          <w:t>[ASAP] Evaluation of Elementary Steps in Csp2–Csp3 Cross-Electrophile Coupling Reactions Mediated by a Common Ni Complex</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19:59:11+00:00</w:t>
      </w:r>
      <w:r>
        <w:t xml:space="preserve">    </w:t>
      </w:r>
      <w:r>
        <w:rPr>
          <w:b/>
        </w:rPr>
        <w:t xml:space="preserve">DOI: </w:t>
      </w:r>
      <w:hyperlink r:id="rId451">
        <w:r>
          <w:rPr>
            <w:color w:val="1155CC"/>
            <w:u w:val="single"/>
          </w:rPr>
          <w:t>10.1021/jacs.5c15344</w:t>
        </w:r>
      </w:hyperlink>
    </w:p>
    <w:p>
      <w:pPr>
        <w:spacing w:before="0" w:after="120"/>
      </w:pPr>
      <w:r>
        <w:rPr>
          <w:b/>
        </w:rPr>
        <w:t xml:space="preserve">Notes: </w:t>
      </w:r>
      <w:r>
        <w:t>abstract_source=pubmed</w:t>
      </w:r>
    </w:p>
    <w:p>
      <w:pPr>
        <w:spacing w:before="0" w:after="200" w:lineRule="auto" w:line="276"/>
      </w:pPr>
      <w:r>
        <w:rPr>
          <w:b/>
        </w:rPr>
        <w:t xml:space="preserve">Abstract: </w:t>
      </w:r>
      <w:r>
        <w:t>Cross-electrophile coupling (XEC) reactions are widely employed to rapidly construct C(sp2)-C(sp3) bonds from available substrates. Key elementary steps of the reaction, such as oxidative addition and radical coupling, have been individually investigated with discrete complexes, but no studies exist that probe these and other key steps along the reaction pathway from a single, synthetically relevant platform. This work leverages the accessibility of persistent organonickel complexes to benchmark the effects of electronic and steric parameters of complexes and substrates on the rates of oxidative addition, the stabilities of organonickel intermediates, and the rates of radical coupling. Insights into the rates of oxidative addition help to rationalize synthetic limitations that are frequently encountered in Ni-catalyzed methodologies. Finally, the aggregate effects of the independently studied steps were evaluated by measuring the overall yields of the combinatorial coupling reactions. These insights established guidelines for selecting Ni complexes for XEC reactions of substrates that are challenging to couple.</w:t>
      </w:r>
    </w:p>
    <w:p>
      <w:pPr>
        <w:spacing w:before="120" w:after="120"/>
      </w:pPr>
      <w:r>
        <w:rPr>
          <w:sz w:val="18"/>
        </w:rPr>
        <w:t>——————————————————————————————————————————————————————————————————————</w:t>
      </w:r>
    </w:p>
    <w:p>
      <w:pPr>
        <w:spacing w:before="160" w:after="80" w:line="240" w:lineRule="auto"/>
      </w:pPr>
      <w:r>
        <w:rPr>
          <w:b/>
        </w:rPr>
        <w:t xml:space="preserve">[253] </w:t>
      </w:r>
      <w:hyperlink r:id="rId452">
        <w:r>
          <w:rPr>
            <w:color w:val="1155CC"/>
            <w:u w:val="single"/>
          </w:rPr>
          <w:t>[ASAP] Overcoming the Luminescence Efficiency Limitations of InP Magic-Sized Clusters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20:08:21+00:00</w:t>
      </w:r>
      <w:r>
        <w:t xml:space="preserve">    </w:t>
      </w:r>
      <w:r>
        <w:rPr>
          <w:b/>
        </w:rPr>
        <w:t xml:space="preserve">DOI: </w:t>
      </w:r>
      <w:hyperlink r:id="rId453">
        <w:r>
          <w:rPr>
            <w:color w:val="1155CC"/>
            <w:u w:val="single"/>
          </w:rPr>
          <w:t>10.1021/jacs.5c13963</w:t>
        </w:r>
      </w:hyperlink>
    </w:p>
    <w:p>
      <w:pPr>
        <w:spacing w:before="0" w:after="120"/>
      </w:pPr>
      <w:r>
        <w:rPr>
          <w:b/>
        </w:rPr>
        <w:t xml:space="preserve">Notes: </w:t>
      </w:r>
      <w:r>
        <w:t>abstract_source=openalex</w:t>
      </w:r>
    </w:p>
    <w:p>
      <w:pPr>
        <w:spacing w:before="0" w:after="200" w:lineRule="auto" w:line="276"/>
      </w:pPr>
      <w:r>
        <w:rPr>
          <w:b/>
        </w:rPr>
        <w:t xml:space="preserve">Abstract: </w:t>
      </w:r>
      <w:r>
        <w:t>Magic-sized clusters (MSCs) serve as well-defined model systems for investigating surface-related photophysical properties due to their atomically precise structures and monodispersity. However, indium phosphide (InP) MSCs suffer from an extremely low photoluminescence quantum yield (PLQY &lt; 1%) due to persistent surface trap states, which not only limit their utility but also hinder a fundamental understanding of their surface chemistry and photophysics. Herein, we introduce a surface-engineering strategy that overcomes this limitation by enabling the controlled in situ HF generation via Friedel-Crafts acylation chemistry, achieving a record-high PLQY of 18.1%. Comprehensive surface analyses reveal that the enhancement arises from phosphonate ligand exchange and surface oxide removal. These modifications suppress charge carrier trapping and inhibit exciton thermal quenching at room temperature. Moreover, the altered surface environment leads to red-shifted and broadened emission, not due to size heterogeneity but rather to surface-dependent electronic states in InP MSCs. Density functional theory simulations support this mechanism by demonstrating a reduced trap state density near the valence band edge and revealing that the presence of isomeric surface configurations with slightly different energy levels is responsible for the observed spectral broadening. These findings provide a molecular-level understanding of surface-dependent excitonic behavior and establish an effective strategy for overcoming the intrinsic limitations of luminescence efficiency in InP MSCs.</w:t>
      </w:r>
    </w:p>
    <w:p>
      <w:pPr>
        <w:spacing w:before="120" w:after="120"/>
      </w:pPr>
      <w:r>
        <w:rPr>
          <w:sz w:val="18"/>
        </w:rPr>
        <w:t>——————————————————————————————————————————————————————————————————————</w:t>
      </w:r>
    </w:p>
    <w:p>
      <w:pPr>
        <w:spacing w:before="160" w:after="80" w:line="240" w:lineRule="auto"/>
      </w:pPr>
      <w:r>
        <w:rPr>
          <w:b/>
        </w:rPr>
        <w:t xml:space="preserve">[254] </w:t>
      </w:r>
      <w:hyperlink r:id="rId454">
        <w:r>
          <w:rPr>
            <w:color w:val="1155CC"/>
            <w:u w:val="single"/>
          </w:rPr>
          <w:t>[ASAP] Strengthened Perovskite/SAM Heterointerface for Stable Perovskite Solar Cells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2025-12-16 20:19:05+00:00</w:t>
      </w:r>
      <w:r>
        <w:t xml:space="preserve">    </w:t>
      </w:r>
      <w:r>
        <w:rPr>
          <w:b/>
        </w:rPr>
        <w:t xml:space="preserve">DOI: </w:t>
      </w:r>
      <w:hyperlink r:id="rId455">
        <w:r>
          <w:rPr>
            <w:color w:val="1155CC"/>
            <w:u w:val="single"/>
          </w:rPr>
          <w:t>10.1021/jacs.5c20051</w:t>
        </w:r>
      </w:hyperlink>
    </w:p>
    <w:p>
      <w:pPr>
        <w:spacing w:before="0" w:after="120"/>
      </w:pPr>
      <w:r>
        <w:rPr>
          <w:b/>
        </w:rPr>
        <w:t xml:space="preserve">Notes: </w:t>
      </w:r>
      <w:r>
        <w:t>abstract_source=pubmed</w:t>
      </w:r>
    </w:p>
    <w:p>
      <w:pPr>
        <w:spacing w:before="0" w:after="200" w:lineRule="auto" w:line="276"/>
      </w:pPr>
      <w:r>
        <w:rPr>
          <w:b/>
        </w:rPr>
        <w:t xml:space="preserve">Abstract: </w:t>
      </w:r>
      <w:r>
        <w:t>The commercialization of perovskite solar cells (PSCs) is hindered by the long-term mechanical instability of the perovskite/self-assembled monolayer (SAM) interface. This challenge primarily arises from poor interfacial wettability and weak bonding between the SAM and the perovskite. According to the Hard-Soft-Acid-Base (HSAB) theory, a thiol group (-SH), as a soft base, has a strong tendency to form robust bonding with metal ions (such as Pb2+ and Ni2+). Consequently, we designed a series of thiol cross-linkers to construct stable and reliable heterointerface. We found that multithiol cross-linkers not only form chemical bonds with substrates but also retain a portion of unbound -SH at the interface, thereby creating a favorable environment for the growth and bonding of the perovskite. Among them, trimethylolpropane tris(3-mercaptopropionate) (TMP) exhibited the most outstanding performance, and the TMP strategy led to a 1.8-fold increase in the fracture load of the heterointerface and effectively mitigated interfacial degradation. As a result, PSCs treated with TMP achieved a power conversion efficiency (PCE) of 26.16%, independently certified at 25.11%. After continuous operation for 1200 h, the TMP-treated PSCs retained 97% of their initial PCE. Additionally, these devices maintain 90% of their PCE after 1600 h at 85 °C. This work underscores the critical connection between device stability and the mechanical integrity of the heterointerface, presenting a promising strategy for developing long-term stable PSCs.</w:t>
      </w:r>
    </w:p>
    <w:p>
      <w:pPr>
        <w:spacing w:before="120" w:after="120"/>
      </w:pPr>
      <w:r>
        <w:rPr>
          <w:sz w:val="18"/>
        </w:rPr>
        <w:t>——————————————————————————————————————————————————————————————————————</w:t>
      </w:r>
    </w:p>
    <w:p>
      <w:pPr>
        <w:spacing w:before="160" w:after="80" w:line="240" w:lineRule="auto"/>
      </w:pPr>
      <w:r>
        <w:rPr>
          <w:b/>
        </w:rPr>
        <w:t xml:space="preserve">[255] </w:t>
      </w:r>
      <w:hyperlink r:id="rId456">
        <w:r>
          <w:rPr>
            <w:color w:val="1155CC"/>
            <w:u w:val="single"/>
          </w:rPr>
          <w:t>Peptides and bioelectronics for cardiac cell therapy</w:t>
        </w:r>
      </w:hyperlink>
    </w:p>
    <w:p>
      <w:pPr>
        <w:spacing w:before="0" w:after="120" w:line="240" w:lineRule="auto"/>
      </w:pPr>
      <w:r>
        <w:rPr>
          <w:b/>
        </w:rPr>
        <w:t xml:space="preserve">Source: </w:t>
      </w:r>
      <w:r>
        <w:t>Nature Materials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[256] </w:t>
      </w:r>
      <w:hyperlink r:id="rId457">
        <w:r>
          <w:rPr>
            <w:color w:val="1155CC"/>
            <w:u w:val="single"/>
          </w:rPr>
          <w:t>Impact of carbon taxation under fiscal reforms: A computable general equilibrium analysis for the Pakistan economy</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[257] </w:t>
      </w:r>
      <w:hyperlink r:id="rId458">
        <w:r>
          <w:rPr>
            <w:color w:val="1155CC"/>
            <w:u w:val="single"/>
          </w:rPr>
          <w:t>Missing data-aware robust electrical load forecasting based on hierarchical downsampling-upsampling spatiotemporal graph network</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[258] </w:t>
      </w:r>
      <w:hyperlink r:id="rId459">
        <w:r>
          <w:rPr>
            <w:color w:val="1155CC"/>
            <w:u w:val="single"/>
          </w:rPr>
          <w:t>Experimental validation of real-time energy management for hybrid energy storage systems based on predictive wavelet transforms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[259] </w:t>
      </w:r>
      <w:hyperlink r:id="rId460">
        <w:r>
          <w:rPr>
            <w:color w:val="1155CC"/>
            <w:u w:val="single"/>
          </w:rPr>
          <w:t>New distributionally robust optimization framework and algorithm for energy hub scheduling integrating demand response programs under ambiguous prices and loads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[260] </w:t>
      </w:r>
      <w:hyperlink r:id="rId461">
        <w:r>
          <w:rPr>
            <w:color w:val="1155CC"/>
            <w:u w:val="single"/>
          </w:rPr>
          <w:t>Agonist signaling drives neutrophil subpopulations to promote/inhibit colorectal cancer liver metastasis</w:t>
        </w:r>
      </w:hyperlink>
    </w:p>
    <w:p>
      <w:pPr>
        <w:spacing w:before="0" w:after="120" w:line="240" w:lineRule="auto"/>
      </w:pPr>
      <w:r>
        <w:rPr>
          <w:b/>
        </w:rPr>
        <w:t xml:space="preserve">Source: </w:t>
      </w:r>
      <w:r>
        <w:t>Nature Communications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[261] </w:t>
      </w:r>
      <w:hyperlink r:id="rId462">
        <w:r>
          <w:rPr>
            <w:color w:val="1155CC"/>
            <w:u w:val="single"/>
          </w:rPr>
          <w:t>Spatial correlation at the boson peak frequency in amorphous materials</w:t>
        </w:r>
      </w:hyperlink>
    </w:p>
    <w:p>
      <w:pPr>
        <w:spacing w:before="0" w:after="120" w:line="240" w:lineRule="auto"/>
      </w:pPr>
      <w:r>
        <w:rPr>
          <w:b/>
        </w:rPr>
        <w:t xml:space="preserve">Source: </w:t>
      </w:r>
      <w:r>
        <w:t>Nature Communications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[262] </w:t>
      </w:r>
      <w:hyperlink r:id="rId463">
        <w:r>
          <w:rPr>
            <w:color w:val="1155CC"/>
            <w:u w:val="single"/>
          </w:rPr>
          <w:t>Probing frozen solid electrolyte interphases</w:t>
        </w:r>
      </w:hyperlink>
    </w:p>
    <w:p>
      <w:pPr>
        <w:spacing w:before="0" w:after="120" w:line="240" w:lineRule="auto"/>
      </w:pPr>
      <w:r>
        <w:rPr>
          <w:b/>
        </w:rPr>
        <w:t xml:space="preserve">Source: </w:t>
      </w:r>
      <w:r>
        <w:t>Nature Materials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[263] </w:t>
      </w:r>
      <w:hyperlink r:id="rId464">
        <w:r>
          <w:rPr>
            <w:color w:val="1155CC"/>
            <w:u w:val="single"/>
          </w:rPr>
          <w:t>A hierarchical resilient economic dispatch strategy for multi-energy system under DoS attacks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[264] </w:t>
      </w:r>
      <w:hyperlink r:id="rId465">
        <w:r>
          <w:rPr>
            <w:color w:val="1155CC"/>
            <w:u w:val="single"/>
          </w:rPr>
          <w:t>Laser spectroscopy and CP-violation sensitivity of actinium monofluoride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apparent invariance of the strong nuclear force under combined charge conjugation and parity (CP) remains an open question in modern physics1,2. Precision experiments with heavy atoms and molecules can provide stringent constraints on CP violation via searches for effects due to permanent electric dipole moments and other CP-odd properties in leptons, hadrons and nuclei3. Radioactive molecules have been proposed as highly sensitive probes for such searches4, but experiments with most such molecules have so far been beyond technical reach. Here we report the production and spectroscopic study of a gas-phase actinium molecule, 227AcF. We observe the predicted strongest electronic transition from the ground state, which is necessary for efficient readout in searches of symmetry-violating interactions. Furthermore, we perform electronic- and nuclear-structure calculations for 227AcF to determine its sensitivity to various CP-violating parameters, and find that a realistic, near-term experiment with a precision of 1 mHz would improve current constraints on the CP-violating parameter hyperspace by 3 orders of magnitude. Our results thus highlight the potential of 227AcF for exceptionally sensitive searches of CP violation.</w:t>
      </w:r>
    </w:p>
    <w:p>
      <w:pPr>
        <w:spacing w:before="120" w:after="120"/>
      </w:pPr>
      <w:r>
        <w:rPr>
          <w:sz w:val="18"/>
        </w:rPr>
        <w:t>——————————————————————————————————————————————————————————————————————</w:t>
      </w:r>
    </w:p>
    <w:p>
      <w:pPr>
        <w:spacing w:before="160" w:after="80" w:line="240" w:lineRule="auto"/>
      </w:pPr>
      <w:r>
        <w:rPr>
          <w:b/>
        </w:rPr>
        <w:t xml:space="preserve">[265] </w:t>
      </w:r>
      <w:hyperlink r:id="rId466">
        <w:r>
          <w:rPr>
            <w:color w:val="1155CC"/>
            <w:u w:val="single"/>
          </w:rPr>
          <w:t>Healing crystals without heat</w:t>
        </w:r>
      </w:hyperlink>
    </w:p>
    <w:p>
      <w:pPr>
        <w:spacing w:before="0" w:after="120" w:line="240" w:lineRule="auto"/>
      </w:pPr>
      <w:r>
        <w:rPr>
          <w:b/>
        </w:rPr>
        <w:t xml:space="preserve">Source: </w:t>
      </w:r>
      <w:r>
        <w:t>Nature Materials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[266] </w:t>
      </w:r>
      <w:hyperlink r:id="rId467">
        <w:r>
          <w:rPr>
            <w:color w:val="1155CC"/>
            <w:u w:val="single"/>
          </w:rPr>
          <w:t>Visualizing interaction-driven restructuring of quantum Hall edge states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Many topological phases host gapless boundary modes that can be markedly modified by electronic interactions. Even for the long-studied edge modes of quantum Hall phases1,2, forming at the boundaries of two-dimensional electron systems, the nature of such interaction-induced changes has been elusive. Despite advances made using local probes3,4,5,6,7,8,9,10,11,12,13, key experimental challenges persist: the lack of direct information about the internal structure of edge states on microscopic scales, and complications from edge disorder. Here we use scanning tunnelling microscopy to image pristine electrostatically defined quantum Hall edge states in graphene with high spatial resolution and demonstrate how correlations dictate the structures of edge channels on both magnetic and atomic length scales. For integer quantum Hall states in the zeroth Landau level, we show that interactions renormalize the edge velocity, dictate the spatial profile for co-propagating modes and induce unexpected edge valley polarization, which differs from the bulk. Although some of our findings can be understood by mean-field theory, others show breakdown of this picture, highlighting the roles of edge fluctuations and inter-channel couplings. We also extend our measurements to spatially resolve the edge state of fractional quantum Hall phases and detect spectroscopic signatures of interactions in this chiral Luttinger liquid. Our study establishes scanning tunnelling microscopy as a promising tool for exploring the edge physics of the rapidly expanding group of two-dimensional topological phases, including recently realized fractional Chern insulators.</w:t>
      </w:r>
    </w:p>
    <w:p>
      <w:pPr>
        <w:spacing w:before="120" w:after="120"/>
      </w:pPr>
      <w:r>
        <w:rPr>
          <w:sz w:val="18"/>
        </w:rPr>
        <w:t>——————————————————————————————————————————————————————————————————————</w:t>
      </w:r>
    </w:p>
    <w:p>
      <w:pPr>
        <w:spacing w:before="160" w:after="80" w:line="240" w:lineRule="auto"/>
      </w:pPr>
      <w:r>
        <w:rPr>
          <w:b/>
        </w:rPr>
        <w:t xml:space="preserve">[267] </w:t>
      </w:r>
      <w:hyperlink r:id="rId468">
        <w:r>
          <w:rPr>
            <w:color w:val="1155CC"/>
            <w:u w:val="single"/>
          </w:rPr>
          <w:t>Palaeometabolomes yield biological and ecological profiles at early human sites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science of metabolic profiling exploits chemical compound byproducts of metabolism called metabolites1 that explain internal biological functions, physiological health and disease, and provide evidence of external influences specific to an organism’s habitat. Here we assess palaeometabolomes from fossilized mammalian hard tissues as a molecular ecological strategy to provide evidence of an ancient organism’s relationship with its environment. From eastern, central and southern African Plio-Pleistocene localities of palaeoanthropological significance, we study six fossils from Olduvai Gorge, Tanzania, one from the Chiwondo Beds, Malawi, and one from Makapansgat, South Africa. We perform endogeneity assessments by analysing palaeometabolomes of palaeosols and the effects of owl digestion on rodent bones to enable prudent ecological inferences. Diagenesis is indicated by metabolites of collagenase-producing bacteria2, whereas the preservation of peptides including those of collagen are identified by proteomics. Endogenous metabolites document biological functions and exogenous metabolites render environmental details including soil characteristics and woody cover, and enable annual minimum and maximum rainfall and temperature reconstructions at Olduvai Gorge, supporting the freshwater woodland and grasslands of Olduvai Gorge Bed I3,4,5, and the dry woodlands and marsh of Olduvai Gorge Upper Bed II6. All sites denote wetter and/or warmer conditions than today. We infer that metabolites preserved in hard tissues derive from an extravasated vasculature serum filtrate that becomes entombed within developing mineralized matrices, and most probably survive palaeontological timeframes in the nanoscopic ‘pool’ of structural-bound water that occurs in hard tissue niches7.</w:t>
      </w:r>
    </w:p>
    <w:p>
      <w:pPr>
        <w:spacing w:before="120" w:after="120"/>
      </w:pPr>
      <w:r>
        <w:rPr>
          <w:sz w:val="18"/>
        </w:rPr>
        <w:t>——————————————————————————————————————————————————————————————————————</w:t>
      </w:r>
    </w:p>
    <w:p>
      <w:pPr>
        <w:spacing w:before="160" w:after="80" w:line="240" w:lineRule="auto"/>
      </w:pPr>
      <w:r>
        <w:rPr>
          <w:b/>
        </w:rPr>
        <w:t xml:space="preserve">[268] </w:t>
      </w:r>
      <w:hyperlink r:id="rId469">
        <w:r>
          <w:rPr>
            <w:color w:val="1155CC"/>
            <w:u w:val="single"/>
          </w:rPr>
          <w:t>3D nanolithography with metalens arrays and spatially adaptive illumination</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growing demand for advanced materials, miniaturized devices and integrated microsystems calls for the reliable fabrication of complex, multiscale, three-dimensional (3D) architectures, a need increasingly addressed through light-based and laser-based processes. However, owing to the field-of-view (FOV) limitations of conventional imaging optics, existing 3D laser nanofabrication techniques face fundamental challenges in throughput, proximity error and stitching defects on the path to scaling. Here we present a scalable 3D nanofabrication platform that uses a metalens-generated focal spot array to parallelize two-photon lithography (TPL)1 beyond centimetre-scale write field areas. Metalenses are ideally suited for producing submicron-scale focal spots for high-throughput nanolithography, as they uniquely feature large numerical apertures (NAs), immersion media compatibility and large-scale manufacturability. We experimentally demonstrate a printing system that uses a 12-cm2 metalens array to produce more than 120,000 cooperative focal spots, corresponding to a throughput exceeding 108 voxels s−1. By programmatically patterning the focal spot array using a spatial light modulator (SLM), an adaptive parallel printing strategy is developed for precise greyscale linewidth modulation and choreographed printing of semiperiodic and fully aperiodic 3D geometries. We demonstrate parallel printing of replicated microstructures (&gt;50 M microparticles per day), centimetre-scale 3D architectures with feature sizes down to 113 nm, and photonic and mechanical metamaterials. This work demonstrates the potential of 3D nanolithography towards wafer-scale production, showing how TPL could be used at scale for applications in microelectronics2, biomedicine3, quantum technology4 and high-energy laser targets5,6.</w:t>
      </w:r>
    </w:p>
    <w:p>
      <w:pPr>
        <w:spacing w:before="120" w:after="120"/>
      </w:pPr>
      <w:r>
        <w:rPr>
          <w:sz w:val="18"/>
        </w:rPr>
        <w:t>——————————————————————————————————————————————————————————————————————</w:t>
      </w:r>
    </w:p>
    <w:p>
      <w:pPr>
        <w:spacing w:before="160" w:after="80" w:line="240" w:lineRule="auto"/>
      </w:pPr>
      <w:r>
        <w:rPr>
          <w:b/>
        </w:rPr>
        <w:t xml:space="preserve">[269] </w:t>
      </w:r>
      <w:hyperlink r:id="rId470">
        <w:r>
          <w:rPr>
            <w:color w:val="1155CC"/>
            <w:u w:val="single"/>
          </w:rPr>
          <w:t>Quenching thermal runaway propagation in lithium-ion battery arrays with various thermal barriers: Experimental and modeling characterization</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[270] </w:t>
      </w:r>
      <w:hyperlink r:id="rId471">
        <w:r>
          <w:rPr>
            <w:color w:val="1155CC"/>
            <w:u w:val="single"/>
          </w:rPr>
          <w:t>Prevalence of Alzheimer’s disease pathology in the community</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prevalence of Alzheimer’s disease neuropathological changes (ADNCs), the leading cause of cognitive impairment, remains uncertain. Recent blood-based biomarkers enable scalable assessment of ADNCs1. Here we measured phosphorylated tau at threonine 217 in 11,486 plasma samples from a Norwegian population-based cohort of individuals over 57 years of age as a surrogate marker for ADNCs. The estimated prevalence of ADNCs increased with age, from less than 8% in people 58–69.9 years of age to 65.2% in those over 90 years of age. Among participants aged 70 years or older, 10% had preclinical Alzheimer’s disease, 10.4% had prodromal Alzheimer’s disease and 9.8% had Alzheimer’s disease dementia. Furthermore, among those 70 years of age or older, ADNCs were present in 60% of people with dementia, in 32.6% of those with mild cognitive impairment and in 23.5% of the cognitively unimpaired group. Our findings suggest a higher prevalence of Alzheimer’s disease dementia in older individuals and a lower prevalence of preclinical Alzheimer’s disease in younger groups than previously estimated2.</w:t>
      </w:r>
    </w:p>
    <w:p>
      <w:pPr>
        <w:spacing w:before="120" w:after="120"/>
      </w:pPr>
      <w:r>
        <w:rPr>
          <w:sz w:val="18"/>
        </w:rPr>
        <w:t>——————————————————————————————————————————————————————————————————————</w:t>
      </w:r>
    </w:p>
    <w:p>
      <w:pPr>
        <w:spacing w:before="160" w:after="80" w:line="240" w:lineRule="auto"/>
      </w:pPr>
      <w:r>
        <w:rPr>
          <w:b/>
        </w:rPr>
        <w:t xml:space="preserve">[271] </w:t>
      </w:r>
      <w:hyperlink r:id="rId472">
        <w:r>
          <w:rPr>
            <w:color w:val="1155CC"/>
            <w:u w:val="single"/>
          </w:rPr>
          <w:t>The flexibility dilemma―managing cost and emissions in a fossil fuel-dominated power sector under increasing penetration of variable renewable energy sources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[272] </w:t>
      </w:r>
      <w:hyperlink r:id="rId473">
        <w:r>
          <w:rPr>
            <w:color w:val="1155CC"/>
            <w:u w:val="single"/>
          </w:rPr>
          <w:t>Programmable 200 GOPS Hopfield-inspired photonic Ising machine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Ising machines offer a compelling approach to addressing NP-hard problems1, but physical realizations that are simultaneously scalable, reconfigurable, fast and stable remain elusive. Quantum annealers, such as D-Wave’s cryogenic hardware, target combinatorial optimization tasks, but quadratic scaling of qubit requirements with problem size limits their scalability on dense graphs2. Here we introduce a programmable, stable, room-temperature optoelectronic oscillator (OEO)-based Ising machine with linear scaling in spin representation. Inspired by Hopfield networks3, our architecture solves fully connected problems with up to 256 spins (65,536 couplings) and &gt;41,000 spins (205,000+ couplings) if sparse. Our system makes use of cascaded thin-film lithium niobate (TFLN) modulators, a semiconductor optical amplifier (SOA) and a digital signal processing (DSP) engine in a recurrent time-encoded loop, demonstrating potential &gt;200 giga operations per second (GOPS) for spin coupling and nonlinearity. This platform achieves the largest spin configuration in an OEO-based photonic Ising machine, enabled by high intrinsic speed. We experimentally demonstrate best-in-class solution quality for max-cut problems of arbitrary graph topologies (2,000 and 20,000 spins) among photonic Ising machines and obtain ground-state solutions for number partitioning4 and lattice protein folding5—benchmarks previously unaddressed by photonic systems. Our system uses inherent noise from high baud rates to escape local minima and accelerate convergence. Finally, we show that embedding DSP—traditionally used in optical communications—within optical computation enhances convergence and solution quality, opening new frontiers in scalable, ultrafast computing for optimization, neuromorphic processing and analogue artificial intelligence.</w:t>
      </w:r>
    </w:p>
    <w:p>
      <w:pPr>
        <w:spacing w:before="120" w:after="120"/>
      </w:pPr>
      <w:r>
        <w:rPr>
          <w:sz w:val="18"/>
        </w:rPr>
        <w:t>——————————————————————————————————————————————————————————————————————</w:t>
      </w:r>
    </w:p>
    <w:p>
      <w:pPr>
        <w:spacing w:before="160" w:after="80" w:line="240" w:lineRule="auto"/>
      </w:pPr>
      <w:r>
        <w:rPr>
          <w:b/>
        </w:rPr>
        <w:t xml:space="preserve">[273] </w:t>
      </w:r>
      <w:hyperlink r:id="rId474">
        <w:r>
          <w:rPr>
            <w:color w:val="1155CC"/>
            <w:u w:val="single"/>
          </w:rPr>
          <w:t>Hydrogen applications in buildings: A systematic review of decarbonization pathways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[274] </w:t>
      </w:r>
      <w:hyperlink r:id="rId475">
        <w:r>
          <w:rPr>
            <w:color w:val="1155CC"/>
            <w:u w:val="single"/>
          </w:rPr>
          <w:t>An 11-qubit atom processor in silicon</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Phosphorus atoms in silicon represent a promising platform for quantum computing, as their nuclear spins exhibit coherence times over seconds1,2 with high-fidelity readout and single-qubit control3. By placing several phosphorus atoms within a radius of a few nanometres, they couple by means of the hyperfine interaction to a single, shared electron. Such a nuclear spin register enables high-fidelity multi-qubit control4 and the execution of small-scale quantum algorithms5. An important requirement for scaling up is the ability to extend high-fidelity entanglement non-locally across several spin registers. Here we address this challenge with an 11-qubit atom processor composed of two multi-nuclear spin registers that are linked by means of electron exchange interaction. Through the advancement of calibration and control protocols, we achieve single-qubit and multi-qubit gates with all fidelities ranging from 99.10% to 99.99%. By entangling all combinations of local and non-local nuclear-spin pairs, we map out the performance of the processor and achieve state-of-the-art Bell-state fidelities of up to 99.5%. We then generate Greenberger–Horne–Zeilinger (GHZ) states with an increasing number of qubits and show entanglement of up to eight nuclear spins. By establishing high-fidelity operation across interconnected nuclear spin registers, we realize a key milestone towards fault-tolerant quantum computation with atom processors.</w:t>
      </w:r>
    </w:p>
    <w:p>
      <w:pPr>
        <w:spacing w:before="120" w:after="120"/>
      </w:pPr>
      <w:r>
        <w:rPr>
          <w:sz w:val="18"/>
        </w:rPr>
        <w:t>——————————————————————————————————————————————————————————————————————</w:t>
      </w:r>
    </w:p>
    <w:p>
      <w:pPr>
        <w:spacing w:before="160" w:after="80" w:line="240" w:lineRule="auto"/>
      </w:pPr>
      <w:r>
        <w:rPr>
          <w:b/>
        </w:rPr>
        <w:t xml:space="preserve">[275] </w:t>
      </w:r>
      <w:hyperlink r:id="rId476">
        <w:r>
          <w:rPr>
            <w:color w:val="1155CC"/>
            <w:u w:val="single"/>
          </w:rPr>
          <w:t>Titan’s strong tidal dissipation precludes a subsurface ocean</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Cassini mission provided unprecedented insights into Saturn’s largest moon, Titan, from its atmosphere to the deep interior1. The moon’s large measured response to the tides exerted by Saturn was interpreted as evidence of the existence of a subsurface ocean2,3. This response, twice the value predicted in pre-Cassini studies, has escaped complete explanation. Here we show that the signature of tidal dissipation in Titan’s gravity field is not consistent with the presence of an ocean. Our results arise from the detection of this signature through a reanalysis of the radiometric data acquired by Cassini with improved techniques. We found that substantial energy is being dissipated in the interior (approximately 3–4 TW, corresponding to a tidal quality factor Q ≈ 5), consistent with recent studies of Titan’s rotational state4. Because the presence of a liquid layer reduces the tidal dissipation generated below it5, these new measurements preclude the existence of a subsurface ocean on Titan and are explained by a model in which dissipation is concentrated in a high-pressure ice layer close to its melting point. This model also reproduces Titan’s observed rotational state and static gravity field self-consistently, reconciling all available geophysical measurements. Efficient ice shell convection can prevent widespread melting and ocean formation, but a slushy high-pressure ice layer is consistent with expectations6, indicating that it probably hosts liquid water pockets. The forthcoming Dragonfly mission to Titan will provide a further test of whether a subsurface ocean exists.</w:t>
      </w:r>
    </w:p>
    <w:p>
      <w:pPr>
        <w:spacing w:before="120" w:after="120"/>
      </w:pPr>
      <w:r>
        <w:rPr>
          <w:sz w:val="18"/>
        </w:rPr>
        <w:t>——————————————————————————————————————————————————————————————————————</w:t>
      </w:r>
    </w:p>
    <w:p>
      <w:pPr>
        <w:spacing w:before="160" w:after="80" w:line="240" w:lineRule="auto"/>
      </w:pPr>
      <w:r>
        <w:rPr>
          <w:b/>
        </w:rPr>
        <w:t xml:space="preserve">[276] </w:t>
      </w:r>
      <w:hyperlink r:id="rId477">
        <w:r>
          <w:rPr>
            <w:color w:val="1155CC"/>
            <w:u w:val="single"/>
          </w:rPr>
          <w:t>Joint optimization of charging infrastructure and fleet mix for CO₂-constrained feeder services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[277] </w:t>
      </w:r>
      <w:hyperlink r:id="rId478">
        <w:r>
          <w:rPr>
            <w:color w:val="1155CC"/>
            <w:u w:val="single"/>
          </w:rPr>
          <w:t>Optimal operation of grid-friendly megawatt-level ultra-fast EV charging stations: A review on constraints, objectives and algorithms for grid-interactive operation</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[278] </w:t>
      </w:r>
      <w:hyperlink r:id="rId479">
        <w:r>
          <w:rPr>
            <w:color w:val="1155CC"/>
            <w:u w:val="single"/>
          </w:rPr>
          <w:t>The global hydrogen budget</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Hydrogen (H2) will play a part in decarbonizing the global energy system1. However, hydrogen interacts with methane, ozone, and stratospheric water vapour, leading to an indirect 100-year global warming potential of 11 ± 4 (refs. 2,3,4,5). This raises concerns about the climate consequences of increasing H2 use under future hydrogen economies3,5. A comprehensive accounting of H2 sources and sinks is essential for assessing changes and mitigating environmental risks. Here we analyse trends in global H2 sources and sinks from 1990 to 2020 and construct a comprehensive budget for the decade 2010–2020. H2 sources increased from 1990 to 2020, primarily because of the oxidation of methane and anthropogenic non-methane volatile organic compounds, biogenic nitrogen fixation, and leakage from H2 production. Sinks also increased in response to rising atmospheric H2. Estimated global H2 sources and sinks averaged 69.9 ± 9.4 Tg yr−1 and 68.4 ± 18.1 Tg yr−1, respectively, for 2010–2020. Regionally, Africa and South America contained the largest sources and sinks of H2, whereas East Asia and North America contributed the most H2 emissions from fossil fuel combustion. We estimate that rising atmospheric H2 between 2010 and 2020 contributed to an increase in global surface air temperature (GSAT) of 0.02 ± 0.006 °C. GSAT impacts of changing atmospheric H2 in future marker Shared Socioeconomic Pathway scenarios are estimated to remain within 0.01–0.05 °C, depending on H2 usage, leakage rates and CH4 emissions that influence photochemical H2 production.</w:t>
      </w:r>
    </w:p>
    <w:p>
      <w:pPr>
        <w:spacing w:before="120" w:after="120"/>
      </w:pPr>
      <w:r>
        <w:rPr>
          <w:sz w:val="18"/>
        </w:rPr>
        <w:t>——————————————————————————————————————————————————————————————————————</w:t>
      </w:r>
    </w:p>
    <w:p>
      <w:pPr>
        <w:spacing w:before="160" w:after="80" w:line="240" w:lineRule="auto"/>
      </w:pPr>
      <w:r>
        <w:rPr>
          <w:b/>
        </w:rPr>
        <w:t xml:space="preserve">[279] </w:t>
      </w:r>
      <w:hyperlink r:id="rId480">
        <w:r>
          <w:rPr>
            <w:color w:val="1155CC"/>
            <w:u w:val="single"/>
          </w:rPr>
          <w:t>Gene-specific selective sweeps are pervasive across human gut microbiomes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human gut microbiome is composed of a highly diverse consortia of species that are continually evolving within and across hosts1,2. The ability to identify adaptations common to many human gut microbiomes would show not only shared selection pressures across hosts but also key drivers of functional differentiation of the microbiome that may affect community structure and host traits. However, the extent to which adaptations have spread across human gut microbiomes is relatively unknown. Here we develop a new selection scan statistic named the integrated linkage disequilibrium score (iLDS) that can detect sweeps of adaptive alleles spreading across host microbiomes by migration and horizontal gene transfer. Specifically, iLDS leverages signals of hitchhiking of deleterious variants with a beneficial variant. Application of the statistic to around 30 of the most prevalent commensal gut species from 24 human populations around the world showed more than 300 selective sweeps across species. We find an enrichment for selective sweeps at loci involved in carbohydrate metabolism, indicative of adaptation to host diet, and we find that the targets of selection differ significantly between industrialized populations and non-industrialized populations. One of these sweeps is at a locus known to be involved in the metabolism of maltodextrin—a synthetic starch that has recently become a widespread component of industrialized diets. In summary, our results indicate that recombination between strains fuels pervasive adaptive evolution among human gut commensal bacteria, and strongly implicate host diet and lifestyle as critical selection pressures.</w:t>
      </w:r>
    </w:p>
    <w:p>
      <w:pPr>
        <w:spacing w:before="120" w:after="120"/>
      </w:pPr>
      <w:r>
        <w:rPr>
          <w:sz w:val="18"/>
        </w:rPr>
        <w:t>——————————————————————————————————————————————————————————————————————</w:t>
      </w:r>
    </w:p>
    <w:p>
      <w:pPr>
        <w:spacing w:before="160" w:after="80" w:line="240" w:lineRule="auto"/>
      </w:pPr>
      <w:r>
        <w:rPr>
          <w:b/>
        </w:rPr>
        <w:t xml:space="preserve">[280] </w:t>
      </w:r>
      <w:hyperlink r:id="rId481">
        <w:r>
          <w:rPr>
            <w:color w:val="1155CC"/>
            <w:u w:val="single"/>
          </w:rPr>
          <w:t>Astrocyte CCN1 stabilizes neural circuits in the adult brain</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Neural circuits in many brain regions are refined by experience. Sensory circuits support higher plasticity at younger ages during critical periods—times of circuit refinement and maturation—and limit plasticity in adulthood for circuit stability1,2. How astrocytes, a glial subtype, maintain these differing plasticity levels, and whether they stabilize the properties of sensory circuits in adulthood, remain largely unclear. Here we take a comprehensive approach to address these questions and establish astrocytes as key orchestrators of circuit stability. Combining a transcriptomic approach with ex vivo electrophysiology and in vivo imaging, we identify that astrocytes release CCN1 (refs. 3,4) to maintain synapse and circuit stability in the adult visual cortex. Overexpressing CCN1 in astrocytes during the critical period promotes the maturation of inhibitory neurons, limits ocular dominance plasticity and promotes oligodendrocyte differentiation and maturation. Conversely, knocking out astrocyte CCN1 in adults destabilizes binocular circuits and reduces myelination. This establishes CCN1 as an astrocyte-secreted factor that stabilizes neuronal circuits by coordinating the maturation state of multiple cell types, and demonstrates that the composition and properties of sensory circuits require ongoing maintenance in adulthood, and that these maintenance cues are provided by astrocytes.</w:t>
      </w:r>
    </w:p>
    <w:p>
      <w:pPr>
        <w:spacing w:before="120" w:after="120"/>
      </w:pPr>
      <w:r>
        <w:rPr>
          <w:sz w:val="18"/>
        </w:rPr>
        <w:t>——————————————————————————————————————————————————————————————————————</w:t>
      </w:r>
    </w:p>
    <w:p>
      <w:pPr>
        <w:spacing w:before="160" w:after="80" w:line="240" w:lineRule="auto"/>
      </w:pPr>
      <w:r>
        <w:rPr>
          <w:b/>
        </w:rPr>
        <w:t xml:space="preserve">[281] </w:t>
      </w:r>
      <w:hyperlink r:id="rId482">
        <w:r>
          <w:rPr>
            <w:color w:val="1155CC"/>
            <w:u w:val="single"/>
          </w:rPr>
          <w:t>Diagnosing inconsistencies in battery energy storage systems: A framework integrating electrical, thermal, and aging perspectives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[282] </w:t>
      </w:r>
      <w:hyperlink r:id="rId483">
        <w:r>
          <w:rPr>
            <w:color w:val="1155CC"/>
            <w:u w:val="single"/>
          </w:rPr>
          <w:t>Decoupling shear from grain boundary migration</w:t>
        </w:r>
      </w:hyperlink>
    </w:p>
    <w:p>
      <w:pPr>
        <w:spacing w:before="0" w:after="120" w:line="240" w:lineRule="auto"/>
      </w:pPr>
      <w:r>
        <w:rPr>
          <w:b/>
        </w:rPr>
        <w:t xml:space="preserve">Source: </w:t>
      </w:r>
      <w:r>
        <w:t>Nature Materials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[283] </w:t>
      </w:r>
      <w:hyperlink r:id="rId484">
        <w:r>
          <w:rPr>
            <w:color w:val="1155CC"/>
            <w:u w:val="single"/>
          </w:rPr>
          <w:t>Speeding up antiferromagnetic switching</w:t>
        </w:r>
      </w:hyperlink>
    </w:p>
    <w:p>
      <w:pPr>
        <w:spacing w:before="0" w:after="120" w:line="240" w:lineRule="auto"/>
      </w:pPr>
      <w:r>
        <w:rPr>
          <w:b/>
        </w:rPr>
        <w:t xml:space="preserve">Source: </w:t>
      </w:r>
      <w:r>
        <w:t>Nature Materials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[284] </w:t>
      </w:r>
      <w:hyperlink r:id="rId485">
        <w:r>
          <w:rPr>
            <w:color w:val="1155CC"/>
            <w:u w:val="single"/>
          </w:rPr>
          <w:t>Compression-absorption hybrid heat pumps operating wide temperature ranges: A review and perspectives for large temperature lift</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[285] </w:t>
      </w:r>
      <w:hyperlink r:id="rId486">
        <w:r>
          <w:rPr>
            <w:color w:val="1155CC"/>
            <w:u w:val="single"/>
          </w:rPr>
          <w:t>Learning-to-optimize infused decentralized disaggregation for multi-entity technical VPP considering equity and privacy</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[286] </w:t>
      </w:r>
      <w:hyperlink r:id="rId487">
        <w:r>
          <w:rPr>
            <w:color w:val="1155CC"/>
            <w:u w:val="single"/>
          </w:rPr>
          <w:t>PhaseT3M: 3D imaging at 1.6 Å resolution via electron cryo-tomography with nonlinear phase retrieval</w:t>
        </w:r>
      </w:hyperlink>
    </w:p>
    <w:p>
      <w:pPr>
        <w:spacing w:before="0" w:after="120" w:line="240" w:lineRule="auto"/>
      </w:pPr>
      <w:r>
        <w:rPr>
          <w:b/>
        </w:rPr>
        <w:t xml:space="preserve">Source: </w:t>
      </w:r>
      <w:r>
        <w:t>Nature Communications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[287] </w:t>
      </w:r>
      <w:hyperlink r:id="rId488">
        <w:r>
          <w:rPr>
            <w:color w:val="1155CC"/>
            <w:u w:val="single"/>
          </w:rPr>
          <w:t>Could tracking animals’ health help to avert the next pandemic?</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[288] </w:t>
      </w:r>
      <w:hyperlink r:id="rId489">
        <w:r>
          <w:rPr>
            <w:color w:val="1155CC"/>
            <w:u w:val="single"/>
          </w:rPr>
          <w:t>Immunological sin: how a person’s earliest flu infections dictate life-long immunity</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[289] </w:t>
      </w:r>
      <w:hyperlink r:id="rId490">
        <w:r>
          <w:rPr>
            <w:color w:val="1155CC"/>
            <w:u w:val="single"/>
          </w:rPr>
          <w:t>Virology’s most wanted: the influenza virus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[290] </w:t>
      </w:r>
      <w:hyperlink r:id="rId491">
        <w:r>
          <w:rPr>
            <w:color w:val="1155CC"/>
            <w:u w:val="single"/>
          </w:rPr>
          <w:t>A universal flu vaccine has proved challenging — could it finally be possible?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[291] </w:t>
      </w:r>
      <w:hyperlink r:id="rId492">
        <w:r>
          <w:rPr>
            <w:color w:val="1155CC"/>
            <w:u w:val="single"/>
          </w:rPr>
          <w:t>The quest to hatch a bird-flu vaccine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[292] </w:t>
      </w:r>
      <w:hyperlink r:id="rId493">
        <w:r>
          <w:rPr>
            <w:color w:val="1155CC"/>
            <w:u w:val="single"/>
          </w:rPr>
          <w:t>Stopping the next flu pandemic</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[293] </w:t>
      </w:r>
      <w:hyperlink r:id="rId494">
        <w:r>
          <w:rPr>
            <w:color w:val="1155CC"/>
            <w:u w:val="single"/>
          </w:rPr>
          <w:t>How common is Alzheimer’s? Blood-test study holds surprises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[294] </w:t>
      </w:r>
      <w:hyperlink r:id="rId495">
        <w:r>
          <w:rPr>
            <w:color w:val="1155CC"/>
            <w:u w:val="single"/>
          </w:rPr>
          <w:t>AI-assisted design and optimization of novel asymmetric microchannel flow fields for proton exchange membrane fuel cells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[295] </w:t>
      </w:r>
      <w:hyperlink r:id="rId496">
        <w:r>
          <w:rPr>
            <w:color w:val="1155CC"/>
            <w:u w:val="single"/>
          </w:rPr>
          <w:t>Annual flu vaccines are far from ideal — this is why</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[296] </w:t>
      </w:r>
      <w:hyperlink r:id="rId497">
        <w:r>
          <w:rPr>
            <w:color w:val="1155CC"/>
            <w:u w:val="single"/>
          </w:rPr>
          <w:t>Is bird flu the next pandemic? The science so far</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[297] </w:t>
      </w:r>
      <w:hyperlink r:id="rId498">
        <w:r>
          <w:rPr>
            <w:color w:val="1155CC"/>
            <w:u w:val="single"/>
          </w:rPr>
          <w:t>Take the News &amp; Views end-of-year quiz: vampire fungus, migratory moths and a 160-year-old mystery</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[298] </w:t>
      </w:r>
      <w:hyperlink r:id="rId499">
        <w:r>
          <w:rPr>
            <w:color w:val="1155CC"/>
            <w:u w:val="single"/>
          </w:rPr>
          <w:t>The hidden cost of video-call glitches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[299] </w:t>
      </w:r>
      <w:hyperlink r:id="rId500">
        <w:r>
          <w:rPr>
            <w:color w:val="1155CC"/>
            <w:u w:val="single"/>
          </w:rPr>
          <w:t>Mechanism for water formation on rocky exoplanets demonstrated in the lab</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[300] </w:t>
      </w:r>
      <w:hyperlink r:id="rId501">
        <w:r>
          <w:rPr>
            <w:color w:val="1155CC"/>
            <w:u w:val="single"/>
          </w:rPr>
          <w:t>Beauty is in the eye of the beholder</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[301] </w:t>
      </w:r>
      <w:hyperlink r:id="rId502">
        <w:r>
          <w:rPr>
            <w:color w:val="1155CC"/>
            <w:u w:val="single"/>
          </w:rPr>
          <w:t>State of power prediction considering cell inconsistency for a series-parallel battery pack based on adaptive SRUKF and double-neural network</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[302] </w:t>
      </w:r>
      <w:hyperlink r:id="rId503">
        <w:r>
          <w:rPr>
            <w:color w:val="1155CC"/>
            <w:u w:val="single"/>
          </w:rPr>
          <w:t>A modular quantum processor made using phosphorus atoms in silicon</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[303] </w:t>
      </w:r>
      <w:hyperlink r:id="rId504">
        <w:r>
          <w:rPr>
            <w:color w:val="1155CC"/>
            <w:u w:val="single"/>
          </w:rPr>
          <w:t>Climate-driven evolution of global wind-solar complementarity for hybrid energy systems (1940–2024)</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[304] </w:t>
      </w:r>
      <w:hyperlink r:id="rId505">
        <w:r>
          <w:rPr>
            <w:color w:val="1155CC"/>
            <w:u w:val="single"/>
          </w:rPr>
          <w:t>Restoring youth to old immune cells: mRNA therapy turns back the clock</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[305] </w:t>
      </w:r>
      <w:hyperlink r:id="rId506">
        <w:r>
          <w:rPr>
            <w:color w:val="1155CC"/>
            <w:u w:val="single"/>
          </w:rPr>
          <w:t>Systematic maps reveal how human chromosomes are organized</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[306] </w:t>
      </w:r>
      <w:hyperlink r:id="rId507">
        <w:r>
          <w:rPr>
            <w:color w:val="1155CC"/>
            <w:u w:val="single"/>
          </w:rPr>
          <w:t>Distributionally robust free energy principle for decision-making</w:t>
        </w:r>
      </w:hyperlink>
    </w:p>
    <w:p>
      <w:pPr>
        <w:spacing w:before="0" w:after="120" w:line="240" w:lineRule="auto"/>
      </w:pPr>
      <w:r>
        <w:rPr>
          <w:b/>
        </w:rPr>
        <w:t xml:space="preserve">Source: </w:t>
      </w:r>
      <w:r>
        <w:t>Nature Communications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[307] </w:t>
      </w:r>
      <w:hyperlink r:id="rId508">
        <w:r>
          <w:rPr>
            <w:color w:val="1155CC"/>
            <w:u w:val="single"/>
          </w:rPr>
          <w:t>Flu’s link to cardiovascular disease shows why vaccination is essential</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[308] </w:t>
      </w:r>
      <w:hyperlink r:id="rId509">
        <w:r>
          <w:rPr>
            <w:color w:val="1155CC"/>
            <w:u w:val="single"/>
          </w:rPr>
          <w:t>Seven feel-good science stories to restore your faith in 2025</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[309] </w:t>
      </w:r>
      <w:hyperlink r:id="rId510">
        <w:r>
          <w:rPr>
            <w:color w:val="1155CC"/>
            <w:u w:val="single"/>
          </w:rPr>
          <w:t>Comparative analyses of recuperator integration in PEMFC air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[310] </w:t>
      </w:r>
      <w:hyperlink r:id="rId511">
        <w:r>
          <w:rPr>
            <w:color w:val="1155CC"/>
            <w:u w:val="single"/>
          </w:rPr>
          <w:t>Graph-based multi-agent reinforcement learning with an enriched environment for joint ride-sharing and charging optimization</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[311] </w:t>
      </w:r>
      <w:hyperlink r:id="rId512">
        <w:r>
          <w:rPr>
            <w:color w:val="1155CC"/>
            <w:u w:val="single"/>
          </w:rPr>
          <w:t>Catalyst design and machine learning for thermocatalytic CO2 methanation: A review</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[312] </w:t>
      </w:r>
      <w:hyperlink r:id="rId513">
        <w:r>
          <w:rPr>
            <w:color w:val="1155CC"/>
            <w:u w:val="single"/>
          </w:rPr>
          <w:t>On-demand electro-/thermo-chromic smart windows with self-adaptive sensible heat storage for multimode synergistic building energy conservation</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[313] </w:t>
      </w:r>
      <w:hyperlink r:id="rId514">
        <w:r>
          <w:rPr>
            <w:color w:val="1155CC"/>
            <w:u w:val="single"/>
          </w:rPr>
          <w:t>Policy-constrained agrivoltaics in Italy: a potato case study linking shading, crop and economics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[314] </w:t>
      </w:r>
      <w:hyperlink r:id="rId515">
        <w:r>
          <w:rPr>
            <w:color w:val="1155CC"/>
            <w:u w:val="single"/>
          </w:rPr>
          <w:t>Operando X-ray imaging reveals size-dependent evolution of cobalt oxide thermochemical material during thermal redox cycles</w:t>
        </w:r>
      </w:hyperlink>
    </w:p>
    <w:p>
      <w:pPr>
        <w:spacing w:before="0" w:after="120" w:line="240" w:lineRule="auto"/>
      </w:pPr>
      <w:r>
        <w:rPr>
          <w:b/>
        </w:rPr>
        <w:t xml:space="preserve">Source: </w:t>
      </w:r>
      <w:r>
        <w:t>Nature Communications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[315] </w:t>
      </w:r>
      <w:hyperlink r:id="rId516">
        <w:r>
          <w:rPr>
            <w:color w:val="1155CC"/>
            <w:u w:val="single"/>
          </w:rPr>
          <w:t>Transient hepatic reconstitution of trophic factors enhances aged immunity</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Ageing erodes human immunity, in part by reshaping the T cell repertoire, leading to increased vulnerability to infection, malignancy and vaccine failure1,2,3. Attempts to rejuvenate immune function have yielded only modest results and are limited by toxicity or lack of clinical feasibility1,3,4,5. Here we show that the liver can be transiently repurposed to restore age-diminished immune cues and improve T cell function in aged mice. These immune cues were found by performing multi-omic mapping across central and peripheral niches in young and aged animals, leading to the identification of Notch and Fms-like tyrosine kinase 3 ligand (FLT3L) pathways, together with interleukin-7 (IL-7) signalling, as declining with age. Delivery of mRNAs encoding Delta-like ligand 1 (DLL1), FLT3L and IL-7 to hepatocytes expanded common lymphoid progenitors, boosted de novo thymopoiesis without affecting haematopoietic stem cell (HSC) composition, and replenished T cells while enhancing dendritic cell abundance and function. Treatment with these mRNAs improved peptide vaccine responses and restored antitumour immunity in aged mice by increasing tumour-specific CD8+ infiltration and clonal diversity and synergizing with immune checkpoint blockade. These effects were reversible after dosing ceased and did not breach self-tolerance, in contrast to the inflammatory and autoimmune liabilities of recombinant cytokine treatments6,7. These findings underscore the promise of mRNA-based strategies for systemic immune modulation and highlight the potential of interventions aimed at preserving immune resilience in ageing populations.</w:t>
      </w:r>
    </w:p>
    <w:p>
      <w:pPr>
        <w:spacing w:before="120" w:after="120"/>
      </w:pPr>
      <w:r>
        <w:rPr>
          <w:sz w:val="18"/>
        </w:rPr>
        <w:t>——————————————————————————————————————————————————————————————————————</w:t>
      </w:r>
    </w:p>
    <w:p>
      <w:pPr>
        <w:spacing w:before="160" w:after="80" w:line="240" w:lineRule="auto"/>
      </w:pPr>
      <w:r>
        <w:rPr>
          <w:b/>
        </w:rPr>
        <w:t xml:space="preserve">[316] </w:t>
      </w:r>
      <w:hyperlink r:id="rId517">
        <w:r>
          <w:rPr>
            <w:color w:val="1155CC"/>
            <w:u w:val="single"/>
          </w:rPr>
          <w:t>A novel modeling framework for demand response-based energy management systems in smart electricity markets, using optimization and multi-criteria decision making techniques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[317] </w:t>
      </w:r>
      <w:hyperlink r:id="rId518">
        <w:r>
          <w:rPr>
            <w:color w:val="1155CC"/>
            <w:u w:val="single"/>
          </w:rPr>
          <w:t>Multi-objective stochastic optimization problem: a systematic literature review</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[318] </w:t>
      </w:r>
      <w:hyperlink r:id="rId519">
        <w:r>
          <w:rPr>
            <w:color w:val="1155CC"/>
            <w:u w:val="single"/>
          </w:rPr>
          <w:t>One-step thermal engineering of FTO substrate: unlocking higher-efficiency perovskite solar cells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[319] </w:t>
      </w:r>
      <w:hyperlink r:id="rId520">
        <w:r>
          <w:rPr>
            <w:color w:val="1155CC"/>
            <w:u w:val="single"/>
          </w:rPr>
          <w:t>ReCHEMbinant stapling enhances intracellular delivery and bioactivity of engineered protein inhibitors</w:t>
        </w:r>
      </w:hyperlink>
    </w:p>
    <w:p>
      <w:pPr>
        <w:spacing w:before="0" w:after="120" w:line="240" w:lineRule="auto"/>
      </w:pPr>
      <w:r>
        <w:rPr>
          <w:b/>
        </w:rPr>
        <w:t xml:space="preserve">Source: </w:t>
      </w:r>
      <w:r>
        <w:t>Chem</w:t>
      </w:r>
      <w:r>
        <w:t xml:space="preserve">    </w:t>
      </w:r>
      <w:r>
        <w:rPr>
          <w:b/>
        </w:rPr>
        <w:t xml:space="preserve">Pub date: </w:t>
      </w:r>
      <w:r>
        <w:t>2025-12-17 00:00:00+00:00</w:t>
      </w:r>
    </w:p>
    <w:p>
      <w:pPr>
        <w:spacing w:before="0" w:after="120"/>
      </w:pPr>
      <w:r>
        <w:rPr>
          <w:b/>
        </w:rPr>
        <w:t xml:space="preserve">Notes: </w:t>
      </w:r>
      <w:r>
        <w:t>abstract_source=rss_cell</w:t>
      </w:r>
    </w:p>
    <w:p>
      <w:pPr>
        <w:spacing w:before="0" w:after="200" w:lineRule="auto" w:line="276"/>
      </w:pPr>
      <w:r>
        <w:rPr>
          <w:b/>
        </w:rPr>
        <w:t xml:space="preserve">Abstract: </w:t>
      </w:r>
      <w:r>
        <w:t>ReCHEMbinant engineering enables chemical stapling of recombinant proteins to enhance their cellular uptake, serum stability, and general activity. Applying this strategy to the MYC inhibitor Omomyc produced HeloMYCs—synthetically enhanced variants that display potent intracellular activity and better cell penetration and MYC inhibition than the natural parent protein.</w:t>
      </w:r>
    </w:p>
    <w:p>
      <w:pPr>
        <w:spacing w:before="120" w:after="120"/>
      </w:pPr>
      <w:r>
        <w:rPr>
          <w:sz w:val="18"/>
        </w:rPr>
        <w:t>——————————————————————————————————————————————————————————————————————</w:t>
      </w:r>
    </w:p>
    <w:p>
      <w:pPr>
        <w:spacing w:before="160" w:after="80" w:line="240" w:lineRule="auto"/>
      </w:pPr>
      <w:r>
        <w:rPr>
          <w:b/>
        </w:rPr>
        <w:t xml:space="preserve">[320] </w:t>
      </w:r>
      <w:hyperlink r:id="rId521">
        <w:r>
          <w:rPr>
            <w:color w:val="1155CC"/>
            <w:u w:val="single"/>
          </w:rPr>
          <w:t>The Nature Podcast festive spectacular 2025</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[321] </w:t>
      </w:r>
      <w:hyperlink r:id="rId522">
        <w:r>
          <w:rPr>
            <w:color w:val="1155CC"/>
            <w:u w:val="single"/>
          </w:rPr>
          <w:t>Mechanochemical extraction of gallium from chemically akin metal mixtures via an atomic-scale low-entropy-increasing strategy</w:t>
        </w:r>
      </w:hyperlink>
    </w:p>
    <w:p>
      <w:pPr>
        <w:spacing w:before="0" w:after="120" w:line="240" w:lineRule="auto"/>
      </w:pPr>
      <w:r>
        <w:rPr>
          <w:b/>
        </w:rPr>
        <w:t xml:space="preserve">Source: </w:t>
      </w:r>
      <w:r>
        <w:t>Joule</w:t>
      </w:r>
      <w:r>
        <w:t xml:space="preserve">    </w:t>
      </w:r>
      <w:r>
        <w:rPr>
          <w:b/>
        </w:rPr>
        <w:t xml:space="preserve">Pub date: </w:t>
      </w:r>
      <w:r>
        <w:t>2025-12-17 00:00:00+00:00</w:t>
      </w:r>
    </w:p>
    <w:p>
      <w:pPr>
        <w:spacing w:before="0" w:after="120"/>
      </w:pPr>
      <w:r>
        <w:rPr>
          <w:b/>
        </w:rPr>
        <w:t xml:space="preserve">Notes: </w:t>
      </w:r>
      <w:r>
        <w:t>abstract_source=rss_cell</w:t>
      </w:r>
    </w:p>
    <w:p>
      <w:pPr>
        <w:spacing w:before="0" w:after="200" w:lineRule="auto" w:line="276"/>
      </w:pPr>
      <w:r>
        <w:rPr>
          <w:b/>
        </w:rPr>
        <w:t xml:space="preserve">Abstract: </w:t>
      </w:r>
      <w:r>
        <w:t>Ga and indium (In) are hard to separate in CIGS photovoltaic recycling, with traditional processes being high entropy and energy intensive. This study proposes a mechanochemical molten-salt low-entropy-increasing strategy, achieving 96.08% Ga recovery and a separation factor of 88.89 in two steps. It cuts emissions and water use by over 70%, extends to InGaZnO4 waste, and aids the circular economy in energy via critical metal recovery.</w:t>
      </w:r>
    </w:p>
    <w:p>
      <w:pPr>
        <w:spacing w:before="120" w:after="120"/>
      </w:pPr>
      <w:r>
        <w:rPr>
          <w:sz w:val="18"/>
        </w:rPr>
        <w:t>——————————————————————————————————————————————————————————————————————</w:t>
      </w:r>
    </w:p>
    <w:p>
      <w:pPr>
        <w:spacing w:before="160" w:after="80" w:line="240" w:lineRule="auto"/>
      </w:pPr>
      <w:r>
        <w:rPr>
          <w:b/>
        </w:rPr>
        <w:t xml:space="preserve">[322] </w:t>
      </w:r>
      <w:hyperlink r:id="rId523">
        <w:r>
          <w:rPr>
            <w:color w:val="1155CC"/>
            <w:u w:val="single"/>
          </w:rPr>
          <w:t>MIT fusion-lab head shot dead: a horror 'impossible to believe'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[323] </w:t>
      </w:r>
      <w:hyperlink r:id="rId524">
        <w:r>
          <w:rPr>
            <w:color w:val="1155CC"/>
            <w:u w:val="single"/>
          </w:rPr>
          <w:t>Recent advances in COF-based separators for rechargeable batteries: Design, properties, and applications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[324] </w:t>
      </w:r>
      <w:hyperlink r:id="rId525">
        <w:r>
          <w:rPr>
            <w:color w:val="1155CC"/>
            <w:u w:val="single"/>
          </w:rPr>
          <w:t>Hierarchical fuzzy RL control strategy and economic evaluation for molten salt energy storage systems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[325] </w:t>
      </w:r>
      <w:hyperlink r:id="rId526">
        <w:r>
          <w:rPr>
            <w:color w:val="1155CC"/>
            <w:u w:val="single"/>
          </w:rPr>
          <w:t>Trump team plans to break up ‘global mothership’ of climate science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[326] </w:t>
      </w:r>
      <w:hyperlink r:id="rId527">
        <w:r>
          <w:rPr>
            <w:color w:val="1155CC"/>
            <w:u w:val="single"/>
          </w:rPr>
          <w:t>I’ve earned my PhD — what now?</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[327] </w:t>
      </w:r>
      <w:hyperlink r:id="rId528">
        <w:r>
          <w:rPr>
            <w:color w:val="1155CC"/>
            <w:u w:val="single"/>
          </w:rPr>
          <w:t>Accurate urban solar potential estimation empowered by multimodal 3-D building reconstruction: a case study in Landshut, Germany</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[328] </w:t>
      </w:r>
      <w:hyperlink r:id="rId529">
        <w:r>
          <w:rPr>
            <w:color w:val="1155CC"/>
            <w:u w:val="single"/>
          </w:rPr>
          <w:t>Spatiotemporal cellular map of the developing human reproductive tract</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human reproductive tract is essential for species perpetuation and overall health. Its development involves complex processes of sex specification, tissue patterning and morphogenesis, the disruption of which can cause lifelong issues, including infertility1,2,3,4,5. Here we present an extensive single-cell and spatial multi-omic atlas of the human reproductive tract during prenatal development to provide insights beyond those that are possible with smaller-scale, organ-focused studies. We describe potential regulators of sexual dimorphism in reproductive organs and pinpoint previously unknown genes involved in Müllerian duct emergence and regression and urethral canalization of the penis. By combining histological features with gene expression and chromatin accessibility data, we define transcription factors and signalling events potentially involved in the regionalization of the Müllerian and Wolffian ducts. We also refine how the HOX code is established in distinct reproductive organs and reveal that the expression of thoracic HOX genes is increased in the rostral mesenchyme of the fallopian tube and epididymis. Our findings further indicate that epithelial regionalization of the fallopian tube and epididymis, which probably contribute to sperm maturation and capacitation, is established during development. By contrast, later events are necessary for regionalization of the uterocervical canal epithelium. Finally, on the basis of single-cell data and fetal-derived organoids, we show that the fetal uterine epithelium is vulnerable to oestrogen-mimicking endocrine disruptors. By mapping sex-specific reproductive tract regionalization and differentiation at the cellular level, our study provides valuable insights into causes and potential treatments of developmental reproductive disorders.</w:t>
      </w:r>
    </w:p>
    <w:p>
      <w:pPr>
        <w:spacing w:before="120" w:after="120"/>
      </w:pPr>
      <w:r>
        <w:rPr>
          <w:sz w:val="18"/>
        </w:rPr>
        <w:t>——————————————————————————————————————————————————————————————————————</w:t>
      </w:r>
    </w:p>
    <w:p>
      <w:pPr>
        <w:spacing w:before="160" w:after="80" w:line="240" w:lineRule="auto"/>
      </w:pPr>
      <w:r>
        <w:rPr>
          <w:b/>
        </w:rPr>
        <w:t xml:space="preserve">[329] </w:t>
      </w:r>
      <w:hyperlink r:id="rId530">
        <w:r>
          <w:rPr>
            <w:color w:val="1155CC"/>
            <w:u w:val="single"/>
          </w:rPr>
          <w:t>Hybrid game-based dispatch for 5G BS-BSC synergy in distribution networks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[330] </w:t>
      </w:r>
      <w:hyperlink r:id="rId531">
        <w:r>
          <w:rPr>
            <w:color w:val="1155CC"/>
            <w:u w:val="single"/>
          </w:rPr>
          <w:t>GTP release-selective agonists prolong opioid analgesic efficacy</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G-protein-coupled receptors act as guanine nucleotide exchange factors (GEFs) and facilitate the activation of heterotrimeric G proteins by exchanging GDP for GTP1. This exchange function is not unidirectional2. Here we demonstrate that an agonist can show selective affinity for an active state that prefers the release of GTP. Specifically, for the mu opioid receptor, we show that several agonists have state-selective affinities for promoting GTP release versus GTP binding. We identify two agonists that show a marked preference for promoting release. In mice, marginally efficacious doses of the release-preferring agonist enhance and prolong the antinociceptive effects of morphine and fentanyl without enhancing the respiratory and cardiac effects of fentanyl. Although these observations are limited to simple measures of thermal nociception, they may point to a way to bifurcate physiological responses to such agonists. We propose that the active-state selectivity of an agonist may determine the preferred direction of the receptor GEF function, which may affect the kinetics and selectivity of the engagement of the receptor with downstream effectors; this may ultimately present a means to disentangle multifaceted drug-induced physiological responses.</w:t>
      </w:r>
    </w:p>
    <w:p>
      <w:pPr>
        <w:spacing w:before="120" w:after="120"/>
      </w:pPr>
      <w:r>
        <w:rPr>
          <w:sz w:val="18"/>
        </w:rPr>
        <w:t>——————————————————————————————————————————————————————————————————————</w:t>
      </w:r>
    </w:p>
    <w:p>
      <w:pPr>
        <w:spacing w:before="160" w:after="80" w:line="240" w:lineRule="auto"/>
      </w:pPr>
      <w:r>
        <w:rPr>
          <w:b/>
        </w:rPr>
        <w:t xml:space="preserve">[331] </w:t>
      </w:r>
      <w:hyperlink r:id="rId532">
        <w:r>
          <w:rPr>
            <w:color w:val="1155CC"/>
            <w:u w:val="single"/>
          </w:rPr>
          <w:t>How the Romans built their empire of concrete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[332] </w:t>
      </w:r>
      <w:hyperlink r:id="rId533">
        <w:r>
          <w:rPr>
            <w:color w:val="1155CC"/>
            <w:u w:val="single"/>
          </w:rPr>
          <w:t>On to the next century of Fischer–Tropsch synthesis</w:t>
        </w:r>
      </w:hyperlink>
    </w:p>
    <w:p>
      <w:pPr>
        <w:spacing w:before="0" w:after="120" w:line="240" w:lineRule="auto"/>
      </w:pPr>
      <w:r>
        <w:rPr>
          <w:b/>
        </w:rPr>
        <w:t xml:space="preserve">Source: </w:t>
      </w:r>
      <w:r>
        <w:t>Nature Chemical Engineering</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[333] </w:t>
      </w:r>
      <w:hyperlink r:id="rId534">
        <w:r>
          <w:rPr>
            <w:color w:val="1155CC"/>
            <w:u w:val="single"/>
          </w:rPr>
          <w:t>QSTAformer: A quantum-enhanced Transformer for robust short-term voltage stability assessment against adversarial attacks</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[334] </w:t>
      </w:r>
      <w:hyperlink r:id="rId535">
        <w:r>
          <w:rPr>
            <w:color w:val="1155CC"/>
            <w:u w:val="single"/>
          </w:rPr>
          <w:t>Superbase CO2-concentrating layers protected nickel catalyst for solar CH4 synthesis via direct air capture</w:t>
        </w:r>
      </w:hyperlink>
    </w:p>
    <w:p>
      <w:pPr>
        <w:spacing w:before="0" w:after="120" w:line="240" w:lineRule="auto"/>
      </w:pPr>
      <w:r>
        <w:rPr>
          <w:b/>
        </w:rPr>
        <w:t xml:space="preserve">Source: </w:t>
      </w:r>
      <w:r>
        <w:t>RSC - Energy Environ. Sci. latest articles</w:t>
      </w:r>
      <w:r>
        <w:t xml:space="preserve">    </w:t>
      </w:r>
      <w:r>
        <w:rPr>
          <w:b/>
        </w:rPr>
        <w:t xml:space="preserve">Pub date: </w:t>
      </w:r>
      <w:r>
        <w:t>2025-12-17 00:00:00+00:00</w:t>
      </w:r>
    </w:p>
    <w:p>
      <w:pPr>
        <w:spacing w:before="0" w:after="120"/>
      </w:pPr>
      <w:r>
        <w:rPr>
          <w:b/>
        </w:rPr>
        <w:t xml:space="preserve">Notes: </w:t>
      </w:r>
      <w:r>
        <w:t>abstract_source=rsc_html</w:t>
      </w:r>
    </w:p>
    <w:p>
      <w:pPr>
        <w:spacing w:before="0" w:after="200" w:lineRule="auto" w:line="276"/>
      </w:pPr>
      <w:r>
        <w:rPr>
          <w:b/>
        </w:rPr>
        <w:t xml:space="preserve">Abstract: </w:t>
      </w:r>
      <w:r>
        <w:t>Although direct air capture technology shows promise for atmospheric CO2 reduction, it is hindered by the energy-intensive CO2 concentration processes and unresolved long-term storage risks. As an alternative approach, direct conversion of atmospheric CO2 into solar fuels could simultaneously address carbon neutrality and energy storage, yet existing conversion technologies predominantly require high-concentration CO2 streams. Here, we demonstrate a nickel-encapsulated mesoporous nitrogen-doped carbon (NC) architecture that enables integrated CO2 capture from air and CH4 production via in situ catalyzing the captured CO2 with H2 under solar irradiation. The engineered mesoporous NC framework with superbasic sites achieves exceptional CO2 capture capacity (55 cm3 g-1) and ultrafast adsorption-desorption kinetics (equilibrium attained in ~1 min) under ambient conditions. The Ni nanoparticles and NC layers function as tandem catalytic sites for CH4 production, where photogenerated electrons drive H2 dissociation on Ni sites while adsorbed CO2 on NC undergoes photothermal reduction to CH4 by the spilled hydrogen. This mechanism enables a record CH4 production rate of 339 mmol·g-1·h-1 (nearly identical with that using pure CO2) with perfect selectivity through atmospheric CO2 conversion. Furthermore, the hydrophobic NC overlayers effectively prevent Ni sintering via physical confinement effects and inhibit oxidative deactivation through dynamically scavenging H2O byproduct, enabling the catalyst to maintain a stability for over 100 cycles of atmospheric CO2 capture and conversion. Our temporal-decoupling strategy for converting atmospheric CO2 eliminates oxygen interference in ambient air and energy-intensive concentration steps, thereby establishing an innovative paradigm for producing carbon-neutral fuels.</w:t>
      </w:r>
    </w:p>
    <w:p>
      <w:pPr>
        <w:spacing w:before="120" w:after="120"/>
      </w:pPr>
      <w:r>
        <w:rPr>
          <w:sz w:val="18"/>
        </w:rPr>
        <w:t>——————————————————————————————————————————————————————————————————————</w:t>
      </w:r>
    </w:p>
    <w:p>
      <w:pPr>
        <w:spacing w:before="160" w:after="80" w:line="240" w:lineRule="auto"/>
      </w:pPr>
      <w:r>
        <w:rPr>
          <w:b/>
        </w:rPr>
        <w:t xml:space="preserve">[335] </w:t>
      </w:r>
      <w:hyperlink r:id="rId536">
        <w:r>
          <w:rPr>
            <w:color w:val="1155CC"/>
            <w:u w:val="single"/>
          </w:rPr>
          <w:t>Synthesis of heterobicyclo[n.1.1]alkanes</w:t>
        </w:r>
      </w:hyperlink>
    </w:p>
    <w:p>
      <w:pPr>
        <w:spacing w:before="0" w:after="120" w:line="240" w:lineRule="auto"/>
      </w:pPr>
      <w:r>
        <w:rPr>
          <w:b/>
        </w:rPr>
        <w:t xml:space="preserve">Source: </w:t>
      </w:r>
      <w:r>
        <w:t>RSC - Chem. Soc. Rev. latest articles</w:t>
      </w:r>
      <w:r>
        <w:t xml:space="preserve">    </w:t>
      </w:r>
      <w:r>
        <w:rPr>
          <w:b/>
        </w:rPr>
        <w:t xml:space="preserve">Pub date: </w:t>
      </w:r>
      <w:r>
        <w:t>2025-12-17 00:00:00+00:00</w:t>
      </w:r>
    </w:p>
    <w:p>
      <w:pPr>
        <w:spacing w:before="0" w:after="120"/>
      </w:pPr>
      <w:r>
        <w:rPr>
          <w:b/>
        </w:rPr>
        <w:t xml:space="preserve">Notes: </w:t>
      </w:r>
      <w:r>
        <w:t>abstract_source=rsc_html</w:t>
      </w:r>
    </w:p>
    <w:p>
      <w:pPr>
        <w:spacing w:before="0" w:after="200" w:lineRule="auto" w:line="276"/>
      </w:pPr>
      <w:r>
        <w:rPr>
          <w:b/>
        </w:rPr>
        <w:t xml:space="preserve">Abstract: </w:t>
      </w:r>
      <w:r>
        <w:t>Heterocyclic bicyclo[n.1.1]alkanes have emerged as important scaffolds in contemporary drug design due to their rigid frameworks that enable the positioning of their subsituents along well defined vectors in chemical space. Offering much potential as alternative cores to traditional benzene rings, heterobicyclo[2.1.1]hexanes (HBCHexs) and heterobicyclo[3.1.1]heptanes (HBCHeps) in particular have attracted significant attention from the synthetic community. A plethora of methods have recently been developed to access these useful motifs, using both radical and polar strategies to forge the bicyclic system. This review discusses recent developments in the field, with a focus on mechanistic aspects, and those methodologies that show the most potential for general application.</w:t>
      </w:r>
    </w:p>
    <w:p>
      <w:pPr>
        <w:spacing w:before="120" w:after="120"/>
      </w:pPr>
      <w:r>
        <w:rPr>
          <w:sz w:val="18"/>
        </w:rPr>
        <w:t>——————————————————————————————————————————————————————————————————————</w:t>
      </w:r>
    </w:p>
    <w:p>
      <w:pPr>
        <w:spacing w:before="160" w:after="80" w:line="240" w:lineRule="auto"/>
      </w:pPr>
      <w:r>
        <w:rPr>
          <w:b/>
        </w:rPr>
        <w:t xml:space="preserve">[336] </w:t>
      </w:r>
      <w:hyperlink r:id="rId537">
        <w:r>
          <w:rPr>
            <w:color w:val="1155CC"/>
            <w:u w:val="single"/>
          </w:rPr>
          <w:t>Towards 1-nm-node electronics with two-dimensional transistors</w:t>
        </w:r>
      </w:hyperlink>
    </w:p>
    <w:p>
      <w:pPr>
        <w:spacing w:before="0" w:after="120" w:line="240" w:lineRule="auto"/>
      </w:pPr>
      <w:r>
        <w:rPr>
          <w:b/>
        </w:rPr>
        <w:t xml:space="preserve">Source: </w:t>
      </w:r>
      <w:r>
        <w:t>Nature Electronics</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[337] </w:t>
      </w:r>
      <w:hyperlink r:id="rId538">
        <w:r>
          <w:rPr>
            <w:color w:val="1155CC"/>
            <w:u w:val="single"/>
          </w:rPr>
          <w:t>Scaled crystalline antimony ohmic contacts for two-dimensional transistors</w:t>
        </w:r>
      </w:hyperlink>
    </w:p>
    <w:p>
      <w:pPr>
        <w:spacing w:before="0" w:after="120" w:line="240" w:lineRule="auto"/>
      </w:pPr>
      <w:r>
        <w:rPr>
          <w:b/>
        </w:rPr>
        <w:t xml:space="preserve">Source: </w:t>
      </w:r>
      <w:r>
        <w:t>Nature Electronics</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Transition metal dichalcogenides are a potential alternative to silicon and could be used to create transistors with a contacted gate pitch below 40 nm as required by the ångström-node transistor technology. However, it remains challenging to maintain an ohmic contact when the contact length is reduced to less than 20 nm. Here we show that crystalline semi-metallic antimony contacts can be epitaxially grown on molybdenum disulfide (MoS2) by molecular beam epitaxy, creating ohmic contacts with a resistance of 98 Ω µm at a contact length of 18 nm. We use the contacts to build scaled field-effect transistors with a contacted gate pitch of 40 nm with drive currents of 0.85 mA µm−1, 0.95 mA µm−1 and 1.08 mA µm−1 for monolayer, bilayer and trilayer MoS2 channels, respectively. Statistical analysis of transistor arrays confirms that the crystalline antimony contacts are reproducible and stable.</w:t>
      </w:r>
    </w:p>
    <w:p>
      <w:pPr>
        <w:spacing w:before="120" w:after="120"/>
      </w:pPr>
      <w:r>
        <w:rPr>
          <w:sz w:val="18"/>
        </w:rPr>
        <w:t>——————————————————————————————————————————————————————————————————————</w:t>
      </w:r>
    </w:p>
    <w:p>
      <w:pPr>
        <w:spacing w:before="160" w:after="80" w:line="240" w:lineRule="auto"/>
      </w:pPr>
      <w:r>
        <w:rPr>
          <w:b/>
        </w:rPr>
        <w:t xml:space="preserve">[338] </w:t>
      </w:r>
      <w:hyperlink r:id="rId539">
        <w:r>
          <w:rPr>
            <w:color w:val="1155CC"/>
            <w:u w:val="single"/>
          </w:rPr>
          <w:t>High-performance molybdenum disulfide transistors with channel and contact lengths below 35 nm</w:t>
        </w:r>
      </w:hyperlink>
    </w:p>
    <w:p>
      <w:pPr>
        <w:spacing w:before="0" w:after="120" w:line="240" w:lineRule="auto"/>
      </w:pPr>
      <w:r>
        <w:rPr>
          <w:b/>
        </w:rPr>
        <w:t xml:space="preserve">Source: </w:t>
      </w:r>
      <w:r>
        <w:t>Nature Electronics</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As silicon reaches its scaling limits, two-dimensional materials are a promising route for further transistor miniaturization. Advances in contact engineering, channel length (LCH) scaling and high-κ dielectric integration have led to impressive two-dimensional transistor performance, but challenges remain, including high off-state leakage currents due to negative threshold voltage values and high contact resistances as contact length (LC) is reduced. A monolayer-centric approach has also limited the exploration of the advantages that few-layer (two to three) materials may offer. Here we show that industry-compatible metal–organic chemical vapour deposition can be used to grow wafer-scale molybdenum disulfide (MoS2) and fabricate transistors with LCH and LC scaled to 35 nm and 30 nm, respectively. We integrate a high-κ gate dielectric with an equivalent oxide thickness of less than 2.5 nm and create monolayer, bilayer and trilayer MoS2 transistors. The scaled trilayer transistors exhibit an on-state current of 220 µA µm−1, a positive threshold voltage and off-state current below 10 pA µm−1 at zero gate bias. Trilayer MoS2 transistors show enhanced performance compared with monolayer devices at scaled LC due to a shorter transfer length and lower Schottky barrier height. To illustrate the reliability and reproducibility of the approach, we provide statistics for approximately 1,000 scaled devices.</w:t>
      </w:r>
    </w:p>
    <w:p>
      <w:pPr>
        <w:spacing w:before="120" w:after="120"/>
      </w:pPr>
      <w:r>
        <w:rPr>
          <w:sz w:val="18"/>
        </w:rPr>
        <w:t>——————————————————————————————————————————————————————————————————————</w:t>
      </w:r>
    </w:p>
    <w:p>
      <w:pPr>
        <w:spacing w:before="160" w:after="80" w:line="240" w:lineRule="auto"/>
      </w:pPr>
      <w:r>
        <w:rPr>
          <w:b/>
        </w:rPr>
        <w:t xml:space="preserve">[339] </w:t>
      </w:r>
      <w:hyperlink r:id="rId540">
        <w:r>
          <w:rPr>
            <w:color w:val="1155CC"/>
            <w:u w:val="single"/>
          </w:rPr>
          <w:t>Author Correction: Neuroimmune cardiovascular interfaces control atherosclerosis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[340] </w:t>
      </w:r>
      <w:hyperlink r:id="rId541">
        <w:r>
          <w:rPr>
            <w:color w:val="1155CC"/>
            <w:u w:val="single"/>
          </w:rPr>
          <w:t>Mazdutide versus dulaglutide in Chinese adults with type 2 diabetes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Mazdutide is a once-weekly glucagon and glucagon-like peptide-1 receptor dual agonist developed for the treatment of type 2 diabetes (T2D) 1. This study assessed the efficacy and safety of mazdutide versus dulaglutide in participants with T2D on background oral anti-diabetic drugs. In this randomised phase 3 study, 731 participants with T2D were randomised 1:1:1 to receive mazdutide 4 mg, mazdutide 6 mg or dulaglutide 1.5 mg for 28 weeks. Both mazdutide doses demonstrated non-inferiority and superiority to dulaglutide 1.5 mg in mean change in HbA1c from baseline to week 28, with the least squares (LS) mean treatment difference of −0.24% (p=0.0032) for mazdutide 4 mg and −0.30% (p=0.0003) for mazdutide 6 mg vs dulaglutide 1.5 mg. Significantly greater weight reductions were achieved with mazdutide versus dulaglutide, with LS mean treatment difference of −3.78% for mazdutide 4 mg and −5.76% for mazdutide 6 mg vs dulaglutide (both p1c p1c and body weight compared with dulaglutide 1.5 mg in Chinese participants with T2D. Mazdutide was generally safe, with a higher incidence of gastrointestinal adverse events than dulaglutide.</w:t>
      </w:r>
    </w:p>
    <w:p>
      <w:pPr>
        <w:spacing w:before="120" w:after="120"/>
      </w:pPr>
      <w:r>
        <w:rPr>
          <w:sz w:val="18"/>
        </w:rPr>
        <w:t>——————————————————————————————————————————————————————————————————————</w:t>
      </w:r>
    </w:p>
    <w:p>
      <w:pPr>
        <w:spacing w:before="160" w:after="80" w:line="240" w:lineRule="auto"/>
      </w:pPr>
      <w:r>
        <w:rPr>
          <w:b/>
        </w:rPr>
        <w:t xml:space="preserve">[341] </w:t>
      </w:r>
      <w:hyperlink r:id="rId542">
        <w:r>
          <w:rPr>
            <w:color w:val="1155CC"/>
            <w:u w:val="single"/>
          </w:rPr>
          <w:t>Allocation equality of battery replacement subsidy for electric buses: Evidence from provinces and cities in China</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[342] </w:t>
      </w:r>
      <w:hyperlink r:id="rId543">
        <w:r>
          <w:rPr>
            <w:color w:val="1155CC"/>
            <w:u w:val="single"/>
          </w:rPr>
          <w:t>Mazdutide versus placebo in Chinese adults with type 2 diabetes</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Despite advances in type 2 diabetes (T2D) management, unmet needs remain for therapies that effectively control hyperglycaemia while addressing the comorbid metabolic disorders1, 2. Here we assessed the efficacy and safety of the dual glucagon receptor (GCGR)/glucagon-like peptide-1 receptor (GLP-1R) agonist mazdutide monotherapy versus placebo in Chinese adults with T2D inadequately controlled with diet and exercise alone. In this phase 3 trial, 320 participants (mean HbA1c of 8.24%, BMI of 28.2 kg/m2, and diabetes duration of 1.9 years) were randomised 1:1:1 to receive weekly subcutaneous injections of mazdutide 4 mg, 6 mg, or placebo for 24 weeks, followed by a 24-week extended mazdutide treatment. At week 24, mazdutide significantly reduced HbA1c versus placebo (primary endpoint): -1.57% with mazdutide 4 mg and -2.15% with mazdutide 6 mg, versus -0.14% with placebo, with treatment differences of -1.43% and -2.02% (both p p1c target (1c p</w:t>
      </w:r>
    </w:p>
    <w:p>
      <w:pPr>
        <w:spacing w:before="120" w:after="120"/>
      </w:pPr>
      <w:r>
        <w:rPr>
          <w:sz w:val="18"/>
        </w:rPr>
        <w:t>——————————————————————————————————————————————————————————————————————</w:t>
      </w:r>
    </w:p>
    <w:p>
      <w:pPr>
        <w:spacing w:before="160" w:after="80" w:line="240" w:lineRule="auto"/>
      </w:pPr>
      <w:r>
        <w:rPr>
          <w:b/>
        </w:rPr>
        <w:t xml:space="preserve">[343] </w:t>
      </w:r>
      <w:hyperlink r:id="rId544">
        <w:r>
          <w:rPr>
            <w:color w:val="1155CC"/>
            <w:u w:val="single"/>
          </w:rPr>
          <w:t>Genes don’t explain what made humans different</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[344] </w:t>
      </w:r>
      <w:hyperlink r:id="rId545">
        <w:r>
          <w:rPr>
            <w:color w:val="1155CC"/>
            <w:u w:val="single"/>
          </w:rPr>
          <w:t>Public-private partnership in energy investment and inclusive growth</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[345] </w:t>
      </w:r>
      <w:hyperlink r:id="rId546">
        <w:r>
          <w:rPr>
            <w:color w:val="1155CC"/>
            <w:u w:val="single"/>
          </w:rPr>
          <w:t>Lesion-remote astrocytes govern microglia-mediated white matter repair</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Spared regions of the damaged central nervous system undergo dynamic remodelling and exhibit a remarkable potential for therapeutic exploitation1. Lesion-remote astrocytes (LRAs), which interact with viable neurons and glia, undergo reactive transformations whose molecular and functional properties are poorly understood2. Here, using multiple transcriptional profiling methods, we investigated LRAs from spared regions of mouse spinal cord following traumatic spinal cord injury. We show that LRAs acquire a spectrum of molecularly distinct, neuroanatomically restricted reactivity states that evolve after spinal cord injury. We identify transcriptionally unique reactive LRAs in degenerating white matter that direct the specification and function of local microglia that clear lipid-rich myelin debris to promote tissue repair. Fuelling this LRA functional adaptation is the secreted matricellular protein CCN1. Loss of astrocyte-derived CCN1 results in excessive, aberrant activation of local microglia, characterized by abnormal molecular specification, impaired debris processing reflected by the intracellular accumulation of myelin and axon debris, and dysregulated lipid metabolism with distinctive attenuation in lipid droplet accumulation. Mechanistically, we find that CCN1 binds microglial SDC4 to augment lipid storage, linking this signalling axis to a vital repair-associated lipid buffering response in debris-clearing microglia. Accordingly, microglial deficits resulting from astrocyte CCN1 depletion culminate in blunted clearance of white matter debris and impaired neurological recovery from spinal cord injury. Ccn1-expressing white matter astrocytes are induced by local myelin damage and are generated in diverse demyelinating disorders in mice and humans, pointing to their fundamental, evolutionarily conserved role in white matter repair. Our findings show that context-specific cues shape regionally distinct LRA reactivity states with functional adaptations that orchestrate multicellular processes underlying neural repair and influence disease outcome.</w:t>
      </w:r>
    </w:p>
    <w:p>
      <w:pPr>
        <w:spacing w:before="120" w:after="120"/>
      </w:pPr>
      <w:r>
        <w:rPr>
          <w:sz w:val="18"/>
        </w:rPr>
        <w:t>——————————————————————————————————————————————————————————————————————</w:t>
      </w:r>
    </w:p>
    <w:p>
      <w:pPr>
        <w:spacing w:before="160" w:after="80" w:line="240" w:lineRule="auto"/>
      </w:pPr>
      <w:r>
        <w:rPr>
          <w:b/>
        </w:rPr>
        <w:t xml:space="preserve">[346] </w:t>
      </w:r>
      <w:hyperlink r:id="rId547">
        <w:r>
          <w:rPr>
            <w:color w:val="1155CC"/>
            <w:u w:val="single"/>
          </w:rPr>
          <w:t>Human assembloids recapitulate periportal liver tissue in vitro</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development of complex multicellular human in vitro systems holds great promise for modelling disease and advancing drug discovery and tissue engineering1. In the liver, despite the identification of key signalling pathways involved in hepatic regeneration2,3, in vitro expansion of human hepatocytes directly from fresh patient tissue has not yet been achieved, limiting the possibility of modelling liver composite structures in vitro. Here we first developed human hepatocyte organoids (h-HepOrgs) from 28 different patients. Patient-derived hepatocyte organoids sustained long-term expansion of hepatocytes in vitro and maintained patient-specific gene expression and bile canaliculus features and function of the in vivo tissue. After transplantation, expanded h-HepOrgs rescued the phenotype of a mouse model of liver disease. By combining h-HepOrgs with portal mesenchyme and our previously published cholangiocyte organoids4,5,6, we generated patient-specific periportal liver assembloids that retain the histological arrangement, gene expression and cell interactions of periportal liver tissue, with cholangiocytes and mesenchyme embedded in the hepatocyte parenchyma. We leveraged this platform to model aspects of biliary fibrosis. Our human periportal liver assembloid system represents a novel in vitro platform to investigate human liver pathophysiology, accelerate drug development, enable early diagnosis and advance personalized medicine.</w:t>
      </w:r>
    </w:p>
    <w:p>
      <w:pPr>
        <w:spacing w:before="120" w:after="120"/>
      </w:pPr>
      <w:r>
        <w:rPr>
          <w:sz w:val="18"/>
        </w:rPr>
        <w:t>——————————————————————————————————————————————————————————————————————</w:t>
      </w:r>
    </w:p>
    <w:p>
      <w:pPr>
        <w:spacing w:before="160" w:after="80" w:line="240" w:lineRule="auto"/>
      </w:pPr>
      <w:r>
        <w:rPr>
          <w:b/>
        </w:rPr>
        <w:t xml:space="preserve">[347] </w:t>
      </w:r>
      <w:hyperlink r:id="rId548">
        <w:r>
          <w:rPr>
            <w:color w:val="1155CC"/>
            <w:u w:val="single"/>
          </w:rPr>
          <w:t>Low-carbon and QoS-aware operation of data centers by AI task splitting and allocation</w:t>
        </w:r>
      </w:hyperlink>
    </w:p>
    <w:p>
      <w:pPr>
        <w:spacing w:before="0" w:after="120" w:line="240" w:lineRule="auto"/>
      </w:pPr>
      <w:r>
        <w:rPr>
          <w:b/>
        </w:rPr>
        <w:t xml:space="preserve">Source: </w:t>
      </w:r>
      <w:r>
        <w:t>ScienceDirect Publication: Applied Energy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[348] </w:t>
      </w:r>
      <w:hyperlink r:id="rId549">
        <w:r>
          <w:rPr>
            <w:color w:val="1155CC"/>
            <w:u w:val="single"/>
          </w:rPr>
          <w:t>An integrated view of the structure and function of the human 4D nucleome</w:t>
        </w:r>
      </w:hyperlink>
    </w:p>
    <w:p>
      <w:pPr>
        <w:spacing w:before="0" w:after="120" w:line="240" w:lineRule="auto"/>
      </w:pPr>
      <w:r>
        <w:rPr>
          <w:b/>
        </w:rPr>
        <w:t xml:space="preserve">Source: </w:t>
      </w:r>
      <w:r>
        <w:t>Nature</w:t>
      </w:r>
      <w:r>
        <w:t xml:space="preserve">    </w:t>
      </w:r>
      <w:r>
        <w:rPr>
          <w:b/>
        </w:rPr>
        <w:t xml:space="preserve">Pub date: </w:t>
      </w:r>
      <w:r>
        <w:t>2025-12-17 00:00:00+00:00</w:t>
      </w:r>
    </w:p>
    <w:p>
      <w:pPr>
        <w:spacing w:before="0" w:after="120"/>
      </w:pPr>
      <w:r>
        <w:rPr>
          <w:b/>
        </w:rPr>
        <w:t xml:space="preserve">Notes: </w:t>
      </w:r>
      <w:r>
        <w:t>abstract_source=nature_html</w:t>
      </w:r>
    </w:p>
    <w:p>
      <w:pPr>
        <w:spacing w:before="0" w:after="200" w:lineRule="auto" w:line="276"/>
      </w:pPr>
      <w:r>
        <w:rPr>
          <w:b/>
        </w:rPr>
        <w:t xml:space="preserve">Abstract: </w:t>
      </w:r>
      <w:r>
        <w:t>The dynamic three-dimensional (3D) organization of the human genome (the 4D nucleome) is linked to genome function. Here we describe efforts by the 4D Nucleome Project1 to map and analyse the 4D nucleome in widely used H1 human embryonic stem cells and immortalized fibroblasts (HFFc6). We produced and integrated diverse genomic datasets of the 4D nucleome, each contributing unique observations, which enabled us to assemble extensive catalogues of more than 140,000 looping interactions per cell type, to generate detailed classifications and annotations of chromosomal domain types and their subnuclear positions, and to obtain single-cell 3D models of the nuclear environment of all genes including their long-range interactions with distal elements. Through extensive benchmarking, we describe the unique strengths of different genomic assays for studying the 4D nucleome, providing guidelines for future studies. Three-dimensional models of population-based and individual cell-to-cell variation in genome structure showed connections between chromosome folding, nuclear organization, chromatin looping, gene transcription and DNA replication. Finally, we demonstrate the use of computational methods to predict genome folding from DNA sequence, which will facilitate the discovery of potential effects of genetic variants, including variants associated with disease, on genome structure and function.</w:t>
      </w:r>
    </w:p>
    <w:p>
      <w:pPr>
        <w:spacing w:before="120" w:after="120"/>
      </w:pPr>
      <w:r>
        <w:rPr>
          <w:sz w:val="18"/>
        </w:rPr>
        <w:t>——————————————————————————————————————————————————————————————————————</w:t>
      </w:r>
    </w:p>
    <w:p>
      <w:pPr>
        <w:spacing w:before="160" w:after="80" w:line="240" w:lineRule="auto"/>
      </w:pPr>
      <w:r>
        <w:rPr>
          <w:b/>
        </w:rPr>
        <w:t xml:space="preserve">[349] </w:t>
      </w:r>
      <w:hyperlink r:id="rId550">
        <w:r>
          <w:rPr>
            <w:color w:val="1155CC"/>
            <w:u w:val="single"/>
          </w:rPr>
          <w:t>Provincial employment effects of coal mine retirement in China's carbon-neutral transition</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[350] </w:t>
      </w:r>
      <w:hyperlink r:id="rId551">
        <w:r>
          <w:rPr>
            <w:color w:val="1155CC"/>
            <w:u w:val="single"/>
          </w:rPr>
          <w:t>Institutional reform over technical fixes: The energy waste severity index for tackling persistent inefficiency and advancing SDG 7</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[351] </w:t>
      </w:r>
      <w:hyperlink r:id="rId552">
        <w:r>
          <w:rPr>
            <w:color w:val="1155CC"/>
            <w:u w:val="single"/>
          </w:rPr>
          <w:t>Optimism, pessimism, and chaos worldwide: A comparative study of energy management performance with robust benchmarking methods</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[352] </w:t>
      </w:r>
      <w:hyperlink r:id="rId553">
        <w:r>
          <w:rPr>
            <w:color w:val="1155CC"/>
            <w:u w:val="single"/>
          </w:rPr>
          <w:t>The marketization of green electricity trading and investment decisions of new energy enterprises</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[353] </w:t>
      </w:r>
      <w:hyperlink r:id="rId554">
        <w:r>
          <w:rPr>
            <w:color w:val="1155CC"/>
            <w:u w:val="single"/>
          </w:rPr>
          <w:t>The impacts of Carbon Border Adjustment Mechanism (CBAM) on international trade and policy responses: from an economic and environmental equity perspective</w:t>
        </w:r>
      </w:hyperlink>
    </w:p>
    <w:p>
      <w:pPr>
        <w:spacing w:before="0" w:after="120" w:line="240" w:lineRule="auto"/>
      </w:pPr>
      <w:r>
        <w:rPr>
          <w:b/>
        </w:rPr>
        <w:t xml:space="preserve">Source: </w:t>
      </w:r>
      <w:r>
        <w:t>ScienceDirect Publication: Energy Policy</w:t>
      </w:r>
      <w:r>
        <w:t xml:space="preserve">    </w:t>
      </w:r>
      <w:r>
        <w:rPr>
          <w:b/>
        </w:rPr>
        <w:t xml:space="preserve">Pub date: </w:t>
      </w:r>
      <w:r>
        <w:t>2025-12-17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[354] </w:t>
      </w:r>
      <w:hyperlink r:id="rId555">
        <w:r>
          <w:rPr>
            <w:color w:val="1155CC"/>
            <w:u w:val="single"/>
          </w:rPr>
          <w:t>Switchable Reactivities of Metalated Phosphasilenes Regulated by Reversible 1,2‐Metal Migration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00:43:51+00:00</w:t>
      </w:r>
      <w:r>
        <w:t xml:space="preserve">    </w:t>
      </w:r>
      <w:r>
        <w:rPr>
          <w:b/>
        </w:rPr>
        <w:t xml:space="preserve">DOI: </w:t>
      </w:r>
      <w:hyperlink r:id="rId556">
        <w:r>
          <w:rPr>
            <w:color w:val="1155CC"/>
            <w:u w:val="single"/>
          </w:rPr>
          <w:t>10.1002/anie.202518102</w:t>
        </w:r>
      </w:hyperlink>
    </w:p>
    <w:p>
      <w:pPr>
        <w:spacing w:before="0" w:after="120"/>
      </w:pPr>
      <w:r>
        <w:rPr>
          <w:b/>
        </w:rPr>
        <w:t xml:space="preserve">Notes: </w:t>
      </w:r>
      <w:r>
        <w:t>abstract_source=crossref</w:t>
      </w:r>
    </w:p>
    <w:p>
      <w:pPr>
        <w:spacing w:before="0" w:after="200" w:lineRule="auto" w:line="276"/>
      </w:pPr>
      <w:r>
        <w:rPr>
          <w:b/>
        </w:rPr>
        <w:t xml:space="preserve">Abstract: </w:t>
      </w:r>
      <w:r>
        <w:t>Anionic reagents with silicon‐containing double bonds, M(R)Si═ER</w:t>
      </w:r>
      <w:r>
        <w:t xml:space="preserve"> </w:t>
      </w:r>
      <w:r>
        <w:t>n</w:t>
      </w:r>
      <w:r>
        <w:t xml:space="preserve"> </w:t>
      </w:r>
      <w:r>
        <w:t>(E = main group elements), have garnered significant interest owing to their unique metal‐mediated reactivity and their potential in transferring the Si═E unit. Within this domain, the intriguing field of</w:t>
      </w:r>
      <w:r>
        <w:t xml:space="preserve"> </w:t>
      </w:r>
      <w:r>
        <w:t>Si</w:t>
      </w:r>
      <w:r>
        <w:t xml:space="preserve"> </w:t>
      </w:r>
      <w:r>
        <w:t>‐metalated phosphasilenes remains uncharted. Herein, we present a novel strategy for the efficient synthesis of</w:t>
      </w:r>
      <w:r>
        <w:t xml:space="preserve"> </w:t>
      </w:r>
      <w:r>
        <w:t>P</w:t>
      </w:r>
      <w:r>
        <w:t xml:space="preserve"> </w:t>
      </w:r>
      <w:r>
        <w:t>‐metalated phosphasilenes and their subsequent transformation into</w:t>
      </w:r>
      <w:r>
        <w:t xml:space="preserve"> </w:t>
      </w:r>
      <w:r>
        <w:t>Si</w:t>
      </w:r>
      <w:r>
        <w:t xml:space="preserve"> </w:t>
      </w:r>
      <w:r>
        <w:t>‐metalated phosphasilenes via a distinctive phosphinosilylene intermediate formed during a metal‐mediated skeletal rearrangement. While</w:t>
      </w:r>
      <w:r>
        <w:t xml:space="preserve"> </w:t>
      </w:r>
      <w:r>
        <w:t>P</w:t>
      </w:r>
      <w:r>
        <w:t xml:space="preserve"> </w:t>
      </w:r>
      <w:r>
        <w:t>‐metalated phosphasilenes exhibit a pronounced π‐bonding character in the Si═P linkage, the skeletal rearrangement attenuates both the Si═P and Si─M bonds in the resulting</w:t>
      </w:r>
      <w:r>
        <w:t xml:space="preserve"> </w:t>
      </w:r>
      <w:r>
        <w:t>Si</w:t>
      </w:r>
      <w:r>
        <w:t xml:space="preserve"> </w:t>
      </w:r>
      <w:r>
        <w:t>‐metalated phosphasilenes, rendering them effective silylene equivalents. Moreover, formal transmetallation of</w:t>
      </w:r>
      <w:r>
        <w:t xml:space="preserve"> </w:t>
      </w:r>
      <w:r>
        <w:t>Si</w:t>
      </w:r>
      <w:r>
        <w:t xml:space="preserve"> </w:t>
      </w:r>
      <w:r>
        <w:t>‐metalated phosphasilene with dimetal carbonyl complexes provides access to a broader array of</w:t>
      </w:r>
      <w:r>
        <w:t xml:space="preserve"> </w:t>
      </w:r>
      <w:r>
        <w:t>Si</w:t>
      </w:r>
      <w:r>
        <w:t xml:space="preserve"> </w:t>
      </w:r>
      <w:r>
        <w:t>‐metalated analogues. This transmetallation proceeds through the phosphinosilylene intermediate, as evidenced by the isolation of a silylene–dimanganese complex, thereby revealing an uncharted mechanistic manifold for this class of transformations.</w:t>
      </w:r>
    </w:p>
    <w:p>
      <w:pPr>
        <w:spacing w:before="120" w:after="120"/>
      </w:pPr>
      <w:r>
        <w:rPr>
          <w:sz w:val="18"/>
        </w:rPr>
        <w:t>——————————————————————————————————————————————————————————————————————</w:t>
      </w:r>
    </w:p>
    <w:p>
      <w:pPr>
        <w:spacing w:before="160" w:after="80" w:line="240" w:lineRule="auto"/>
      </w:pPr>
      <w:r>
        <w:rPr>
          <w:b/>
        </w:rPr>
        <w:t xml:space="preserve">[355] </w:t>
      </w:r>
      <w:hyperlink r:id="rId557">
        <w:r>
          <w:rPr>
            <w:color w:val="1155CC"/>
            <w:u w:val="single"/>
          </w:rPr>
          <w:t>Why have so many different eyes evolved? Gamelike simulation could provide answers</w:t>
        </w:r>
      </w:hyperlink>
    </w:p>
    <w:p>
      <w:pPr>
        <w:spacing w:before="0" w:after="120" w:line="240" w:lineRule="auto"/>
      </w:pPr>
      <w:r>
        <w:rPr>
          <w:b/>
        </w:rPr>
        <w:t xml:space="preserve">Source: </w:t>
      </w:r>
      <w:r>
        <w:t>Latest News from Science Magazine</w:t>
      </w:r>
      <w:r>
        <w:t xml:space="preserve">    </w:t>
      </w:r>
      <w:r>
        <w:rPr>
          <w:b/>
        </w:rPr>
        <w:t xml:space="preserve">Pub date: </w:t>
      </w:r>
      <w:r>
        <w:t>2025-12-17 02:00:00+00:00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[356] </w:t>
      </w:r>
      <w:hyperlink r:id="rId558">
        <w:r>
          <w:rPr>
            <w:color w:val="1155CC"/>
            <w:u w:val="single"/>
          </w:rPr>
          <w:t>Ancient tectonic plates are oozing along Earth’s core</w:t>
        </w:r>
      </w:hyperlink>
    </w:p>
    <w:p>
      <w:pPr>
        <w:spacing w:before="0" w:after="120" w:line="240" w:lineRule="auto"/>
      </w:pPr>
      <w:r>
        <w:rPr>
          <w:b/>
        </w:rPr>
        <w:t xml:space="preserve">Source: </w:t>
      </w:r>
      <w:r>
        <w:t>Latest News from Science Magazine</w:t>
      </w:r>
      <w:r>
        <w:t xml:space="preserve">    </w:t>
      </w:r>
      <w:r>
        <w:rPr>
          <w:b/>
        </w:rPr>
        <w:t xml:space="preserve">Pub date: </w:t>
      </w:r>
      <w:r>
        <w:t>2025-12-17 03:45:00+00:00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[357] </w:t>
      </w:r>
      <w:hyperlink r:id="rId559">
        <w:r>
          <w:rPr>
            <w:color w:val="1155CC"/>
            <w:u w:val="single"/>
          </w:rPr>
          <w:t>New NASA administrator takes over after a year of scientific loss—and survival</w:t>
        </w:r>
      </w:hyperlink>
    </w:p>
    <w:p>
      <w:pPr>
        <w:spacing w:before="0" w:after="120" w:line="240" w:lineRule="auto"/>
      </w:pPr>
      <w:r>
        <w:rPr>
          <w:b/>
        </w:rPr>
        <w:t xml:space="preserve">Source: </w:t>
      </w:r>
      <w:r>
        <w:t>Latest News from Science Magazine</w:t>
      </w:r>
      <w:r>
        <w:t xml:space="preserve">    </w:t>
      </w:r>
      <w:r>
        <w:rPr>
          <w:b/>
        </w:rPr>
        <w:t xml:space="preserve">Pub date: </w:t>
      </w:r>
      <w:r>
        <w:t>2025-12-17 04:10:00+00:00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[358] </w:t>
      </w:r>
      <w:hyperlink r:id="rId560">
        <w:r>
          <w:rPr>
            <w:color w:val="1155CC"/>
            <w:u w:val="single"/>
          </w:rPr>
          <w:t>Misconduct sleuth wins $2.63 million from major cancer institute in $15 million settlement</w:t>
        </w:r>
      </w:hyperlink>
    </w:p>
    <w:p>
      <w:pPr>
        <w:spacing w:before="0" w:after="120" w:line="240" w:lineRule="auto"/>
      </w:pPr>
      <w:r>
        <w:rPr>
          <w:b/>
        </w:rPr>
        <w:t xml:space="preserve">Source: </w:t>
      </w:r>
      <w:r>
        <w:t>Latest News from Science Magazine</w:t>
      </w:r>
      <w:r>
        <w:t xml:space="preserve">    </w:t>
      </w:r>
      <w:r>
        <w:rPr>
          <w:b/>
        </w:rPr>
        <w:t xml:space="preserve">Pub date: </w:t>
      </w:r>
      <w:r>
        <w:t>2025-12-17 05:00:00+00:00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[359] </w:t>
      </w:r>
      <w:hyperlink r:id="rId561">
        <w:r>
          <w:rPr>
            <w:color w:val="1155CC"/>
            <w:u w:val="single"/>
          </w:rPr>
          <w:t>Trump administration moves to break up leading U.S. climate and weather center</w:t>
        </w:r>
      </w:hyperlink>
    </w:p>
    <w:p>
      <w:pPr>
        <w:spacing w:before="0" w:after="120" w:line="240" w:lineRule="auto"/>
      </w:pPr>
      <w:r>
        <w:rPr>
          <w:b/>
        </w:rPr>
        <w:t xml:space="preserve">Source: </w:t>
      </w:r>
      <w:r>
        <w:t>Latest News from Science Magazine</w:t>
      </w:r>
      <w:r>
        <w:t xml:space="preserve">    </w:t>
      </w:r>
      <w:r>
        <w:rPr>
          <w:b/>
        </w:rPr>
        <w:t xml:space="preserve">Pub date: </w:t>
      </w:r>
      <w:r>
        <w:t>2025-12-17 05:45:00+00:00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[360] </w:t>
      </w:r>
      <w:hyperlink r:id="rId562">
        <w:r>
          <w:rPr>
            <w:color w:val="1155CC"/>
            <w:u w:val="single"/>
          </w:rPr>
          <w:t>Aromatic Pentaamide Macrocycles as High‐Affinity Sulfate Binders and Efficient Transporters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06:04:06+00:00</w:t>
      </w:r>
      <w:r>
        <w:t xml:space="preserve">    </w:t>
      </w:r>
      <w:r>
        <w:rPr>
          <w:b/>
        </w:rPr>
        <w:t xml:space="preserve">DOI: </w:t>
      </w:r>
      <w:hyperlink r:id="rId563">
        <w:r>
          <w:rPr>
            <w:color w:val="1155CC"/>
            <w:u w:val="single"/>
          </w:rPr>
          <w:t>10.1002/anie.202523430</w:t>
        </w:r>
      </w:hyperlink>
    </w:p>
    <w:p>
      <w:pPr>
        <w:spacing w:before="0" w:after="120"/>
      </w:pPr>
      <w:r>
        <w:rPr>
          <w:b/>
        </w:rPr>
        <w:t xml:space="preserve">Notes: </w:t>
      </w:r>
      <w:r>
        <w:t>abstract_source=crossref</w:t>
      </w:r>
    </w:p>
    <w:p>
      <w:pPr>
        <w:spacing w:before="0" w:after="200" w:lineRule="auto" w:line="276"/>
      </w:pPr>
      <w:r>
        <w:rPr>
          <w:b/>
        </w:rPr>
        <w:t xml:space="preserve">Abstract: </w:t>
      </w:r>
      <w:r>
        <w:t>The binding and transport of the highly hydrophilic sulfate ion pose a significant challenge. Receptors capable of both strong sulfate binding and efficient transport are rare. Macrocycles</w:t>
      </w:r>
      <w:r>
        <w:t xml:space="preserve"> </w:t>
      </w:r>
      <w:r>
        <w:t>c5</w:t>
      </w:r>
      <w:r>
        <w:t xml:space="preserve"> </w:t>
      </w:r>
      <w:r>
        <w:t>, featuring a constrained aromatic amide backbone that convergently locks multiple amide NH and phenyl NH donors, along with five large amide dipoles, create a preorganized, electropositive cavity that binds sulfate in a 1:1 stoichiometry, with affinities (</w:t>
      </w:r>
      <w:r>
        <w:t xml:space="preserve"> </w:t>
      </w:r>
      <w:r>
        <w:t>K</w:t>
      </w:r>
      <w:r>
        <w:t xml:space="preserve"> </w:t>
      </w:r>
      <w:r>
        <w:t>a</w:t>
      </w:r>
      <w:r>
        <w:t xml:space="preserve"> </w:t>
      </w:r>
      <w:r>
        <w:t>’s) from 10</w:t>
      </w:r>
      <w:r>
        <w:rPr>
          <w:vertAlign w:val="subscript"/>
        </w:rPr>
        <w:t>8</w:t>
      </w:r>
      <w:r>
        <w:t>to 10</w:t>
      </w:r>
      <w:r>
        <w:rPr>
          <w:vertAlign w:val="subscript"/>
        </w:rPr>
        <w:t>13</w:t>
      </w:r>
      <w:r>
        <w:t>M</w:t>
      </w:r>
      <w:r>
        <w:t xml:space="preserve"> </w:t>
      </w:r>
      <w:r>
        <w:t>−1</w:t>
      </w:r>
      <w:r>
        <w:t xml:space="preserve"> </w:t>
      </w:r>
      <w:r>
        <w:t>in solvents of low to high polarity. The water‐soluble</w:t>
      </w:r>
      <w:r>
        <w:t xml:space="preserve"> </w:t>
      </w:r>
      <w:r>
        <w:t>c5c</w:t>
      </w:r>
      <w:r>
        <w:t xml:space="preserve"> </w:t>
      </w:r>
      <w:r>
        <w:t>binds sulfate, forming a 4:1 complex in aqueous solution. Macrocycles</w:t>
      </w:r>
      <w:r>
        <w:t xml:space="preserve"> </w:t>
      </w:r>
      <w:r>
        <w:t>c5a</w:t>
      </w:r>
      <w:r>
        <w:t xml:space="preserve"> </w:t>
      </w:r>
      <w:r>
        <w:t>and</w:t>
      </w:r>
      <w:r>
        <w:t xml:space="preserve"> </w:t>
      </w:r>
      <w:r>
        <w:t>c5b</w:t>
      </w:r>
      <w:r>
        <w:t xml:space="preserve"> </w:t>
      </w:r>
      <w:r>
        <w:t>with hydrophobic sidechains serve as carriers that mediate efficient sulfate transport across both a bulk chloroform phase and lipid bilayers. With their synthetic tunability, macrocycles</w:t>
      </w:r>
      <w:r>
        <w:t xml:space="preserve"> </w:t>
      </w:r>
      <w:r>
        <w:t>c5</w:t>
      </w:r>
      <w:r>
        <w:t xml:space="preserve"> </w:t>
      </w:r>
      <w:r>
        <w:t>can be tailored to media of different properties, yielding effective sulfate binders and carriers with broad applicability.</w:t>
      </w:r>
    </w:p>
    <w:p>
      <w:pPr>
        <w:spacing w:before="120" w:after="120"/>
      </w:pPr>
      <w:r>
        <w:rPr>
          <w:sz w:val="18"/>
        </w:rPr>
        <w:t>——————————————————————————————————————————————————————————————————————</w:t>
      </w:r>
    </w:p>
    <w:p>
      <w:pPr>
        <w:spacing w:before="160" w:after="80" w:line="240" w:lineRule="auto"/>
      </w:pPr>
      <w:r>
        <w:rPr>
          <w:b/>
        </w:rPr>
        <w:t xml:space="preserve">[361] </w:t>
      </w:r>
      <w:hyperlink r:id="rId564">
        <w:r>
          <w:rPr>
            <w:color w:val="1155CC"/>
            <w:u w:val="single"/>
          </w:rPr>
          <w:t>Thermal Runaway Mechanisms and Mitigation Strategies of Silicon‐Based Anode in Lithium‐Ion Batteries: A Review</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2025-12-17 07:00:42+00:00</w:t>
      </w:r>
      <w:r>
        <w:t xml:space="preserve">    </w:t>
      </w:r>
      <w:r>
        <w:rPr>
          <w:b/>
        </w:rPr>
        <w:t xml:space="preserve">DOI: </w:t>
      </w:r>
      <w:hyperlink r:id="rId565">
        <w:r>
          <w:rPr>
            <w:color w:val="1155CC"/>
            <w:u w:val="single"/>
          </w:rPr>
          <w:t>10.1002/aenm.202505793</w:t>
        </w:r>
      </w:hyperlink>
    </w:p>
    <w:p>
      <w:pPr>
        <w:spacing w:before="0" w:after="120"/>
      </w:pPr>
      <w:r>
        <w:rPr>
          <w:b/>
        </w:rPr>
        <w:t xml:space="preserve">Notes: </w:t>
      </w:r>
      <w:r>
        <w:t>abstract_source=crossref</w:t>
      </w:r>
    </w:p>
    <w:p>
      <w:pPr>
        <w:spacing w:before="0" w:after="200" w:lineRule="auto" w:line="276"/>
      </w:pPr>
      <w:r>
        <w:rPr>
          <w:b/>
        </w:rPr>
        <w:t xml:space="preserve">Abstract: </w:t>
      </w:r>
      <w:r>
        <w:t>Silicon‐based anodes offer high capacity for next‐generation lithium‐ion batteries but face potential thermal safety concerns due to insufficient understanding of thermal runaway mechanisms. This review systematically analyzes thermal runaway mechanisms and mitigation strategies in silicon anode‐based lithium‐ion batteries. Discussions are conducted based on three materials categories of nano‐silicon, micro‐silicon, and silicon‐carbon composite materials, highlighting their advantages and challenges. Thermal runaway features involved in reaction of SEI, reaction of Si/Li</w:t>
      </w:r>
      <w:r>
        <w:t xml:space="preserve"> </w:t>
      </w:r>
      <w:r>
        <w:t>x</w:t>
      </w:r>
      <w:r>
        <w:t xml:space="preserve"> </w:t>
      </w:r>
      <w:r>
        <w:t>Si, and chemical crosstalk are clearly revealed. Key mitigation strategies are summarized including interface modifications and electrolyte optimizations. The review provides a foundation for developing safe and high‐energy‐density lithium‐ion batteries.</w:t>
      </w:r>
    </w:p>
    <w:p>
      <w:pPr>
        <w:spacing w:before="120" w:after="120"/>
      </w:pPr>
      <w:r>
        <w:rPr>
          <w:sz w:val="18"/>
        </w:rPr>
        <w:t>——————————————————————————————————————————————————————————————————————</w:t>
      </w:r>
    </w:p>
    <w:p>
      <w:pPr>
        <w:spacing w:before="160" w:after="80" w:line="240" w:lineRule="auto"/>
      </w:pPr>
      <w:r>
        <w:rPr>
          <w:b/>
        </w:rPr>
        <w:t xml:space="preserve">[362] </w:t>
      </w:r>
      <w:hyperlink r:id="rId566">
        <w:r>
          <w:rPr>
            <w:color w:val="1155CC"/>
            <w:u w:val="single"/>
          </w:rPr>
          <w:t>A hydroxyl group dictates handedness, pitch, and mechanics in a crystalline covalent helical polymer</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67">
        <w:r>
          <w:rPr>
            <w:color w:val="1155CC"/>
            <w:u w:val="single"/>
          </w:rPr>
          <w:t>10.1126/sciadv.aeb5332</w:t>
        </w:r>
      </w:hyperlink>
    </w:p>
    <w:p>
      <w:pPr>
        <w:spacing w:before="0" w:after="120"/>
      </w:pPr>
      <w:r>
        <w:rPr>
          <w:b/>
        </w:rPr>
        <w:t xml:space="preserve">Notes: </w:t>
      </w:r>
      <w:r>
        <w:t>abstract_source=crossref</w:t>
      </w:r>
    </w:p>
    <w:p>
      <w:pPr>
        <w:spacing w:before="0" w:after="200" w:lineRule="auto" w:line="276"/>
      </w:pPr>
      <w:r>
        <w:rPr>
          <w:b/>
        </w:rPr>
        <w:t xml:space="preserve">Abstract: </w:t>
      </w:r>
      <w:r>
        <w:t>Helical polymers are fascinating materials, yet retaining their helicity in the solid state remains a key challenge for practical applications. Here, we present a regiospecific topochemical azide-alkyne cycloaddition for synthesizing crystalline covalent helical polymers via a single–crystal–to–single–crystal transformation. Building on our prior glycine-proline–based systems, we investigated the effect of subtle modification: introducing a hydroxyl group to the proline unit. This minor change induced a helicity reversal (left- to right-handed) and a substantial reduction in pitch (8.9 to 4.9 Å). Single-crystal x-ray diffraction revealed that this profound reordering is driven by intra- and intermolecular hydrogen bonds (C─H⋯O and O─H⋯N), acting as supramolecular bridges between helices, enabling denser packing. Consequently, the glycine-hydroxyproline–based polymer exhibited markedly enhanced mechanics, with a Young’s modulus of 18.57 ± 2.01 GPa and hardness of 1.09 ± 0.13 GPa, surpassing natural collagen. This study provides insights into controlling polymer topology and mechanics through subtle modifications, establishing a powerful paradigm for the design of next-generation helical materials with tailored functionalities.</w:t>
      </w:r>
    </w:p>
    <w:p>
      <w:pPr>
        <w:spacing w:before="120" w:after="120"/>
      </w:pPr>
      <w:r>
        <w:rPr>
          <w:sz w:val="18"/>
        </w:rPr>
        <w:t>——————————————————————————————————————————————————————————————————————</w:t>
      </w:r>
    </w:p>
    <w:p>
      <w:pPr>
        <w:spacing w:before="160" w:after="80" w:line="240" w:lineRule="auto"/>
      </w:pPr>
      <w:r>
        <w:rPr>
          <w:b/>
        </w:rPr>
        <w:t xml:space="preserve">[363] </w:t>
      </w:r>
      <w:hyperlink r:id="rId568">
        <w:r>
          <w:rPr>
            <w:color w:val="1155CC"/>
            <w:u w:val="single"/>
          </w:rPr>
          <w:t>SLFN14 functions as a P-TEFb inhibitor to modulate the transcription of HIV-1 and cellular genes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69">
        <w:r>
          <w:rPr>
            <w:color w:val="1155CC"/>
            <w:u w:val="single"/>
          </w:rPr>
          <w:t>10.1126/sciadv.adt7982</w:t>
        </w:r>
      </w:hyperlink>
    </w:p>
    <w:p>
      <w:pPr>
        <w:spacing w:before="0" w:after="120"/>
      </w:pPr>
      <w:r>
        <w:rPr>
          <w:b/>
        </w:rPr>
        <w:t xml:space="preserve">Notes: </w:t>
      </w:r>
      <w:r>
        <w:t>abstract_source=crossref</w:t>
      </w:r>
    </w:p>
    <w:p>
      <w:pPr>
        <w:spacing w:before="0" w:after="200" w:lineRule="auto" w:line="276"/>
      </w:pPr>
      <w:r>
        <w:rPr>
          <w:b/>
        </w:rPr>
        <w:t xml:space="preserve">Abstract: </w:t>
      </w:r>
      <w:r>
        <w:t>The</w:t>
      </w:r>
      <w:r>
        <w:t xml:space="preserve"> </w:t>
      </w:r>
      <w:r>
        <w:t>Schlafen</w:t>
      </w:r>
      <w:r>
        <w:t xml:space="preserve"> </w:t>
      </w:r>
      <w:r>
        <w:t>(</w:t>
      </w:r>
      <w:r>
        <w:t xml:space="preserve"> </w:t>
      </w:r>
      <w:r>
        <w:t>SLFN</w:t>
      </w:r>
      <w:r>
        <w:t xml:space="preserve"> </w:t>
      </w:r>
      <w:r>
        <w:t>) gene family encodes different growth regulatory factors known to participate in cell growth, differentiation, tumorigenesis, and the immune response against virus infection. However, the molecular mechanisms underlying their functions remain largely incomplete. In this study, we report that the SLFN family member SLFN14 has potent anti–HIV-1 activity. Specifically, SLFN14 binds to the positive transcription elongation factor b (P-TEFb), thereby preventing HIV-1 Tat-mediated recruitment of P-TEFb to the HIV-1 promoter and causing an arrest of viral transcription. Furthermore, this P-TEFb–targeted inhibiting activity also allows SLFN14 to regulate the transcription of a subset of cellular genes. Thus, our data identify SLFN14 as an inhibitor of the important transcription elongation factor P-TEFb complex, which unveils the crucial role of SLFN14 in both cellular antiviral defense and other important cellular processes that rely on the function of this complex.</w:t>
      </w:r>
    </w:p>
    <w:p>
      <w:pPr>
        <w:spacing w:before="120" w:after="120"/>
      </w:pPr>
      <w:r>
        <w:rPr>
          <w:sz w:val="18"/>
        </w:rPr>
        <w:t>——————————————————————————————————————————————————————————————————————</w:t>
      </w:r>
    </w:p>
    <w:p>
      <w:pPr>
        <w:spacing w:before="160" w:after="80" w:line="240" w:lineRule="auto"/>
      </w:pPr>
      <w:r>
        <w:rPr>
          <w:b/>
        </w:rPr>
        <w:t xml:space="preserve">[364] </w:t>
      </w:r>
      <w:hyperlink r:id="rId570">
        <w:r>
          <w:rPr>
            <w:color w:val="1155CC"/>
            <w:u w:val="single"/>
          </w:rPr>
          <w:t>GPNMB is a biomarker for lysosomal dysfunction and is secreted via LRRK2-modulated lysosomal exocytosis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71">
        <w:r>
          <w:rPr>
            <w:color w:val="1155CC"/>
            <w:u w:val="single"/>
          </w:rPr>
          <w:t>10.1126/sciadv.adv1434</w:t>
        </w:r>
      </w:hyperlink>
    </w:p>
    <w:p>
      <w:pPr>
        <w:spacing w:before="0" w:after="120"/>
      </w:pPr>
      <w:r>
        <w:rPr>
          <w:b/>
        </w:rPr>
        <w:t xml:space="preserve">Notes: </w:t>
      </w:r>
      <w:r>
        <w:t>abstract_source=crossref</w:t>
      </w:r>
    </w:p>
    <w:p>
      <w:pPr>
        <w:spacing w:before="0" w:after="200" w:lineRule="auto" w:line="276"/>
      </w:pPr>
      <w:r>
        <w:rPr>
          <w:b/>
        </w:rPr>
        <w:t xml:space="preserve">Abstract: </w:t>
      </w:r>
      <w:r>
        <w:t>Genome-wide association studies have identified</w:t>
      </w:r>
      <w:r>
        <w:t xml:space="preserve"> </w:t>
      </w:r>
      <w:r>
        <w:t>Glycoprotein Nmb</w:t>
      </w:r>
      <w:r>
        <w:t xml:space="preserve"> </w:t>
      </w:r>
      <w:r>
        <w:t>(</w:t>
      </w:r>
      <w:r>
        <w:t xml:space="preserve"> </w:t>
      </w:r>
      <w:r>
        <w:t>GPNMB</w:t>
      </w:r>
      <w:r>
        <w:t xml:space="preserve"> </w:t>
      </w:r>
      <w:r>
        <w:t>) as a risk factor for Parkinson’s disease. The risk allele increases</w:t>
      </w:r>
      <w:r>
        <w:t xml:space="preserve"> </w:t>
      </w:r>
      <w:r>
        <w:t>GPNMB</w:t>
      </w:r>
      <w:r>
        <w:t xml:space="preserve"> </w:t>
      </w:r>
      <w:r>
        <w:t>transcription and GPNMB protein levels in the CSF highlighting GPMNB as a potential biomarker for Parkinson’s disease. However, a lack of knowledge of GPNMB’s function and mechanism of secretion has hindered an interpretation of secreted GPNMB levels. In this study, we assessed the mechanism of GPNMB secretion by macrophages, the primary cell type expressing GPNMB in the brain. We show that GPNMB is secreted in response to lysosomal stress via lysosomal exocytosis and highlight the Parkinson’s disease risk factor LRRK2 as a strong modulator of GPNMB secretion.</w:t>
      </w:r>
    </w:p>
    <w:p>
      <w:pPr>
        <w:spacing w:before="120" w:after="120"/>
      </w:pPr>
      <w:r>
        <w:rPr>
          <w:sz w:val="18"/>
        </w:rPr>
        <w:t>——————————————————————————————————————————————————————————————————————</w:t>
      </w:r>
    </w:p>
    <w:p>
      <w:pPr>
        <w:spacing w:before="160" w:after="80" w:line="240" w:lineRule="auto"/>
      </w:pPr>
      <w:r>
        <w:rPr>
          <w:b/>
        </w:rPr>
        <w:t xml:space="preserve">[365] </w:t>
      </w:r>
      <w:hyperlink r:id="rId572">
        <w:r>
          <w:rPr>
            <w:color w:val="1155CC"/>
            <w:u w:val="single"/>
          </w:rPr>
          <w:t>Direct trapping of the transport-segment DNA by the central domain of type IIA topoisomerases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73">
        <w:r>
          <w:rPr>
            <w:color w:val="1155CC"/>
            <w:u w:val="single"/>
          </w:rPr>
          <w:t>10.1126/sciadv.adw2839</w:t>
        </w:r>
      </w:hyperlink>
    </w:p>
    <w:p>
      <w:pPr>
        <w:spacing w:before="0" w:after="120"/>
      </w:pPr>
      <w:r>
        <w:rPr>
          <w:b/>
        </w:rPr>
        <w:t xml:space="preserve">Notes: </w:t>
      </w:r>
      <w:r>
        <w:t>abstract_source=crossref</w:t>
      </w:r>
    </w:p>
    <w:p>
      <w:pPr>
        <w:spacing w:before="0" w:after="200" w:lineRule="auto" w:line="276"/>
      </w:pPr>
      <w:r>
        <w:rPr>
          <w:b/>
        </w:rPr>
        <w:t xml:space="preserve">Abstract: </w:t>
      </w:r>
      <w:r>
        <w:t>Type IIA topoisomerases modulate DNA topology by coordinating the cleavage of gate-segment DNA and the passage of transport-segment DNA—a mechanism conserved across species and essential for diverse cellular processes. While gate-segment interactions have been extensively studied, direct structural evidence of transport-segment capture has remained elusive, limiting our understanding of the full catalytic cycle. Here, we present a cryo–electron microscopy structure of the T4 bacteriophage topoisomerase II with a transport-segment DNA bound directly to its central domain. The structure reveals conformational rearrangements in the central domain that accommodate the transport-segment DNA, suggesting an alternative sequence of events in which the enzyme sliding along the loosely bound religated gate segment may precede transport-segment passage through the coiled-coil gate. Supported by mutational and biochemical assays, our findings provide previously unidentified mechanistic insights and open potential avenues for the development of next-generation type IIA topoisomerase inhibitors.</w:t>
      </w:r>
    </w:p>
    <w:p>
      <w:pPr>
        <w:spacing w:before="120" w:after="120"/>
      </w:pPr>
      <w:r>
        <w:rPr>
          <w:sz w:val="18"/>
        </w:rPr>
        <w:t>——————————————————————————————————————————————————————————————————————</w:t>
      </w:r>
    </w:p>
    <w:p>
      <w:pPr>
        <w:spacing w:before="160" w:after="80" w:line="240" w:lineRule="auto"/>
      </w:pPr>
      <w:r>
        <w:rPr>
          <w:b/>
        </w:rPr>
        <w:t xml:space="preserve">[366] </w:t>
      </w:r>
      <w:hyperlink r:id="rId574">
        <w:r>
          <w:rPr>
            <w:color w:val="1155CC"/>
            <w:u w:val="single"/>
          </w:rPr>
          <w:t>Clinical-grade iPSC-derived chondrogenic micropellets for treating advanced cartilage defects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75">
        <w:r>
          <w:rPr>
            <w:color w:val="1155CC"/>
            <w:u w:val="single"/>
          </w:rPr>
          <w:t>10.1126/sciadv.adw4911</w:t>
        </w:r>
      </w:hyperlink>
    </w:p>
    <w:p>
      <w:pPr>
        <w:spacing w:before="0" w:after="120"/>
      </w:pPr>
      <w:r>
        <w:rPr>
          <w:b/>
        </w:rPr>
        <w:t xml:space="preserve">Notes: </w:t>
      </w:r>
      <w:r>
        <w:t>abstract_source=crossref</w:t>
      </w:r>
    </w:p>
    <w:p>
      <w:pPr>
        <w:spacing w:before="0" w:after="200" w:lineRule="auto" w:line="276"/>
      </w:pPr>
      <w:r>
        <w:rPr>
          <w:b/>
        </w:rPr>
        <w:t xml:space="preserve">Abstract: </w:t>
      </w:r>
      <w:r>
        <w:t>Induced pluripotent stem cell (iPSC)–derived chondrogenic tissues represent a promising alternative for treating cartilage defects in chronic degenerative joint conditions such as osteoarthritis (OA). Cartilage tissue has limited self-repair capacity, and although allogeneic transplantation has potential, a less invasive delivery method could enhance the efficacy of cell-based therapies. The aim of this study was to develop iPSC-derived “minimal injectable unit” chondrogenic micropellets (MIUChons) for delivery via intra-articular injections for OA therapy. To create transplantable allogeneic cartilage tissue, we optimized good manufacturing practice or clinical-grade production of iPSC-derived injectable chondrogenic spheroids and tested them in OA animal models. MIUChons were delivered to damaged cartilage through a single injection. In vivo and in vitro analyses demonstrated that MIUChon treatment effectively reduced cartilage degeneration and deterioration. In addition, injecting MIUChons into the intra-articular cavity improved arthritis symptoms. Overall, MIUChons offer a strategy for treating cartilage deterioration via intra-articular injection in patients with OA.</w:t>
      </w:r>
    </w:p>
    <w:p>
      <w:pPr>
        <w:spacing w:before="120" w:after="120"/>
      </w:pPr>
      <w:r>
        <w:rPr>
          <w:sz w:val="18"/>
        </w:rPr>
        <w:t>——————————————————————————————————————————————————————————————————————</w:t>
      </w:r>
    </w:p>
    <w:p>
      <w:pPr>
        <w:spacing w:before="160" w:after="80" w:line="240" w:lineRule="auto"/>
      </w:pPr>
      <w:r>
        <w:rPr>
          <w:b/>
        </w:rPr>
        <w:t xml:space="preserve">[367] </w:t>
      </w:r>
      <w:hyperlink r:id="rId576">
        <w:r>
          <w:rPr>
            <w:color w:val="1155CC"/>
            <w:u w:val="single"/>
          </w:rPr>
          <w:t>Single-nucleus multiomics reveals the disrupted regulatory programs in three brain regions of sporadic early-onset Alzheimer’s disease</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77">
        <w:r>
          <w:rPr>
            <w:color w:val="1155CC"/>
            <w:u w:val="single"/>
          </w:rPr>
          <w:t>10.1126/sciadv.adw4917</w:t>
        </w:r>
      </w:hyperlink>
    </w:p>
    <w:p>
      <w:pPr>
        <w:spacing w:before="0" w:after="120"/>
      </w:pPr>
      <w:r>
        <w:rPr>
          <w:b/>
        </w:rPr>
        <w:t xml:space="preserve">Notes: </w:t>
      </w:r>
      <w:r>
        <w:t>abstract_source=crossref</w:t>
      </w:r>
    </w:p>
    <w:p>
      <w:pPr>
        <w:spacing w:before="0" w:after="200" w:lineRule="auto" w:line="276"/>
      </w:pPr>
      <w:r>
        <w:rPr>
          <w:b/>
        </w:rPr>
        <w:t xml:space="preserve">Abstract: </w:t>
      </w:r>
      <w:r>
        <w:t>Sporadic early-onset Alzheimer’s disease (sEOAD) represents a substantial but less-studied subtype of Alzheimer’s disease (AD). Here, we generated a single-nucleus multiome atlas derived from the postmortem prefrontal cortex, entorhinal cortex, and hippocampus of nine individuals with or without sEOAD. Comprehensive analyses were conducted to delineate cell type–specific transcriptomic changes and linked candidate cis</w:t>
      </w:r>
      <w:r>
        <w:t xml:space="preserve"> </w:t>
      </w:r>
      <w:r>
        <w:t>-</w:t>
      </w:r>
      <w:r>
        <w:t>regulatory elements (cCREs) across brain regions. We prioritized eight conservative transcription factors in glial cells in multiple brain regions, including RFX4 in astrocytes and IKZF1 in microglia, which are implicated in regulating sEOAD-associated genes. Moreover, we identified the top 25 altered intercellular signaling between glial cells and neurons, highlighting their regulatory potential on gene expression in receiver cells. We reported 33 cCREs linked to sEOAD-associated genes overlapped with late-onset AD risk loci, and found that, in addition, sEOAD cCREs are enriched for neuropsychiatric disorder risk variants. This atlas helps dissect transcriptional and chromatin dynamics in sEOAD, providing a key resource for AD research.</w:t>
      </w:r>
    </w:p>
    <w:p>
      <w:pPr>
        <w:spacing w:before="120" w:after="120"/>
      </w:pPr>
      <w:r>
        <w:rPr>
          <w:sz w:val="18"/>
        </w:rPr>
        <w:t>——————————————————————————————————————————————————————————————————————</w:t>
      </w:r>
    </w:p>
    <w:p>
      <w:pPr>
        <w:spacing w:before="160" w:after="80" w:line="240" w:lineRule="auto"/>
      </w:pPr>
      <w:r>
        <w:rPr>
          <w:b/>
        </w:rPr>
        <w:t xml:space="preserve">[368] </w:t>
      </w:r>
      <w:hyperlink r:id="rId578">
        <w:r>
          <w:rPr>
            <w:color w:val="1155CC"/>
            <w:u w:val="single"/>
          </w:rPr>
          <w:t>Observation of moiré plasmonic skyrmion clusters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79">
        <w:r>
          <w:rPr>
            <w:color w:val="1155CC"/>
            <w:u w:val="single"/>
          </w:rPr>
          <w:t>10.1126/sciadv.adx0478</w:t>
        </w:r>
      </w:hyperlink>
    </w:p>
    <w:p>
      <w:pPr>
        <w:spacing w:before="0" w:after="120"/>
      </w:pPr>
      <w:r>
        <w:rPr>
          <w:b/>
        </w:rPr>
        <w:t xml:space="preserve">Notes: </w:t>
      </w:r>
      <w:r>
        <w:t>abstract_source=crossref</w:t>
      </w:r>
    </w:p>
    <w:p>
      <w:pPr>
        <w:spacing w:before="0" w:after="200" w:lineRule="auto" w:line="276"/>
      </w:pPr>
      <w:r>
        <w:rPr>
          <w:b/>
        </w:rPr>
        <w:t xml:space="preserve">Abstract: </w:t>
      </w:r>
      <w:r>
        <w:t>Skyrmions are topological defects belonging to nontrivial homotopy classes in particle theory. Their remarkably stable topology has recently been observed in electromagnetic waves. For the evanescent fields near a surface, this has been realized so far only for elementary optical skyrmions, with a fixed skyrmion number. Here we report, both in theory and experiment, the concept of moiré plasmonic skyrmion clusters, where multiskyrmions are nested to form a large optical skyrmion cluster. By leveraging twistronics engineering of plasmonic nanostructures, we demonstrate both periodic and quasi-periodic optical skyrmions, revealing a large degree of topological control. In a misaligned composite nanostructure, the rapid inverting of optical skyrmion number is achieved, which is explained by a lattice model. This topological change of moiré plasmonic skyrmion clusters can serve as a precise beacon of the relative alignment deviation between composite nanostructures.</w:t>
      </w:r>
    </w:p>
    <w:p>
      <w:pPr>
        <w:spacing w:before="120" w:after="120"/>
      </w:pPr>
      <w:r>
        <w:rPr>
          <w:sz w:val="18"/>
        </w:rPr>
        <w:t>——————————————————————————————————————————————————————————————————————</w:t>
      </w:r>
    </w:p>
    <w:p>
      <w:pPr>
        <w:spacing w:before="160" w:after="80" w:line="240" w:lineRule="auto"/>
      </w:pPr>
      <w:r>
        <w:rPr>
          <w:b/>
        </w:rPr>
        <w:t xml:space="preserve">[369] </w:t>
      </w:r>
      <w:hyperlink r:id="rId580">
        <w:r>
          <w:rPr>
            <w:color w:val="1155CC"/>
            <w:u w:val="single"/>
          </w:rPr>
          <w:t>Flexible low-voltage organic transistors with a transit frequency of 40 MHz and an on/off current ratio of 10 orders of magnitude</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81">
        <w:r>
          <w:rPr>
            <w:color w:val="1155CC"/>
            <w:u w:val="single"/>
          </w:rPr>
          <w:t>10.1126/sciadv.aeb9693</w:t>
        </w:r>
      </w:hyperlink>
    </w:p>
    <w:p>
      <w:pPr>
        <w:spacing w:before="0" w:after="120"/>
      </w:pPr>
      <w:r>
        <w:rPr>
          <w:b/>
        </w:rPr>
        <w:t xml:space="preserve">Notes: </w:t>
      </w:r>
      <w:r>
        <w:t>abstract_source=crossref</w:t>
      </w:r>
    </w:p>
    <w:p>
      <w:pPr>
        <w:spacing w:before="0" w:after="200" w:lineRule="auto" w:line="276"/>
      </w:pPr>
      <w:r>
        <w:rPr>
          <w:b/>
        </w:rPr>
        <w:t xml:space="preserve">Abstract: </w:t>
      </w:r>
      <w:r>
        <w:t>Organic thin-film transistors (TFTs) are of interest for flexible displays, sensors, and circuits. For all these applications, the TFTs must have a large on/off current ratio and a high transit frequency. A major challenge is to simultaneously maximize the on/off ratio and the transit frequency, because a high transit frequency requires a small channel length, which often leads to short-channel effects, including a large off-state drain current. Here, we lift this fundamental compromise and demonstrate organic TFTs that exhibit a complete absence of detrimental short-channel effects for channel lengths down to 300 nm, making it possible to simultaneously achieve the largest on/off current ratio (10</w:t>
      </w:r>
      <w:r>
        <w:rPr>
          <w:vertAlign w:val="subscript"/>
        </w:rPr>
        <w:t>10</w:t>
      </w:r>
      <w:r>
        <w:t>) and the highest transit frequency (40 MHz) reported to date for flexible organic TFTs, despite the fact that these TFTs operate at very low voltages (≤3 V). These organic TFTs therefore meet the fundamental static and dynamic performance requirements for flexible, high-frequency, low-voltage, low-power electronic systems.</w:t>
      </w:r>
    </w:p>
    <w:p>
      <w:pPr>
        <w:spacing w:before="120" w:after="120"/>
      </w:pPr>
      <w:r>
        <w:rPr>
          <w:sz w:val="18"/>
        </w:rPr>
        <w:t>——————————————————————————————————————————————————————————————————————</w:t>
      </w:r>
    </w:p>
    <w:p>
      <w:pPr>
        <w:spacing w:before="160" w:after="80" w:line="240" w:lineRule="auto"/>
      </w:pPr>
      <w:r>
        <w:rPr>
          <w:b/>
        </w:rPr>
        <w:t xml:space="preserve">[370] </w:t>
      </w:r>
      <w:hyperlink r:id="rId582">
        <w:r>
          <w:rPr>
            <w:color w:val="1155CC"/>
            <w:u w:val="single"/>
          </w:rPr>
          <w:t>Stress granule dynamics govern TOR reactivation and growth recovery during post-heat stress adaptation</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[371] </w:t>
      </w:r>
      <w:hyperlink r:id="rId583">
        <w:r>
          <w:rPr>
            <w:color w:val="1155CC"/>
            <w:u w:val="single"/>
          </w:rPr>
          <w:t>David John “Davo” Mangelsdorf (1958–2025): A life of science, friendship, and joy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584">
        <w:r>
          <w:rPr>
            <w:color w:val="1155CC"/>
            <w:u w:val="single"/>
          </w:rPr>
          <w:t>10.1073/pnas.2534320122</w:t>
        </w:r>
      </w:hyperlink>
    </w:p>
    <w:p>
      <w:pPr>
        <w:spacing w:before="0" w:after="120"/>
      </w:pPr>
      <w:r>
        <w:rPr>
          <w:b/>
        </w:rPr>
        <w:t xml:space="preserve">Notes: </w:t>
      </w:r>
      <w:r>
        <w:t>abstract_source=crossref</w:t>
      </w:r>
    </w:p>
    <w:p>
      <w:pPr>
        <w:spacing w:before="0" w:after="200" w:lineRule="auto" w:line="276"/>
      </w:pPr>
      <w:r>
        <w:rPr>
          <w:b/>
        </w:rPr>
        <w:t xml:space="preserve">Abstract: </w:t>
      </w:r>
      <w:r>
        <w:t>David John “Davo” Mangelsdorf passed away on August 3, 2025, in Dallas, Texas at age 67 from an unexpected postsurgical complication. Davo made transformative contributions to nuclear receptor and metabolic biology. He discovered the retinoid X receptor (RXR) during his early years at Salk and, during his career and leadership at UT Southwestern, helped define the roles of orphan nuclear receptors, including LXR and FXR, as well as the metabolic hormones FGF19 and FGF21. This retrospective also reflects on the person behind the science. Davo brought curiosity, humor, and a sense of ease to every interaction. His legacy endures in his discoveries, in the colleagues and trainees he inspired, and in the kindness and laughter he shared throughout his life.</w:t>
      </w:r>
    </w:p>
    <w:p>
      <w:pPr>
        <w:spacing w:before="120" w:after="120"/>
      </w:pPr>
      <w:r>
        <w:rPr>
          <w:sz w:val="18"/>
        </w:rPr>
        <w:t>——————————————————————————————————————————————————————————————————————</w:t>
      </w:r>
    </w:p>
    <w:p>
      <w:pPr>
        <w:spacing w:before="160" w:after="80" w:line="240" w:lineRule="auto"/>
      </w:pPr>
      <w:r>
        <w:rPr>
          <w:b/>
        </w:rPr>
        <w:t xml:space="preserve">[372] </w:t>
      </w:r>
      <w:hyperlink r:id="rId585">
        <w:r>
          <w:rPr>
            <w:color w:val="1155CC"/>
            <w:u w:val="single"/>
          </w:rPr>
          <w:t>Correction to Supporting Information for Han et al., CASKIN2 mediates PTPσ-orchestrated transsynaptic mechanisms at excitatory synapses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[373] </w:t>
      </w:r>
      <w:hyperlink r:id="rId586">
        <w:r>
          <w:rPr>
            <w:color w:val="1155CC"/>
            <w:u w:val="single"/>
          </w:rPr>
          <w:t>A nanolaser with extreme dielectric confinement</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587">
        <w:r>
          <w:rPr>
            <w:color w:val="1155CC"/>
            <w:u w:val="single"/>
          </w:rPr>
          <w:t>10.1126/sciadv.adx3865</w:t>
        </w:r>
      </w:hyperlink>
    </w:p>
    <w:p>
      <w:pPr>
        <w:spacing w:before="0" w:after="120"/>
      </w:pPr>
      <w:r>
        <w:rPr>
          <w:b/>
        </w:rPr>
        <w:t xml:space="preserve">Notes: </w:t>
      </w:r>
      <w:r>
        <w:t>abstract_source=crossref</w:t>
      </w:r>
    </w:p>
    <w:p>
      <w:pPr>
        <w:spacing w:before="0" w:after="200" w:lineRule="auto" w:line="276"/>
      </w:pPr>
      <w:r>
        <w:rPr>
          <w:b/>
        </w:rPr>
        <w:t xml:space="preserve">Abstract: </w:t>
      </w:r>
      <w:r>
        <w:t>The interaction between light and matter can be enhanced by spatially concentrating the light field and extending photon dwell time. Plasmonic structures can provide strong light confinement but suffer from ohmic losses. Recent advances in dielectric nanostructures enable strong light localization without metallic losses. However, previous studies primarily focused on minimizing the optical mode volume without adequately addressing light-matter interactions. Here, we demonstrate a nanolaser that colocalizes photons and excited carriers within a dielectric nanobridge. This extreme dielectric confinement of both light and matter yields a subdiffraction-limited mode volume and a subwavelength carrier volume without lateral quantum confinement. We observe a strong correlation between the mode field and carrier distribution, where enhanced mode localization produces stronger carrier confinement. By suppressing carrier surface recombination, this platform not only enables continuous-wave lasing at room temperature but also achieves a substantially reduced lasing threshold. We quantify the intensified interaction with an interaction volume, generalizing mode volume to a broad class of active media.</w:t>
      </w:r>
    </w:p>
    <w:p>
      <w:pPr>
        <w:spacing w:before="120" w:after="120"/>
      </w:pPr>
      <w:r>
        <w:rPr>
          <w:sz w:val="18"/>
        </w:rPr>
        <w:t>——————————————————————————————————————————————————————————————————————</w:t>
      </w:r>
    </w:p>
    <w:p>
      <w:pPr>
        <w:spacing w:before="160" w:after="80" w:line="240" w:lineRule="auto"/>
      </w:pPr>
      <w:r>
        <w:rPr>
          <w:b/>
        </w:rPr>
        <w:t xml:space="preserve">[374] </w:t>
      </w:r>
      <w:hyperlink r:id="rId588">
        <w:r>
          <w:rPr>
            <w:color w:val="1155CC"/>
            <w:u w:val="single"/>
          </w:rPr>
          <w:t>Correction for Wang et al., Engineering bacteria for cancer immunotherapy by inhibiting IDO activity and reprogramming CD8+ T cell response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[375] </w:t>
      </w:r>
      <w:hyperlink r:id="rId589">
        <w:r>
          <w:rPr>
            <w:color w:val="1155CC"/>
            <w:u w:val="single"/>
          </w:rPr>
          <w:t>Correction for Heinen et al., Species introductions shift seed dispersal potential more than extinctions across 120 island plant–frugivore communities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[376] </w:t>
      </w:r>
      <w:hyperlink r:id="rId590">
        <w:r>
          <w:rPr>
            <w:color w:val="1155CC"/>
            <w:u w:val="single"/>
          </w:rPr>
          <w:t>Turncoat antibodies unmasked in a model of autoimmune demyelination: From biology to therapy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591">
        <w:r>
          <w:rPr>
            <w:color w:val="1155CC"/>
            <w:u w:val="single"/>
          </w:rPr>
          <w:t>10.1073/pnas.2424988122</w:t>
        </w:r>
      </w:hyperlink>
    </w:p>
    <w:p>
      <w:pPr>
        <w:spacing w:before="0" w:after="120"/>
      </w:pPr>
      <w:r>
        <w:rPr>
          <w:b/>
        </w:rPr>
        <w:t xml:space="preserve">Notes: </w:t>
      </w:r>
      <w:r>
        <w:t>abstract_source=crossref</w:t>
      </w:r>
    </w:p>
    <w:p>
      <w:pPr>
        <w:spacing w:before="0" w:after="200" w:lineRule="auto" w:line="276"/>
      </w:pPr>
      <w:r>
        <w:rPr>
          <w:b/>
        </w:rPr>
        <w:t xml:space="preserve">Abstract: </w:t>
      </w:r>
      <w:r>
        <w:t>Autoantibodies contribute to many autoimmune diseases, yet there is no approved therapy to neutralize them selectively. A popular mouse model, experimental autoimmune encephalomyelitis (EAE), could serve to develop such a therapy, provided we can better understand the nature and importance of the autoantibodies involved. Here, we report the finding of autoantibody-secreting extrafollicular plasmablasts in EAE induced with specific myelin oligodendrocyte glycoprotein (MOG) antigens. Single-cell RNA sequencing reveals that these cells produce nonaffinity-matured IgG antibodies. These include pathogenic antibodies competing for shared binding space on MOG’s extracellular domain. Interestingly, the synthetic anti-MOG antibody 8-18C5 can prevent the binding of pathogenic antibodies from either EAE mice or people with MOG antibody disease. Moreover, an 8-18C5 variant carrying the NNAS mutation, which inactivates its effector functions, can reduce EAE severity and promote functional recovery. In brief, this study provides not only a comprehensive characterization of the humoral response in EAE models but also a proof of concept for a therapy to antagonize pathogenic anti-MOG antibodies.</w:t>
      </w:r>
    </w:p>
    <w:p>
      <w:pPr>
        <w:spacing w:before="120" w:after="120"/>
      </w:pPr>
      <w:r>
        <w:rPr>
          <w:sz w:val="18"/>
        </w:rPr>
        <w:t>——————————————————————————————————————————————————————————————————————</w:t>
      </w:r>
    </w:p>
    <w:p>
      <w:pPr>
        <w:spacing w:before="160" w:after="80" w:line="240" w:lineRule="auto"/>
      </w:pPr>
      <w:r>
        <w:rPr>
          <w:b/>
        </w:rPr>
        <w:t xml:space="preserve">[377] </w:t>
      </w:r>
      <w:hyperlink r:id="rId592">
        <w:r>
          <w:rPr>
            <w:color w:val="1155CC"/>
            <w:u w:val="single"/>
          </w:rPr>
          <w:t>Correction for Goteti et al., Collective neural network behavior in a dynamically driven disordered system of superconducting loops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[378] </w:t>
      </w:r>
      <w:hyperlink r:id="rId593">
        <w:r>
          <w:rPr>
            <w:color w:val="1155CC"/>
            <w:u w:val="single"/>
          </w:rPr>
          <w:t>Structural insights into human signal peptide peptidase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594">
        <w:r>
          <w:rPr>
            <w:color w:val="1155CC"/>
            <w:u w:val="single"/>
          </w:rPr>
          <w:t>10.1073/pnas.2528340122</w:t>
        </w:r>
      </w:hyperlink>
    </w:p>
    <w:p>
      <w:pPr>
        <w:spacing w:before="0" w:after="120"/>
      </w:pPr>
      <w:r>
        <w:rPr>
          <w:b/>
        </w:rPr>
        <w:t xml:space="preserve">Notes: </w:t>
      </w:r>
      <w:r>
        <w:t>abstract_source=crossref</w:t>
      </w:r>
    </w:p>
    <w:p>
      <w:pPr>
        <w:spacing w:before="0" w:after="200" w:lineRule="auto" w:line="276"/>
      </w:pPr>
      <w:r>
        <w:rPr>
          <w:b/>
        </w:rPr>
        <w:t xml:space="preserve">Abstract: </w:t>
      </w:r>
      <w:r>
        <w:t>The signal peptide peptidase (SPP) remains the only intramembrane protease family that is yet to be structurally characterized. Here, we report the cryoelectron microscopy (cryo-EM) structures of human SPPL2a in two functional states: ligand-free and inhibitor-bound, at average resolutions of 3.3 and 3.6 Å, respectively. SPPL2a contains nine transmembrane helices with a conserved fold for the SPP and presenilin families. In the ligand-free state, an antiparallel β-hairpin is already formed near the active site, reminiscent of presenilin 1 (PS1) in its substrate-bound state. Binding by the small molecule inhibitor L685,458 triggers further conformational rearrangement in SPPL2a. Together with the cryo-EM structure of compound E-bound PS1, our findings reveal insights into selective inhibitor recognition and substrate gating by aspartyl intramembrane proteases. Structure-based sequence analysis unveils key differences between the SPP and presenilin families that underlie their function and assembly.</w:t>
      </w:r>
    </w:p>
    <w:p>
      <w:pPr>
        <w:spacing w:before="120" w:after="120"/>
      </w:pPr>
      <w:r>
        <w:rPr>
          <w:sz w:val="18"/>
        </w:rPr>
        <w:t>——————————————————————————————————————————————————————————————————————</w:t>
      </w:r>
    </w:p>
    <w:p>
      <w:pPr>
        <w:spacing w:before="160" w:after="80" w:line="240" w:lineRule="auto"/>
      </w:pPr>
      <w:r>
        <w:rPr>
          <w:b/>
        </w:rPr>
        <w:t xml:space="preserve">[379] </w:t>
      </w:r>
      <w:hyperlink r:id="rId595">
        <w:r>
          <w:rPr>
            <w:color w:val="1155CC"/>
            <w:u w:val="single"/>
          </w:rPr>
          <w:t>Learning to learn ecosystems from limited data</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596">
        <w:r>
          <w:rPr>
            <w:color w:val="1155CC"/>
            <w:u w:val="single"/>
          </w:rPr>
          <w:t>10.1073/pnas.2525347122</w:t>
        </w:r>
      </w:hyperlink>
    </w:p>
    <w:p>
      <w:pPr>
        <w:spacing w:before="0" w:after="120"/>
      </w:pPr>
      <w:r>
        <w:rPr>
          <w:b/>
        </w:rPr>
        <w:t xml:space="preserve">Notes: </w:t>
      </w:r>
      <w:r>
        <w:t>abstract_source=crossref</w:t>
      </w:r>
    </w:p>
    <w:p>
      <w:pPr>
        <w:spacing w:before="0" w:after="200" w:lineRule="auto" w:line="276"/>
      </w:pPr>
      <w:r>
        <w:rPr>
          <w:b/>
        </w:rPr>
        <w:t xml:space="preserve">Abstract: </w:t>
      </w:r>
      <w:r>
        <w:t>A fundamental challenge in developing data-driven approaches to ecological systems for tasks such as state estimation and prediction is the paucity of the observational or measurement data. For example, modern machine-learning techniques such as deep learning or reservoir computing typically require a large quantity of data. Leveraging synthetic data from paradigmatic nonlinear but non-ecological dynamical systems, we develop a meta-learning framework with time-delayed feedforward neural networks to predict the long-term behaviors of ecological systems as characterized by their attractors. We show that the framework is capable of accurately reconstructing the “dynamical climate” of the ecological system with limited data. Three benchmark population models in ecology, namely the Hastings-Powell model, its variant, and the Lotka-Volterra system, are used to demonstrate the performance of the meta-learning based prediction framework. In all cases, enhanced accuracy and robustness have been achieved using five to seven times less training data as compared with the corresponding machine-learning method trained solely from the ecosystem data. In addition, two real-world ecological benchmark datasets: the microbial time-series dataset and global population dynamics database, are tested to demonstrate the applicability of the meta-learning framework to the real world. A number of issues affecting the prediction performance are addressed.</w:t>
      </w:r>
    </w:p>
    <w:p>
      <w:pPr>
        <w:spacing w:before="120" w:after="120"/>
      </w:pPr>
      <w:r>
        <w:rPr>
          <w:sz w:val="18"/>
        </w:rPr>
        <w:t>——————————————————————————————————————————————————————————————————————</w:t>
      </w:r>
    </w:p>
    <w:p>
      <w:pPr>
        <w:spacing w:before="160" w:after="80" w:line="240" w:lineRule="auto"/>
      </w:pPr>
      <w:r>
        <w:rPr>
          <w:b/>
        </w:rPr>
        <w:t xml:space="preserve">[380] </w:t>
      </w:r>
      <w:hyperlink r:id="rId597">
        <w:r>
          <w:rPr>
            <w:color w:val="1155CC"/>
            <w:u w:val="single"/>
          </w:rPr>
          <w:t>DNA methylation shapes transcription factor binding beyond canonical CpG contexts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598">
        <w:r>
          <w:rPr>
            <w:color w:val="1155CC"/>
            <w:u w:val="single"/>
          </w:rPr>
          <w:t>10.1073/pnas.2520814122</w:t>
        </w:r>
      </w:hyperlink>
    </w:p>
    <w:p>
      <w:pPr>
        <w:spacing w:before="0" w:after="120"/>
      </w:pPr>
      <w:r>
        <w:rPr>
          <w:b/>
        </w:rPr>
        <w:t xml:space="preserve">Notes: </w:t>
      </w:r>
      <w:r>
        <w:t>abstract_source=crossref</w:t>
      </w:r>
    </w:p>
    <w:p>
      <w:pPr>
        <w:spacing w:before="0" w:after="200" w:lineRule="auto" w:line="276"/>
      </w:pPr>
      <w:r>
        <w:rPr>
          <w:b/>
        </w:rPr>
        <w:t xml:space="preserve">Abstract: </w:t>
      </w:r>
      <w:r>
        <w:t>Cytosine methylation is a key epigenetic modification that regulates transcription factor (TF) binding and gene expression. While most current understanding of methylation-sensitive TF binding derives from studies focused exclusively on fully methylated CpG sites, alternative forms—such as non-CpG and hemimethylation—are increasingly recognized as widespread and functionally important, particularly in embryonic stem cells and neurons. However, the direct impact of these alternative methylation contexts on TF–DNA interactions remains poorly defined, largely because current binding assays introduce methylation enzymatically, which precludes strand-specific and position-resolved measurements. Here, we systematically profile the methylation sensitivity of 18 human TFs spanning 11 structural families using chemically synthesized DNA libraries containing position-specific 5-methylcytosines (5mC) in CpG, non-CpG, and hemimethylated contexts, measured via high-throughput protein-binding microarrays. Our results reveal extensive TF sensitivity to methylation state, position, and strand orientation, including strong binding of several TFs to non-CpG and hemimethylated sites. The presence of 5mC can dramatically alter TF–DNA interactions: transforming low-affinity sites into high-affinity ones by enabling new contacts or silencing otherwise favorable motifs through steric hindrance. Genomic analyses further show that the methylation-sensitive sequences identified in vitro are represented within enhancers and regulatory elements, exhibiting distinct methylation patterns across cell types. Together, our findings uncover a previously hidden layer of methylation-dependent TF–DNA recognition, broadening the understanding of epigenetics in transcriptional regulation.</w:t>
      </w:r>
    </w:p>
    <w:p>
      <w:pPr>
        <w:spacing w:before="120" w:after="120"/>
      </w:pPr>
      <w:r>
        <w:rPr>
          <w:sz w:val="18"/>
        </w:rPr>
        <w:t>——————————————————————————————————————————————————————————————————————</w:t>
      </w:r>
    </w:p>
    <w:p>
      <w:pPr>
        <w:spacing w:before="160" w:after="80" w:line="240" w:lineRule="auto"/>
      </w:pPr>
      <w:r>
        <w:rPr>
          <w:b/>
        </w:rPr>
        <w:t xml:space="preserve">[381] </w:t>
      </w:r>
      <w:hyperlink r:id="rId599">
        <w:r>
          <w:rPr>
            <w:color w:val="1155CC"/>
            <w:u w:val="single"/>
          </w:rPr>
          <w:t>Flat-band tuning and emergent itinerant magnetism in Sr(Co1−xPdx)2As2</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600">
        <w:r>
          <w:rPr>
            <w:color w:val="1155CC"/>
            <w:u w:val="single"/>
          </w:rPr>
          <w:t>10.1073/pnas.2519523122</w:t>
        </w:r>
      </w:hyperlink>
    </w:p>
    <w:p>
      <w:pPr>
        <w:spacing w:before="0" w:after="120"/>
      </w:pPr>
      <w:r>
        <w:rPr>
          <w:b/>
        </w:rPr>
        <w:t xml:space="preserve">Notes: </w:t>
      </w:r>
      <w:r>
        <w:t>abstract_source=crossref</w:t>
      </w:r>
    </w:p>
    <w:p>
      <w:pPr>
        <w:spacing w:before="0" w:after="200" w:lineRule="auto" w:line="276"/>
      </w:pPr>
      <w:r>
        <w:rPr>
          <w:b/>
        </w:rPr>
        <w:t xml:space="preserve">Abstract: </w:t>
      </w:r>
      <w:r>
        <w:t>The interplay between magnetism and flat-band (FB) instability is a central theme in quantum materials research. A striking example is the emergence of magnetic order in a nominally nonmagnetic compound when a flat band is tuned near the Fermi energy (</w:t>
      </w:r>
      <w:r>
        <w:t xml:space="preserve"> </w:t>
      </w:r>
      <w:r>
        <w:t>E</w:t>
      </w:r>
      <w:r>
        <w:t xml:space="preserve"> </w:t>
      </w:r>
      <w:r>
        <w:t>F</w:t>
      </w:r>
      <w:r>
        <w:t xml:space="preserve"> </w:t>
      </w:r>
      <w:r>
        <w:t>). In this study, we investigate this phenomenon in the Pauli paramagnet</w:t>
      </w:r>
      <w:r>
        <w:t xml:space="preserve"> </w:t>
      </w:r>
      <w:r>
        <w:t>SrCo</w:t>
      </w:r>
      <w:r>
        <w:rPr>
          <w:vertAlign w:val="subscript"/>
        </w:rPr>
        <w:t>2</w:t>
      </w:r>
      <w:r>
        <w:t xml:space="preserve"> </w:t>
      </w:r>
      <w:r>
        <w:t>As</w:t>
      </w:r>
      <w:r>
        <w:rPr>
          <w:vertAlign w:val="subscript"/>
        </w:rPr>
        <w:t>2</w:t>
      </w:r>
      <w:r>
        <w:t xml:space="preserve"> </w:t>
      </w:r>
      <w:r>
        <w:t>, where an FB associated with Co</w:t>
      </w:r>
      <w:r>
        <w:t xml:space="preserve"> </w:t>
      </w:r>
      <w:r>
        <w:t>e</w:t>
      </w:r>
      <w:r>
        <w:t xml:space="preserve"> </w:t>
      </w:r>
      <w:r>
        <w:t>g</w:t>
      </w:r>
      <w:r>
        <w:t xml:space="preserve"> </w:t>
      </w:r>
      <w:r>
        <w:t>orbitals lies close to</w:t>
      </w:r>
      <w:r>
        <w:t xml:space="preserve"> </w:t>
      </w:r>
      <w:r>
        <w:t>E</w:t>
      </w:r>
      <w:r>
        <w:t xml:space="preserve"> </w:t>
      </w:r>
      <w:r>
        <w:t>F</w:t>
      </w:r>
      <w:r>
        <w:t xml:space="preserve"> </w:t>
      </w:r>
      <w:r>
        <w:t>. Remarkably, a minute substitution of the nonmagnetic element Pd onto the Co site (</w:t>
      </w:r>
      <w:r>
        <w:t xml:space="preserve"> </w:t>
      </w:r>
      <w:r>
        <w:t>∼</w:t>
      </w:r>
      <w:r>
        <w:t xml:space="preserve"> </w:t>
      </w:r>
      <w:r>
        <w:t>2%) induces antiferromagnetic order with a transition temperature as high as</w:t>
      </w:r>
      <w:r>
        <w:t xml:space="preserve"> </w:t>
      </w:r>
      <w:r>
        <w:t>T</w:t>
      </w:r>
      <w:r>
        <w:t xml:space="preserve"> </w:t>
      </w:r>
      <w:r>
        <w:t>N</w:t>
      </w:r>
      <w:r>
        <w:t xml:space="preserve"> </w:t>
      </w:r>
      <w:r>
        <w:t>=</w:t>
      </w:r>
      <w:r>
        <w:rPr>
          <w:vertAlign w:val="subscript"/>
        </w:rPr>
        <w:t>25</w:t>
      </w:r>
      <w:r>
        <w:t xml:space="preserve"> </w:t>
      </w:r>
      <w:r>
        <w:t>K. Temperature- and magnetic-field-dependent magnetic and transport measurements, complemented by zero-field neutron diffraction, reveal a helical magnetic order for</w:t>
      </w:r>
      <w:r>
        <w:t xml:space="preserve"> </w:t>
      </w:r>
      <w:r>
        <w:t>x</w:t>
      </w:r>
      <w:r>
        <w:t xml:space="preserve"> </w:t>
      </w:r>
      <w:r>
        <w:t>≤</w:t>
      </w:r>
      <w:r>
        <w:t xml:space="preserve"> </w:t>
      </w:r>
      <w:r>
        <w:t>0.10</w:t>
      </w:r>
      <w:r>
        <w:t xml:space="preserve"> </w:t>
      </w:r>
      <w:r>
        <w:t>in Sr(Co</w:t>
      </w:r>
      <w:r>
        <w:t xml:space="preserve"> </w:t>
      </w:r>
      <w:r>
        <w:t>1−</w:t>
      </w:r>
      <w:r>
        <w:t>x</w:t>
      </w:r>
      <w:r>
        <w:t xml:space="preserve"> </w:t>
      </w:r>
      <w:r>
        <w:t>Pd</w:t>
      </w:r>
      <w:r>
        <w:t xml:space="preserve"> </w:t>
      </w:r>
      <w:r>
        <w:t>x</w:t>
      </w:r>
      <w:r>
        <w:t xml:space="preserve"> </w:t>
      </w:r>
      <w:r>
        <w:t>)</w:t>
      </w:r>
      <w:r>
        <w:rPr>
          <w:vertAlign w:val="subscript"/>
        </w:rPr>
        <w:t>2</w:t>
      </w:r>
      <w:r>
        <w:t>As</w:t>
      </w:r>
      <w:r>
        <w:rPr>
          <w:vertAlign w:val="subscript"/>
        </w:rPr>
        <w:t>2</w:t>
      </w:r>
      <w:r>
        <w:t>, transitioning to a complex ferromagnetic state at higher Pd concentrations. Spectroscopic evidence and theoretical band structure calculations demonstrate that electron doping shifts the flat band closer to</w:t>
      </w:r>
      <w:r>
        <w:t xml:space="preserve"> </w:t>
      </w:r>
      <w:r>
        <w:t>E</w:t>
      </w:r>
      <w:r>
        <w:t xml:space="preserve"> </w:t>
      </w:r>
      <w:r>
        <w:t>F</w:t>
      </w:r>
      <w:r>
        <w:t xml:space="preserve"> </w:t>
      </w:r>
      <w:r>
        <w:t>, significantly enhancing the Stoner parameter. This enhancement drives a strong ferromagnetic instability, leading to helical magnetic ordering dominated by in-plane ferromagnetic interactions. The emergence of robust magnetic ordering through substitution with nonmagnetic elements is a unique phenomenon that underscores the pivotal role of flat-band instability in tuning magnetism in itinerant systems.</w:t>
      </w:r>
    </w:p>
    <w:p>
      <w:pPr>
        <w:spacing w:before="120" w:after="120"/>
      </w:pPr>
      <w:r>
        <w:rPr>
          <w:sz w:val="18"/>
        </w:rPr>
        <w:t>——————————————————————————————————————————————————————————————————————</w:t>
      </w:r>
    </w:p>
    <w:p>
      <w:pPr>
        <w:spacing w:before="160" w:after="80" w:line="240" w:lineRule="auto"/>
      </w:pPr>
      <w:r>
        <w:rPr>
          <w:b/>
        </w:rPr>
        <w:t xml:space="preserve">[382] </w:t>
      </w:r>
      <w:hyperlink r:id="rId601">
        <w:r>
          <w:rPr>
            <w:color w:val="1155CC"/>
            <w:u w:val="single"/>
          </w:rPr>
          <w:t>The “machinal bypass” and how we’re using AI to avoid ourselves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[383] </w:t>
      </w:r>
      <w:hyperlink r:id="rId602">
        <w:r>
          <w:rPr>
            <w:color w:val="1155CC"/>
            <w:u w:val="single"/>
          </w:rPr>
          <w:t>Geography of masting creates greater synchrony in seed scarcity than in seed abundance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603">
        <w:r>
          <w:rPr>
            <w:color w:val="1155CC"/>
            <w:u w:val="single"/>
          </w:rPr>
          <w:t>10.1073/pnas.2518918122</w:t>
        </w:r>
      </w:hyperlink>
    </w:p>
    <w:p>
      <w:pPr>
        <w:spacing w:before="0" w:after="120"/>
      </w:pPr>
      <w:r>
        <w:rPr>
          <w:b/>
        </w:rPr>
        <w:t xml:space="preserve">Notes: </w:t>
      </w:r>
      <w:r>
        <w:t>abstract_source=crossref</w:t>
      </w:r>
    </w:p>
    <w:p>
      <w:pPr>
        <w:spacing w:before="0" w:after="200" w:lineRule="auto" w:line="276"/>
      </w:pPr>
      <w:r>
        <w:rPr>
          <w:b/>
        </w:rPr>
        <w:t xml:space="preserve">Abstract: </w:t>
      </w:r>
      <w:r>
        <w:t>Interannually highly variable and synchronized production of large seed crops by perennial plants, called masting, drives resource pulses and famines with cascading effects on food webs. While the spatial scale of masting synchrony is well documented, it remains unclear how synchrony differs between years of seed abundance and failure, and how such dynamics extend across species and space. These gaps are important to resolve, as they determine the magnitude and spatial extent of masting effects on food webs. Using a 36-y dataset from 431 sites spanning seven dominant tree species in temperate Europe, we provide evidence that seed failures are more spatially synchronized than mast peaks, indicating that regional coherence in seed production is structured primarily by reproductive failure. Among-species synchrony was localized. This suggests that in temperate forests, mobile seed consumers are unlikely to experience coordinated starvation–satiation cycles, in contrast to highly synchronous tropical dipterocarp systems. From an applied perspective, failure years affect seed availability over broad regions, limiting sourcing options for afforestation and restoration, and underscoring the value of spatially explicit masting forecasting. Because mast peaks and failures differ fundamentally in their food web consequences, our findings highlight the need to better understand and anticipate the ecological impacts of synchronized seed scarcity.</w:t>
      </w:r>
    </w:p>
    <w:p>
      <w:pPr>
        <w:spacing w:before="120" w:after="120"/>
      </w:pPr>
      <w:r>
        <w:rPr>
          <w:sz w:val="18"/>
        </w:rPr>
        <w:t>——————————————————————————————————————————————————————————————————————</w:t>
      </w:r>
    </w:p>
    <w:p>
      <w:pPr>
        <w:spacing w:before="160" w:after="80" w:line="240" w:lineRule="auto"/>
      </w:pPr>
      <w:r>
        <w:rPr>
          <w:b/>
        </w:rPr>
        <w:t xml:space="preserve">[384] </w:t>
      </w:r>
      <w:hyperlink r:id="rId604">
        <w:r>
          <w:rPr>
            <w:color w:val="1155CC"/>
            <w:u w:val="single"/>
          </w:rPr>
          <w:t>Derepression of transposable elements in the mouse prefrontal cortex disrupts social behavior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605">
        <w:r>
          <w:rPr>
            <w:color w:val="1155CC"/>
            <w:u w:val="single"/>
          </w:rPr>
          <w:t>10.1073/pnas.2510663122</w:t>
        </w:r>
      </w:hyperlink>
    </w:p>
    <w:p>
      <w:pPr>
        <w:spacing w:before="0" w:after="120"/>
      </w:pPr>
      <w:r>
        <w:rPr>
          <w:b/>
        </w:rPr>
        <w:t xml:space="preserve">Notes: </w:t>
      </w:r>
      <w:r>
        <w:t>abstract_source=crossref</w:t>
      </w:r>
    </w:p>
    <w:p>
      <w:pPr>
        <w:spacing w:before="0" w:after="200" w:lineRule="auto" w:line="276"/>
      </w:pPr>
      <w:r>
        <w:rPr>
          <w:b/>
        </w:rPr>
        <w:t xml:space="preserve">Abstract: </w:t>
      </w:r>
      <w:r>
        <w:t>The neurobiological origins of social behaviors are poorly understood. Previous studies have linked the function of a single Krüppel-associated box zinc finger protein (KZFP), ZFP189, in the mouse prefrontal cortex (PFC), with the regulation of transposable elements (TEs), immune genes, and social behaviors. Here, we expand the scope of inquiry to explore the relationship between collective PFC KZFP function and social behaviors by altering the function of the cognate KZFP interacting protein TRIM28 within the PFC of male and female mice. We reprogrammed natural TRIM28</w:t>
      </w:r>
      <w:r>
        <w:t xml:space="preserve"> </w:t>
      </w:r>
      <w:r>
        <w:t>WT</w:t>
      </w:r>
      <w:r>
        <w:t xml:space="preserve"> </w:t>
      </w:r>
      <w:r>
        <w:t>by replacing the endogenous, transcriptionally repressive domain with a synthetic, enhanced transcriptional activation domain VP64-p65-Rta (TRIM28</w:t>
      </w:r>
      <w:r>
        <w:t xml:space="preserve"> </w:t>
      </w:r>
      <w:r>
        <w:t>VPR</w:t>
      </w:r>
      <w:r>
        <w:t xml:space="preserve"> </w:t>
      </w:r>
      <w:r>
        <w:t>) or by excising the transcriptional regulatory domain (TRIM28</w:t>
      </w:r>
      <w:r>
        <w:t xml:space="preserve"> </w:t>
      </w:r>
      <w:r>
        <w:t>NFD</w:t>
      </w:r>
      <w:r>
        <w:t xml:space="preserve"> </w:t>
      </w:r>
      <w:r>
        <w:t>). Upon intra-PFC viral-mediated delivery of TRIM28 variants, we observed that inversion of TRIM28 transcriptional control via HSV-TRIM28</w:t>
      </w:r>
      <w:r>
        <w:t xml:space="preserve"> </w:t>
      </w:r>
      <w:r>
        <w:t>VPR</w:t>
      </w:r>
      <w:r>
        <w:t xml:space="preserve"> </w:t>
      </w:r>
      <w:r>
        <w:t>selectively produced deficits in social behaviors, without affecting nonsocial behaviors. RNA sequencing of manipulated PFC revealed that HSV-TRIM28</w:t>
      </w:r>
      <w:r>
        <w:t xml:space="preserve"> </w:t>
      </w:r>
      <w:r>
        <w:t>VPR</w:t>
      </w:r>
      <w:r>
        <w:t xml:space="preserve"> </w:t>
      </w:r>
      <w:r>
        <w:t>drove transcriptional escape of all classes of TEs, particularly those located within intronic and enhancer regions proximal to downregulated immune genes. HSV-TRIM28</w:t>
      </w:r>
      <w:r>
        <w:t xml:space="preserve"> </w:t>
      </w:r>
      <w:r>
        <w:t>VPR</w:t>
      </w:r>
      <w:r>
        <w:t xml:space="preserve"> </w:t>
      </w:r>
      <w:r>
        <w:t>-mediated social deficits were reversible by intra-PFC repletion of interferon cytokines. These data point to PFC KZFP–TRIM28 interactions as necessary to stabilize genomic TEs to enable</w:t>
      </w:r>
      <w:r>
        <w:t xml:space="preserve"> </w:t>
      </w:r>
      <w:r>
        <w:t>cis</w:t>
      </w:r>
      <w:r>
        <w:t xml:space="preserve"> </w:t>
      </w:r>
      <w:r>
        <w:t>-regulation of key immune gene expression, which enhances organismal capacity for complex, prosocial behaviors.</w:t>
      </w:r>
    </w:p>
    <w:p>
      <w:pPr>
        <w:spacing w:before="120" w:after="120"/>
      </w:pPr>
      <w:r>
        <w:rPr>
          <w:sz w:val="18"/>
        </w:rPr>
        <w:t>——————————————————————————————————————————————————————————————————————</w:t>
      </w:r>
    </w:p>
    <w:p>
      <w:pPr>
        <w:spacing w:before="160" w:after="80" w:line="240" w:lineRule="auto"/>
      </w:pPr>
      <w:r>
        <w:rPr>
          <w:b/>
        </w:rPr>
        <w:t xml:space="preserve">[385] </w:t>
      </w:r>
      <w:hyperlink r:id="rId606">
        <w:r>
          <w:rPr>
            <w:color w:val="1155CC"/>
            <w:u w:val="single"/>
          </w:rPr>
          <w:t>Crucial roles of mesenchymal Gata2 in murine epididymal development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607">
        <w:r>
          <w:rPr>
            <w:color w:val="1155CC"/>
            <w:u w:val="single"/>
          </w:rPr>
          <w:t>10.1073/pnas.2507090122</w:t>
        </w:r>
      </w:hyperlink>
    </w:p>
    <w:p>
      <w:pPr>
        <w:spacing w:before="0" w:after="120"/>
      </w:pPr>
      <w:r>
        <w:rPr>
          <w:b/>
        </w:rPr>
        <w:t xml:space="preserve">Notes: </w:t>
      </w:r>
      <w:r>
        <w:t>abstract_source=crossref</w:t>
      </w:r>
    </w:p>
    <w:p>
      <w:pPr>
        <w:spacing w:before="0" w:after="200" w:lineRule="auto" w:line="276"/>
      </w:pPr>
      <w:r>
        <w:rPr>
          <w:b/>
        </w:rPr>
        <w:t xml:space="preserve">Abstract: </w:t>
      </w:r>
      <w:r>
        <w:t>Androgens drive the morphogenesis and differentiation of the Wolffian duct (WD) into the epididymis, an essential organ for male reproduction, by binding to the androgen receptor (AR). However, it remains unclear whether other transcriptional programs operate beyond the central androgen/AR signaling in promoting WD development. We found that mesenchyme-specific deletion of the transcription factor</w:t>
      </w:r>
      <w:r>
        <w:t xml:space="preserve"> </w:t>
      </w:r>
      <w:r>
        <w:t>Gata2</w:t>
      </w:r>
      <w:r>
        <w:t xml:space="preserve"> </w:t>
      </w:r>
      <w:r>
        <w:t>resulted in defective epididymal coiling in the corpus and caudal regions. The defective coiling did not result from androgen signaling deficiency, as there were no abnormalities in testicular androgen production, AR/</w:t>
      </w:r>
      <w:r>
        <w:t>Ar</w:t>
      </w:r>
      <w:r>
        <w:t xml:space="preserve"> </w:t>
      </w:r>
      <w:r>
        <w:t>expression, or androgen-responsive genes, and dihydrotestosterone supplementation did not restore epididymal coiling in cultured WDs. Instead,</w:t>
      </w:r>
      <w:r>
        <w:t xml:space="preserve"> </w:t>
      </w:r>
      <w:r>
        <w:t>Gata2</w:t>
      </w:r>
      <w:r>
        <w:t xml:space="preserve"> </w:t>
      </w:r>
      <w:r>
        <w:t>deletion led to the loss of epididymal identity, as evidenced by the reduced expression of epididymal mesenchymal markers. The epididymal defect persisted into adulthood, with the uncoiled corpus and caudal epididymis exhibiting abnormal epithelial morphology and lumen environments, resulting in an unfavorable environment for sperm storage. Our results demonstrate the androgen-independent role of mesenchymal GATA2 in promoting epididymal development and highlight the importance of proper fetal development in male reproduction.</w:t>
      </w:r>
    </w:p>
    <w:p>
      <w:pPr>
        <w:spacing w:before="120" w:after="120"/>
      </w:pPr>
      <w:r>
        <w:rPr>
          <w:sz w:val="18"/>
        </w:rPr>
        <w:t>——————————————————————————————————————————————————————————————————————</w:t>
      </w:r>
    </w:p>
    <w:p>
      <w:pPr>
        <w:spacing w:before="160" w:after="80" w:line="240" w:lineRule="auto"/>
      </w:pPr>
      <w:r>
        <w:rPr>
          <w:b/>
        </w:rPr>
        <w:t xml:space="preserve">[386] </w:t>
      </w:r>
      <w:hyperlink r:id="rId608">
        <w:r>
          <w:rPr>
            <w:color w:val="1155CC"/>
            <w:u w:val="single"/>
          </w:rPr>
          <w:t>Lab on an end: Micromanipulation using the acoustohydrodynamic pillar array as an end effector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r>
        <w:t xml:space="preserve">    </w:t>
      </w:r>
      <w:r>
        <w:rPr>
          <w:b/>
        </w:rPr>
        <w:t xml:space="preserve">DOI: </w:t>
      </w:r>
      <w:hyperlink r:id="rId609">
        <w:r>
          <w:rPr>
            <w:color w:val="1155CC"/>
            <w:u w:val="single"/>
          </w:rPr>
          <w:t>10.1073/pnas.2505479122</w:t>
        </w:r>
      </w:hyperlink>
    </w:p>
    <w:p>
      <w:pPr>
        <w:spacing w:before="0" w:after="120"/>
      </w:pPr>
      <w:r>
        <w:rPr>
          <w:b/>
        </w:rPr>
        <w:t xml:space="preserve">Notes: </w:t>
      </w:r>
      <w:r>
        <w:t>abstract_source=crossref</w:t>
      </w:r>
    </w:p>
    <w:p>
      <w:pPr>
        <w:spacing w:before="0" w:after="200" w:lineRule="auto" w:line="276"/>
      </w:pPr>
      <w:r>
        <w:rPr>
          <w:b/>
        </w:rPr>
        <w:t xml:space="preserve">Abstract: </w:t>
      </w:r>
      <w:r>
        <w:t>The concept of microfluidics has shown considerable promise for advancing chemistry, diagnostics, and biology. However, there have been no guaranteed routes of microfluidics that can achieve widespread adoption in mainstream chemistry and biomedical research. Inspired by the cooperative multiple cilia of biological organisms and tissues to generate flow, we propose an open microfluidic platform, lab on an end (LoE), to pump spatially and temporally continuous flow for multifunctional micromanipulation with the acoustohydrodynamic pillar array as an end effector. LoE brings together the micromanipulation of individual entities, liquid operations, and cell processing onto an acoustic end effector. These operations are mainly driven by acoustic radiation and two unique frequency-dependent microstreaming profiles: out-of-plane vortex near a single pillar and in-plane transmission flow surrounding the entire pillar array. Applications in embryo engineering, local morphological phenotyping of</w:t>
      </w:r>
      <w:r>
        <w:t xml:space="preserve"> </w:t>
      </w:r>
      <w:r>
        <w:t>Caenorhabditis elegans</w:t>
      </w:r>
      <w:r>
        <w:t xml:space="preserve"> </w:t>
      </w:r>
      <w:r>
        <w:t>for neuron research, efficient chemical reactions, and multifunctional cell processing indicate that the LoE could potentially lead to breakthroughs in understanding and using microfluidics. Its capability of integrating multiple sequential processes, inherent high accessibility, easy use, and low cost provide an end-to-end solution to mainstream chemistry and biomedical research.</w:t>
      </w:r>
    </w:p>
    <w:p>
      <w:pPr>
        <w:spacing w:before="120" w:after="120"/>
      </w:pPr>
      <w:r>
        <w:rPr>
          <w:sz w:val="18"/>
        </w:rPr>
        <w:t>——————————————————————————————————————————————————————————————————————</w:t>
      </w:r>
    </w:p>
    <w:p>
      <w:pPr>
        <w:spacing w:before="160" w:after="80" w:line="240" w:lineRule="auto"/>
      </w:pPr>
      <w:r>
        <w:rPr>
          <w:b/>
        </w:rPr>
        <w:t xml:space="preserve">[387] </w:t>
      </w:r>
      <w:hyperlink r:id="rId610">
        <w:r>
          <w:rPr>
            <w:color w:val="1155CC"/>
            <w:u w:val="single"/>
          </w:rPr>
          <w:t>Correction for Agrawal and Dehaene, From retinotopic to ordinal coding: Dissecting the cortical stages of visual word recognition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2025-12-17 08:00:00+00:00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[388] </w:t>
      </w:r>
      <w:hyperlink r:id="rId611">
        <w:r>
          <w:rPr>
            <w:color w:val="1155CC"/>
            <w:u w:val="single"/>
          </w:rPr>
          <w:t>Persistent glycolysis defines pathological foreign body–associated inflammation to polymeric implants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12">
        <w:r>
          <w:rPr>
            <w:color w:val="1155CC"/>
            <w:u w:val="single"/>
          </w:rPr>
          <w:t>10.1126/sciadv.adx6368</w:t>
        </w:r>
      </w:hyperlink>
    </w:p>
    <w:p>
      <w:pPr>
        <w:spacing w:before="0" w:after="120"/>
      </w:pPr>
      <w:r>
        <w:rPr>
          <w:b/>
        </w:rPr>
        <w:t xml:space="preserve">Notes: </w:t>
      </w:r>
      <w:r>
        <w:t>abstract_source=crossref</w:t>
      </w:r>
    </w:p>
    <w:p>
      <w:pPr>
        <w:spacing w:before="0" w:after="200" w:lineRule="auto" w:line="276"/>
      </w:pPr>
      <w:r>
        <w:rPr>
          <w:b/>
        </w:rPr>
        <w:t xml:space="preserve">Abstract: </w:t>
      </w:r>
      <w:r>
        <w:t>The clinical deployment of nondegradable polymeric medical devices is hindered by unresolving inflammation that drives localized fibrosis. This inflammatory niche is distinct; phagocytic macrophages remain persistently activated by biomolecular signals adsorbed to the implant surface, exhibiting profibrotic behavior. Increasingly, alterations to metabolic regulation offers insight into chronically inflamed macrophage function, which remains unexplored in peri-implant inflammation. Here, ex vivo profiling of metabolic dependence and capacity in peri-implant tissues revealed persistent glycolytic reliance by macrophages up to 6 weeks postimplantation. Expression of glucose transporter 1 (GLUT1) increased temporally and with proximity to the implant interface in glycolytically dependent cells, paired with increased capacity for biosynthetic pathways. Glycolytic dependence was notable in multinucleated macrophages, hallmark to the phagocytic behavior of implant pathology. Transcriptomic assessment correlated the up-regulation of pathological wound healing to cells where the capacity for glucose import was highest, highlighting glycolysis as the definitive metabolic system in persistent peri-implant inflammation.</w:t>
      </w:r>
    </w:p>
    <w:p>
      <w:pPr>
        <w:spacing w:before="120" w:after="120"/>
      </w:pPr>
      <w:r>
        <w:rPr>
          <w:sz w:val="18"/>
        </w:rPr>
        <w:t>——————————————————————————————————————————————————————————————————————</w:t>
      </w:r>
    </w:p>
    <w:p>
      <w:pPr>
        <w:spacing w:before="160" w:after="80" w:line="240" w:lineRule="auto"/>
      </w:pPr>
      <w:r>
        <w:rPr>
          <w:b/>
        </w:rPr>
        <w:t xml:space="preserve">[389] </w:t>
      </w:r>
      <w:hyperlink r:id="rId613">
        <w:r>
          <w:rPr>
            <w:color w:val="1155CC"/>
            <w:u w:val="single"/>
          </w:rPr>
          <w:t>Humpback whale genomes reflect the increased efficiency of commercial whaling</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14">
        <w:r>
          <w:rPr>
            <w:color w:val="1155CC"/>
            <w:u w:val="single"/>
          </w:rPr>
          <w:t>10.1126/sciadv.ady7091</w:t>
        </w:r>
      </w:hyperlink>
    </w:p>
    <w:p>
      <w:pPr>
        <w:spacing w:before="0" w:after="120"/>
      </w:pPr>
      <w:r>
        <w:rPr>
          <w:b/>
        </w:rPr>
        <w:t xml:space="preserve">Notes: </w:t>
      </w:r>
      <w:r>
        <w:t>abstract_source=crossref</w:t>
      </w:r>
    </w:p>
    <w:p>
      <w:pPr>
        <w:spacing w:before="0" w:after="200" w:lineRule="auto" w:line="276"/>
      </w:pPr>
      <w:r>
        <w:rPr>
          <w:b/>
        </w:rPr>
        <w:t xml:space="preserve">Abstract: </w:t>
      </w:r>
      <w:r>
        <w:t>Genetic diversity is declining globally, a trend that may particularly affect exploited populations that must adapt to rapid environmental change and other threats. Estimated genomic changes in effective population size mirrored known whaling history and shifts in technology. In the Southern Ocean, a comparison of genomes from historical and contemporary populations indicated that the contemporary genomes have less diversity and an elevated realized mutation load for moderately deleterious mutations, likely due to the effects of whaling. Our results demonstrate that the relatively recent, brief, and marked depletion of humpback whale populations by whaling likely had subtle but discernible, negative, and lasting effects on the whales’ genomes. Thus, even as some humpback whale populations are now recovering to pre-exploitation numbers, they likely do so with a diminished adaptive capacity in the face of future conditions and threats.</w:t>
      </w:r>
    </w:p>
    <w:p>
      <w:pPr>
        <w:spacing w:before="120" w:after="120"/>
      </w:pPr>
      <w:r>
        <w:rPr>
          <w:sz w:val="18"/>
        </w:rPr>
        <w:t>——————————————————————————————————————————————————————————————————————</w:t>
      </w:r>
    </w:p>
    <w:p>
      <w:pPr>
        <w:spacing w:before="160" w:after="80" w:line="240" w:lineRule="auto"/>
      </w:pPr>
      <w:r>
        <w:rPr>
          <w:b/>
        </w:rPr>
        <w:t xml:space="preserve">[390] </w:t>
      </w:r>
      <w:hyperlink r:id="rId615">
        <w:r>
          <w:rPr>
            <w:color w:val="1155CC"/>
            <w:u w:val="single"/>
          </w:rPr>
          <w:t>Direct recruitment of TONSOKU by the N-terminal tails of histone variants H2A.X and H2A.W coordinates DNA repair</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16">
        <w:r>
          <w:rPr>
            <w:color w:val="1155CC"/>
            <w:u w:val="single"/>
          </w:rPr>
          <w:t>10.1126/sciadv.ady2104</w:t>
        </w:r>
      </w:hyperlink>
    </w:p>
    <w:p>
      <w:pPr>
        <w:spacing w:before="0" w:after="120"/>
      </w:pPr>
      <w:r>
        <w:rPr>
          <w:b/>
        </w:rPr>
        <w:t xml:space="preserve">Notes: </w:t>
      </w:r>
      <w:r>
        <w:t>abstract_source=crossref</w:t>
      </w:r>
    </w:p>
    <w:p>
      <w:pPr>
        <w:spacing w:before="0" w:after="200" w:lineRule="auto" w:line="276"/>
      </w:pPr>
      <w:r>
        <w:rPr>
          <w:b/>
        </w:rPr>
        <w:t xml:space="preserve">Abstract: </w:t>
      </w:r>
      <w:r>
        <w:t>Histone variants play crucial roles in DNA replication and repair. The plant TONSOKU (TSK) requires histone H3.1 unmethylated at lysine 27 for DNA repair at replication forks, but how TSK is recruited to double-strand break (DSB) sites remains unclear. In this study, we show that the leucine-rich repeat (LRR) domain of TSK recognizes the N-terminal tails of histone variants H2A.X and H2A.W—key for DNA repair in euchromatin and heterochromatin, respectively—but not the H2A.Z variant. A unique motif containing multiple basic and acidic residues (BAR motif) in H2A.Z prevents TSK binding. Moreover, disrupting TSK-H2A.X/W binding impairs TSK-mediated DNA repair. Genetic analyses reveal functional complementation between H2A.X and H2A.W in DNA repair, with the H2A.X N terminus being essential. This study reveals a previously unrecognized, H2A.X/W-dependent mechanism for recruiting the DNA repair protein TSK, highlighting the critical role of their N-terminal tails in plant DNA repair.</w:t>
      </w:r>
    </w:p>
    <w:p>
      <w:pPr>
        <w:spacing w:before="120" w:after="120"/>
      </w:pPr>
      <w:r>
        <w:rPr>
          <w:sz w:val="18"/>
        </w:rPr>
        <w:t>——————————————————————————————————————————————————————————————————————</w:t>
      </w:r>
    </w:p>
    <w:p>
      <w:pPr>
        <w:spacing w:before="160" w:after="80" w:line="240" w:lineRule="auto"/>
      </w:pPr>
      <w:r>
        <w:rPr>
          <w:b/>
        </w:rPr>
        <w:t xml:space="preserve">[391] </w:t>
      </w:r>
      <w:hyperlink r:id="rId617">
        <w:r>
          <w:rPr>
            <w:color w:val="1155CC"/>
            <w:u w:val="single"/>
          </w:rPr>
          <w:t>Astrocytic CREB regulates transcriptomic, neuronal, and behavioral responses to cocaine</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18">
        <w:r>
          <w:rPr>
            <w:color w:val="1155CC"/>
            <w:u w:val="single"/>
          </w:rPr>
          <w:t>10.1126/sciadv.aea2419</w:t>
        </w:r>
      </w:hyperlink>
    </w:p>
    <w:p>
      <w:pPr>
        <w:spacing w:before="0" w:after="120"/>
      </w:pPr>
      <w:r>
        <w:rPr>
          <w:b/>
        </w:rPr>
        <w:t xml:space="preserve">Notes: </w:t>
      </w:r>
      <w:r>
        <w:t>abstract_source=pubmed</w:t>
      </w:r>
    </w:p>
    <w:p>
      <w:pPr>
        <w:spacing w:before="0" w:after="200" w:lineRule="auto" w:line="276"/>
      </w:pPr>
      <w:r>
        <w:rPr>
          <w:b/>
        </w:rPr>
        <w:t xml:space="preserve">Abstract: </w:t>
      </w:r>
      <w:r>
        <w:t>Emerging evidence increasingly indicates that astrocytes are involved in neuropsychiatric disorders, including addiction, but the cocaine-induced astrocyte transcriptome has yet to be investigated. We performed RNA sequencing on whole-cell sorted astrocytes from the nucleus accumbens and bioinformatically characterized the astrocyte transcriptome following cocaine self-administration in male mice. We found that astrocytes exhibit robust and contextually specific transcriptional signatures that implicate adenosine 3',5'-monophosphate response element-binding protein (CREB) as a cocaine-induced transcriptional regulator in astrocytes. Cleavage under targets and release using nuclease sequencing (CUT&amp;RUN) revealed increased astrocytic CREB DNA binding in response to cocaine. Viral-mediated manipulation of nucleus accumbens astrocytic CREB activity in combination with addiction-related behaviors revealed that astrocytic CREB increases the rewarding and reinforcing properties of cocaine. Furthermore, we identified potential molecular mechanisms of astrocytic CREB's influence through modulating astrocytic calcium dynamics and selectively increasing D1-type medium spiny neuronal activity.</w:t>
      </w:r>
    </w:p>
    <w:p>
      <w:pPr>
        <w:spacing w:before="120" w:after="120"/>
      </w:pPr>
      <w:r>
        <w:rPr>
          <w:sz w:val="18"/>
        </w:rPr>
        <w:t>——————————————————————————————————————————————————————————————————————</w:t>
      </w:r>
    </w:p>
    <w:p>
      <w:pPr>
        <w:spacing w:before="160" w:after="80" w:line="240" w:lineRule="auto"/>
      </w:pPr>
      <w:r>
        <w:rPr>
          <w:b/>
        </w:rPr>
        <w:t xml:space="preserve">[392] </w:t>
      </w:r>
      <w:hyperlink r:id="rId619">
        <w:r>
          <w:rPr>
            <w:color w:val="1155CC"/>
            <w:u w:val="single"/>
          </w:rPr>
          <w:t>A plant NLR receptor activates auxin signaling through Aux/IAAs-ARF19 and YUC8-TIR1/AFBs to promote callose-mediated antiviral defense</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20">
        <w:r>
          <w:rPr>
            <w:color w:val="1155CC"/>
            <w:u w:val="single"/>
          </w:rPr>
          <w:t>10.1126/sciadv.aea2275</w:t>
        </w:r>
      </w:hyperlink>
    </w:p>
    <w:p>
      <w:pPr>
        <w:spacing w:before="0" w:after="120"/>
      </w:pPr>
      <w:r>
        <w:rPr>
          <w:b/>
        </w:rPr>
        <w:t xml:space="preserve">Notes: </w:t>
      </w:r>
      <w:r>
        <w:t>abstract_source=crossref</w:t>
      </w:r>
    </w:p>
    <w:p>
      <w:pPr>
        <w:spacing w:before="0" w:after="200" w:lineRule="auto" w:line="276"/>
      </w:pPr>
      <w:r>
        <w:rPr>
          <w:b/>
        </w:rPr>
        <w:t xml:space="preserve">Abstract: </w:t>
      </w:r>
      <w:r>
        <w:t>Phytohormone signaling pathways are crucial for defense against pathogens mediated by pattern recognition receptors and nucleotide-binding leucine-rich repeat (NLR) immune receptors. The induction of auxin signaling by immune receptors for antiviral immunity is poorly understood despite its notable role in plant defense against viral pathogens. Here, we report that plant NLR Sw-5b initiates and amplifies auxin signaling through auxin/indole-3-acetic acid (Aux/IAAs)–ARF19 and YUC8–transport inhibitor response1/auxin-signaling F-box (TIR1/AFB) modules to promote callose-mediated antiviral defense. Upon recognizing viral effector, Sw-5b associates with and relieves repressors Aux/IAAs on transcription factor ARF19. ARF19 then activates callose synthase gene</w:t>
      </w:r>
      <w:r>
        <w:t xml:space="preserve"> </w:t>
      </w:r>
      <w:r>
        <w:t>GSL5/8</w:t>
      </w:r>
      <w:r>
        <w:t xml:space="preserve"> </w:t>
      </w:r>
      <w:r>
        <w:t>to deposit callose at plasmodesmata, inhibiting viral cell-to-cell spread. Meanwhile, ARF19 activates auxin biosynthesis gene</w:t>
      </w:r>
      <w:r>
        <w:t xml:space="preserve"> </w:t>
      </w:r>
      <w:r>
        <w:t>YUC8</w:t>
      </w:r>
      <w:r>
        <w:t xml:space="preserve"> </w:t>
      </w:r>
      <w:r>
        <w:t>to boost auxin production; this further amplifies callose deposition signaling via TIR1/AFB receptors and Aux/IAAs-ARF19–glucan synthase-like (GSL) module, thereby restricting the virus in localized cell death. Our findings provide valuable insights into the mechanism by which plant immune receptors induce phytohormone signaling pathways to combat pathogens.</w:t>
      </w:r>
    </w:p>
    <w:p>
      <w:pPr>
        <w:spacing w:before="120" w:after="120"/>
      </w:pPr>
      <w:r>
        <w:rPr>
          <w:sz w:val="18"/>
        </w:rPr>
        <w:t>——————————————————————————————————————————————————————————————————————</w:t>
      </w:r>
    </w:p>
    <w:p>
      <w:pPr>
        <w:spacing w:before="160" w:after="80" w:line="240" w:lineRule="auto"/>
      </w:pPr>
      <w:r>
        <w:rPr>
          <w:b/>
        </w:rPr>
        <w:t xml:space="preserve">[393] </w:t>
      </w:r>
      <w:hyperlink r:id="rId621">
        <w:r>
          <w:rPr>
            <w:color w:val="1155CC"/>
            <w:u w:val="single"/>
          </w:rPr>
          <w:t>Neurexin regulates mechanical nociceptive sensitization by central inhibition in Drosophila</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22">
        <w:r>
          <w:rPr>
            <w:color w:val="1155CC"/>
            <w:u w:val="single"/>
          </w:rPr>
          <w:t>10.1126/sciadv.adz9682</w:t>
        </w:r>
      </w:hyperlink>
    </w:p>
    <w:p>
      <w:pPr>
        <w:spacing w:before="0" w:after="120"/>
      </w:pPr>
      <w:r>
        <w:rPr>
          <w:b/>
        </w:rPr>
        <w:t xml:space="preserve">Notes: </w:t>
      </w:r>
      <w:r>
        <w:t>abstract_source=crossref</w:t>
      </w:r>
    </w:p>
    <w:p>
      <w:pPr>
        <w:spacing w:before="0" w:after="200" w:lineRule="auto" w:line="276"/>
      </w:pPr>
      <w:r>
        <w:rPr>
          <w:b/>
        </w:rPr>
        <w:t xml:space="preserve">Abstract: </w:t>
      </w:r>
      <w:r>
        <w:t>Synaptic adhesion molecules play a crucial role in shaping neural circuits and behavior, yet their contribution to nociceptive processing remains poorly understood. Here, we investigate how the synaptic organizer Neurexin regulates mechanical nociception in</w:t>
      </w:r>
      <w:r>
        <w:t xml:space="preserve"> </w:t>
      </w:r>
      <w:r>
        <w:t>Drosophila</w:t>
      </w:r>
      <w:r>
        <w:t xml:space="preserve"> </w:t>
      </w:r>
      <w:r>
        <w:t>larvae. Using genetic, behavioral, and circuit-level analyses, we demonstrate that loss of</w:t>
      </w:r>
      <w:r>
        <w:t xml:space="preserve"> </w:t>
      </w:r>
      <w:r>
        <w:t>neurexin</w:t>
      </w:r>
      <w:r>
        <w:t xml:space="preserve"> </w:t>
      </w:r>
      <w:r>
        <w:t>induces mechanical nociceptive sensitization, which depends on a specific cluster of central cholinergic neurons in the subesophageal zone. These neurons drive sensitization through a C4da-Goro circuit, where Neurexin modulates presynaptic GABA</w:t>
      </w:r>
      <w:r>
        <w:t xml:space="preserve"> </w:t>
      </w:r>
      <w:r>
        <w:t>B</w:t>
      </w:r>
      <w:r>
        <w:t xml:space="preserve"> </w:t>
      </w:r>
      <w:r>
        <w:t>receptor signaling to control nociceptive excitability. Our findings establish Neurexin as a key of nociceptive sensitization and uncover a synaptic mechanism for tuning nociceptive thresholds, with implications for understanding chronic pain and sensory circuit dysfunctions in neurodevelopmental disorders.</w:t>
      </w:r>
    </w:p>
    <w:p>
      <w:pPr>
        <w:spacing w:before="120" w:after="120"/>
      </w:pPr>
      <w:r>
        <w:rPr>
          <w:sz w:val="18"/>
        </w:rPr>
        <w:t>——————————————————————————————————————————————————————————————————————</w:t>
      </w:r>
    </w:p>
    <w:p>
      <w:pPr>
        <w:spacing w:before="160" w:after="80" w:line="240" w:lineRule="auto"/>
      </w:pPr>
      <w:r>
        <w:rPr>
          <w:b/>
        </w:rPr>
        <w:t xml:space="preserve">[394] </w:t>
      </w:r>
      <w:hyperlink r:id="rId623">
        <w:r>
          <w:rPr>
            <w:color w:val="1155CC"/>
            <w:u w:val="single"/>
          </w:rPr>
          <w:t>RIPK1 inhibition reduces biliary injury and fibrosis in primary sclerosing cholangitis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24">
        <w:r>
          <w:rPr>
            <w:color w:val="1155CC"/>
            <w:u w:val="single"/>
          </w:rPr>
          <w:t>10.1126/sciadv.adz7907</w:t>
        </w:r>
      </w:hyperlink>
    </w:p>
    <w:p>
      <w:pPr>
        <w:spacing w:before="0" w:after="120"/>
      </w:pPr>
      <w:r>
        <w:rPr>
          <w:b/>
        </w:rPr>
        <w:t xml:space="preserve">Notes: </w:t>
      </w:r>
      <w:r>
        <w:t>abstract_source=crossref</w:t>
      </w:r>
    </w:p>
    <w:p>
      <w:pPr>
        <w:spacing w:before="0" w:after="200" w:lineRule="auto" w:line="276"/>
      </w:pPr>
      <w:r>
        <w:rPr>
          <w:b/>
        </w:rPr>
        <w:t xml:space="preserve">Abstract: </w:t>
      </w:r>
      <w:r>
        <w:t>Primary sclerosing cholangitis (PSC) is a chronic cholestatic liver disease with no effective curative therapies. Necroptosis, a regulated necrotic cell death pathway controlled by receptor-interacting protein kinase 1 (RIPK1), has emerged as a potential driver of inflammation and fibrosis in chronic liver disorders. We investigated the role of necroptosis in PSC and whether RIPK1 inhibition could modify disease course and progression. Spatial profiling of human PSC biopsies revealed that necroptosis primarily affects cholangiocytes, while apoptosis was more frequent in hepatocytes and nonbiliary cells. In vitro, necroptosis inhibition protected cholangiocytes, and</w:t>
      </w:r>
      <w:r>
        <w:t xml:space="preserve"> </w:t>
      </w:r>
      <w:r>
        <w:t>RIPK1</w:t>
      </w:r>
      <w:r>
        <w:t xml:space="preserve"> </w:t>
      </w:r>
      <w:r>
        <w:t>deletion conferred resistance to TNF-mediated cytotoxicity. In a murine model of PSC, pharmacological RIPK1 inhibition reduced cholestatic injury, hepatic inflammation, and biliary fibrosis. Multiomic analyses comprehensively demonstrated reprogramming toward wild-type–like profiles following treatment. These findings identify necroptosis as a critical effector in PSC and highlight RIPK1 inhibition as a promising disease-modifying approach, opening the door to targeted necroptosis-based therapies for this otherwise untreatable disease.</w:t>
      </w:r>
    </w:p>
    <w:p>
      <w:pPr>
        <w:spacing w:before="120" w:after="120"/>
      </w:pPr>
      <w:r>
        <w:rPr>
          <w:sz w:val="18"/>
        </w:rPr>
        <w:t>——————————————————————————————————————————————————————————————————————</w:t>
      </w:r>
    </w:p>
    <w:p>
      <w:pPr>
        <w:spacing w:before="160" w:after="80" w:line="240" w:lineRule="auto"/>
      </w:pPr>
      <w:r>
        <w:rPr>
          <w:b/>
        </w:rPr>
        <w:t xml:space="preserve">[395] </w:t>
      </w:r>
      <w:hyperlink r:id="rId625">
        <w:r>
          <w:rPr>
            <w:color w:val="1155CC"/>
            <w:u w:val="single"/>
          </w:rPr>
          <w:t>GPNMB, LRRK2, and lysosome exocytosis in Parkinson’s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26">
        <w:r>
          <w:rPr>
            <w:color w:val="1155CC"/>
            <w:u w:val="single"/>
          </w:rPr>
          <w:t>10.1126/sciadv.aed8002</w:t>
        </w:r>
      </w:hyperlink>
    </w:p>
    <w:p>
      <w:pPr>
        <w:spacing w:before="0" w:after="120"/>
      </w:pPr>
      <w:r>
        <w:rPr>
          <w:b/>
        </w:rPr>
        <w:t xml:space="preserve">Notes: </w:t>
      </w:r>
      <w:r>
        <w:t>abstract_source=crossref</w:t>
      </w:r>
    </w:p>
    <w:p>
      <w:pPr>
        <w:spacing w:before="0" w:after="200" w:lineRule="auto" w:line="276"/>
      </w:pPr>
      <w:r>
        <w:rPr>
          <w:b/>
        </w:rPr>
        <w:t xml:space="preserve">Abstract: </w:t>
      </w:r>
      <w:r>
        <w:t>When two genes linked to increased Parkinson’s risk converge on a lysosome, LRRK2 mutation enhances lysosomal release of soluble GPNMB potentially contributing to synuclein pathology.</w:t>
      </w:r>
    </w:p>
    <w:p>
      <w:pPr>
        <w:spacing w:before="120" w:after="120"/>
      </w:pPr>
      <w:r>
        <w:rPr>
          <w:sz w:val="18"/>
        </w:rPr>
        <w:t>——————————————————————————————————————————————————————————————————————</w:t>
      </w:r>
    </w:p>
    <w:p>
      <w:pPr>
        <w:spacing w:before="160" w:after="80" w:line="240" w:lineRule="auto"/>
      </w:pPr>
      <w:r>
        <w:rPr>
          <w:b/>
        </w:rPr>
        <w:t xml:space="preserve">[396] </w:t>
      </w:r>
      <w:hyperlink r:id="rId627">
        <w:r>
          <w:rPr>
            <w:color w:val="1155CC"/>
            <w:u w:val="single"/>
          </w:rPr>
          <w:t>High-order expansion of neural ordinary differential equation flows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28">
        <w:r>
          <w:rPr>
            <w:color w:val="1155CC"/>
            <w:u w:val="single"/>
          </w:rPr>
          <w:t>10.1126/sciadv.ady1348</w:t>
        </w:r>
      </w:hyperlink>
    </w:p>
    <w:p>
      <w:pPr>
        <w:spacing w:before="0" w:after="120"/>
      </w:pPr>
      <w:r>
        <w:rPr>
          <w:b/>
        </w:rPr>
        <w:t xml:space="preserve">Notes: </w:t>
      </w:r>
      <w:r>
        <w:t>abstract_source=crossref</w:t>
      </w:r>
    </w:p>
    <w:p>
      <w:pPr>
        <w:spacing w:before="0" w:after="200" w:lineRule="auto" w:line="276"/>
      </w:pPr>
      <w:r>
        <w:rPr>
          <w:b/>
        </w:rPr>
        <w:t xml:space="preserve">Abstract: </w:t>
      </w:r>
      <w:r>
        <w:t>Artificial neural networks, widely recognized for their role in machine learning, are also transforming the study of ordinary differential equations (ODEs), bridging data-driven modeling with classical dynamical systems as well as enabling the development of infinitely deep neural models. However, their practical applicability remains, in this context, constrained by the opacity of the learned dynamics, which operate as black-box systems with limited explainability, thereby hindering trust in their deployment. Existing approaches for the analysis of neurally driven dynamical systems are now scarce and restricted to first-order gradient information due to computational constraints, thereby limiting the depth of achievable insight. Here, we introduce event transition tensors as a new tool containing high-order differential information that provides a rigorous mathematical description of NeuralODE dynamics on event manifolds. We demonstrate its versatility across diverse applications: characterizing uncertainties in a data-driven prey-predator control model, analyzing neural optimal feedback dynamics, and mapping landing trajectories in a three-body neural Hamiltonian system. In all cases, our method allows for the interpretability of NeuralODEs and their analytical verification by expressing their behavior through previously unknown explicit mathematical structures. The neural dynamics are thereby fully encapsulated within a set of compact, computationally efficient tensors, which retain all the necessary information for rigorous system analysis and certification. Our findings contribute to a deeper theoretical foundation for event-triggered neural differential equations and provide a mathematical construct for explaining complex system dynamics.</w:t>
      </w:r>
    </w:p>
    <w:p>
      <w:pPr>
        <w:spacing w:before="120" w:after="120"/>
      </w:pPr>
      <w:r>
        <w:rPr>
          <w:sz w:val="18"/>
        </w:rPr>
        <w:t>——————————————————————————————————————————————————————————————————————</w:t>
      </w:r>
    </w:p>
    <w:p>
      <w:pPr>
        <w:spacing w:before="160" w:after="80" w:line="240" w:lineRule="auto"/>
      </w:pPr>
      <w:r>
        <w:rPr>
          <w:b/>
        </w:rPr>
        <w:t xml:space="preserve">[397] </w:t>
      </w:r>
      <w:hyperlink r:id="rId629">
        <w:r>
          <w:rPr>
            <w:color w:val="1155CC"/>
            <w:u w:val="single"/>
          </w:rPr>
          <w:t>Immunometabolic insights into the foreign body response</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30">
        <w:r>
          <w:rPr>
            <w:color w:val="1155CC"/>
            <w:u w:val="single"/>
          </w:rPr>
          <w:t>10.1126/sciadv.aed8370</w:t>
        </w:r>
      </w:hyperlink>
    </w:p>
    <w:p>
      <w:pPr>
        <w:spacing w:before="0" w:after="120"/>
      </w:pPr>
      <w:r>
        <w:rPr>
          <w:b/>
        </w:rPr>
        <w:t xml:space="preserve">Notes: </w:t>
      </w:r>
      <w:r>
        <w:t>abstract_source=crossref</w:t>
      </w:r>
    </w:p>
    <w:p>
      <w:pPr>
        <w:spacing w:before="0" w:after="200" w:lineRule="auto" w:line="276"/>
      </w:pPr>
      <w:r>
        <w:rPr>
          <w:b/>
        </w:rPr>
        <w:t xml:space="preserve">Abstract: </w:t>
      </w:r>
      <w:r>
        <w:t>Differences in energy use by immune cells cause long-lasting inflammation, with higher glucose uptake strongly linked to the formation of scar tissue around implanted materials.</w:t>
      </w:r>
    </w:p>
    <w:p>
      <w:pPr>
        <w:spacing w:before="120" w:after="120"/>
      </w:pPr>
      <w:r>
        <w:rPr>
          <w:sz w:val="18"/>
        </w:rPr>
        <w:t>——————————————————————————————————————————————————————————————————————</w:t>
      </w:r>
    </w:p>
    <w:p>
      <w:pPr>
        <w:spacing w:before="160" w:after="80" w:line="240" w:lineRule="auto"/>
      </w:pPr>
      <w:r>
        <w:rPr>
          <w:b/>
        </w:rPr>
        <w:t xml:space="preserve">[398] </w:t>
      </w:r>
      <w:hyperlink r:id="rId631">
        <w:r>
          <w:rPr>
            <w:color w:val="1155CC"/>
            <w:u w:val="single"/>
          </w:rPr>
          <w:t>Frog vocal sacs-inspired soft acoustic system with continuously tunable resonance for sound emission and stethoscopic sensing</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32">
        <w:r>
          <w:rPr>
            <w:color w:val="1155CC"/>
            <w:u w:val="single"/>
          </w:rPr>
          <w:t>10.1126/sciadv.adz5930</w:t>
        </w:r>
      </w:hyperlink>
    </w:p>
    <w:p>
      <w:pPr>
        <w:spacing w:before="0" w:after="120"/>
      </w:pPr>
      <w:r>
        <w:rPr>
          <w:b/>
        </w:rPr>
        <w:t xml:space="preserve">Notes: </w:t>
      </w:r>
      <w:r>
        <w:t>abstract_source=crossref</w:t>
      </w:r>
    </w:p>
    <w:p>
      <w:pPr>
        <w:spacing w:before="0" w:after="200" w:lineRule="auto" w:line="276"/>
      </w:pPr>
      <w:r>
        <w:rPr>
          <w:b/>
        </w:rPr>
        <w:t xml:space="preserve">Abstract: </w:t>
      </w:r>
      <w:r>
        <w:t>To overcome limitations of flexible thermoacoustic devices in low-frequency emission and sensing, we present a resonance-adjustable graphene sound device (RAGSD) inspired by frog vocal sacs. Integrating laser-induced graphene (LIG) with a deformable cavity, RAGSD provides continuous tuning from 922.12 to 1762.90 hertz. A dynamic, continuously tunable electro-mechano-acoustical model explains the mechanism and predicts frequency with</w:t>
      </w:r>
      <w:r>
        <w:t xml:space="preserve"> </w:t>
      </w:r>
      <w:r>
        <w:t>R</w:t>
      </w:r>
      <w:r>
        <w:rPr>
          <w:vertAlign w:val="subscript"/>
        </w:rPr>
        <w:t>2</w:t>
      </w:r>
      <w:r>
        <w:t xml:space="preserve"> </w:t>
      </w:r>
      <w:r>
        <w:t>=</w:t>
      </w:r>
      <w:r>
        <w:t xml:space="preserve"> </w:t>
      </w:r>
      <w:r>
        <w:t>0.990</w:t>
      </w:r>
      <w:r>
        <w:t xml:space="preserve"> </w:t>
      </w:r>
      <w:r>
        <w:t>. In emission, a 25.34-decibel sound pressure level gain was observed at resonance, enabling controllable, frequency-selective voice amplification for personalized output. In sensing, the LIG piezoresistive readout delivers sensitive transduction, while resonance matching amplifies weak, high-frequency cardiac sounds. Wearable tests on healthy volunteers and patients recorded clear S1/S2 and pathological murmurs. Integrated with AuscNet-H, a deep learning algorithm designed for heart sound classification, the system achieved 99.375% accuracy across four clinical classes. Under inflation, no false negatives occurred, and misclassifications among similar diseases were fewer than with a commercial electronic stethoscope. These results demonstrate a practical path toward intelligent, wearable auscultation.</w:t>
      </w:r>
    </w:p>
    <w:p>
      <w:pPr>
        <w:spacing w:before="120" w:after="120"/>
      </w:pPr>
      <w:r>
        <w:rPr>
          <w:sz w:val="18"/>
        </w:rPr>
        <w:t>——————————————————————————————————————————————————————————————————————</w:t>
      </w:r>
    </w:p>
    <w:p>
      <w:pPr>
        <w:spacing w:before="160" w:after="80" w:line="240" w:lineRule="auto"/>
      </w:pPr>
      <w:r>
        <w:rPr>
          <w:b/>
        </w:rPr>
        <w:t xml:space="preserve">[399] </w:t>
      </w:r>
      <w:hyperlink r:id="rId633">
        <w:r>
          <w:rPr>
            <w:color w:val="1155CC"/>
            <w:u w:val="single"/>
          </w:rPr>
          <w:t>Resident phagocytes promote non–cell-autonomous fragmentation of apoptotic cells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34">
        <w:r>
          <w:rPr>
            <w:color w:val="1155CC"/>
            <w:u w:val="single"/>
          </w:rPr>
          <w:t>10.1126/sciadv.adz5264</w:t>
        </w:r>
      </w:hyperlink>
    </w:p>
    <w:p>
      <w:pPr>
        <w:spacing w:before="0" w:after="120"/>
      </w:pPr>
      <w:r>
        <w:rPr>
          <w:b/>
        </w:rPr>
        <w:t xml:space="preserve">Notes: </w:t>
      </w:r>
      <w:r>
        <w:t>abstract_source=crossref</w:t>
      </w:r>
    </w:p>
    <w:p>
      <w:pPr>
        <w:spacing w:before="0" w:after="200" w:lineRule="auto" w:line="276"/>
      </w:pPr>
      <w:r>
        <w:rPr>
          <w:b/>
        </w:rPr>
        <w:t xml:space="preserve">Abstract: </w:t>
      </w:r>
      <w:r>
        <w:t>Phagocytosis of apoptotic cells maintains tissue homeostasis and regulates inflammation. A proposed facilitator of apoptotic cell clearance is the fragmentation of these cells into apoptotic bodies (ApoBDs) through cell-autonomous processes involving caspases and cytoskeletal rearrangement. Although this fragmentation process is considered a hallmark of apoptosis, its progression in tissue environments remains underexplored. Here, we examine the in vivo apoptotic dynamics of mouse thymocytes and pluripotent cells from zebrafish embryos. We show that the in vivo biogenesis of ApoBDs is independent of known cell-intrinsic regulators. Instead, fragmentation depends on actin-rich protrusions from neighboring resident phagocytes, which mechanically compress apoptotic cells to break them into smaller particles. Four-dimensional in vivo tracking of apoptotic cells reveals that both phagocyte-mediated fragmentation and phagocytosis are size sensitive, indicating that apoptotic size reduction mediated by phagocytes enhances their own clearance abilities. This non–cell-autonomous fragmentation ensures rapid apoptotic cell clearance, crucial for maintaining tissue homeostasis in physiological settings.</w:t>
      </w:r>
    </w:p>
    <w:p>
      <w:pPr>
        <w:spacing w:before="120" w:after="120"/>
      </w:pPr>
      <w:r>
        <w:rPr>
          <w:sz w:val="18"/>
        </w:rPr>
        <w:t>——————————————————————————————————————————————————————————————————————</w:t>
      </w:r>
    </w:p>
    <w:p>
      <w:pPr>
        <w:spacing w:before="160" w:after="80" w:line="240" w:lineRule="auto"/>
      </w:pPr>
      <w:r>
        <w:rPr>
          <w:b/>
        </w:rPr>
        <w:t xml:space="preserve">[400] </w:t>
      </w:r>
      <w:hyperlink r:id="rId635">
        <w:r>
          <w:rPr>
            <w:color w:val="1155CC"/>
            <w:u w:val="single"/>
          </w:rPr>
          <w:t>Piezo-photocatalysis over high-nuclearity titanium-oxide cluster via lead heterocoordination enhances activity by piezoelectric effect</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36">
        <w:r>
          <w:rPr>
            <w:color w:val="1155CC"/>
            <w:u w:val="single"/>
          </w:rPr>
          <w:t>10.1126/sciadv.aea4692</w:t>
        </w:r>
      </w:hyperlink>
    </w:p>
    <w:p>
      <w:pPr>
        <w:spacing w:before="0" w:after="120"/>
      </w:pPr>
      <w:r>
        <w:rPr>
          <w:b/>
        </w:rPr>
        <w:t xml:space="preserve">Notes: </w:t>
      </w:r>
      <w:r>
        <w:t>abstract_source=crossref</w:t>
      </w:r>
    </w:p>
    <w:p>
      <w:pPr>
        <w:spacing w:before="0" w:after="200" w:lineRule="auto" w:line="276"/>
      </w:pPr>
      <w:r>
        <w:rPr>
          <w:b/>
        </w:rPr>
        <w:t xml:space="preserve">Abstract: </w:t>
      </w:r>
      <w:r>
        <w:t>Piezoelectric materials usually exist in solid-state forms with obscure structures, hindering atomic-level understanding of structure-property relationships. Here, we report the piezoelectric high-nuclearity titanium-oxide molecular cluster, Ti</w:t>
      </w:r>
      <w:r>
        <w:rPr>
          <w:vertAlign w:val="subscript"/>
        </w:rPr>
        <w:t>26</w:t>
      </w:r>
      <w:r>
        <w:t>Pb</w:t>
      </w:r>
      <w:r>
        <w:rPr>
          <w:vertAlign w:val="subscript"/>
        </w:rPr>
        <w:t>10</w:t>
      </w:r>
      <w:r>
        <w:t>, constructed via a dopant metal coordination strategy. The cluster framework comprises 26 Ti atoms linked by binuclear units, with 10 Pb</w:t>
      </w:r>
      <w:r>
        <w:t xml:space="preserve"> </w:t>
      </w:r>
      <w:r>
        <w:t>2+</w:t>
      </w:r>
      <w:r>
        <w:t xml:space="preserve"> </w:t>
      </w:r>
      <w:r>
        <w:t>ions anchored through distinct coordination: 2 embedded and 8 surface exposed. Ti</w:t>
      </w:r>
      <w:r>
        <w:rPr>
          <w:vertAlign w:val="subscript"/>
        </w:rPr>
        <w:t>26</w:t>
      </w:r>
      <w:r>
        <w:t>Pb</w:t>
      </w:r>
      <w:r>
        <w:rPr>
          <w:vertAlign w:val="subscript"/>
        </w:rPr>
        <w:t>10</w:t>
      </w:r>
      <w:r>
        <w:t>displays a piezoelectric constant 5.5 times higher than PbTiO</w:t>
      </w:r>
      <w:r>
        <w:rPr>
          <w:vertAlign w:val="subscript"/>
        </w:rPr>
        <w:t>3</w:t>
      </w:r>
      <w:r>
        <w:t>, as confirmed by piezoresponse force microscopy. Density functional theory simulations reveal stress-induced lattice distortion and bandgap shifts. Critically, leveraging piezo-photocatalytic synergy, Ti</w:t>
      </w:r>
      <w:r>
        <w:rPr>
          <w:vertAlign w:val="subscript"/>
        </w:rPr>
        <w:t>26</w:t>
      </w:r>
      <w:r>
        <w:t>Pb</w:t>
      </w:r>
      <w:r>
        <w:rPr>
          <w:vertAlign w:val="subscript"/>
        </w:rPr>
        <w:t>10</w:t>
      </w:r>
      <w:r>
        <w:t>enables ultraefficient tetracycline degradation, achieving a rate 15 times faster than PbTiO</w:t>
      </w:r>
      <w:r>
        <w:rPr>
          <w:vertAlign w:val="subscript"/>
        </w:rPr>
        <w:t>3</w:t>
      </w:r>
      <w:r>
        <w:t>under combined light and ultrasound, with a superior synergy factor. Mechanistic studies indicate that local electric fields coupled with light excitation promote</w:t>
      </w:r>
      <w:r>
        <w:rPr>
          <w:vertAlign w:val="subscript"/>
        </w:rPr>
        <w:t>1</w:t>
      </w:r>
      <w:r>
        <w:t>O</w:t>
      </w:r>
      <w:r>
        <w:rPr>
          <w:vertAlign w:val="subscript"/>
        </w:rPr>
        <w:t>2</w:t>
      </w:r>
      <w:r>
        <w:t>generation. This work extends titanium-oxide clusters into piezo-photocatalysis and provides a rational design paradigm for multifield synergistic catalysis and atomic-level structure-activity insights.</w:t>
      </w:r>
    </w:p>
    <w:p>
      <w:pPr>
        <w:spacing w:before="120" w:after="120"/>
      </w:pPr>
      <w:r>
        <w:rPr>
          <w:sz w:val="18"/>
        </w:rPr>
        <w:t>——————————————————————————————————————————————————————————————————————</w:t>
      </w:r>
    </w:p>
    <w:p>
      <w:pPr>
        <w:spacing w:before="160" w:after="80" w:line="240" w:lineRule="auto"/>
      </w:pPr>
      <w:r>
        <w:rPr>
          <w:b/>
        </w:rPr>
        <w:t xml:space="preserve">[401] </w:t>
      </w:r>
      <w:hyperlink r:id="rId637">
        <w:r>
          <w:rPr>
            <w:color w:val="1155CC"/>
            <w:u w:val="single"/>
          </w:rPr>
          <w:t>lncRNA LINC-PINT controls lymphatic function and inflammatory profile in lymphedema</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38">
        <w:r>
          <w:rPr>
            <w:color w:val="1155CC"/>
            <w:u w:val="single"/>
          </w:rPr>
          <w:t>10.1126/sciadv.aea2960</w:t>
        </w:r>
      </w:hyperlink>
    </w:p>
    <w:p>
      <w:pPr>
        <w:spacing w:before="0" w:after="120"/>
      </w:pPr>
      <w:r>
        <w:rPr>
          <w:b/>
        </w:rPr>
        <w:t xml:space="preserve">Notes: </w:t>
      </w:r>
      <w:r>
        <w:t>abstract_source=crossref</w:t>
      </w:r>
    </w:p>
    <w:p>
      <w:pPr>
        <w:spacing w:before="0" w:after="200" w:lineRule="auto" w:line="276"/>
      </w:pPr>
      <w:r>
        <w:rPr>
          <w:b/>
        </w:rPr>
        <w:t xml:space="preserve">Abstract: </w:t>
      </w:r>
      <w:r>
        <w:t>Lymphedema is a lymphatic dysfunction leading to an accumulation of fluid and fat in the arm or leg. Here, we performed noncoding RNA profiling of human breast cancer–induced secondary lymphedema. We identified the long intergenic non–protein coding RNA, P53-induced transcript (</w:t>
      </w:r>
      <w:r>
        <w:t xml:space="preserve"> </w:t>
      </w:r>
      <w:r>
        <w:t>LINC-PINT</w:t>
      </w:r>
      <w:r>
        <w:t xml:space="preserve"> </w:t>
      </w:r>
      <w:r>
        <w:t>), as essential for the lymphedema development.</w:t>
      </w:r>
      <w:r>
        <w:t xml:space="preserve"> </w:t>
      </w:r>
      <w:r>
        <w:t>LINC-PINT</w:t>
      </w:r>
      <w:r>
        <w:t xml:space="preserve"> </w:t>
      </w:r>
      <w:r>
        <w:t>is the most expressed lncRNA in human lymphatic endothelial cells (LECs) under stress condition. Knocking down</w:t>
      </w:r>
      <w:r>
        <w:t xml:space="preserve"> </w:t>
      </w:r>
      <w:r>
        <w:t>LINC-PINT</w:t>
      </w:r>
      <w:r>
        <w:t xml:space="preserve"> </w:t>
      </w:r>
      <w:r>
        <w:t>in LECs promotes the expression of inflammation-related genes. Mechanistically, ATAC-seq revealed that</w:t>
      </w:r>
      <w:r>
        <w:t xml:space="preserve"> </w:t>
      </w:r>
      <w:r>
        <w:t>LINC-PINT</w:t>
      </w:r>
      <w:r>
        <w:t xml:space="preserve"> </w:t>
      </w:r>
      <w:r>
        <w:t>induces the transcription of genes involved in lymphangiogenesis and immune cell adhesion by increasing chromatin accessibility. Notably,</w:t>
      </w:r>
      <w:r>
        <w:t xml:space="preserve"> </w:t>
      </w:r>
      <w:r>
        <w:t>LINC-PINT</w:t>
      </w:r>
      <w:r>
        <w:t xml:space="preserve"> </w:t>
      </w:r>
      <w:r>
        <w:t>deficiency impairs LEC proliferation, migration, and sprouting. Conditional deletion of</w:t>
      </w:r>
      <w:r>
        <w:t xml:space="preserve"> </w:t>
      </w:r>
      <w:r>
        <w:t>Lnc-Pint</w:t>
      </w:r>
      <w:r>
        <w:t xml:space="preserve"> </w:t>
      </w:r>
      <w:r>
        <w:t>in mouse lymphatic endothelium (Lnc-Pint</w:t>
      </w:r>
      <w:r>
        <w:t xml:space="preserve"> </w:t>
      </w:r>
      <w:r>
        <w:t>lecko</w:t>
      </w:r>
      <w:r>
        <w:t xml:space="preserve"> </w:t>
      </w:r>
      <w:r>
        <w:t>) leads to a reduction in dermal lymphatic network density. Lnc-Pint</w:t>
      </w:r>
      <w:r>
        <w:t xml:space="preserve"> </w:t>
      </w:r>
      <w:r>
        <w:t>lecko</w:t>
      </w:r>
      <w:r>
        <w:t xml:space="preserve"> </w:t>
      </w:r>
      <w:r>
        <w:t>mice exhibit decreased lymphedema, reduced dermal backflow, fibrosis, and inflammation. Our findings unveil a crucial molecular role of</w:t>
      </w:r>
      <w:r>
        <w:t xml:space="preserve"> </w:t>
      </w:r>
      <w:r>
        <w:t>LINC-PINT</w:t>
      </w:r>
      <w:r>
        <w:t xml:space="preserve"> </w:t>
      </w:r>
      <w:r>
        <w:t>in lymphatic function and hold substantial clinical implications for lncRNA as biomarker of lymphedema.</w:t>
      </w:r>
    </w:p>
    <w:p>
      <w:pPr>
        <w:spacing w:before="120" w:after="120"/>
      </w:pPr>
      <w:r>
        <w:rPr>
          <w:sz w:val="18"/>
        </w:rPr>
        <w:t>——————————————————————————————————————————————————————————————————————</w:t>
      </w:r>
    </w:p>
    <w:p>
      <w:pPr>
        <w:spacing w:before="160" w:after="80" w:line="240" w:lineRule="auto"/>
      </w:pPr>
      <w:r>
        <w:rPr>
          <w:b/>
        </w:rPr>
        <w:t xml:space="preserve">[402] </w:t>
      </w:r>
      <w:hyperlink r:id="rId639">
        <w:r>
          <w:rPr>
            <w:color w:val="1155CC"/>
            <w:u w:val="single"/>
          </w:rPr>
          <w:t>Heterophase RuO2 oxygen evolution catalyst for durable proton exchange membrane water electrolysis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40">
        <w:r>
          <w:rPr>
            <w:color w:val="1155CC"/>
            <w:u w:val="single"/>
          </w:rPr>
          <w:t>10.1126/sciadv.aea4543</w:t>
        </w:r>
      </w:hyperlink>
    </w:p>
    <w:p>
      <w:pPr>
        <w:spacing w:before="0" w:after="120"/>
      </w:pPr>
      <w:r>
        <w:rPr>
          <w:b/>
        </w:rPr>
        <w:t xml:space="preserve">Notes: </w:t>
      </w:r>
      <w:r>
        <w:t>abstract_source=crossref</w:t>
      </w:r>
    </w:p>
    <w:p>
      <w:pPr>
        <w:spacing w:before="0" w:after="200" w:lineRule="auto" w:line="276"/>
      </w:pPr>
      <w:r>
        <w:rPr>
          <w:b/>
        </w:rPr>
        <w:t xml:space="preserve">Abstract: </w:t>
      </w:r>
      <w:r>
        <w:t>Dissolution of ruthenium (Ru) species under harsh anode operating conditions severely impedes the commercialization of non–iridium (Ir) proton exchange membrane water electrolyzers (PEMWEs). Here, we propose a catalyst design strategy that engineers phases beyond conventional atomic ordering, constructing a heterophase MoRuO</w:t>
      </w:r>
      <w:r>
        <w:t xml:space="preserve"> </w:t>
      </w:r>
      <w:r>
        <w:t>x</w:t>
      </w:r>
      <w:r>
        <w:t xml:space="preserve"> </w:t>
      </w:r>
      <w:r>
        <w:t>catalyst (AC-MoRuO</w:t>
      </w:r>
      <w:r>
        <w:t xml:space="preserve"> </w:t>
      </w:r>
      <w:r>
        <w:t>x</w:t>
      </w:r>
      <w:r>
        <w:t xml:space="preserve"> </w:t>
      </w:r>
      <w:r>
        <w:t>). This catalyst achieves 10 milliamperes per square centimeter in an acidic oxygen evolution reaction with merely 180-millivolt overpotential while operating stably for &amp;gt;3000 hours. In PEMWE devices, AC-MoRuO</w:t>
      </w:r>
      <w:r>
        <w:t xml:space="preserve"> </w:t>
      </w:r>
      <w:r>
        <w:t>x</w:t>
      </w:r>
      <w:r>
        <w:t xml:space="preserve"> </w:t>
      </w:r>
      <w:r>
        <w:t>delivers record durability at industrial current densities: ≥2000 hours at 1.0 ampere per square centimeter and 1000 hours at 1.5 amperes per square centimeter. We demonstrate that heterophase architecture and atomic arrangements reconfigure electronic structures and phase distribution, simultaneously optimizing active-site density and structural integrity. This breakthrough resolves the long-standing activity-stability trade-off in ruthenium-based catalysts.</w:t>
      </w:r>
    </w:p>
    <w:p>
      <w:pPr>
        <w:spacing w:before="120" w:after="120"/>
      </w:pPr>
      <w:r>
        <w:rPr>
          <w:sz w:val="18"/>
        </w:rPr>
        <w:t>——————————————————————————————————————————————————————————————————————</w:t>
      </w:r>
    </w:p>
    <w:p>
      <w:pPr>
        <w:spacing w:before="160" w:after="80" w:line="240" w:lineRule="auto"/>
      </w:pPr>
      <w:r>
        <w:rPr>
          <w:b/>
        </w:rPr>
        <w:t xml:space="preserve">[403] </w:t>
      </w:r>
      <w:hyperlink r:id="rId641">
        <w:r>
          <w:rPr>
            <w:color w:val="1155CC"/>
            <w:u w:val="single"/>
          </w:rPr>
          <w:t>Phosphorus-lithium double-helix nanoribbons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42">
        <w:r>
          <w:rPr>
            <w:color w:val="1155CC"/>
            <w:u w:val="single"/>
          </w:rPr>
          <w:t>10.1126/sciadv.adz4766</w:t>
        </w:r>
      </w:hyperlink>
    </w:p>
    <w:p>
      <w:pPr>
        <w:spacing w:before="0" w:after="120"/>
      </w:pPr>
      <w:r>
        <w:rPr>
          <w:b/>
        </w:rPr>
        <w:t xml:space="preserve">Notes: </w:t>
      </w:r>
      <w:r>
        <w:t>abstract_source=crossref</w:t>
      </w:r>
    </w:p>
    <w:p>
      <w:pPr>
        <w:spacing w:before="0" w:after="200" w:lineRule="auto" w:line="276"/>
      </w:pPr>
      <w:r>
        <w:rPr>
          <w:b/>
        </w:rPr>
        <w:t xml:space="preserve">Abstract: </w:t>
      </w:r>
      <w:r>
        <w:t>Phosphorus nanoribbons combine the tunable bandgap and high mobility with the inherent anisotropy of one-dimensional systems, offering promise for functional electronics, but their intrinsic low stability hinders practical applications. Here, we report phosphorus-lithium double-helix nanoribbons with a well-ordered helical architecture and high structural stability under harsh conditions such as in air up to 225°C, water, and even acidic solutions. Comprehensive experimental characterizations and theoretical analyses show that the stability arises from a synergistic combination of Zintl phase formation between phosphorus and lithium atoms, noncovalent interhelical interactions, and geometric protection offered by the distinctive helical architecture. The nanoribbons show tunable optical properties dependent on temperature, thickness, and polarization state. It is demonstrated that these properties enabled nanoribbon-based hydrogels with self-healability and highly efficient photothermal conversion, showing a general approach for stabilizing active low-dimensional materials and paving the way for applying phosphorus-based nanostructures in biomedical engineering and quantum technologies.</w:t>
      </w:r>
    </w:p>
    <w:p>
      <w:pPr>
        <w:spacing w:before="120" w:after="120"/>
      </w:pPr>
      <w:r>
        <w:rPr>
          <w:sz w:val="18"/>
        </w:rPr>
        <w:t>——————————————————————————————————————————————————————————————————————</w:t>
      </w:r>
    </w:p>
    <w:p>
      <w:pPr>
        <w:spacing w:before="160" w:after="80" w:line="240" w:lineRule="auto"/>
      </w:pPr>
      <w:r>
        <w:rPr>
          <w:b/>
        </w:rPr>
        <w:t xml:space="preserve">[404] </w:t>
      </w:r>
      <w:hyperlink r:id="rId643">
        <w:r>
          <w:rPr>
            <w:color w:val="1155CC"/>
            <w:u w:val="single"/>
          </w:rPr>
          <w:t>Programmable acoustofluidic engineering for creating gradient biomaterials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44">
        <w:r>
          <w:rPr>
            <w:color w:val="1155CC"/>
            <w:u w:val="single"/>
          </w:rPr>
          <w:t>10.1126/sciadv.aeb0879</w:t>
        </w:r>
      </w:hyperlink>
    </w:p>
    <w:p>
      <w:pPr>
        <w:spacing w:before="0" w:after="120"/>
      </w:pPr>
      <w:r>
        <w:rPr>
          <w:b/>
        </w:rPr>
        <w:t xml:space="preserve">Notes: </w:t>
      </w:r>
      <w:r>
        <w:t>abstract_source=crossref</w:t>
      </w:r>
    </w:p>
    <w:p>
      <w:pPr>
        <w:spacing w:before="0" w:after="200" w:lineRule="auto" w:line="276"/>
      </w:pPr>
      <w:r>
        <w:rPr>
          <w:b/>
        </w:rPr>
        <w:t xml:space="preserve">Abstract: </w:t>
      </w:r>
      <w:r>
        <w:t>Gradient biomaterials that exhibit spatially varying physical, chemical, or biological properties can be used in various applications such as tissue engineering, organoid development, mechanobiology, and spatially controlled drug delivery. However, current fabrication methods often suffer from limited gradient precision, restricted material compatibility, and poor reproducibility. Here, we introduced gradient regulation via acoustofluidic dynamic engineering (GRADE), a programmable system to generate high-fidelity gradient biomaterials across different material systems. By incorporating focused interdigital transducers with the pulsed surface acoustic wave actuation, GRADE can achieve tunable and directional acoustic streaming (0 to 22 millimeters per second), which allows accurate regulation of the gradient magnitude and length. Its open microchannel design enables nondestructive extraction of centimeter-scale gradients and supports device reuse, enhancing practicality and scalability. In contrast to magnetic or electrospinning techniques that are limited to specific material types, the GRADE approach supports composition-independent fluid manipulation of a diverse group of biomaterials and cross-linking methods, thus providing greater versatility and translational potential. Furthermore, we demonstrate stiffness-dependent mechanosensation in stem cells cultured on customized gradient substrates, which validates the platform’s usability. The experimental results show that GRADE has the ability to uncover mechanobiological responses in physiologically relevant contexts. All these results establish GRADE as a powerful and versatile platform for gradient biomaterial fabrication. It shows broad potential to advance both fundamental research and translational biomedical applications.</w:t>
      </w:r>
    </w:p>
    <w:p>
      <w:pPr>
        <w:spacing w:before="120" w:after="120"/>
      </w:pPr>
      <w:r>
        <w:rPr>
          <w:sz w:val="18"/>
        </w:rPr>
        <w:t>——————————————————————————————————————————————————————————————————————</w:t>
      </w:r>
    </w:p>
    <w:p>
      <w:pPr>
        <w:spacing w:before="160" w:after="80" w:line="240" w:lineRule="auto"/>
      </w:pPr>
      <w:r>
        <w:rPr>
          <w:b/>
        </w:rPr>
        <w:t xml:space="preserve">[405] </w:t>
      </w:r>
      <w:hyperlink r:id="rId645">
        <w:r>
          <w:rPr>
            <w:color w:val="1155CC"/>
            <w:u w:val="single"/>
          </w:rPr>
          <w:t>Nanosheet-bridged metal-organic framework membranes for durable hydrocarbon separation under high pressure</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46">
        <w:r>
          <w:rPr>
            <w:color w:val="1155CC"/>
            <w:u w:val="single"/>
          </w:rPr>
          <w:t>10.1126/sciadv.adz3219</w:t>
        </w:r>
      </w:hyperlink>
    </w:p>
    <w:p>
      <w:pPr>
        <w:spacing w:before="0" w:after="120"/>
      </w:pPr>
      <w:r>
        <w:rPr>
          <w:b/>
        </w:rPr>
        <w:t xml:space="preserve">Notes: </w:t>
      </w:r>
      <w:r>
        <w:t>abstract_source=crossref</w:t>
      </w:r>
    </w:p>
    <w:p>
      <w:pPr>
        <w:spacing w:before="0" w:after="200" w:lineRule="auto" w:line="276"/>
      </w:pPr>
      <w:r>
        <w:rPr>
          <w:b/>
        </w:rPr>
        <w:t xml:space="preserve">Abstract: </w:t>
      </w:r>
      <w:r>
        <w:t>Metal-organic framework (MOF) membranes have garnered notable interest in molecular separation. However, their high-pressure application is severely hampered by the mechanical fragility stemming from weak interactions at grain boundaries. Inspired by the cuttlebone’s wall-cavity structure, we develop a class of nanosheets-bridged MOF membranes (NB-MOFs). These graphene oxide nanosheets act as a rigid wall, bridging soft MOF grains and dispersing accumulated stresses at grain boundaries under external loadings, thereby preventing structural cracking and enhancing the mechanical robustness of crystal membranes. By fine-tuning the morphology and content of nanosheets, the optimized NB–ZIF-8 membranes are endowed with unprecedented 50-bar pressure resistance and superior C</w:t>
      </w:r>
      <w:r>
        <w:rPr>
          <w:vertAlign w:val="subscript"/>
        </w:rPr>
        <w:t>3</w:t>
      </w:r>
      <w:r>
        <w:t>H</w:t>
      </w:r>
      <w:r>
        <w:rPr>
          <w:vertAlign w:val="subscript"/>
        </w:rPr>
        <w:t>6</w:t>
      </w:r>
      <w:r>
        <w:t>/C</w:t>
      </w:r>
      <w:r>
        <w:rPr>
          <w:vertAlign w:val="subscript"/>
        </w:rPr>
        <w:t>3</w:t>
      </w:r>
      <w:r>
        <w:t>H</w:t>
      </w:r>
      <w:r>
        <w:rPr>
          <w:vertAlign w:val="subscript"/>
        </w:rPr>
        <w:t>8</w:t>
      </w:r>
      <w:r>
        <w:t>separation performance, with a separation factor &amp;gt;240 maintained above 300 hours at industry-relevant pressure. We also confirm our strategy’s versatility by fabricating pressure-resistant NB–ZIF-67 membrane and commercial polymer-supported NB-MOF membranes. We envision that our strategy will establish a platform for developing durable crystalline membranes and unlock their potential in real-world scenarios.</w:t>
      </w:r>
    </w:p>
    <w:p>
      <w:pPr>
        <w:spacing w:before="120" w:after="120"/>
      </w:pPr>
      <w:r>
        <w:rPr>
          <w:sz w:val="18"/>
        </w:rPr>
        <w:t>——————————————————————————————————————————————————————————————————————</w:t>
      </w:r>
    </w:p>
    <w:p>
      <w:pPr>
        <w:spacing w:before="160" w:after="80" w:line="240" w:lineRule="auto"/>
      </w:pPr>
      <w:r>
        <w:rPr>
          <w:b/>
        </w:rPr>
        <w:t xml:space="preserve">[406] </w:t>
      </w:r>
      <w:hyperlink r:id="rId647">
        <w:r>
          <w:rPr>
            <w:color w:val="1155CC"/>
            <w:u w:val="single"/>
          </w:rPr>
          <w:t>Multimaterial 3D printed soft robots with embedded actuation and sensing</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48">
        <w:r>
          <w:rPr>
            <w:color w:val="1155CC"/>
            <w:u w:val="single"/>
          </w:rPr>
          <w:t>10.1126/sciadv.adz2928</w:t>
        </w:r>
      </w:hyperlink>
    </w:p>
    <w:p>
      <w:pPr>
        <w:spacing w:before="0" w:after="120"/>
      </w:pPr>
      <w:r>
        <w:rPr>
          <w:b/>
        </w:rPr>
        <w:t xml:space="preserve">Notes: </w:t>
      </w:r>
      <w:r>
        <w:t>abstract_source=crossref</w:t>
      </w:r>
    </w:p>
    <w:p>
      <w:pPr>
        <w:spacing w:before="0" w:after="200" w:lineRule="auto" w:line="276"/>
      </w:pPr>
      <w:r>
        <w:rPr>
          <w:b/>
        </w:rPr>
        <w:t xml:space="preserve">Abstract: </w:t>
      </w:r>
      <w:r>
        <w:t>Soft robots require the seamless integration of actuation and sensing units to achieve autonomy and adaptability behaviors. This demands conformal, stretchable, and spatially distributed electronic components—an unmet challenge with conventional design and fabrication methods due to complex three-dimensional (3D) geometries, multimaterial integration, and mechanical-electrical mismatches between rigid electronics and soft bodies. Here, we present a design and fabrication framework for autonomous soft robots with embedded actuation and sensing. We develop an integrated digital light processing and direct ink writing 3D printing technology to fabricate soft robots with embedded and conformal 3D electronics in an automated manner. To ensure both electrical and mechanical stability under large deformation, we introduce a structural design strategy incorporating lattice metamaterials, wavy interconnects, and discretized printed circuit boards. By combining the fabrication and design methods, we demonstrate soft robots with multimodal actuation, real-time tactile sensing, wireless communication, tactile-to-visual feedback, and autonomous obstacle avoidance. Our approach paves the way for the development of electronics-integrated autonomous soft robots.</w:t>
      </w:r>
    </w:p>
    <w:p>
      <w:pPr>
        <w:spacing w:before="120" w:after="120"/>
      </w:pPr>
      <w:r>
        <w:rPr>
          <w:sz w:val="18"/>
        </w:rPr>
        <w:t>——————————————————————————————————————————————————————————————————————</w:t>
      </w:r>
    </w:p>
    <w:p>
      <w:pPr>
        <w:spacing w:before="160" w:after="80" w:line="240" w:lineRule="auto"/>
      </w:pPr>
      <w:r>
        <w:rPr>
          <w:b/>
        </w:rPr>
        <w:t xml:space="preserve">[407] </w:t>
      </w:r>
      <w:hyperlink r:id="rId649">
        <w:r>
          <w:rPr>
            <w:color w:val="1155CC"/>
            <w:u w:val="single"/>
          </w:rPr>
          <w:t>The mechanism of action of digoxin requires the sodium-dependent inactivation of the sodium-calcium exchanger</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50">
        <w:r>
          <w:rPr>
            <w:color w:val="1155CC"/>
            <w:u w:val="single"/>
          </w:rPr>
          <w:t>10.1126/sciadv.ady9596</w:t>
        </w:r>
      </w:hyperlink>
    </w:p>
    <w:p>
      <w:pPr>
        <w:spacing w:before="0" w:after="120"/>
      </w:pPr>
      <w:r>
        <w:rPr>
          <w:b/>
        </w:rPr>
        <w:t xml:space="preserve">Notes: </w:t>
      </w:r>
      <w:r>
        <w:t>abstract_source=crossref</w:t>
      </w:r>
    </w:p>
    <w:p>
      <w:pPr>
        <w:spacing w:before="0" w:after="200" w:lineRule="auto" w:line="276"/>
      </w:pPr>
      <w:r>
        <w:rPr>
          <w:b/>
        </w:rPr>
        <w:t xml:space="preserve">Abstract: </w:t>
      </w:r>
      <w:r>
        <w:t>For more than two centuries, digoxin has been used to treat heart failure by increasing the strength of cardiac contraction and, more recently, is used for heart rate control. The proposed, yet unproven, mechanism underlying digoxin’s positive inotropic effect is as follows: By inhibiting the Na</w:t>
      </w:r>
      <w:r>
        <w:t xml:space="preserve"> </w:t>
      </w:r>
      <w:r>
        <w:t>+</w:t>
      </w:r>
      <w:r>
        <w:t xml:space="preserve"> </w:t>
      </w:r>
      <w:r>
        <w:t>-K</w:t>
      </w:r>
      <w:r>
        <w:t xml:space="preserve"> </w:t>
      </w:r>
      <w:r>
        <w:t>+</w:t>
      </w:r>
      <w:r>
        <w:t xml:space="preserve"> </w:t>
      </w:r>
      <w:r>
        <w:t>ATPase (NKA), digoxin partially dissipates the transmembrane Na</w:t>
      </w:r>
      <w:r>
        <w:t xml:space="preserve"> </w:t>
      </w:r>
      <w:r>
        <w:t>+</w:t>
      </w:r>
      <w:r>
        <w:t xml:space="preserve"> </w:t>
      </w:r>
      <w:r>
        <w:t>gradient, which is used by the Na</w:t>
      </w:r>
      <w:r>
        <w:t xml:space="preserve"> </w:t>
      </w:r>
      <w:r>
        <w:t>+</w:t>
      </w:r>
      <w:r>
        <w:t xml:space="preserve"> </w:t>
      </w:r>
      <w:r>
        <w:t>-Ca</w:t>
      </w:r>
      <w:r>
        <w:t xml:space="preserve"> </w:t>
      </w:r>
      <w:r>
        <w:t>2+</w:t>
      </w:r>
      <w:r>
        <w:t xml:space="preserve"> </w:t>
      </w:r>
      <w:r>
        <w:t>exchanger (NCX1) to extrude Ca</w:t>
      </w:r>
      <w:r>
        <w:t xml:space="preserve"> </w:t>
      </w:r>
      <w:r>
        <w:t>2+</w:t>
      </w:r>
      <w:r>
        <w:t xml:space="preserve"> </w:t>
      </w:r>
      <w:r>
        <w:t>from myocytes, thus causing accumulation of cytosolic Ca</w:t>
      </w:r>
      <w:r>
        <w:t xml:space="preserve"> </w:t>
      </w:r>
      <w:r>
        <w:t>2+</w:t>
      </w:r>
      <w:r>
        <w:t xml:space="preserve"> </w:t>
      </w:r>
      <w:r>
        <w:t>and therefore increased cardiac contractility. Here, we demonstrate that digoxin critically relies on a specific allosteric regulation of NCX1, known as Na</w:t>
      </w:r>
      <w:r>
        <w:t xml:space="preserve"> </w:t>
      </w:r>
      <w:r>
        <w:t>+</w:t>
      </w:r>
      <w:r>
        <w:t xml:space="preserve"> </w:t>
      </w:r>
      <w:r>
        <w:t>-dependent inactivation, to exert its positive inotropic effect, establishing the precise mechanism of action of this historic drug. These findings identify a distinct molecular target for the development of positive inotropes that avoid the undesirable effects associated with the blockade of NKA. As the structural information for the region involved with NCX1 Na</w:t>
      </w:r>
      <w:r>
        <w:t xml:space="preserve"> </w:t>
      </w:r>
      <w:r>
        <w:t>+</w:t>
      </w:r>
      <w:r>
        <w:t xml:space="preserve"> </w:t>
      </w:r>
      <w:r>
        <w:t>-dependent inhibition is well resolved, we provide the mechanistic foundation for drug development.</w:t>
      </w:r>
    </w:p>
    <w:p>
      <w:pPr>
        <w:spacing w:before="120" w:after="120"/>
      </w:pPr>
      <w:r>
        <w:rPr>
          <w:sz w:val="18"/>
        </w:rPr>
        <w:t>——————————————————————————————————————————————————————————————————————</w:t>
      </w:r>
    </w:p>
    <w:p>
      <w:pPr>
        <w:spacing w:before="160" w:after="80" w:line="240" w:lineRule="auto"/>
      </w:pPr>
      <w:r>
        <w:rPr>
          <w:b/>
        </w:rPr>
        <w:t xml:space="preserve">[408] </w:t>
      </w:r>
      <w:hyperlink r:id="rId651">
        <w:r>
          <w:rPr>
            <w:color w:val="1155CC"/>
            <w:u w:val="single"/>
          </w:rPr>
          <w:t>In situ NMR–guided design of alkaline electrochemical ammonia synthesis</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52">
        <w:r>
          <w:rPr>
            <w:color w:val="1155CC"/>
            <w:u w:val="single"/>
          </w:rPr>
          <w:t>10.1126/sciadv.ady8858</w:t>
        </w:r>
      </w:hyperlink>
    </w:p>
    <w:p>
      <w:pPr>
        <w:spacing w:before="0" w:after="120"/>
      </w:pPr>
      <w:r>
        <w:rPr>
          <w:b/>
        </w:rPr>
        <w:t xml:space="preserve">Notes: </w:t>
      </w:r>
      <w:r>
        <w:t>abstract_source=crossref</w:t>
      </w:r>
    </w:p>
    <w:p>
      <w:pPr>
        <w:spacing w:before="0" w:after="200" w:lineRule="auto" w:line="276"/>
      </w:pPr>
      <w:r>
        <w:rPr>
          <w:b/>
        </w:rPr>
        <w:t xml:space="preserve">Abstract: </w:t>
      </w:r>
      <w:r>
        <w:t>As a low-carbon and decentralized ammonia synthetic method, lithium-mediated electrochemical synthesis has shown promising Faradaic efficiencies and reaction rates. Nevertheless, challenges including low energy efficiency and long-term stability need to be addressed. Here, we develop and apply in situ NMR methodology to reveal a range of reaction mechanisms, including plating of metallic lithium and the concurrent corrosion, nitrogen splitting on lithium metal, protonolysis of lithium nitride, and the formation of lithium ethoxide. Guided by the NMR insights, we demonstrate a biphasic alkaline-organic lithium-mediated electrochemical ammonia synthesis coupled with value-added organic conversion via alcohol and furfural oxidation. This approach provides a strategy to increase the anodic charge utilization and improve the overall energy efficiency of lithium-mediated ammonia synthesis.</w:t>
      </w:r>
    </w:p>
    <w:p>
      <w:pPr>
        <w:spacing w:before="120" w:after="120"/>
      </w:pPr>
      <w:r>
        <w:rPr>
          <w:sz w:val="18"/>
        </w:rPr>
        <w:t>——————————————————————————————————————————————————————————————————————</w:t>
      </w:r>
    </w:p>
    <w:p>
      <w:pPr>
        <w:spacing w:before="160" w:after="80" w:line="240" w:lineRule="auto"/>
      </w:pPr>
      <w:r>
        <w:rPr>
          <w:b/>
        </w:rPr>
        <w:t xml:space="preserve">[409] </w:t>
      </w:r>
      <w:hyperlink r:id="rId653">
        <w:r>
          <w:rPr>
            <w:color w:val="1155CC"/>
            <w:u w:val="single"/>
          </w:rPr>
          <w:t>What if eye...? Computationally recreating vision evolution</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54">
        <w:r>
          <w:rPr>
            <w:color w:val="1155CC"/>
            <w:u w:val="single"/>
          </w:rPr>
          <w:t>10.1126/sciadv.ady2888</w:t>
        </w:r>
      </w:hyperlink>
    </w:p>
    <w:p>
      <w:pPr>
        <w:spacing w:before="0" w:after="120"/>
      </w:pPr>
      <w:r>
        <w:rPr>
          <w:b/>
        </w:rPr>
        <w:t xml:space="preserve">Notes: </w:t>
      </w:r>
      <w:r>
        <w:t>abstract_source=crossref</w:t>
      </w:r>
    </w:p>
    <w:p>
      <w:pPr>
        <w:spacing w:before="0" w:after="200" w:lineRule="auto" w:line="276"/>
      </w:pPr>
      <w:r>
        <w:rPr>
          <w:b/>
        </w:rPr>
        <w:t xml:space="preserve">Abstract: </w:t>
      </w:r>
      <w:r>
        <w:t>Natural selection has produced diverse vision systems, from simple patches of photoreceptors to complex camera eyes, representing just one set of evolutionary outcomes. Computational evolution offers a way to systematically test hypotheses, isolate individual factors, and ask the “why” questions behind vision. We recreate vision evolution by coevolving eyes and behaviors in embodied agents and use this to illuminate principles shaping vision across different levels of the Marr’s hierarchy. This leads to three key findings: First, we provide computational evidence that task-specific selection drives bifurcation in eye evolution. Second, we reveal how optical innovations naturally emerge to resolve fundamental trade-offs between light collection and spatial precision. Third, we uncover scaling laws between visual acuity and neural processing that provide insights into long-standing hypothesis behind eye and brain size. Our work introduces a paradigm that uses embodied artificial intelligence (AI) as hypothesis-testing machines that can help accelerate discoveries in vision science.</w:t>
      </w:r>
    </w:p>
    <w:p>
      <w:pPr>
        <w:spacing w:before="120" w:after="120"/>
      </w:pPr>
      <w:r>
        <w:rPr>
          <w:sz w:val="18"/>
        </w:rPr>
        <w:t>——————————————————————————————————————————————————————————————————————</w:t>
      </w:r>
    </w:p>
    <w:p>
      <w:pPr>
        <w:spacing w:before="160" w:after="80" w:line="240" w:lineRule="auto"/>
      </w:pPr>
      <w:r>
        <w:rPr>
          <w:b/>
        </w:rPr>
        <w:t xml:space="preserve">[410] </w:t>
      </w:r>
      <w:hyperlink r:id="rId655">
        <w:r>
          <w:rPr>
            <w:color w:val="1155CC"/>
            <w:u w:val="single"/>
          </w:rPr>
          <w:t>Microbubble-induced erosion releases micro- and nanoplastics into water</w:t>
        </w:r>
      </w:hyperlink>
    </w:p>
    <w:p>
      <w:pPr>
        <w:spacing w:before="0" w:after="120" w:line="240" w:lineRule="auto"/>
      </w:pPr>
      <w:r>
        <w:rPr>
          <w:b/>
        </w:rPr>
        <w:t xml:space="preserve">Source: </w:t>
      </w:r>
      <w:r>
        <w:t>AAAS: Science Advances: Table of Contents</w:t>
      </w:r>
      <w:r>
        <w:t xml:space="preserve">    </w:t>
      </w:r>
      <w:r>
        <w:rPr>
          <w:b/>
        </w:rPr>
        <w:t xml:space="preserve">Pub date: </w:t>
      </w:r>
      <w:r>
        <w:t>2025-12-17 08:00:00+00:00</w:t>
      </w:r>
      <w:r>
        <w:t xml:space="preserve">    </w:t>
      </w:r>
      <w:r>
        <w:rPr>
          <w:b/>
        </w:rPr>
        <w:t xml:space="preserve">DOI: </w:t>
      </w:r>
      <w:hyperlink r:id="rId656">
        <w:r>
          <w:rPr>
            <w:color w:val="1155CC"/>
            <w:u w:val="single"/>
          </w:rPr>
          <w:t>10.1126/sciadv.aea4729</w:t>
        </w:r>
      </w:hyperlink>
    </w:p>
    <w:p>
      <w:pPr>
        <w:spacing w:before="0" w:after="120"/>
      </w:pPr>
      <w:r>
        <w:rPr>
          <w:b/>
        </w:rPr>
        <w:t xml:space="preserve">Notes: </w:t>
      </w:r>
      <w:r>
        <w:t>abstract_source=crossref</w:t>
      </w:r>
    </w:p>
    <w:p>
      <w:pPr>
        <w:spacing w:before="0" w:after="200" w:lineRule="auto" w:line="276"/>
      </w:pPr>
      <w:r>
        <w:rPr>
          <w:b/>
        </w:rPr>
        <w:t xml:space="preserve">Abstract: </w:t>
      </w:r>
      <w:r>
        <w:t>Micro- and nanoplastics (MNPs) are pervasive micropollutants in aquatic environments and along shorelines. Their release is predominantly attributed to mechanical abrasion or ultraviolet exposure, both requiring substantial external energy inputs. The role of aquatic factors (e.g., air bubbles) in the generation of MNPs is poorly understood. Here we show microbubbles that spontaneously form on seven typical plastics across a wide temperature range (25° to 95°C) and in various water types (deionized, tap, river, and marine water) can erode plastic surfaces and drive MNP release. Nucleation, expansion, and movement of microbubbles generate shear stresses capable of dislodging polymer protrusions at surface defect sites. This sweeping action, combined with the unbalanced surface tension forces at the three-phase contact line, generates O-shaped ring structures composed of accumulated polymers, which ultimately fragment leading to the release of MNPs into the aquatic environment. Our findings demonstrate that microbubble-induced erosion represents a low-energy pathway for micropollutant release.</w:t>
      </w:r>
    </w:p>
    <w:p>
      <w:pPr>
        <w:spacing w:before="120" w:after="120"/>
      </w:pPr>
      <w:r>
        <w:rPr>
          <w:sz w:val="18"/>
        </w:rPr>
        <w:t>——————————————————————————————————————————————————————————————————————</w:t>
      </w:r>
    </w:p>
    <w:p>
      <w:pPr>
        <w:spacing w:before="160" w:after="80" w:line="240" w:lineRule="auto"/>
      </w:pPr>
      <w:r>
        <w:rPr>
          <w:b/>
        </w:rPr>
        <w:t xml:space="preserve">[411] </w:t>
      </w:r>
      <w:hyperlink r:id="rId657">
        <w:r>
          <w:rPr>
            <w:color w:val="1155CC"/>
            <w:u w:val="single"/>
          </w:rPr>
          <w:t>Spin‐Polarization in Rigid/Soft Layered Oxide Catalyst Regulates Key Intermediates for Efficient CO2‐to‐Formate Conversion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08:51:01+00:00</w:t>
      </w:r>
      <w:r>
        <w:t xml:space="preserve">    </w:t>
      </w:r>
      <w:r>
        <w:rPr>
          <w:b/>
        </w:rPr>
        <w:t xml:space="preserve">DOI: </w:t>
      </w:r>
      <w:hyperlink r:id="rId658">
        <w:r>
          <w:rPr>
            <w:color w:val="1155CC"/>
            <w:u w:val="single"/>
          </w:rPr>
          <w:t>10.1002/anie.202517481</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of metal oxidation states is pivotal in regulating the adsorption energetics of *OCHO intermediate during CO</w:t>
      </w:r>
      <w:r>
        <w:rPr>
          <w:vertAlign w:val="subscript"/>
        </w:rPr>
        <w:t>2</w:t>
      </w:r>
      <w:r>
        <w:t>electroreduction. However, the stabilization of oxidation states to enable effective intermediate adsorption–desorption behavior remains a critical challenge for enhancing formate yield. Herein, we synthesize a rigid/soft layered oxides (CuInAlO</w:t>
      </w:r>
      <w:r>
        <w:rPr>
          <w:vertAlign w:val="subscript"/>
        </w:rPr>
        <w:t>4</w:t>
      </w:r>
      <w:r>
        <w:t>) with rigid Al–O framework and soft Cu–O active units. Spin‐polarized electrons derived from the unpaired electrons in the dz</w:t>
      </w:r>
      <w:r>
        <w:rPr>
          <w:vertAlign w:val="subscript"/>
        </w:rPr>
        <w:t>2</w:t>
      </w:r>
      <w:r>
        <w:t>orbital of CuO</w:t>
      </w:r>
      <w:r>
        <w:rPr>
          <w:vertAlign w:val="subscript"/>
        </w:rPr>
        <w:t>5</w:t>
      </w:r>
      <w:r>
        <w:t>units transfer to the empty 5s/5p orbitals of In</w:t>
      </w:r>
      <w:r>
        <w:rPr>
          <w:vertAlign w:val="subscript"/>
        </w:rPr>
        <w:t>3</w:t>
      </w:r>
      <w:r>
        <w:t>⁺ via the superexchange interaction of 3d(Cu) − 2p(O) − 5s/5p(In). The enhanced spin polarization promotes spin‐orbit coupling between metal sites (Cu, In) and *OCHO intermediates (O), forming In─*O─CH─O*─Cu electronic bridge and greatly improving the formation efficiency of formate. CuInAlO</w:t>
      </w:r>
      <w:r>
        <w:rPr>
          <w:vertAlign w:val="subscript"/>
        </w:rPr>
        <w:t>4</w:t>
      </w:r>
      <w:r>
        <w:t>catalyst achieves exceptional formate selectivity (faradaic efficiency of 95% at 500 mA cm</w:t>
      </w:r>
      <w:r>
        <w:t xml:space="preserve"> </w:t>
      </w:r>
      <w:r>
        <w:t>−2</w:t>
      </w:r>
      <w:r>
        <w:t xml:space="preserve"> </w:t>
      </w:r>
      <w:r>
        <w:t>, energy efficiency of 80.3%, overpotential of 180 mV), outperforming conventional In─O*─CH─O*─In pathways by reducing the *OCHO‐to‐HCOOH energy barrier by 1.31 eV. Experimental and theoretical analyses reveal that the rigid AlO</w:t>
      </w:r>
      <w:r>
        <w:rPr>
          <w:vertAlign w:val="subscript"/>
        </w:rPr>
        <w:t>5</w:t>
      </w:r>
      <w:r>
        <w:t>units stabilize metal‐oxygen bonds, preventing oxygen dissolution, while accelerating formate production kinetics through spin‐polarized charge transfer.</w:t>
      </w:r>
    </w:p>
    <w:p>
      <w:pPr>
        <w:spacing w:before="120" w:after="120"/>
      </w:pPr>
      <w:r>
        <w:rPr>
          <w:sz w:val="18"/>
        </w:rPr>
        <w:t>——————————————————————————————————————————————————————————————————————</w:t>
      </w:r>
    </w:p>
    <w:p>
      <w:pPr>
        <w:spacing w:before="160" w:after="80" w:line="240" w:lineRule="auto"/>
      </w:pPr>
      <w:r>
        <w:rPr>
          <w:b/>
        </w:rPr>
        <w:t xml:space="preserve">[412] </w:t>
      </w:r>
      <w:hyperlink r:id="rId659">
        <w:r>
          <w:rPr>
            <w:color w:val="1155CC"/>
            <w:u w:val="single"/>
          </w:rPr>
          <w:t>Understanding the Entropy Decoupling for Ion Transport in Ordered Biomimetic Materials Toward Durable Aqueous Zinc Metal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08:57:30+00:00</w:t>
      </w:r>
      <w:r>
        <w:t xml:space="preserve">    </w:t>
      </w:r>
      <w:r>
        <w:rPr>
          <w:b/>
        </w:rPr>
        <w:t xml:space="preserve">DOI: </w:t>
      </w:r>
      <w:hyperlink r:id="rId660">
        <w:r>
          <w:rPr>
            <w:color w:val="1155CC"/>
            <w:u w:val="single"/>
          </w:rPr>
          <w:t>10.1002/anie.202522157</w:t>
        </w:r>
      </w:hyperlink>
    </w:p>
    <w:p>
      <w:pPr>
        <w:spacing w:before="0" w:after="120"/>
      </w:pPr>
      <w:r>
        <w:rPr>
          <w:b/>
        </w:rPr>
        <w:t xml:space="preserve">Notes: </w:t>
      </w:r>
      <w:r>
        <w:t>abstract_source=crossref</w:t>
      </w:r>
    </w:p>
    <w:p>
      <w:pPr>
        <w:spacing w:before="0" w:after="200" w:lineRule="auto" w:line="276"/>
      </w:pPr>
      <w:r>
        <w:rPr>
          <w:b/>
        </w:rPr>
        <w:t xml:space="preserve">Abstract: </w:t>
      </w:r>
      <w:r>
        <w:t>Aqueous zinc metal batteries (AZMBs) have emerged as promising candidates for next‐generation grid‐scale electrochemical energy storage system, while their development is still challenged by zinc dendrite, gas production, and cathode degradation. Essentially, these issues mainly originate from disordered ion transport behaviors, which is regarded as entropy‐induced side reactions. Entropy is typically decoupled into configurational entropy and excess entropy, which contributes to ionic and electronic distribution, respectively. Uniform ionic distribution with low configurational entropy can alleviate local by‐products, while uneven electronic distribution with high excess entropy will improve reaction activity. However, these both aspects are difficult to be compatible in most cases. As an ideal carrier, the biomimetic materials with specific structure, leveraging the orderliness in morphological structure, molecular arrangement, and charge distribution, exhibit intrinsic advantages in modifying ionic behaviors. This review proposed the significant importance of entropy decoupling dominated by biomimetic materials for regulating ion behaviors. The entire process of ion transport, from electrolyte phase, interfacial electric double layer to electrode bulk phase, was discussed in detail from the perspective of entropy. Furthermore, the mechanism of entropy decoupling for achieving electrodes with both dynamics and stability is systematically analyzed. Finally, we provide outlooks on entropy‐design concepts to enable durable AZMBs.</w:t>
      </w:r>
    </w:p>
    <w:p>
      <w:pPr>
        <w:spacing w:before="120" w:after="120"/>
      </w:pPr>
      <w:r>
        <w:rPr>
          <w:sz w:val="18"/>
        </w:rPr>
        <w:t>——————————————————————————————————————————————————————————————————————</w:t>
      </w:r>
    </w:p>
    <w:p>
      <w:pPr>
        <w:spacing w:before="160" w:after="80" w:line="240" w:lineRule="auto"/>
      </w:pPr>
      <w:r>
        <w:rPr>
          <w:b/>
        </w:rPr>
        <w:t xml:space="preserve">[413] </w:t>
      </w:r>
      <w:hyperlink r:id="rId661">
        <w:r>
          <w:rPr>
            <w:color w:val="1155CC"/>
            <w:u w:val="single"/>
          </w:rPr>
          <w:t>Programmable Antigen‐Specific Immunity via Self‐Adjuvanting Nanovaccines Co‐Delivering Immune Modulators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08:58:09+00:00</w:t>
      </w:r>
      <w:r>
        <w:t xml:space="preserve">    </w:t>
      </w:r>
      <w:r>
        <w:rPr>
          <w:b/>
        </w:rPr>
        <w:t xml:space="preserve">DOI: </w:t>
      </w:r>
      <w:hyperlink r:id="rId662">
        <w:r>
          <w:rPr>
            <w:color w:val="1155CC"/>
            <w:u w:val="single"/>
          </w:rPr>
          <w:t>10.1002/anie.202520474</w:t>
        </w:r>
      </w:hyperlink>
    </w:p>
    <w:p>
      <w:pPr>
        <w:spacing w:before="0" w:after="120"/>
      </w:pPr>
      <w:r>
        <w:rPr>
          <w:b/>
        </w:rPr>
        <w:t xml:space="preserve">Notes: </w:t>
      </w:r>
      <w:r>
        <w:t>abstract_source=crossref</w:t>
      </w:r>
    </w:p>
    <w:p>
      <w:pPr>
        <w:spacing w:before="0" w:after="200" w:lineRule="auto" w:line="276"/>
      </w:pPr>
      <w:r>
        <w:rPr>
          <w:b/>
        </w:rPr>
        <w:t xml:space="preserve">Abstract: </w:t>
      </w:r>
      <w:r>
        <w:t>Cancer peptide vaccines harness the host immune system to generate tumor‐specific immune responses, offering potential for treating metastatic cancers and preventing recurrence. However, the limited immunogenicity of peptide antigens restricts their clinical efficacy, necessitating strategies to enhance their potency. One promising approach involves the conjugation of antigens with adjuvants to elicit antigen‐specific immune responses, thereby creating self‐adjuvanting vaccines. In this study, we developed an improved platform for such vaccines. Specifically, the antigenic CH401 peptide was conjugated with the adjuvant (Pam</w:t>
      </w:r>
      <w:r>
        <w:rPr>
          <w:vertAlign w:val="subscript"/>
        </w:rPr>
        <w:t>3</w:t>
      </w:r>
      <w:r>
        <w:t>CSK</w:t>
      </w:r>
      <w:r>
        <w:rPr>
          <w:vertAlign w:val="subscript"/>
        </w:rPr>
        <w:t>4</w:t>
      </w:r>
      <w:r>
        <w:t>) and formulated into cationic lipid nanoparticles (LNPs) smaller than 100 nm to facilitate uptake by immune cells, with supplemental adjuvants incorporated to modulate immune responses. Notably, the microflow device iLiNP enabled precise, size‐controlled LNP formulation from various components, supporting the systematic evolution of the self‐adjuvanting vaccine platform. These vaccine candidates demonstrated enhanced immunogenicity, enabling precise modulation of immune responses in an antigen‐specific manner. Notably, these vaccines elicited potent immune responses in humanized mouse models. Overall, this strategy represents a next‐generation self‐adjuvanting vaccine platform, capable of both enhancing and fine‐tuning antigen‐specific immune responses, holding great promise for innovative vaccine development.</w:t>
      </w:r>
    </w:p>
    <w:p>
      <w:pPr>
        <w:spacing w:before="120" w:after="120"/>
      </w:pPr>
      <w:r>
        <w:rPr>
          <w:sz w:val="18"/>
        </w:rPr>
        <w:t>——————————————————————————————————————————————————————————————————————</w:t>
      </w:r>
    </w:p>
    <w:p>
      <w:pPr>
        <w:spacing w:before="160" w:after="80" w:line="240" w:lineRule="auto"/>
      </w:pPr>
      <w:r>
        <w:rPr>
          <w:b/>
        </w:rPr>
        <w:t xml:space="preserve">[414] </w:t>
      </w:r>
      <w:hyperlink r:id="rId663">
        <w:r>
          <w:rPr>
            <w:color w:val="1155CC"/>
            <w:u w:val="single"/>
          </w:rPr>
          <w:t>Molecular Cages as Probes in Indicator Displacement Assays: The Case of Scopolamine Detection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08:58:15+00:00</w:t>
      </w:r>
      <w:r>
        <w:t xml:space="preserve">    </w:t>
      </w:r>
      <w:r>
        <w:rPr>
          <w:b/>
        </w:rPr>
        <w:t xml:space="preserve">DOI: </w:t>
      </w:r>
      <w:hyperlink r:id="rId664">
        <w:r>
          <w:rPr>
            <w:color w:val="1155CC"/>
            <w:u w:val="single"/>
          </w:rPr>
          <w:t>10.1002/anie.202523575</w:t>
        </w:r>
      </w:hyperlink>
    </w:p>
    <w:p>
      <w:pPr>
        <w:spacing w:before="0" w:after="120"/>
      </w:pPr>
      <w:r>
        <w:rPr>
          <w:b/>
        </w:rPr>
        <w:t xml:space="preserve">Notes: </w:t>
      </w:r>
      <w:r>
        <w:t>abstract_source=crossref</w:t>
      </w:r>
    </w:p>
    <w:p>
      <w:pPr>
        <w:spacing w:before="0" w:after="200" w:lineRule="auto" w:line="276"/>
      </w:pPr>
      <w:r>
        <w:rPr>
          <w:b/>
        </w:rPr>
        <w:t xml:space="preserve">Abstract: </w:t>
      </w:r>
      <w:r>
        <w:t>A study of the Pd‐based molecular cage</w:t>
      </w:r>
      <w:r>
        <w:t xml:space="preserve"> </w:t>
      </w:r>
      <w:r>
        <w:t>C1</w:t>
      </w:r>
      <w:r>
        <w:t xml:space="preserve"> </w:t>
      </w:r>
      <w:r>
        <w:t>host–guest properties against fluorescein and the drug scopolamine is reported.</w:t>
      </w:r>
      <w:r>
        <w:t xml:space="preserve"> </w:t>
      </w:r>
      <w:r>
        <w:t>C1</w:t>
      </w:r>
      <w:r>
        <w:t xml:space="preserve"> </w:t>
      </w:r>
      <w:r>
        <w:t>forms an interpenetrated structure</w:t>
      </w:r>
      <w:r>
        <w:t xml:space="preserve"> </w:t>
      </w:r>
      <w:r>
        <w:t>C1</w:t>
      </w:r>
      <w:r>
        <w:rPr>
          <w:vertAlign w:val="subscript"/>
        </w:rPr>
        <w:t>2</w:t>
      </w:r>
      <w:r>
        <w:t xml:space="preserve"> </w:t>
      </w:r>
      <w:r>
        <w:t>in the presence of ≥40% water in H</w:t>
      </w:r>
      <w:r>
        <w:rPr>
          <w:vertAlign w:val="subscript"/>
        </w:rPr>
        <w:t>2</w:t>
      </w:r>
      <w:r>
        <w:t>O/DMSO solvent mixtures. The presence of fluorescein (FL) induces the disassembly of the</w:t>
      </w:r>
      <w:r>
        <w:t xml:space="preserve"> </w:t>
      </w:r>
      <w:r>
        <w:t>C1</w:t>
      </w:r>
      <w:r>
        <w:rPr>
          <w:vertAlign w:val="subscript"/>
        </w:rPr>
        <w:t>2</w:t>
      </w:r>
      <w:r>
        <w:t xml:space="preserve"> </w:t>
      </w:r>
      <w:r>
        <w:t>structure to form the</w:t>
      </w:r>
      <w:r>
        <w:t xml:space="preserve"> </w:t>
      </w:r>
      <w:r>
        <w:t>[FL</w:t>
      </w:r>
      <w:r>
        <w:rPr>
          <w:vertAlign w:val="subscript"/>
        </w:rPr>
        <w:t>2</w:t>
      </w:r>
      <w:r>
        <w:t>⊂C1]</w:t>
      </w:r>
      <w:r>
        <w:t xml:space="preserve"> </w:t>
      </w:r>
      <w:r>
        <w:t>complex. Moreover, the addition of scopolamine (SCOP, a drug typically involved in drug‐facilitated sexual assaults) to</w:t>
      </w:r>
      <w:r>
        <w:t xml:space="preserve"> </w:t>
      </w:r>
      <w:r>
        <w:t>[FL</w:t>
      </w:r>
      <w:r>
        <w:rPr>
          <w:vertAlign w:val="subscript"/>
        </w:rPr>
        <w:t>2</w:t>
      </w:r>
      <w:r>
        <w:t>⊂C1]</w:t>
      </w:r>
      <w:r>
        <w:t xml:space="preserve"> </w:t>
      </w:r>
      <w:r>
        <w:t>results in fluorescein release and the formation of [</w:t>
      </w:r>
      <w:r>
        <w:t xml:space="preserve"> </w:t>
      </w:r>
      <w:r>
        <w:t>SCOP⊂C1</w:t>
      </w:r>
      <w:r>
        <w:rPr>
          <w:vertAlign w:val="subscript"/>
        </w:rPr>
        <w:t>2</w:t>
      </w:r>
      <w:r>
        <w:t xml:space="preserve"> </w:t>
      </w:r>
      <w:r>
        <w:t>], obtaining a fluorescence signal proportional to the concentration of scopolamine with a limit of detection as low as 59.4 µg mL</w:t>
      </w:r>
      <w:r>
        <w:t xml:space="preserve"> </w:t>
      </w:r>
      <w:r>
        <w:t>−1</w:t>
      </w:r>
      <w:r>
        <w:t xml:space="preserve"> </w:t>
      </w:r>
      <w:r>
        <w:t>. A good selectivity for scopolamine against other drugs such as MDMA, cocaine, GBL, and ketamine is observed. This is the first scopolamine detection method described to date using a molecular cage and one of the very few examples of the use of cages in indicator displacement assays. Similar concepts could be applied to the design of other molecular cage‐based sensors for the detection of target analytes.</w:t>
      </w:r>
    </w:p>
    <w:p>
      <w:pPr>
        <w:spacing w:before="120" w:after="120"/>
      </w:pPr>
      <w:r>
        <w:rPr>
          <w:sz w:val="18"/>
        </w:rPr>
        <w:t>——————————————————————————————————————————————————————————————————————</w:t>
      </w:r>
    </w:p>
    <w:p>
      <w:pPr>
        <w:spacing w:before="160" w:after="80" w:line="240" w:lineRule="auto"/>
      </w:pPr>
      <w:r>
        <w:rPr>
          <w:b/>
        </w:rPr>
        <w:t xml:space="preserve">[415] </w:t>
      </w:r>
      <w:hyperlink r:id="rId665">
        <w:r>
          <w:rPr>
            <w:color w:val="1155CC"/>
            <w:u w:val="single"/>
          </w:rPr>
          <w:t>Nitrogen‐Shift‐Engineered Pt Single‐Atom/Cluster Synergy Boosts Covalent Organic Frameworks for Photocatalytic Hydrogen Evolution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09:01:10+00:00</w:t>
      </w:r>
      <w:r>
        <w:t xml:space="preserve">    </w:t>
      </w:r>
      <w:r>
        <w:rPr>
          <w:b/>
        </w:rPr>
        <w:t xml:space="preserve">DOI: </w:t>
      </w:r>
      <w:hyperlink r:id="rId666">
        <w:r>
          <w:rPr>
            <w:color w:val="1155CC"/>
            <w:u w:val="single"/>
          </w:rPr>
          <w:t>10.1002/anie.202524704</w:t>
        </w:r>
      </w:hyperlink>
    </w:p>
    <w:p>
      <w:pPr>
        <w:spacing w:before="0" w:after="120"/>
      </w:pPr>
      <w:r>
        <w:rPr>
          <w:b/>
        </w:rPr>
        <w:t xml:space="preserve">Notes: </w:t>
      </w:r>
      <w:r>
        <w:t>abstract_source=crossref</w:t>
      </w:r>
    </w:p>
    <w:p>
      <w:pPr>
        <w:spacing w:before="0" w:after="200" w:lineRule="auto" w:line="276"/>
      </w:pPr>
      <w:r>
        <w:rPr>
          <w:b/>
        </w:rPr>
        <w:t xml:space="preserve">Abstract: </w:t>
      </w:r>
      <w:r>
        <w:t>Achieving atomic‐level precision in anchoring metal catalysts onto optimal support sites remains challenging due to surface heterogeneity, and the impact of local coordination on dispersion and photocatalysis is unclear. We address this by designing four isomeric COFs (imine/alkene‐linked pairs) with identical topologies but distinct</w:t>
      </w:r>
      <w:r>
        <w:t xml:space="preserve"> </w:t>
      </w:r>
      <w:r>
        <w:t>N</w:t>
      </w:r>
      <w:r>
        <w:t xml:space="preserve"> </w:t>
      </w:r>
      <w:r>
        <w:t>‐anchoring sites within hexagonal channels. For photocatalytic hydrogen evolution (PHE), Pt anchored on imine‐linked COFs exhibit superior activity compared to those on alkene‐based COF. The optimal PHE rate of COF‐I2‐Pt reaches 26.72 mmol h</w:t>
      </w:r>
      <w:r>
        <w:t xml:space="preserve"> </w:t>
      </w:r>
      <w:r>
        <w:t>−1</w:t>
      </w:r>
      <w:r>
        <w:t xml:space="preserve"> </w:t>
      </w:r>
      <w:r>
        <w:t>g</w:t>
      </w:r>
      <w:r>
        <w:t xml:space="preserve"> </w:t>
      </w:r>
      <w:r>
        <w:t>−1</w:t>
      </w:r>
      <w:r>
        <w:t xml:space="preserve"> </w:t>
      </w:r>
      <w:r>
        <w:t>which is 6.1‐fold higher than alkene‐linked counterpart. The apparent quantum efficiency of COF‐I2‐Pt reaches 12.1% at 420 nm, representing one of the best performances reported among COF‐based photocatalysts. Multimodal characterization confirms imine COFs stabilize dual‐active sites (Pt</w:t>
      </w:r>
      <w:r>
        <w:t xml:space="preserve"> </w:t>
      </w:r>
      <w:r>
        <w:t>2+</w:t>
      </w:r>
      <w:r>
        <w:t xml:space="preserve"> </w:t>
      </w:r>
      <w:r>
        <w:t>species and metallic clusters), whereas alkene COFs predominantly host Pt single atoms. The imine system's superior activity arises from synergistic inter‐site charge transfer between Pt clusters and isolated atoms, optimizing proton adsorption and reduction kinetics. Density functional theory calculations reveal the Pt adsorption energy on distinct nitrogen anchoring sites, the excited electron dispersion situation, and the underlying PHE mechanism. This work establishes constitutional isomerism as a platform to decouple anchoring site geometry from chemical composition, providing design principles for atomically precise photocatalyst supports.</w:t>
      </w:r>
    </w:p>
    <w:p>
      <w:pPr>
        <w:spacing w:before="120" w:after="120"/>
      </w:pPr>
      <w:r>
        <w:rPr>
          <w:sz w:val="18"/>
        </w:rPr>
        <w:t>——————————————————————————————————————————————————————————————————————</w:t>
      </w:r>
    </w:p>
    <w:p>
      <w:pPr>
        <w:spacing w:before="160" w:after="80" w:line="240" w:lineRule="auto"/>
      </w:pPr>
      <w:r>
        <w:rPr>
          <w:b/>
        </w:rPr>
        <w:t xml:space="preserve">[416] </w:t>
      </w:r>
      <w:hyperlink r:id="rId667">
        <w:r>
          <w:rPr>
            <w:color w:val="1155CC"/>
            <w:u w:val="single"/>
          </w:rPr>
          <w:t>Twist and Shine: The Impact of Halogen Substitution on Thiele Hydrocarbon's Optical Properties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09:02:16+00:00</w:t>
      </w:r>
      <w:r>
        <w:t xml:space="preserve">    </w:t>
      </w:r>
      <w:r>
        <w:rPr>
          <w:b/>
        </w:rPr>
        <w:t xml:space="preserve">DOI: </w:t>
      </w:r>
      <w:hyperlink r:id="rId668">
        <w:r>
          <w:rPr>
            <w:color w:val="1155CC"/>
            <w:u w:val="single"/>
          </w:rPr>
          <w:t>10.1002/anie.202524043</w:t>
        </w:r>
      </w:hyperlink>
    </w:p>
    <w:p>
      <w:pPr>
        <w:spacing w:before="0" w:after="120"/>
      </w:pPr>
      <w:r>
        <w:rPr>
          <w:b/>
        </w:rPr>
        <w:t xml:space="preserve">Notes: </w:t>
      </w:r>
      <w:r>
        <w:t>abstract_source=crossref</w:t>
      </w:r>
    </w:p>
    <w:p>
      <w:pPr>
        <w:spacing w:before="0" w:after="200" w:lineRule="auto" w:line="276"/>
      </w:pPr>
      <w:r>
        <w:rPr>
          <w:b/>
        </w:rPr>
        <w:t xml:space="preserve">Abstract: </w:t>
      </w:r>
      <w:r>
        <w:t>In this work, two new mixed‐halide Thiele hydrocarbons were synthesized and characterized to elucidate the influence of halogenation patterns on their photophysical properties, addressing the role exerted by steric constraints and electronic effects. Interestingly, their interplay governed a unique spectroscopic behavior that is driven by pronounced geometric rearrangements upon photoexcitation. Quantum‐chemical calculations revealed that derivatives with limited diradical character, and correspondingly shorter exocyclic C═C bonds, are likely to adopt a folded boat‐like conformation in the ground state, a structural motif not previously observed in Thiele hydrocarbons. Upon photo‐excitation, these exocyclic bonds were subject to a significant elongation, facilitating mixing between the bright singly excited (SE) state and the dark, doubly excited (DE) state. These interactions enabled the formation of a zwitterionic excited state, a finding that is consistent with recent observations for halogenated derivatives. Transient absorption spectroscopy confirmed this mechanism, which provides a promising strategy for designing fluorophores with exceptionally large Stokes shifts (more than 2 eV) and tailored photophysical and electronic properties. In addition, a pronounced mechanofluorochromic response has been observed for the first time in the case of folded derivative, opening the way to the use of these species as multi‐stimuli‐responsive molecular materials.</w:t>
      </w:r>
    </w:p>
    <w:p>
      <w:pPr>
        <w:spacing w:before="120" w:after="120"/>
      </w:pPr>
      <w:r>
        <w:rPr>
          <w:sz w:val="18"/>
        </w:rPr>
        <w:t>——————————————————————————————————————————————————————————————————————</w:t>
      </w:r>
    </w:p>
    <w:p>
      <w:pPr>
        <w:spacing w:before="160" w:after="80" w:line="240" w:lineRule="auto"/>
      </w:pPr>
      <w:r>
        <w:rPr>
          <w:b/>
        </w:rPr>
        <w:t xml:space="preserve">[417] </w:t>
      </w:r>
      <w:hyperlink r:id="rId669">
        <w:r>
          <w:rPr>
            <w:color w:val="1155CC"/>
            <w:u w:val="single"/>
          </w:rPr>
          <w:t>[ASAP] Hydrated Electrons Bypass the −1.9 V Activation Barrier in Electrochemical CO2 Reduction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09:19:19+00:00</w:t>
      </w:r>
      <w:r>
        <w:t xml:space="preserve">    </w:t>
      </w:r>
      <w:r>
        <w:rPr>
          <w:b/>
        </w:rPr>
        <w:t xml:space="preserve">DOI: </w:t>
      </w:r>
      <w:hyperlink r:id="rId670">
        <w:r>
          <w:rPr>
            <w:color w:val="1155CC"/>
            <w:u w:val="single"/>
          </w:rPr>
          <w:t>10.1021/jacs.5c15039</w:t>
        </w:r>
      </w:hyperlink>
    </w:p>
    <w:p>
      <w:pPr>
        <w:spacing w:before="0" w:after="120"/>
      </w:pPr>
      <w:r>
        <w:rPr>
          <w:b/>
        </w:rPr>
        <w:t xml:space="preserve">Notes: </w:t>
      </w:r>
      <w:r>
        <w:t>abstract_source=pubmed</w:t>
      </w:r>
    </w:p>
    <w:p>
      <w:pPr>
        <w:spacing w:before="0" w:after="200" w:lineRule="auto" w:line="276"/>
      </w:pPr>
      <w:r>
        <w:rPr>
          <w:b/>
        </w:rPr>
        <w:t xml:space="preserve">Abstract: </w:t>
      </w:r>
      <w:r>
        <w:t>Electrochemical CO2 reduction is traditionally thought to require catalytic surfaces to overcome the high activation barrier of inert CO2 molecules. Here, we demonstrate that in bicarbonate solutions, hydrated electrons (e-aq) generated at the CO2 microbubble interfaces can activate CO2 independently of catalysts or applied bias. Using spin-trapping mass spectrometry, we directly observe CO2•- radical intermediates (CO2 + e-aq → CO2•-), while inert Pt electrode experiments confirm subsequent solution-phase CO generation (CO2•- + H+/•H → CO + H2O). Unexpectedly, in situ Raman spectroscopy reveals CO adsorption and C-H bond formation on Cu even at 0.6 VRHE, approximately 2.0 V above the reported potential for CO2 activation. The applied reduction potential (0-0.6 VRHE, above the onset of the H+/H2 reduction potential) modulates the interfacial e-aq/•H concentration through oxidative radical scavenging, enabling solution-mediated hydrogenation. These findings establish an unprecedented model in which electrolyte-driven processes operate in parallel with conventional surface electrocatalysis, challenging long-standing assumptions about the necessity of catalytic surfaces for CO2 activation.</w:t>
      </w:r>
    </w:p>
    <w:p>
      <w:pPr>
        <w:spacing w:before="120" w:after="120"/>
      </w:pPr>
      <w:r>
        <w:rPr>
          <w:sz w:val="18"/>
        </w:rPr>
        <w:t>——————————————————————————————————————————————————————————————————————</w:t>
      </w:r>
    </w:p>
    <w:p>
      <w:pPr>
        <w:spacing w:before="160" w:after="80" w:line="240" w:lineRule="auto"/>
      </w:pPr>
      <w:r>
        <w:rPr>
          <w:b/>
        </w:rPr>
        <w:t xml:space="preserve">[418] </w:t>
      </w:r>
      <w:hyperlink r:id="rId671">
        <w:r>
          <w:rPr>
            <w:color w:val="1155CC"/>
            <w:u w:val="single"/>
          </w:rPr>
          <w:t>[ASAP] Bridging a Gap in Marine Sulfur Cycling: Discovery of a d-Cysteinolic Acid Degradation Pathway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09:39:18+00:00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[419] </w:t>
      </w:r>
      <w:hyperlink r:id="rId672">
        <w:r>
          <w:rPr>
            <w:color w:val="1155CC"/>
            <w:u w:val="single"/>
          </w:rPr>
          <w:t>[ASAP] Solvent Polarity Independent Symmetry-Breaking Charge Separation in a Slip-Stacked Covalent Terrylene Monoimide Dimer</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10:53:47+00:00</w:t>
      </w:r>
      <w:r>
        <w:t xml:space="preserve">    </w:t>
      </w:r>
      <w:r>
        <w:rPr>
          <w:b/>
        </w:rPr>
        <w:t xml:space="preserve">DOI: </w:t>
      </w:r>
      <w:hyperlink r:id="rId673">
        <w:r>
          <w:rPr>
            <w:color w:val="1155CC"/>
            <w:u w:val="single"/>
          </w:rPr>
          <w:t>10.1021/jacs.5c17847</w:t>
        </w:r>
      </w:hyperlink>
    </w:p>
    <w:p>
      <w:pPr>
        <w:spacing w:before="0" w:after="120"/>
      </w:pPr>
      <w:r>
        <w:rPr>
          <w:b/>
        </w:rPr>
        <w:t xml:space="preserve">Notes: </w:t>
      </w:r>
      <w:r>
        <w:t>abstract_source=pubmed</w:t>
      </w:r>
    </w:p>
    <w:p>
      <w:pPr>
        <w:spacing w:before="0" w:after="200" w:lineRule="auto" w:line="276"/>
      </w:pPr>
      <w:r>
        <w:rPr>
          <w:b/>
        </w:rPr>
        <w:t xml:space="preserve">Abstract: </w:t>
      </w:r>
      <w:r>
        <w:t>The design of organic materials capable of efficient photoinduced charge separation in low-polarity environments is a critical challenge for advancing organic photovoltaics. Symmetry-breaking charge separation (SB-CS) offers a promising route to efficient charge separation with minimal energy loss; however, in conventional organic materials this process typically relies on polar solvents to stabilize the charge-separated state. Here, we investigate a slip-stacked terrylene monoimide dimer (TMI2) engineered with intrinsic electronic asymmetry to circumvent this limitation. We demonstrate through a comprehensive suite of ultrafast spectroscopic techniques that TMI2 undergoes remarkably efficient SB-CS regardless of solvent polarity enabled by the permanent dipole moment of TMI and the accessible intramolecular charge-transfer (ICT) character of its monomer units. Furthermore, analysis of vibronic coherences reveals that the initial state mixing is actively driven by a 193 cm-1 intermolecular mode, while the final SB-CS state is marked by a distinct vibrational fingerprint of the radical ion pair product. Our findings reveal how the intrinsic electronic asymmetry of the TMI monomers that constitute TMI2 creates an efficient charge separation pathway that precludes the need for external stabilization from a polar solvent. This work establishes a powerful molecular design principle for leveraging intrinsic monomeric asymmetry to achieve efficient charge separation in low-dielectric environments, with significant implications for the development of next-generation organic optoelectronic materials.</w:t>
      </w:r>
    </w:p>
    <w:p>
      <w:pPr>
        <w:spacing w:before="120" w:after="120"/>
      </w:pPr>
      <w:r>
        <w:rPr>
          <w:sz w:val="18"/>
        </w:rPr>
        <w:t>——————————————————————————————————————————————————————————————————————</w:t>
      </w:r>
    </w:p>
    <w:p>
      <w:pPr>
        <w:spacing w:before="160" w:after="80" w:line="240" w:lineRule="auto"/>
      </w:pPr>
      <w:r>
        <w:rPr>
          <w:b/>
        </w:rPr>
        <w:t xml:space="preserve">[420] </w:t>
      </w:r>
      <w:hyperlink r:id="rId674">
        <w:r>
          <w:rPr>
            <w:color w:val="1155CC"/>
            <w:u w:val="single"/>
          </w:rPr>
          <w:t>Titan might not have an ocean after all</w:t>
        </w:r>
      </w:hyperlink>
    </w:p>
    <w:p>
      <w:pPr>
        <w:spacing w:before="0" w:after="120" w:line="240" w:lineRule="auto"/>
      </w:pPr>
      <w:r>
        <w:rPr>
          <w:b/>
        </w:rPr>
        <w:t xml:space="preserve">Source: </w:t>
      </w:r>
      <w:r>
        <w:t>Latest News from Science Magazine</w:t>
      </w:r>
      <w:r>
        <w:t xml:space="preserve">    </w:t>
      </w:r>
      <w:r>
        <w:rPr>
          <w:b/>
        </w:rPr>
        <w:t xml:space="preserve">Pub date: </w:t>
      </w:r>
      <w:r>
        <w:t>2025-12-17 11:00:00+00:00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[421] </w:t>
      </w:r>
      <w:hyperlink r:id="rId675">
        <w:r>
          <w:rPr>
            <w:color w:val="1155CC"/>
            <w:u w:val="single"/>
          </w:rPr>
          <w:t>Stability Thresholds of Atomically Dispersed Platinum Catalysts for Solar Hydrogen Production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11:25:16+00:00</w:t>
      </w:r>
      <w:r>
        <w:t xml:space="preserve">    </w:t>
      </w:r>
      <w:r>
        <w:rPr>
          <w:b/>
        </w:rPr>
        <w:t xml:space="preserve">DOI: </w:t>
      </w:r>
      <w:hyperlink r:id="rId676">
        <w:r>
          <w:rPr>
            <w:color w:val="1155CC"/>
            <w:u w:val="single"/>
          </w:rPr>
          <w:t>10.1002/anie.202522214</w:t>
        </w:r>
      </w:hyperlink>
    </w:p>
    <w:p>
      <w:pPr>
        <w:spacing w:before="0" w:after="120"/>
      </w:pPr>
      <w:r>
        <w:rPr>
          <w:b/>
        </w:rPr>
        <w:t xml:space="preserve">Notes: </w:t>
      </w:r>
      <w:r>
        <w:t>abstract_source=crossref</w:t>
      </w:r>
    </w:p>
    <w:p>
      <w:pPr>
        <w:spacing w:before="0" w:after="200" w:lineRule="auto" w:line="276"/>
      </w:pPr>
      <w:r>
        <w:rPr>
          <w:b/>
        </w:rPr>
        <w:t xml:space="preserve">Abstract: </w:t>
      </w:r>
      <w:r>
        <w:t>The structural fluidity of single‐atom photocatalysts under illumination challenges conventional assumptions about catalytic identity, prompting a reevaluation of what defines and sustains active sites. Here, we show that the site density of atomically dispersed Pt on TiO</w:t>
      </w:r>
      <w:r>
        <w:rPr>
          <w:vertAlign w:val="subscript"/>
        </w:rPr>
        <w:t>2</w:t>
      </w:r>
      <w:r>
        <w:t>nanoparticles dictates their structural evolution and photocatalytic performance during the H</w:t>
      </w:r>
      <w:r>
        <w:rPr>
          <w:vertAlign w:val="subscript"/>
        </w:rPr>
        <w:t>2</w:t>
      </w:r>
      <w:r>
        <w:t>evolution reaction (HER). There is a critical dispersion threshold that separates the stable single‐atom state from the aggregative regime with less reactive multi‐atom ensembles. Under optimized conditions, isolated Pt sites resist light‐enhanced agglomeration and deliver HER activities (0.246 s</w:t>
      </w:r>
      <w:r>
        <w:t xml:space="preserve"> </w:t>
      </w:r>
      <w:r>
        <w:t>−1</w:t>
      </w:r>
      <w:r>
        <w:t xml:space="preserve"> </w:t>
      </w:r>
      <w:r>
        <w:t>) up to 82‐fold higher than those of Pt nanoparticles (0.003 s</w:t>
      </w:r>
      <w:r>
        <w:t xml:space="preserve"> </w:t>
      </w:r>
      <w:r>
        <w:t>−1</w:t>
      </w:r>
      <w:r>
        <w:t xml:space="preserve"> </w:t>
      </w:r>
      <w:r>
        <w:t>), achieving an apparent quantum yield of 9.1%. Beyond this threshold, atomic dispersion deteriorates through a first‐order aggregation process, resulting in an exponential loss of isolated sites and a sharp rise in the activation free energy ΔΔ</w:t>
      </w:r>
      <w:r>
        <w:t xml:space="preserve"> </w:t>
      </w:r>
      <w:r>
        <w:t>G</w:t>
      </w:r>
      <w:r>
        <w:t xml:space="preserve"> </w:t>
      </w:r>
      <w:r>
        <w:t>‡</w:t>
      </w:r>
      <w:r>
        <w:t xml:space="preserve"> </w:t>
      </w:r>
      <w:r>
        <w:t>up to 17.1 kJ mol</w:t>
      </w:r>
      <w:r>
        <w:t xml:space="preserve"> </w:t>
      </w:r>
      <w:r>
        <w:t>−1</w:t>
      </w:r>
      <w:r>
        <w:t xml:space="preserve"> </w:t>
      </w:r>
      <w:r>
        <w:t>. Combined experimental and theoretical analyses quantify the transition in catalyst architecture and activity, revealing a structure–stability–activity relationship. This framework defines a reactivity window governed by the interplay between spatial isolation and structural fragility in single‐atom catalysis.</w:t>
      </w:r>
    </w:p>
    <w:p>
      <w:pPr>
        <w:spacing w:before="120" w:after="120"/>
      </w:pPr>
      <w:r>
        <w:rPr>
          <w:sz w:val="18"/>
        </w:rPr>
        <w:t>——————————————————————————————————————————————————————————————————————</w:t>
      </w:r>
    </w:p>
    <w:p>
      <w:pPr>
        <w:spacing w:before="160" w:after="80" w:line="240" w:lineRule="auto"/>
      </w:pPr>
      <w:r>
        <w:rPr>
          <w:b/>
        </w:rPr>
        <w:t xml:space="preserve">[422] </w:t>
      </w:r>
      <w:hyperlink r:id="rId677">
        <w:r>
          <w:rPr>
            <w:color w:val="1155CC"/>
            <w:u w:val="single"/>
          </w:rPr>
          <w:t>Pulsed Electrolysis Promotes CO2 Electroreduction to Multicarbon Products by Suppressing Electrolyte Flooding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11:26:56+00:00</w:t>
      </w:r>
      <w:r>
        <w:t xml:space="preserve">    </w:t>
      </w:r>
      <w:r>
        <w:rPr>
          <w:b/>
        </w:rPr>
        <w:t xml:space="preserve">DOI: </w:t>
      </w:r>
      <w:hyperlink r:id="rId678">
        <w:r>
          <w:rPr>
            <w:color w:val="1155CC"/>
            <w:u w:val="single"/>
          </w:rPr>
          <w:t>10.1002/anie.202521745</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CO</w:t>
      </w:r>
      <w:r>
        <w:rPr>
          <w:vertAlign w:val="subscript"/>
        </w:rPr>
        <w:t>2</w:t>
      </w:r>
      <w:r>
        <w:t>reduction (CO</w:t>
      </w:r>
      <w:r>
        <w:rPr>
          <w:vertAlign w:val="subscript"/>
        </w:rPr>
        <w:t>2</w:t>
      </w:r>
      <w:r>
        <w:t>RR) converts CO</w:t>
      </w:r>
      <w:r>
        <w:rPr>
          <w:vertAlign w:val="subscript"/>
        </w:rPr>
        <w:t>2</w:t>
      </w:r>
      <w:r>
        <w:t>into value‐added fuels and chemicals using renewable electricity. Pulsed CO</w:t>
      </w:r>
      <w:r>
        <w:rPr>
          <w:vertAlign w:val="subscript"/>
        </w:rPr>
        <w:t>2</w:t>
      </w:r>
      <w:r>
        <w:t>RR(p‐CO</w:t>
      </w:r>
      <w:r>
        <w:rPr>
          <w:vertAlign w:val="subscript"/>
        </w:rPr>
        <w:t>2</w:t>
      </w:r>
      <w:r>
        <w:t>RR) has been proposed to enhance the selectivity of multicarbon products (C</w:t>
      </w:r>
      <w:r>
        <w:t xml:space="preserve"> </w:t>
      </w:r>
      <w:r>
        <w:t>2+</w:t>
      </w:r>
      <w:r>
        <w:t xml:space="preserve"> </w:t>
      </w:r>
      <w:r>
        <w:t>), yet mechanistic clarity at industrially relevant rates remains limited by the complex gas–liquid–solid microenvironment of gas‐diffusion electrodes (GDEs). Here, we investigate p‐CO</w:t>
      </w:r>
      <w:r>
        <w:rPr>
          <w:vertAlign w:val="subscript"/>
        </w:rPr>
        <w:t>2</w:t>
      </w:r>
      <w:r>
        <w:t>RR in GDE flow‐cells operating at industrially‐relevant current densities. Under cathodic potentials where conventional constant‐potential CO</w:t>
      </w:r>
      <w:r>
        <w:rPr>
          <w:vertAlign w:val="subscript"/>
        </w:rPr>
        <w:t>2</w:t>
      </w:r>
      <w:r>
        <w:t>electrolysis yields &amp;gt; 70% H</w:t>
      </w:r>
      <w:r>
        <w:rPr>
          <w:vertAlign w:val="subscript"/>
        </w:rPr>
        <w:t>2</w:t>
      </w:r>
      <w:r>
        <w:t>(Faradaic efficiency, FE), pulsed operation achieves a maximum C</w:t>
      </w:r>
      <w:r>
        <w:t xml:space="preserve"> </w:t>
      </w:r>
      <w:r>
        <w:t>2+</w:t>
      </w:r>
      <w:r>
        <w:t xml:space="preserve"> </w:t>
      </w:r>
      <w:r>
        <w:t>FE of 82.7% at current densities above 0.4 A cm</w:t>
      </w:r>
      <w:r>
        <w:t xml:space="preserve"> </w:t>
      </w:r>
      <w:r>
        <w:t>−2</w:t>
      </w:r>
      <w:r>
        <w:t xml:space="preserve"> </w:t>
      </w:r>
      <w:r>
        <w:t>. Operando Raman and UV–visible spectroscopy indicates that formation of Cu</w:t>
      </w:r>
      <w:r>
        <w:t xml:space="preserve"> </w:t>
      </w:r>
      <w:r>
        <w:t>x</w:t>
      </w:r>
      <w:r>
        <w:t xml:space="preserve"> </w:t>
      </w:r>
      <w:r>
        <w:t>O only weakly perturbs the coverage of *CO intermediates, suggesting that redox restructuring is not the principal driver of pulse‐enhanced C</w:t>
      </w:r>
      <w:r>
        <w:t xml:space="preserve"> </w:t>
      </w:r>
      <w:r>
        <w:t>2+</w:t>
      </w:r>
      <w:r>
        <w:t xml:space="preserve"> </w:t>
      </w:r>
      <w:r>
        <w:t>production. Instead, ex situ scanning electron microscopy with energy dispersive X‐ray spectroscopy (SEM‐EDS) mapping reveals a strong correlation between reduced electrolyte intrusion and improved C</w:t>
      </w:r>
      <w:r>
        <w:t xml:space="preserve"> </w:t>
      </w:r>
      <w:r>
        <w:t>2+</w:t>
      </w:r>
      <w:r>
        <w:t xml:space="preserve"> </w:t>
      </w:r>
      <w:r>
        <w:t>selectivity, with pulsing stabilizing the gas–liquid interface, suppressing electrolyte penetration, and enhancing CO</w:t>
      </w:r>
      <w:r>
        <w:rPr>
          <w:vertAlign w:val="subscript"/>
        </w:rPr>
        <w:t>2</w:t>
      </w:r>
      <w:r>
        <w:t>mass transfer. These experimental findings are supported by numerical simulations of electrochemical capillary‐pressure dynamics, which confirm that alternating cathodic and anodic potentials modulate interfacial wettability to retard flooding. These mechanistic insights contribute to the design principles for industrial p‐CO</w:t>
      </w:r>
      <w:r>
        <w:rPr>
          <w:vertAlign w:val="subscript"/>
        </w:rPr>
        <w:t>2</w:t>
      </w:r>
      <w:r>
        <w:t>RR systems, emphasizing hydrodynamic management over traditional catalyst engineering approaches.</w:t>
      </w:r>
    </w:p>
    <w:p>
      <w:pPr>
        <w:spacing w:before="120" w:after="120"/>
      </w:pPr>
      <w:r>
        <w:rPr>
          <w:sz w:val="18"/>
        </w:rPr>
        <w:t>——————————————————————————————————————————————————————————————————————</w:t>
      </w:r>
    </w:p>
    <w:p>
      <w:pPr>
        <w:spacing w:before="160" w:after="80" w:line="240" w:lineRule="auto"/>
      </w:pPr>
      <w:r>
        <w:rPr>
          <w:b/>
        </w:rPr>
        <w:t xml:space="preserve">[423] </w:t>
      </w:r>
      <w:hyperlink r:id="rId679">
        <w:r>
          <w:rPr>
            <w:color w:val="1155CC"/>
            <w:u w:val="single"/>
          </w:rPr>
          <w:t>Molecular Integration Strategy Enables Simultaneous Modulation of Crystal Growth and Interfacial Energy Loss for Efficient Inverted Perovskite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11:39:49+00:00</w:t>
      </w:r>
      <w:r>
        <w:t xml:space="preserve">    </w:t>
      </w:r>
      <w:r>
        <w:rPr>
          <w:b/>
        </w:rPr>
        <w:t xml:space="preserve">DOI: </w:t>
      </w:r>
      <w:hyperlink r:id="rId680">
        <w:r>
          <w:rPr>
            <w:color w:val="1155CC"/>
            <w:u w:val="single"/>
          </w:rPr>
          <w:t>10.1002/anie.202524806</w:t>
        </w:r>
      </w:hyperlink>
    </w:p>
    <w:p>
      <w:pPr>
        <w:spacing w:before="0" w:after="120"/>
      </w:pPr>
      <w:r>
        <w:rPr>
          <w:b/>
        </w:rPr>
        <w:t xml:space="preserve">Notes: </w:t>
      </w:r>
      <w:r>
        <w:t>abstract_source=crossref</w:t>
      </w:r>
    </w:p>
    <w:p>
      <w:pPr>
        <w:spacing w:before="0" w:after="200" w:lineRule="auto" w:line="276"/>
      </w:pPr>
      <w:r>
        <w:rPr>
          <w:b/>
        </w:rPr>
        <w:t xml:space="preserve">Abstract: </w:t>
      </w:r>
      <w:r>
        <w:t>Severe interfacial energy loss and inferior crystal quality remain key limitations for high‐performance perovskite solar cells (PSCs). Herein, we report a multifunctional molecule, 1,3‐propanediamine dimercaptoacetate (PDA(AcSH)</w:t>
      </w:r>
      <w:r>
        <w:rPr>
          <w:vertAlign w:val="subscript"/>
        </w:rPr>
        <w:t>2</w:t>
      </w:r>
      <w:r>
        <w:t>), designed through a molecular‐integration strategy to address these challenges simultaneously. The PDA</w:t>
      </w:r>
      <w:r>
        <w:t xml:space="preserve"> </w:t>
      </w:r>
      <w:r>
        <w:t>2+</w:t>
      </w:r>
      <w:r>
        <w:t xml:space="preserve"> </w:t>
      </w:r>
      <w:r>
        <w:t>cations preferentially accumulate at the perovskite/C</w:t>
      </w:r>
      <w:r>
        <w:rPr>
          <w:vertAlign w:val="subscript"/>
        </w:rPr>
        <w:t>60</w:t>
      </w:r>
      <w:r>
        <w:t>interface, establishing a field‐effect passivation that suppresses interfacial contact induced non‐radiative recombination. Meanwhile, the AcSH</w:t>
      </w:r>
      <w:r>
        <w:t xml:space="preserve"> </w:t>
      </w:r>
      <w:r>
        <w:t>–</w:t>
      </w:r>
      <w:r>
        <w:t xml:space="preserve"> </w:t>
      </w:r>
      <w:r>
        <w:t>anions are homogeneously distributed throughout the perovskite layer, mediating crystal growth and passivating charged traps via dual binding of ─SH and ─COO</w:t>
      </w:r>
      <w:r>
        <w:t xml:space="preserve"> </w:t>
      </w:r>
      <w:r>
        <w:t>–</w:t>
      </w:r>
      <w:r>
        <w:t xml:space="preserve"> </w:t>
      </w:r>
      <w:r>
        <w:t>groups. The reducible ─SH groups in AcSH</w:t>
      </w:r>
      <w:r>
        <w:t xml:space="preserve"> </w:t>
      </w:r>
      <w:r>
        <w:t>–</w:t>
      </w:r>
      <w:r>
        <w:t xml:space="preserve"> </w:t>
      </w:r>
      <w:r>
        <w:t>also convert photo‐thermally generated I</w:t>
      </w:r>
      <w:r>
        <w:rPr>
          <w:vertAlign w:val="subscript"/>
        </w:rPr>
        <w:t>2</w:t>
      </w:r>
      <w:r>
        <w:t>/I</w:t>
      </w:r>
      <w:r>
        <w:rPr>
          <w:vertAlign w:val="subscript"/>
        </w:rPr>
        <w:t>3</w:t>
      </w:r>
      <w:r>
        <w:t>–</w:t>
      </w:r>
      <w:r>
        <w:t xml:space="preserve"> </w:t>
      </w:r>
      <w:r>
        <w:t>species into I</w:t>
      </w:r>
      <w:r>
        <w:t xml:space="preserve"> </w:t>
      </w:r>
      <w:r>
        <w:t>–</w:t>
      </w:r>
      <w:r>
        <w:t xml:space="preserve"> </w:t>
      </w:r>
      <w:r>
        <w:t>, forming reversible S─S dimers that photodecompose under UV light illumination to regenerate ─SH groups. This enables a self‐sustaining redox cycle for dynamic defect healing and enhances both precursor and film stability. Consequently, the optimized small‐area (0.09‐cm</w:t>
      </w:r>
      <w:r>
        <w:rPr>
          <w:vertAlign w:val="subscript"/>
        </w:rPr>
        <w:t>2</w:t>
      </w:r>
      <w:r>
        <w:t>) device achieves impressive efficiency of 26.88% and a non‐radiative voltage loss of only 64 mV. The strategy is readily scalable, delivering efficiencies of 24.92% and 22.73% for 1‐cm</w:t>
      </w:r>
      <w:r>
        <w:rPr>
          <w:vertAlign w:val="subscript"/>
        </w:rPr>
        <w:t>2</w:t>
      </w:r>
      <w:r>
        <w:t>device and 12.96‐cm</w:t>
      </w:r>
      <w:r>
        <w:rPr>
          <w:vertAlign w:val="subscript"/>
        </w:rPr>
        <w:t>2</w:t>
      </w:r>
      <w:r>
        <w:t>mini‐module, respectively. This work highlights the effectiveness of rational molecular design in mitigating both bulk and interfacial energy losses, paving the way for the next generation of high‐performance, stable, and scalable PSCs.</w:t>
      </w:r>
    </w:p>
    <w:p>
      <w:pPr>
        <w:spacing w:before="120" w:after="120"/>
      </w:pPr>
      <w:r>
        <w:rPr>
          <w:sz w:val="18"/>
        </w:rPr>
        <w:t>——————————————————————————————————————————————————————————————————————</w:t>
      </w:r>
    </w:p>
    <w:p>
      <w:pPr>
        <w:spacing w:before="160" w:after="80" w:line="240" w:lineRule="auto"/>
      </w:pPr>
      <w:r>
        <w:rPr>
          <w:b/>
        </w:rPr>
        <w:t xml:space="preserve">[424] </w:t>
      </w:r>
      <w:hyperlink r:id="rId681">
        <w:r>
          <w:rPr>
            <w:color w:val="1155CC"/>
            <w:u w:val="single"/>
          </w:rPr>
          <w:t>Plasmonic Hot‐Carrier Redox Enables Proton‐Coupled Electron Transfer at C─H Bonds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11:40:15+00:00</w:t>
      </w:r>
      <w:r>
        <w:t xml:space="preserve">    </w:t>
      </w:r>
      <w:r>
        <w:rPr>
          <w:b/>
        </w:rPr>
        <w:t xml:space="preserve">DOI: </w:t>
      </w:r>
      <w:hyperlink r:id="rId682">
        <w:r>
          <w:rPr>
            <w:color w:val="1155CC"/>
            <w:u w:val="single"/>
          </w:rPr>
          <w:t>10.1002/anie.202518818</w:t>
        </w:r>
      </w:hyperlink>
    </w:p>
    <w:p>
      <w:pPr>
        <w:spacing w:before="0" w:after="120"/>
      </w:pPr>
      <w:r>
        <w:rPr>
          <w:b/>
        </w:rPr>
        <w:t xml:space="preserve">Notes: </w:t>
      </w:r>
      <w:r>
        <w:t>abstract_source=crossref</w:t>
      </w:r>
    </w:p>
    <w:p>
      <w:pPr>
        <w:spacing w:before="0" w:after="200" w:lineRule="auto" w:line="276"/>
      </w:pPr>
      <w:r>
        <w:rPr>
          <w:b/>
        </w:rPr>
        <w:t xml:space="preserve">Abstract: </w:t>
      </w:r>
      <w:r>
        <w:t>Proton‐coupled electron transfer (PCET) enables the activation of strong X─H bonds (X = C, N, O) under mild conditions, yet mechanistic interrogation remains challenging due to limited control over electron and proton energetics. Here, we demonstrate that plasmon‐driven photocatalysis provides a powerful platform to disentangle these contributions. Using gold nanoparticles supported on an engineered energy‐filter substrate as photoelectrodes, we achieve oxidative C─H bond activation in 1‐benzyl‐1,4‐dihydronicotinamide via multi‐site PCET under visible‐light excitation. Photocurrent kinetics and energetics zone analysis reveal an electron‐then‐proton transfer (ET–PT) pathway that requires pre‐association of the base. The average plasmonic oxidation potential is estimated at ∼0.64 V versus Fc⁺/Fc, corresponding to hot‐hole energies of ∼0.52 eV. These findings establish plasmonic materials not only as versatile light absorbers for photoredox catalysis but also as mechanistic probes for resolving fundamental PCET pathways.</w:t>
      </w:r>
    </w:p>
    <w:p>
      <w:pPr>
        <w:spacing w:before="120" w:after="120"/>
      </w:pPr>
      <w:r>
        <w:rPr>
          <w:sz w:val="18"/>
        </w:rPr>
        <w:t>——————————————————————————————————————————————————————————————————————</w:t>
      </w:r>
    </w:p>
    <w:p>
      <w:pPr>
        <w:spacing w:before="160" w:after="80" w:line="240" w:lineRule="auto"/>
      </w:pPr>
      <w:r>
        <w:rPr>
          <w:b/>
        </w:rPr>
        <w:t xml:space="preserve">[425] </w:t>
      </w:r>
      <w:hyperlink r:id="rId683">
        <w:r>
          <w:rPr>
            <w:color w:val="1155CC"/>
            <w:u w:val="single"/>
          </w:rPr>
          <w:t>New materials could supercharge computer memory chips</w:t>
        </w:r>
      </w:hyperlink>
    </w:p>
    <w:p>
      <w:pPr>
        <w:spacing w:before="0" w:after="120" w:line="240" w:lineRule="auto"/>
      </w:pPr>
      <w:r>
        <w:rPr>
          <w:b/>
        </w:rPr>
        <w:t xml:space="preserve">Source: </w:t>
      </w:r>
      <w:r>
        <w:t>Latest News from Science Magazine</w:t>
      </w:r>
      <w:r>
        <w:t xml:space="preserve">    </w:t>
      </w:r>
      <w:r>
        <w:rPr>
          <w:b/>
        </w:rPr>
        <w:t xml:space="preserve">Pub date: </w:t>
      </w:r>
      <w:r>
        <w:t>2025-12-17 11:45:00+00:00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[426] </w:t>
      </w:r>
      <w:hyperlink r:id="rId684">
        <w:r>
          <w:rPr>
            <w:color w:val="1155CC"/>
            <w:u w:val="single"/>
          </w:rPr>
          <w:t>Differential Adsorption on Synergistic Cu─Cd Sites Enables Direct Hydrogenation in Acidic CO2 Electroreduction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11:45:41+00:00</w:t>
      </w:r>
      <w:r>
        <w:t xml:space="preserve">    </w:t>
      </w:r>
      <w:r>
        <w:rPr>
          <w:b/>
        </w:rPr>
        <w:t xml:space="preserve">DOI: </w:t>
      </w:r>
      <w:hyperlink r:id="rId685">
        <w:r>
          <w:rPr>
            <w:color w:val="1155CC"/>
            <w:u w:val="single"/>
          </w:rPr>
          <w:t>10.1002/anie.202522764</w:t>
        </w:r>
      </w:hyperlink>
    </w:p>
    <w:p>
      <w:pPr>
        <w:spacing w:before="0" w:after="120"/>
      </w:pPr>
      <w:r>
        <w:rPr>
          <w:b/>
        </w:rPr>
        <w:t xml:space="preserve">Notes: </w:t>
      </w:r>
      <w:r>
        <w:t>abstract_source=crossref</w:t>
      </w:r>
    </w:p>
    <w:p>
      <w:pPr>
        <w:spacing w:before="0" w:after="200" w:lineRule="auto" w:line="276"/>
      </w:pPr>
      <w:r>
        <w:rPr>
          <w:b/>
        </w:rPr>
        <w:t xml:space="preserve">Abstract: </w:t>
      </w:r>
      <w:r>
        <w:t>The direct involvement of proton in acidic CO</w:t>
      </w:r>
      <w:r>
        <w:rPr>
          <w:vertAlign w:val="subscript"/>
        </w:rPr>
        <w:t>2</w:t>
      </w:r>
      <w:r>
        <w:t>reduction is key to boosting energy efficiency and preventing carbonate formation. However, the competitive adsorption of proton at low overpotential limits CO production by inhibiting the activation and hydrogenation of CO</w:t>
      </w:r>
      <w:r>
        <w:rPr>
          <w:vertAlign w:val="subscript"/>
        </w:rPr>
        <w:t>2</w:t>
      </w:r>
      <w:r>
        <w:t>to form the key intermediates,</w:t>
      </w:r>
      <w:r>
        <w:t xml:space="preserve"> </w:t>
      </w:r>
      <w:r>
        <w:t>*</w:t>
      </w:r>
      <w:r>
        <w:t xml:space="preserve"> </w:t>
      </w:r>
      <w:r>
        <w:t>COOH. To address this challenge, we developed a Cu─Cd alloy catalyst, which optimizes the proton‐coupled electron transfer (PCET) pathway through a synergistic regulation between dual Cu and Cd active sites. In situ spectroscopy and theoretical calculations reveal that Cd incorporation enhances</w:t>
      </w:r>
      <w:r>
        <w:t xml:space="preserve"> </w:t>
      </w:r>
      <w:r>
        <w:t>*</w:t>
      </w:r>
      <w:r>
        <w:t xml:space="preserve"> </w:t>
      </w:r>
      <w:r>
        <w:t>CO</w:t>
      </w:r>
      <w:r>
        <w:rPr>
          <w:vertAlign w:val="subscript"/>
        </w:rPr>
        <w:t>2</w:t>
      </w:r>
      <w:r>
        <w:t>adsorption and lowers the energy barrier for</w:t>
      </w:r>
      <w:r>
        <w:t xml:space="preserve"> </w:t>
      </w:r>
      <w:r>
        <w:t>*</w:t>
      </w:r>
      <w:r>
        <w:t xml:space="preserve"> </w:t>
      </w:r>
      <w:r>
        <w:t>COOH formation. By proving direct electrochemical hydrogenation, our catalyst achieved a remarkable CO Faradaic efficiency (FE) of 98.6% at −1.12 V versus RHE, and operated for over 250 h at a total current of 0.4 A under a voltage of 2.55 V in a proton exchange membrane electrode assembly. This research presents a powerful new insight for high‐performance acidic CO</w:t>
      </w:r>
      <w:r>
        <w:rPr>
          <w:vertAlign w:val="subscript"/>
        </w:rPr>
        <w:t>2</w:t>
      </w:r>
      <w:r>
        <w:t>electrolysis in proton‐abundant electrolyte environments.</w:t>
      </w:r>
    </w:p>
    <w:p>
      <w:pPr>
        <w:spacing w:before="120" w:after="120"/>
      </w:pPr>
      <w:r>
        <w:rPr>
          <w:sz w:val="18"/>
        </w:rPr>
        <w:t>——————————————————————————————————————————————————————————————————————</w:t>
      </w:r>
    </w:p>
    <w:p>
      <w:pPr>
        <w:spacing w:before="160" w:after="80" w:line="240" w:lineRule="auto"/>
      </w:pPr>
      <w:r>
        <w:rPr>
          <w:b/>
        </w:rPr>
        <w:t xml:space="preserve">[427] </w:t>
      </w:r>
      <w:hyperlink r:id="rId686">
        <w:r>
          <w:rPr>
            <w:color w:val="1155CC"/>
            <w:u w:val="single"/>
          </w:rPr>
          <w:t>Facet‐Engineered Anatase TiO2 Nanoflowers with Anchored Single‐Atom Pd for Ultrafast Hydrogen Storage Kinetics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2025-12-17 11:48:14+00:00</w:t>
      </w:r>
      <w:r>
        <w:t xml:space="preserve">    </w:t>
      </w:r>
      <w:r>
        <w:rPr>
          <w:b/>
        </w:rPr>
        <w:t xml:space="preserve">DOI: </w:t>
      </w:r>
      <w:hyperlink r:id="rId687">
        <w:r>
          <w:rPr>
            <w:color w:val="1155CC"/>
            <w:u w:val="single"/>
          </w:rPr>
          <w:t>10.1002/aenm.202505141</w:t>
        </w:r>
      </w:hyperlink>
    </w:p>
    <w:p>
      <w:pPr>
        <w:spacing w:before="0" w:after="120"/>
      </w:pPr>
      <w:r>
        <w:rPr>
          <w:b/>
        </w:rPr>
        <w:t xml:space="preserve">Notes: </w:t>
      </w:r>
      <w:r>
        <w:t>abstract_source=crossref</w:t>
      </w:r>
    </w:p>
    <w:p>
      <w:pPr>
        <w:spacing w:before="0" w:after="200" w:lineRule="auto" w:line="276"/>
      </w:pPr>
      <w:r>
        <w:rPr>
          <w:b/>
        </w:rPr>
        <w:t xml:space="preserve">Abstract: </w:t>
      </w:r>
      <w:r>
        <w:t>Securing a clean and sustainable energy future hinges on developing high‐performance hydrogen storage technologies. However, the widely practical application is hindered by slow kinetics and high thermodynamic stability. Herein, a facet‐engineered strategy is developed to modulate metal–support interactions by constructing marimo‐like anatase TiO</w:t>
      </w:r>
      <w:r>
        <w:rPr>
          <w:vertAlign w:val="subscript"/>
        </w:rPr>
        <w:t>2</w:t>
      </w:r>
      <w:r>
        <w:t>nanoflowers enriched with {001} facets as scaffolds for Pd single atoms (PdSAs/A‐TiO</w:t>
      </w:r>
      <w:r>
        <w:rPr>
          <w:vertAlign w:val="subscript"/>
        </w:rPr>
        <w:t>2</w:t>
      </w:r>
      <w:r>
        <w:t>). Strong Pd–O bonding and nano‐confinement ensure atomic dispersion and electronic coupling. The MgH</w:t>
      </w:r>
      <w:r>
        <w:rPr>
          <w:vertAlign w:val="subscript"/>
        </w:rPr>
        <w:t>2</w:t>
      </w:r>
      <w:r>
        <w:t>‐PdSAs/A‐TiO</w:t>
      </w:r>
      <w:r>
        <w:rPr>
          <w:vertAlign w:val="subscript"/>
        </w:rPr>
        <w:t>2</w:t>
      </w:r>
      <w:r>
        <w:t>composite exhibits ultrafast H</w:t>
      </w:r>
      <w:r>
        <w:rPr>
          <w:vertAlign w:val="subscript"/>
        </w:rPr>
        <w:t>2</w:t>
      </w:r>
      <w:r>
        <w:t>release (6 wt.% in 3.5 min at 250°C) and absorption (1.2 wt.% in 5 min at 25°C). PdSAs‐induced electronic modulation shifts Ti 3d states toward the Fermi level, enhancing hydrogen activation and reducing the energy barrier of rate‐determining step (RDS) in Mg/MgH</w:t>
      </w:r>
      <w:r>
        <w:rPr>
          <w:vertAlign w:val="subscript"/>
        </w:rPr>
        <w:t>2</w:t>
      </w:r>
      <w:r>
        <w:t>from 1.43 to 0.31 eV. A high capacity retention of 92.6% after 10 dehydrogenation/re‐hydrogenation cycles at 300°C is achieved by MgH</w:t>
      </w:r>
      <w:r>
        <w:rPr>
          <w:vertAlign w:val="subscript"/>
        </w:rPr>
        <w:t>2</w:t>
      </w:r>
      <w:r>
        <w:t>‐PdSAs/A‐TiO</w:t>
      </w:r>
      <w:r>
        <w:rPr>
          <w:vertAlign w:val="subscript"/>
        </w:rPr>
        <w:t>2</w:t>
      </w:r>
      <w:r>
        <w:t>NFs, in sharp contrast to ball‐milled MgH</w:t>
      </w:r>
      <w:r>
        <w:rPr>
          <w:vertAlign w:val="subscript"/>
        </w:rPr>
        <w:t>2</w:t>
      </w:r>
      <w:r>
        <w:t>(46.1%). In situ formation of a MgTi</w:t>
      </w:r>
      <w:r>
        <w:rPr>
          <w:vertAlign w:val="subscript"/>
        </w:rPr>
        <w:t>2</w:t>
      </w:r>
      <w:r>
        <w:t>O</w:t>
      </w:r>
      <w:r>
        <w:rPr>
          <w:vertAlign w:val="subscript"/>
        </w:rPr>
        <w:t>4</w:t>
      </w:r>
      <w:r>
        <w:t>interfacial phase replaces the inert MgO layer, providing a fast hydrogen transport network that facilitates H‐atom migration between PdSAs and the Mg matrix. This facet‐directed single‐atom and interfacial phase engineering concept offers a unified strategy to overcome thermodynamic and kinetic bottlenecks in MgH</w:t>
      </w:r>
      <w:r>
        <w:rPr>
          <w:vertAlign w:val="subscript"/>
        </w:rPr>
        <w:t>2</w:t>
      </w:r>
      <w:r>
        <w:t>‐based hydrogen storage.</w:t>
      </w:r>
    </w:p>
    <w:p>
      <w:pPr>
        <w:spacing w:before="120" w:after="120"/>
      </w:pPr>
      <w:r>
        <w:rPr>
          <w:sz w:val="18"/>
        </w:rPr>
        <w:t>——————————————————————————————————————————————————————————————————————</w:t>
      </w:r>
    </w:p>
    <w:p>
      <w:pPr>
        <w:spacing w:before="160" w:after="80" w:line="240" w:lineRule="auto"/>
      </w:pPr>
      <w:r>
        <w:rPr>
          <w:b/>
        </w:rPr>
        <w:t xml:space="preserve">[428] </w:t>
      </w:r>
      <w:hyperlink r:id="rId688">
        <w:r>
          <w:rPr>
            <w:color w:val="1155CC"/>
            <w:u w:val="single"/>
          </w:rPr>
          <w:t>[ASAP] Electropolymerization of Organic Mixed Ionic-Electronic Conductors: Fundamentals and Applications in Bioelectronics</w:t>
        </w:r>
      </w:hyperlink>
    </w:p>
    <w:p>
      <w:pPr>
        <w:spacing w:before="0" w:after="120" w:line="240" w:lineRule="auto"/>
      </w:pPr>
      <w:r>
        <w:rPr>
          <w:b/>
        </w:rPr>
        <w:t xml:space="preserve">Source: </w:t>
      </w:r>
      <w:r>
        <w:t>Chemical Reviews: Latest Articles (ACS Publications)</w:t>
      </w:r>
      <w:r>
        <w:t xml:space="preserve">    </w:t>
      </w:r>
      <w:r>
        <w:rPr>
          <w:b/>
        </w:rPr>
        <w:t xml:space="preserve">Pub date: </w:t>
      </w:r>
      <w:r>
        <w:t>2025-12-17 12:15:37+00:00</w:t>
      </w:r>
      <w:r>
        <w:t xml:space="preserve">    </w:t>
      </w:r>
      <w:r>
        <w:rPr>
          <w:b/>
        </w:rPr>
        <w:t xml:space="preserve">DOI: </w:t>
      </w:r>
      <w:hyperlink r:id="rId689">
        <w:r>
          <w:rPr>
            <w:color w:val="1155CC"/>
            <w:u w:val="single"/>
          </w:rPr>
          <w:t>10.1021/acs.chemrev.5c00183</w:t>
        </w:r>
      </w:hyperlink>
    </w:p>
    <w:p>
      <w:pPr>
        <w:spacing w:before="0" w:after="120"/>
      </w:pPr>
      <w:r>
        <w:rPr>
          <w:b/>
        </w:rPr>
        <w:t xml:space="preserve">Notes: </w:t>
      </w:r>
      <w:r>
        <w:t>abstract_source=pubmed</w:t>
      </w:r>
    </w:p>
    <w:p>
      <w:pPr>
        <w:spacing w:before="0" w:after="200" w:lineRule="auto" w:line="276"/>
      </w:pPr>
      <w:r>
        <w:rPr>
          <w:b/>
        </w:rPr>
        <w:t xml:space="preserve">Abstract: </w:t>
      </w:r>
      <w:r>
        <w:t>Conducting polymers, particularly those capable of transporting both ionic and electronic charges─commonly referred to as organic mixed ionic-electronic conductors (OMIECs)─have played a transformative role in enabling bidirectional communication between biological systems and electronic circuits. This ability has driven the field of bioelectronics to expand in three distinct directions: biointerfacing, sensing, and neuromorphic computing. Biointerfacing and sensing allow for the extraction of interpretable chemical and electrochemical signals from living organisms, while neuromorphic computing, in addition to efficiently processing complex signals, can translate electronic signals into the frequency domain that the nervous system uses to communicate. In the bioelectronics context, OMIECs have been untethered from previous requirements of high charge mobility, fast switching times, and long-range crystallinity, which makes electropolymerization a more attractive route to fabricate OMIECs on bioelectronic devices. This review examines the fundamental principles, practical aspects, and prominent applications of OMIEC materials fabricated by electropolymerization.</w:t>
      </w:r>
    </w:p>
    <w:p>
      <w:pPr>
        <w:spacing w:before="120" w:after="120"/>
      </w:pPr>
      <w:r>
        <w:rPr>
          <w:sz w:val="18"/>
        </w:rPr>
        <w:t>——————————————————————————————————————————————————————————————————————</w:t>
      </w:r>
    </w:p>
    <w:p>
      <w:pPr>
        <w:spacing w:before="160" w:after="80" w:line="240" w:lineRule="auto"/>
      </w:pPr>
      <w:r>
        <w:rPr>
          <w:b/>
        </w:rPr>
        <w:t xml:space="preserve">[429] </w:t>
      </w:r>
      <w:hyperlink r:id="rId690">
        <w:r>
          <w:rPr>
            <w:color w:val="1155CC"/>
            <w:u w:val="single"/>
          </w:rPr>
          <w:t>Chile’s new president could shake up nation’s science community</w:t>
        </w:r>
      </w:hyperlink>
    </w:p>
    <w:p>
      <w:pPr>
        <w:spacing w:before="0" w:after="120" w:line="240" w:lineRule="auto"/>
      </w:pPr>
      <w:r>
        <w:rPr>
          <w:b/>
        </w:rPr>
        <w:t xml:space="preserve">Source: </w:t>
      </w:r>
      <w:r>
        <w:t>Latest News from Science Magazine</w:t>
      </w:r>
      <w:r>
        <w:t xml:space="preserve">    </w:t>
      </w:r>
      <w:r>
        <w:rPr>
          <w:b/>
        </w:rPr>
        <w:t xml:space="preserve">Pub date: </w:t>
      </w:r>
      <w:r>
        <w:t>2025-12-17 12:30:34+00:00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[430] </w:t>
      </w:r>
      <w:hyperlink r:id="rId691">
        <w:r>
          <w:rPr>
            <w:color w:val="1155CC"/>
            <w:u w:val="single"/>
          </w:rPr>
          <w:t>[ASAP] Intrinsically Bifunctional and Tunable Tungsten Carbide Catalysts Enable Efficient PVC-Compatible Polyolefin Hydrocracking</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12:41:45+00:00</w:t>
      </w:r>
      <w:r>
        <w:t xml:space="preserve">    </w:t>
      </w:r>
      <w:r>
        <w:rPr>
          <w:b/>
        </w:rPr>
        <w:t xml:space="preserve">DOI: </w:t>
      </w:r>
      <w:hyperlink r:id="rId692">
        <w:r>
          <w:rPr>
            <w:color w:val="1155CC"/>
            <w:u w:val="single"/>
          </w:rPr>
          <w:t>10.1021/jacs.5c11845</w:t>
        </w:r>
      </w:hyperlink>
    </w:p>
    <w:p>
      <w:pPr>
        <w:spacing w:before="0" w:after="120"/>
      </w:pPr>
      <w:r>
        <w:rPr>
          <w:b/>
        </w:rPr>
        <w:t xml:space="preserve">Notes: </w:t>
      </w:r>
      <w:r>
        <w:t>abstract_source=pubmed</w:t>
      </w:r>
    </w:p>
    <w:p>
      <w:pPr>
        <w:spacing w:before="0" w:after="200" w:lineRule="auto" w:line="276"/>
      </w:pPr>
      <w:r>
        <w:rPr>
          <w:b/>
        </w:rPr>
        <w:t xml:space="preserve">Abstract: </w:t>
      </w:r>
      <w:r>
        <w:t>Hydrocracking is a promising route for the chemical recycling of polyolefins (PO), converting them into short hydrocarbons over bifunctional catalysts with metal sites for hydrogenation and dehydrogenation, and Brønsted acid sites (BAS) for isomerization and C-C bond cleavage. However, PO feedstocks containing polyvinyl chloride (PVC) can release chlorine (Cl) under reaction conditions, deactivating conventional noble metal/zeolite catalysts. Moreover, the lack of site intimacy and the presence of micropores within conventional catalysts create challenges around the transport of high-molecular-weight, sterically encumbered polymer intermediates. Here, we report tungsten carbides (WxC) as a novel type of bifunctional catalysts that address these challenges. W/W2C phases on WxC offer "metal" sites, and -OH on WOx species introduces BAS in close proximity. The "metal":BAS ratio can be tuned through carburization temperature, leading to a volcano-shaped activity trend reflecting the requirement for metal-BAS balance. Kinetic data demonstrate that each PO chain undergoes sequential cleavage, while trends in cracking ideality and selectivity follow those in short-alkane hydrocracking. On the per-BAS basis, WxC is more efficient than conventional bifunctional catalysts by more than an order of magnitude, due to enhanced polymer transport. They maintain or show increased activity with 10 wt % PVC in the substrate. This work establishes transition-metal carbides as earth-abundant bifunctional catalysts with unique site proximity and heteroatom compatibility. These features, along with the broad structure space for rational tuning, make them promising options to tackle specific challenges that polymer feedstocks present in hydrocracking.</w:t>
      </w:r>
    </w:p>
    <w:p>
      <w:pPr>
        <w:spacing w:before="120" w:after="120"/>
      </w:pPr>
      <w:r>
        <w:rPr>
          <w:sz w:val="18"/>
        </w:rPr>
        <w:t>——————————————————————————————————————————————————————————————————————</w:t>
      </w:r>
    </w:p>
    <w:p>
      <w:pPr>
        <w:spacing w:before="160" w:after="80" w:line="240" w:lineRule="auto"/>
      </w:pPr>
      <w:r>
        <w:rPr>
          <w:b/>
        </w:rPr>
        <w:t xml:space="preserve">[431] </w:t>
      </w:r>
      <w:hyperlink r:id="rId693">
        <w:r>
          <w:rPr>
            <w:color w:val="1155CC"/>
            <w:u w:val="single"/>
          </w:rPr>
          <w:t>[ASAP] Direct Catalytic Enantioselective C(sp2)–H Allylation of Acrylic Acids: Modular Access to Chiral 1,4-Skipped Dienes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12:42:25+00:00</w:t>
      </w:r>
      <w:r>
        <w:t xml:space="preserve">    </w:t>
      </w:r>
      <w:r>
        <w:rPr>
          <w:b/>
        </w:rPr>
        <w:t xml:space="preserve">DOI: </w:t>
      </w:r>
      <w:hyperlink r:id="rId694">
        <w:r>
          <w:rPr>
            <w:color w:val="1155CC"/>
            <w:u w:val="single"/>
          </w:rPr>
          <w:t>10.1021/jacs.5c17825</w:t>
        </w:r>
      </w:hyperlink>
    </w:p>
    <w:p>
      <w:pPr>
        <w:spacing w:before="0" w:after="120"/>
      </w:pPr>
      <w:r>
        <w:rPr>
          <w:b/>
        </w:rPr>
        <w:t xml:space="preserve">Notes: </w:t>
      </w:r>
      <w:r>
        <w:t>abstract_source=pubmed</w:t>
      </w:r>
    </w:p>
    <w:p>
      <w:pPr>
        <w:spacing w:before="0" w:after="200" w:lineRule="auto" w:line="276"/>
      </w:pPr>
      <w:r>
        <w:rPr>
          <w:b/>
        </w:rPr>
        <w:t xml:space="preserve">Abstract: </w:t>
      </w:r>
      <w:r>
        <w:t>The direct enantioselective C-H functionalization of carboxylic acids represents a formidable yet highly appealing goal in synthesis, offering efficient access to chiral molecules from abundant feedstocks. Herein, we disclose a chiral CpxRh(III)-catalyzed strategy for the enantioselective alkenyl C-H allylation of acrylic acids. This transformation achieves a unique asymmetric C(sp2)-C(sp3) cross-coupling between two olefin coupling partners─acrylic acids and allyl acetates─delivering valuable enantioenriched 1,4-dienes with high efficiency and excellent enantioselectivity. This transformation exhibits a broad substrate scope and high functional group tolerance, with its synthetic utility demonstrated through scalable synthesis and diverse downstream derivatizations. This strategy establishes a versatile and practical approach to asymmetric alkenyl C-H functionalization for the convenient synthesis of valuable enantioenriched architectures.</w:t>
      </w:r>
    </w:p>
    <w:p>
      <w:pPr>
        <w:spacing w:before="120" w:after="120"/>
      </w:pPr>
      <w:r>
        <w:rPr>
          <w:sz w:val="18"/>
        </w:rPr>
        <w:t>——————————————————————————————————————————————————————————————————————</w:t>
      </w:r>
    </w:p>
    <w:p>
      <w:pPr>
        <w:spacing w:before="160" w:after="80" w:line="240" w:lineRule="auto"/>
      </w:pPr>
      <w:r>
        <w:rPr>
          <w:b/>
        </w:rPr>
        <w:t xml:space="preserve">[432] </w:t>
      </w:r>
      <w:hyperlink r:id="rId695">
        <w:r>
          <w:rPr>
            <w:color w:val="1155CC"/>
            <w:u w:val="single"/>
          </w:rPr>
          <w:t>[ASAP] Actifensin Evolution in the Human Oral Cavity over the Past 100,000 Years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12:42:30+00:00</w:t>
      </w:r>
      <w:r>
        <w:t xml:space="preserve">    </w:t>
      </w:r>
      <w:r>
        <w:rPr>
          <w:b/>
        </w:rPr>
        <w:t xml:space="preserve">DOI: </w:t>
      </w:r>
      <w:hyperlink r:id="rId696">
        <w:r>
          <w:rPr>
            <w:color w:val="1155CC"/>
            <w:u w:val="single"/>
          </w:rPr>
          <w:t>10.1021/jacs.5c14335</w:t>
        </w:r>
      </w:hyperlink>
    </w:p>
    <w:p>
      <w:pPr>
        <w:spacing w:before="0" w:after="120"/>
      </w:pPr>
      <w:r>
        <w:rPr>
          <w:b/>
        </w:rPr>
        <w:t xml:space="preserve">Notes: </w:t>
      </w:r>
      <w:r>
        <w:t>abstract_source=pubmed</w:t>
      </w:r>
    </w:p>
    <w:p>
      <w:pPr>
        <w:spacing w:before="0" w:after="200" w:lineRule="auto" w:line="276"/>
      </w:pPr>
      <w:r>
        <w:rPr>
          <w:b/>
        </w:rPr>
        <w:t xml:space="preserve">Abstract: </w:t>
      </w:r>
      <w:r>
        <w:t>Bacterially produced antimicrobial peptides (AMPs), or bacteriocins, play key roles in shaping microbial communities via interspecies competition. Unlike the more temporally dynamic gut microbiome, the oral microbiome exhibits long-term stability and is preserved into deep time in dental calculus, enabling evolutionary analysis across time. Here, we combine metagenomics, structural modeling, and experimental validation to investigate AMP diversity in ancient and modern dental biofilms from humans, Neanderthals, and nonhuman primates spanning 100,000 years. Using our newly developed platform, AMPcombi, we uncover evolutionary trajectories of bacteriocins and elucidate their ecological functions. Among these, we identify a conserved family of Actinomyces-derived defensin-like peptides, termed actifensins, present across all time periods. Phylogenetic, structural, and functional analyses revealed shared ancestry and adaptive diversification between ancient (paleo-) and modern actifensins, with evidence of positive selection and maintained antimicrobial activity. Our findings position the oral microbiome as a valuable reservoir for natural product discovery. In the face of rising antimicrobial resistance, evolutionary insights into AMP function open a door to next-generation therapeutics. AMPcombi streamlines this process, linking ancient biomolecules with biotechnology.</w:t>
      </w:r>
    </w:p>
    <w:p>
      <w:pPr>
        <w:spacing w:before="120" w:after="120"/>
      </w:pPr>
      <w:r>
        <w:rPr>
          <w:sz w:val="18"/>
        </w:rPr>
        <w:t>——————————————————————————————————————————————————————————————————————</w:t>
      </w:r>
    </w:p>
    <w:p>
      <w:pPr>
        <w:spacing w:before="160" w:after="80" w:line="240" w:lineRule="auto"/>
      </w:pPr>
      <w:r>
        <w:rPr>
          <w:b/>
        </w:rPr>
        <w:t xml:space="preserve">[433] </w:t>
      </w:r>
      <w:hyperlink r:id="rId697">
        <w:r>
          <w:rPr>
            <w:color w:val="1155CC"/>
            <w:u w:val="single"/>
          </w:rPr>
          <w:t>[ASAP] Amphiphilic Fluorinated Block Copolymer Additives for Ultrastable Aqueous Zn-Ion Batteries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13:34:52+00:00</w:t>
      </w:r>
      <w:r>
        <w:t xml:space="preserve">    </w:t>
      </w:r>
      <w:r>
        <w:rPr>
          <w:b/>
        </w:rPr>
        <w:t xml:space="preserve">DOI: </w:t>
      </w:r>
      <w:hyperlink r:id="rId698">
        <w:r>
          <w:rPr>
            <w:color w:val="1155CC"/>
            <w:u w:val="single"/>
          </w:rPr>
          <w:t>10.1021/jacs.5c14364</w:t>
        </w:r>
      </w:hyperlink>
    </w:p>
    <w:p>
      <w:pPr>
        <w:spacing w:before="0" w:after="120"/>
      </w:pPr>
      <w:r>
        <w:rPr>
          <w:b/>
        </w:rPr>
        <w:t xml:space="preserve">Notes: </w:t>
      </w:r>
      <w:r>
        <w:t>abstract_source=pubmed</w:t>
      </w:r>
    </w:p>
    <w:p>
      <w:pPr>
        <w:spacing w:before="0" w:after="200" w:lineRule="auto" w:line="276"/>
      </w:pPr>
      <w:r>
        <w:rPr>
          <w:b/>
        </w:rPr>
        <w:t xml:space="preserve">Abstract: </w:t>
      </w:r>
      <w:r>
        <w:t>In this study, we explored a high-throughput automated chromatography strategy for fast screening high-performance fluorinated block copolymers as electrolyte additives for ultrastable Zn-ion batteries. The proposed polymer, synthesized through controlled reversible addition-fragmentation chain-transfer (RAFT) polymerization, features a hydrophilic oligo(ethylene glycol) methyl ether acrylate (OEGA) block to provide water solubility, and a fluorophilic perfluoropolyether (PFPE) segment as the fluorine source. Our investigations reveal that the balance between OEGA and fluorine plays a key role in modulating interactions between Zn2+ and the fluorinated polymer additives. The degree of polymerization (DP) of OEGA affects both the coordination environment of Zn2+ and water and the exposure of the hydrophobic fluorinated core. Meanwhile, the fluorinated segment facilitates the formation of a protective ZnF2-rich layer, contributing to the stabilization of the solid electrolyte interphase (SEI). Benefiting from this synergistic effect, the polymer additive significantly improves battery performance, achieving stable cycling for 3800 h in symmetric Zn|Zn cells with a Coulombic efficiency (CE) of over 99.6% in Zn|Cu cells. Notably, the Zn|NVO full cell demonstrates excellent capacity retention, maintaining 98.4% of its initial capacity after 5000 cycles at 5 A g-1, with a per-cycle capacity decay as low as 0.00032%. In addition, the Zn|NVO pouch cell delivers stable cycling with a capacity retention of 92% after 700 cycles. This work highlights the important role of composition balance in developing fluorinated polymer additives, puts forward valuable molecular design guidelines for functional additives for practical energy storage applications.</w:t>
      </w:r>
    </w:p>
    <w:p>
      <w:pPr>
        <w:spacing w:before="120" w:after="120"/>
      </w:pPr>
      <w:r>
        <w:rPr>
          <w:sz w:val="18"/>
        </w:rPr>
        <w:t>——————————————————————————————————————————————————————————————————————</w:t>
      </w:r>
    </w:p>
    <w:p>
      <w:pPr>
        <w:spacing w:before="160" w:after="80" w:line="240" w:lineRule="auto"/>
      </w:pPr>
      <w:r>
        <w:rPr>
          <w:b/>
        </w:rPr>
        <w:t xml:space="preserve">[434] </w:t>
      </w:r>
      <w:hyperlink r:id="rId699">
        <w:r>
          <w:rPr>
            <w:color w:val="1155CC"/>
            <w:u w:val="single"/>
          </w:rPr>
          <w:t>A Radical Cascade with Double Intramolecular Hydrogen Atom Transfer for the Generation of Bisfunctionalized Cyclopentanes from Linear Alkynes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2025-12-17 14:00:44+00:00</w:t>
      </w:r>
      <w:r>
        <w:t xml:space="preserve">    </w:t>
      </w:r>
      <w:r>
        <w:rPr>
          <w:b/>
        </w:rPr>
        <w:t xml:space="preserve">DOI: </w:t>
      </w:r>
      <w:hyperlink r:id="rId700">
        <w:r>
          <w:rPr>
            <w:color w:val="1155CC"/>
            <w:u w:val="single"/>
          </w:rPr>
          <w:t>10.1002/anie.202524431</w:t>
        </w:r>
      </w:hyperlink>
    </w:p>
    <w:p>
      <w:pPr>
        <w:spacing w:before="0" w:after="120"/>
      </w:pPr>
      <w:r>
        <w:rPr>
          <w:b/>
        </w:rPr>
        <w:t xml:space="preserve">Notes: </w:t>
      </w:r>
      <w:r>
        <w:t>abstract_source=crossref</w:t>
      </w:r>
    </w:p>
    <w:p>
      <w:pPr>
        <w:spacing w:before="0" w:after="200" w:lineRule="auto" w:line="276"/>
      </w:pPr>
      <w:r>
        <w:rPr>
          <w:b/>
        </w:rPr>
        <w:t xml:space="preserve">Abstract: </w:t>
      </w:r>
      <w:r>
        <w:t>Radical cascade reactions represent a powerful synthetic tool for the preparation of complex molecules from easily assembled starting materials. The incorporation of an intramolecular hydrogen atom transfer step in the cascade enhances considerably the level of complexity that can be achieved in a single synthetic operation. We describe here an efficient radical cascade process that involves the activation of two aliphatic C–H bonds in a series of five elementary steps. It converts efficiently readily available terminal alkynes into functionalized cyclopentylmethyl arylsulfones, which are highly valuable and flexible synthetic intermediates, as demonstrated by the preparation of diquinanes and triquinanes possessing a rare</w:t>
      </w:r>
      <w:r>
        <w:t xml:space="preserve"> </w:t>
      </w:r>
      <w:r>
        <w:t>trans</w:t>
      </w:r>
      <w:r>
        <w:t xml:space="preserve"> </w:t>
      </w:r>
      <w:r>
        <w:t>ring junction. This work illustrates also the unique reactivity of α‐sulfonylated alkyl radicals in C–H bond activation processes.</w:t>
      </w:r>
    </w:p>
    <w:p>
      <w:pPr>
        <w:spacing w:before="120" w:after="120"/>
      </w:pPr>
      <w:r>
        <w:rPr>
          <w:sz w:val="18"/>
        </w:rPr>
        <w:t>——————————————————————————————————————————————————————————————————————</w:t>
      </w:r>
    </w:p>
    <w:p>
      <w:pPr>
        <w:spacing w:before="160" w:after="80" w:line="240" w:lineRule="auto"/>
      </w:pPr>
      <w:r>
        <w:rPr>
          <w:b/>
        </w:rPr>
        <w:t xml:space="preserve">[435] </w:t>
      </w:r>
      <w:hyperlink r:id="rId701">
        <w:r>
          <w:rPr>
            <w:color w:val="1155CC"/>
            <w:u w:val="single"/>
          </w:rPr>
          <w:t>Advances in In Vitro Modeling of Cancer‐Stromal Interactions: From Fundamental Insights to Translational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02">
        <w:r>
          <w:rPr>
            <w:color w:val="1155CC"/>
            <w:u w:val="single"/>
          </w:rPr>
          <w:t>10.1002/adma.202512252</w:t>
        </w:r>
      </w:hyperlink>
    </w:p>
    <w:p>
      <w:pPr>
        <w:spacing w:before="0" w:after="120"/>
      </w:pPr>
      <w:r>
        <w:rPr>
          <w:b/>
        </w:rPr>
        <w:t xml:space="preserve">Notes: </w:t>
      </w:r>
      <w:r>
        <w:t>abstract_source=crossref</w:t>
      </w:r>
    </w:p>
    <w:p>
      <w:pPr>
        <w:spacing w:before="0" w:after="200" w:lineRule="auto" w:line="276"/>
      </w:pPr>
      <w:r>
        <w:rPr>
          <w:b/>
        </w:rPr>
        <w:t xml:space="preserve">Abstract: </w:t>
      </w:r>
      <w:r>
        <w:t>Accurate in vitro modeling of the tumor microenvironment (TME) is essential for advancing our understanding of cancer biology and for developing effective anti‐cancer therapeutics. Context‐dependent and patient‐specific, the dynamic interactions between cancer cells and stromal elements significantly affect tumor progression and treatment response. Recent advances in biomaterials, microdevices, and molecular analysis techniques have facilitated the development of in vitro tumor models that better replicate these cancer‐stromal interactions. In turn, these models have deepened the understanding of cancer biology, leading to the discovery of new prognostic markers and establishing preclinical platforms that more reliably predict clinical outcomes. However, challenges persist in fully capturing the immense complexity of the TME and translating these models for real clinical impact. In this review, key design principles for creating physiologically relevant tumor models are first described, then the latest advances in tumor modeling that have contributed to new biological insights and progress in drug development are discussed.</w:t>
      </w:r>
    </w:p>
    <w:p>
      <w:pPr>
        <w:spacing w:before="120" w:after="120"/>
      </w:pPr>
      <w:r>
        <w:rPr>
          <w:sz w:val="18"/>
        </w:rPr>
        <w:t>——————————————————————————————————————————————————————————————————————</w:t>
      </w:r>
    </w:p>
    <w:p>
      <w:pPr>
        <w:spacing w:before="160" w:after="80" w:line="240" w:lineRule="auto"/>
      </w:pPr>
      <w:r>
        <w:rPr>
          <w:b/>
        </w:rPr>
        <w:t xml:space="preserve">[436] </w:t>
      </w:r>
      <w:hyperlink r:id="rId703">
        <w:r>
          <w:rPr>
            <w:color w:val="1155CC"/>
            <w:u w:val="single"/>
          </w:rPr>
          <w:t>Bio‐Resorbable Magnetic Tunnel Junctions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04">
        <w:r>
          <w:rPr>
            <w:color w:val="1155CC"/>
            <w:u w:val="single"/>
          </w:rPr>
          <w:t>10.1002/adma.202507912</w:t>
        </w:r>
      </w:hyperlink>
    </w:p>
    <w:p>
      <w:pPr>
        <w:spacing w:before="0" w:after="120"/>
      </w:pPr>
      <w:r>
        <w:rPr>
          <w:b/>
        </w:rPr>
        <w:t xml:space="preserve">Notes: </w:t>
      </w:r>
      <w:r>
        <w:t>abstract_source=crossref</w:t>
      </w:r>
    </w:p>
    <w:p>
      <w:pPr>
        <w:spacing w:before="0" w:after="200" w:lineRule="auto" w:line="276"/>
      </w:pPr>
      <w:r>
        <w:rPr>
          <w:b/>
        </w:rPr>
        <w:t xml:space="preserve">Abstract: </w:t>
      </w:r>
      <w:r>
        <w:t>Magnetic tunnel junctions (MTJs) play a crucial role in spintronic applications, particularly data storage and sensors. Especially as a non‐volatile memory, MTJs has received substantial attention due to its CMOS compatibility, low power consumption, fast switching speed, and high endurance. In parallel, bio‐resorbable electronics have emerged as a promising solution for systems requiring temporary operation and secure data disposal, especially in military, intelligence, and biomedical systems where devices must safely disintegrate under physiological conditions. In this study, the bio‐resorbability of MTJ is investigated by analyzing the dissolution behavior of its nanometer‐thick constituent layers in phosphate‐buffered saline solution at pH 7.4, simulating physiological environments. The MTJ structures, composed of bio‐resorbable materials, exhibit well‐controlled degradation behaviors. Critically, as one of the ferromagnetic layers dissolves, binary information is irreversibly lost, within 10 h of immersion. These findings highlight the potential of MTJs not only as high‐performance memory elements but also as secure, transient data storage platforms. The ability to modify the dissolution lifetime by materials and thickness selection offers unique advantages for short‐lived implantable devices, paving the way for integrating spintronic functionality into next‐generation bioresorbable electronics.</w:t>
      </w:r>
    </w:p>
    <w:p>
      <w:pPr>
        <w:spacing w:before="120" w:after="120"/>
      </w:pPr>
      <w:r>
        <w:rPr>
          <w:sz w:val="18"/>
        </w:rPr>
        <w:t>——————————————————————————————————————————————————————————————————————</w:t>
      </w:r>
    </w:p>
    <w:p>
      <w:pPr>
        <w:spacing w:before="160" w:after="80" w:line="240" w:lineRule="auto"/>
      </w:pPr>
      <w:r>
        <w:rPr>
          <w:b/>
        </w:rPr>
        <w:t xml:space="preserve">[437] </w:t>
      </w:r>
      <w:hyperlink r:id="rId705">
        <w:r>
          <w:rPr>
            <w:color w:val="1155CC"/>
            <w:u w:val="single"/>
          </w:rPr>
          <w:t>Rhus Chinensis ‐ Inspired Vertical Hierarchical Structure for Solar ‐ Driven All ‐ Weather Co ‐ Harvesting of Fresh Water, Clean Salts, and Authigenic Electricity</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06">
        <w:r>
          <w:rPr>
            <w:color w:val="1155CC"/>
            <w:u w:val="single"/>
          </w:rPr>
          <w:t>10.1002/adma.202506762</w:t>
        </w:r>
      </w:hyperlink>
    </w:p>
    <w:p>
      <w:pPr>
        <w:spacing w:before="0" w:after="120"/>
      </w:pPr>
      <w:r>
        <w:rPr>
          <w:b/>
        </w:rPr>
        <w:t xml:space="preserve">Notes: </w:t>
      </w:r>
      <w:r>
        <w:t>abstract_source=crossref</w:t>
      </w:r>
    </w:p>
    <w:p>
      <w:pPr>
        <w:spacing w:before="0" w:after="200" w:lineRule="auto" w:line="276"/>
      </w:pPr>
      <w:r>
        <w:rPr>
          <w:b/>
        </w:rPr>
        <w:t xml:space="preserve">Abstract: </w:t>
      </w:r>
      <w:r>
        <w:t>The escalating challenges in water, energy, and environmental sustainability necessitate the efficient utilization of diverse water sources, such as seawater and wastewater. Herein, a</w:t>
      </w:r>
      <w:r>
        <w:t xml:space="preserve"> </w:t>
      </w:r>
      <w:r>
        <w:t>Rhus chinensis ‐</w:t>
      </w:r>
      <w:r>
        <w:t xml:space="preserve"> </w:t>
      </w:r>
      <w:r>
        <w:t>inspired vertical hierarchical structure (RVHS) is developed to achieve all ‐ weather extraction of fresh water, clean salt, and authigenic electricity. The RVHS achieves high water production rates of 5.07 kg m</w:t>
      </w:r>
      <w:r>
        <w:t xml:space="preserve"> </w:t>
      </w:r>
      <w:r>
        <w:t>−</w:t>
      </w:r>
      <w:r>
        <w:rPr>
          <w:vertAlign w:val="subscript"/>
        </w:rPr>
        <w:t>2</w:t>
      </w:r>
      <w:r>
        <w:t>during the day and 2.04 kg m</w:t>
      </w:r>
      <w:r>
        <w:t xml:space="preserve"> </w:t>
      </w:r>
      <w:r>
        <w:t>−</w:t>
      </w:r>
      <w:r>
        <w:rPr>
          <w:vertAlign w:val="subscript"/>
        </w:rPr>
        <w:t>2</w:t>
      </w:r>
      <w:r>
        <w:t>at night,</w:t>
      </w:r>
      <w:r>
        <w:t xml:space="preserve"> </w:t>
      </w:r>
      <w:r>
        <w:t>approximately</w:t>
      </w:r>
      <w:r>
        <w:t xml:space="preserve"> </w:t>
      </w:r>
      <w:r>
        <w:t>1.2 times and 1.8 times those of conventional ones, respectively, by strategically manipulating phase change material (PCM) and heat storage. Simultaneously, it enables an enhanced salt recovery of 2.24 kg m</w:t>
      </w:r>
      <w:r>
        <w:t xml:space="preserve"> </w:t>
      </w:r>
      <w:r>
        <w:t>−</w:t>
      </w:r>
      <w:r>
        <w:rPr>
          <w:vertAlign w:val="subscript"/>
        </w:rPr>
        <w:t>2</w:t>
      </w:r>
      <w:r>
        <w:t>, yielding purified salt free from detectable contaminants (such as microplastics and persistent organic pollutants), facilitated by a pollutant capture trap integrated into the RVHS, a feature rarely explored in prior research. Furthermore, during salt recovery, the optimized salt concentration gradient can be further utilized for energy harvesting with high power output through thermodynamic optimization, which is approximately 60% greater than traditional devices. Further performance improvements can be realized by optimizing thermodynamic structures or integrating higher ‐ performance materials. In conclusion, this work offers a universal routine for solar ‐ driven resource recovery from seawater.</w:t>
      </w:r>
    </w:p>
    <w:p>
      <w:pPr>
        <w:spacing w:before="120" w:after="120"/>
      </w:pPr>
      <w:r>
        <w:rPr>
          <w:sz w:val="18"/>
        </w:rPr>
        <w:t>——————————————————————————————————————————————————————————————————————</w:t>
      </w:r>
    </w:p>
    <w:p>
      <w:pPr>
        <w:spacing w:before="160" w:after="80" w:line="240" w:lineRule="auto"/>
      </w:pPr>
      <w:r>
        <w:rPr>
          <w:b/>
        </w:rPr>
        <w:t xml:space="preserve">[438] </w:t>
      </w:r>
      <w:hyperlink r:id="rId707">
        <w:r>
          <w:rPr>
            <w:color w:val="1155CC"/>
            <w:u w:val="single"/>
          </w:rPr>
          <w:t>2D Open Framework Materials: Chemistry, Materials, and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08">
        <w:r>
          <w:rPr>
            <w:color w:val="1155CC"/>
            <w:u w:val="single"/>
          </w:rPr>
          <w:t>10.1002/adma.202513499</w:t>
        </w:r>
      </w:hyperlink>
    </w:p>
    <w:p>
      <w:pPr>
        <w:spacing w:before="0" w:after="120"/>
      </w:pPr>
      <w:r>
        <w:rPr>
          <w:b/>
        </w:rPr>
        <w:t xml:space="preserve">Notes: </w:t>
      </w:r>
      <w:r>
        <w:t>abstract_source=crossref</w:t>
      </w:r>
    </w:p>
    <w:p>
      <w:pPr>
        <w:spacing w:before="0" w:after="200" w:lineRule="auto" w:line="276"/>
      </w:pPr>
      <w:r>
        <w:rPr>
          <w:b/>
        </w:rPr>
        <w:t xml:space="preserve">Abstract: </w:t>
      </w:r>
      <w:r>
        <w:t>2D open framework materials (2D OFMs), including metal–organic frameworks (MOFs) and covalent organic frameworks (COFs), have emerged as a versatile class of materials that combine atomic precision, intrinsic porosity, and tunable chemical functionality. By bridging the structural features of inorganic layered materials with the chemical diversity of organic polymers, 2D OFMs provide unique opportunities in molecular separations, semiconductors, and related technologies. Their in‐plane periodicity and layered architectures enable precise control over pore environment, stacking mode, and electronic coupling, thereby unlocking structure–property relationships not accessible in conventional porous materials. This review highlights recent advances in the topological design of 2D OFMs, incorporating functional skeletons and programmable pore architectures, as well as emerging characterization techniques capable of resolving structural details or providing high‐resolution imaging at the atomic scale. Particular attention is given to the roles of porosity and the framework skeleton in enabling adsorptive and membrane‐based separations, as well as to semiconductors with electronic properties that underpin energy storage and conversion applications. By providing a comprehensive overview of current progress and future directions, this review underscores the technological promise of 2D OFMs. The advances summarized here establish a foundation for further innovation and practical deployment across diverse scientific and engineering domains.</w:t>
      </w:r>
    </w:p>
    <w:p>
      <w:pPr>
        <w:spacing w:before="120" w:after="120"/>
      </w:pPr>
      <w:r>
        <w:rPr>
          <w:sz w:val="18"/>
        </w:rPr>
        <w:t>——————————————————————————————————————————————————————————————————————</w:t>
      </w:r>
    </w:p>
    <w:p>
      <w:pPr>
        <w:spacing w:before="160" w:after="80" w:line="240" w:lineRule="auto"/>
      </w:pPr>
      <w:r>
        <w:rPr>
          <w:b/>
        </w:rPr>
        <w:t xml:space="preserve">[439] </w:t>
      </w:r>
      <w:hyperlink r:id="rId709">
        <w:r>
          <w:rPr>
            <w:color w:val="1155CC"/>
            <w:u w:val="single"/>
          </w:rPr>
          <w:t>Self‐Spiking Linear Neuromorphic Soft Pressure Sensor for Underwater Sensing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10">
        <w:r>
          <w:rPr>
            <w:color w:val="1155CC"/>
            <w:u w:val="single"/>
          </w:rPr>
          <w:t>10.1002/adma.202505486</w:t>
        </w:r>
      </w:hyperlink>
    </w:p>
    <w:p>
      <w:pPr>
        <w:spacing w:before="0" w:after="120"/>
      </w:pPr>
      <w:r>
        <w:rPr>
          <w:b/>
        </w:rPr>
        <w:t xml:space="preserve">Notes: </w:t>
      </w:r>
      <w:r>
        <w:t>abstract_source=crossref</w:t>
      </w:r>
    </w:p>
    <w:p>
      <w:pPr>
        <w:spacing w:before="0" w:after="200" w:lineRule="auto" w:line="276"/>
      </w:pPr>
      <w:r>
        <w:rPr>
          <w:b/>
        </w:rPr>
        <w:t xml:space="preserve">Abstract: </w:t>
      </w:r>
      <w:r>
        <w:t>Many aquatic vertebrates rely on neuromasts in their lateral line system to detect water vibrations and pressure gradients. These neuromasts contain specialized hair cells that function as mechanoreceptors, converting mechanical stimuli into electric signals for brain processing. While neuromorphic sensors can emulate biologic sensory systems, they are facing significant challenges in underwater stability and complex data processing. Here, a bioinspired neuromorphic soft pressure sensor designed for stable underwater performance and simplified signal processing is proposed. This is achieved through a novel integration of micro‐magnetic spheres, a microfluidic channel, and alternating coil connections. This sensor exhibits self‐spiking behavior upon applied force with high linearity (</w:t>
      </w:r>
      <w:r>
        <w:t xml:space="preserve"> </w:t>
      </w:r>
      <w:r>
        <w:t>R</w:t>
      </w:r>
      <w:r>
        <w:rPr>
          <w:vertAlign w:val="subscript"/>
        </w:rPr>
        <w:t>2</w:t>
      </w:r>
      <w:r>
        <w:t>= 0.997) in response to pressure changes up to 200 kPa. The proposed mechanism generates distinct magnetic action potentials via its alternating coil design, enabling efficient signal processing. This artificial neuromast achieves 92.19% accuracy in game control applications and 94.71% accuracy in underwater object recognition using machine learning. Additionally, the sensor was validated in both experimental ocean basins and open‐sea environments, confirming its potential for underwater robotics, ocean environmental monitoring, and marine industrial applications.</w:t>
      </w:r>
    </w:p>
    <w:p>
      <w:pPr>
        <w:spacing w:before="120" w:after="120"/>
      </w:pPr>
      <w:r>
        <w:rPr>
          <w:sz w:val="18"/>
        </w:rPr>
        <w:t>——————————————————————————————————————————————————————————————————————</w:t>
      </w:r>
    </w:p>
    <w:p>
      <w:pPr>
        <w:spacing w:before="160" w:after="80" w:line="240" w:lineRule="auto"/>
      </w:pPr>
      <w:r>
        <w:rPr>
          <w:b/>
        </w:rPr>
        <w:t xml:space="preserve">[440] </w:t>
      </w:r>
      <w:hyperlink r:id="rId711">
        <w:r>
          <w:rPr>
            <w:color w:val="1155CC"/>
            <w:u w:val="single"/>
          </w:rPr>
          <w:t>Targeted ROS Scavenging for Disease Therapies Using Nanomaterials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12">
        <w:r>
          <w:rPr>
            <w:color w:val="1155CC"/>
            <w:u w:val="single"/>
          </w:rPr>
          <w:t>10.1002/adma.202504435</w:t>
        </w:r>
      </w:hyperlink>
    </w:p>
    <w:p>
      <w:pPr>
        <w:spacing w:before="0" w:after="120"/>
      </w:pPr>
      <w:r>
        <w:rPr>
          <w:b/>
        </w:rPr>
        <w:t xml:space="preserve">Notes: </w:t>
      </w:r>
      <w:r>
        <w:t>abstract_source=crossref</w:t>
      </w:r>
    </w:p>
    <w:p>
      <w:pPr>
        <w:spacing w:before="0" w:after="200" w:lineRule="auto" w:line="276"/>
      </w:pPr>
      <w:r>
        <w:rPr>
          <w:b/>
        </w:rPr>
        <w:t xml:space="preserve">Abstract: </w:t>
      </w:r>
      <w:r>
        <w:t>Reactive oxygen species (ROS) are essential by‐products of cellular metabolism and serve as key mediators in cell signaling and homeostasis. Excessive ROS production is associated with cellular damage and various diseases. Therefore, targeted ROS scavenging may enhance therapeutic efficacy and minimize side effects. With significant progress in nanotechnology, various nanomaterials with targeted ROS‐scavenging properties have been developed to modulate ROS levels in biological microenvironments. In this review, the mechanisms underlying ROS generation and elimination in humans and in ROS‐related diseases are first outlined. The latest advancements in ROS‐scavenging nanomaterials, particularly their mechanisms and composition‐based classifications, are then focused on. Strategies for improving the targeting ability of ROS‐scavenging nanomaterials and their application in the therapeutics of ROS‐induced diseases such as Alzheimer's disease, rheumatoid arthritis, acute kidney injury, diabetic wounds, and cancer are highlighted. Finally, the challenges faced by ROS‐targeted nanotherapeutics are discussed, and possible alternatives to accelerate their clinical translation are proposed.</w:t>
      </w:r>
    </w:p>
    <w:p>
      <w:pPr>
        <w:spacing w:before="120" w:after="120"/>
      </w:pPr>
      <w:r>
        <w:rPr>
          <w:sz w:val="18"/>
        </w:rPr>
        <w:t>——————————————————————————————————————————————————————————————————————</w:t>
      </w:r>
    </w:p>
    <w:p>
      <w:pPr>
        <w:spacing w:before="160" w:after="80" w:line="240" w:lineRule="auto"/>
      </w:pPr>
      <w:r>
        <w:rPr>
          <w:b/>
        </w:rPr>
        <w:t xml:space="preserve">[441] </w:t>
      </w:r>
      <w:hyperlink r:id="rId713">
        <w:r>
          <w:rPr>
            <w:color w:val="1155CC"/>
            <w:u w:val="single"/>
          </w:rPr>
          <w:t>De‐Saturation of Single‐Atom Copper Catalysts for Accelerating Propargylic Substitution Reactions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14">
        <w:r>
          <w:rPr>
            <w:color w:val="1155CC"/>
            <w:u w:val="single"/>
          </w:rPr>
          <w:t>10.1002/adma.202509221</w:t>
        </w:r>
      </w:hyperlink>
    </w:p>
    <w:p>
      <w:pPr>
        <w:spacing w:before="0" w:after="120"/>
      </w:pPr>
      <w:r>
        <w:rPr>
          <w:b/>
        </w:rPr>
        <w:t xml:space="preserve">Notes: </w:t>
      </w:r>
      <w:r>
        <w:t>abstract_source=crossref</w:t>
      </w:r>
    </w:p>
    <w:p>
      <w:pPr>
        <w:spacing w:before="0" w:after="200" w:lineRule="auto" w:line="276"/>
      </w:pPr>
      <w:r>
        <w:rPr>
          <w:b/>
        </w:rPr>
        <w:t xml:space="preserve">Abstract: </w:t>
      </w:r>
      <w:r>
        <w:t>Rational design of proximal coordination microenvironments surrounding catalytic sites to achieve optimal reaction kinetics represents a paramount pursuit in single‐atom catalysts (SACs), yet continues to pose substantial synthetic challenges. Developing innovative strategies that simultaneously stabilize low‐coordinated single‐metal species on solid supports, while ensuring atomic precision and high activity, remains imperative. Herein, a de‐saturation strategy for SACs is demonstrated (denoted as De‐sat SACs) using a top‐down approach based on a KOH‐mediated Joule thermal shock to obtain under‐coordinated and asymmetric SACs for efficient organic synthesis. Using copper‐based SACs as a proof‐of‐concept, the de‐saturation strategy effectively converts the CuN</w:t>
      </w:r>
      <w:r>
        <w:rPr>
          <w:vertAlign w:val="subscript"/>
        </w:rPr>
        <w:t>4</w:t>
      </w:r>
      <w:r>
        <w:t>to CuN</w:t>
      </w:r>
      <w:r>
        <w:rPr>
          <w:vertAlign w:val="subscript"/>
        </w:rPr>
        <w:t>3</w:t>
      </w:r>
      <w:r>
        <w:t>configuration. The De‐sat Cu SACs exhibit remarkable catalytic activity in propargylic substitution reactions, tolerating a broad range of nucleophiles (N–, C–, and O–), as well as diverse aryl, alkyl, tertiary, and cyclic propargylic carbonates. The coordination reduction in these De‐sat SACs not only breaks the structural symmetry to enhance site accessibility but also elevates the energy of the  orbital of Cu atom, thereby facilitating the formation of copper–alkynyl intermediates and boosting their catalytic performance. These findings establish a new platform for the rational design and synthesis of de‐saturated yet stable SACs, facilitating challenging catalytic transformations toward sustainable chemical manufacturing.</w:t>
      </w:r>
    </w:p>
    <w:p>
      <w:pPr>
        <w:spacing w:before="120" w:after="120"/>
      </w:pPr>
      <w:r>
        <w:rPr>
          <w:sz w:val="18"/>
        </w:rPr>
        <w:t>——————————————————————————————————————————————————————————————————————</w:t>
      </w:r>
    </w:p>
    <w:p>
      <w:pPr>
        <w:spacing w:before="160" w:after="80" w:line="240" w:lineRule="auto"/>
      </w:pPr>
      <w:r>
        <w:rPr>
          <w:b/>
        </w:rPr>
        <w:t xml:space="preserve">[442] </w:t>
      </w:r>
      <w:hyperlink r:id="rId715">
        <w:r>
          <w:rPr>
            <w:color w:val="1155CC"/>
            <w:u w:val="single"/>
          </w:rPr>
          <w:t>Materials Innovation at the National University of Singapore: A Special Issue Dedicated to the 120th Anniversary</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16">
        <w:r>
          <w:rPr>
            <w:color w:val="1155CC"/>
            <w:u w:val="single"/>
          </w:rPr>
          <w:t>10.1002/adma.202522375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[443] </w:t>
      </w:r>
      <w:hyperlink r:id="rId717">
        <w:r>
          <w:rPr>
            <w:color w:val="1155CC"/>
            <w:u w:val="single"/>
          </w:rPr>
          <w:t>De‐Saturation of Single‐Atom Copper Catalysts for Accelerating Propargylic Substitution Reactions (Adv. Mater. 50/2025)</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18">
        <w:r>
          <w:rPr>
            <w:color w:val="1155CC"/>
            <w:u w:val="single"/>
          </w:rPr>
          <w:t>10.1002/adma.71618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[444] </w:t>
      </w:r>
      <w:hyperlink r:id="rId719">
        <w:r>
          <w:rPr>
            <w:color w:val="1155CC"/>
            <w:u w:val="single"/>
          </w:rPr>
          <w:t>Recent Advances in Impurity‐Induced Room‐Temperature Phosphorescence (Adv. Mater. 50/2025)</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20">
        <w:r>
          <w:rPr>
            <w:color w:val="1155CC"/>
            <w:u w:val="single"/>
          </w:rPr>
          <w:t>10.1002/adma.71619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[445] </w:t>
      </w:r>
      <w:hyperlink r:id="rId721">
        <w:r>
          <w:rPr>
            <w:color w:val="1155CC"/>
            <w:u w:val="single"/>
          </w:rPr>
          <w:t>Precise Surface Engineering of Metal Nanoclusters: Ligand Programming for Functionality Design (Adv. Mater. 50/2025)</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22">
        <w:r>
          <w:rPr>
            <w:color w:val="1155CC"/>
            <w:u w:val="single"/>
          </w:rPr>
          <w:t>10.1002/adma.71620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[446] </w:t>
      </w:r>
      <w:hyperlink r:id="rId723">
        <w:r>
          <w:rPr>
            <w:color w:val="1155CC"/>
            <w:u w:val="single"/>
          </w:rPr>
          <w:t>Materials Innovation at the National University of Singapore: A Special Issue Dedicated to the 120th Anniversary (Adv. Mater. 50/2025)</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24">
        <w:r>
          <w:rPr>
            <w:color w:val="1155CC"/>
            <w:u w:val="single"/>
          </w:rPr>
          <w:t>10.1002/adma.71621</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[447] </w:t>
      </w:r>
      <w:hyperlink r:id="rId725">
        <w:r>
          <w:rPr>
            <w:color w:val="1155CC"/>
            <w:u w:val="single"/>
          </w:rPr>
          <w:t>Tailoring Graphite Interlayers with Electron‐Acceptor Bridges Raises Ion Diffusion Kinetics for Ultrafast Charging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26">
        <w:r>
          <w:rPr>
            <w:color w:val="1155CC"/>
            <w:u w:val="single"/>
          </w:rPr>
          <w:t>10.1002/adma.202509207</w:t>
        </w:r>
      </w:hyperlink>
    </w:p>
    <w:p>
      <w:pPr>
        <w:spacing w:before="0" w:after="120"/>
      </w:pPr>
      <w:r>
        <w:rPr>
          <w:b/>
        </w:rPr>
        <w:t xml:space="preserve">Notes: </w:t>
      </w:r>
      <w:r>
        <w:t>abstract_source=crossref</w:t>
      </w:r>
    </w:p>
    <w:p>
      <w:pPr>
        <w:spacing w:before="0" w:after="200" w:lineRule="auto" w:line="276"/>
      </w:pPr>
      <w:r>
        <w:rPr>
          <w:b/>
        </w:rPr>
        <w:t xml:space="preserve">Abstract: </w:t>
      </w:r>
      <w:r>
        <w:t>Sluggish solid‐state diffusion kinetics of lithium ions is among the primary bottlenecks limiting the fast‐charging performance of graphite anodes. Pre‐intercalating molecules in graphite interlayers can tune the valence π‐electrons, but there are few systematic studies in designing such structures by electron coupling to optimize the charge transfer kinetics. Herein, deliberately guided by simulations, the present study identifies and develops a class of electron‐acceptor aluminum chloride species for intercalation into graphite (AC‐G), aiming to accelerate lithium ions charge transfer to the intercalated graphite through the formation of electron‐acceptor bridges within the graphite interlayers. Consequently, the AC‐G achieves a two‐order‐of‐magnitude enhancement in lithium ions diffusion coefficient (5.85 × 10</w:t>
      </w:r>
      <w:r>
        <w:t xml:space="preserve"> </w:t>
      </w:r>
      <w:r>
        <w:t>−7</w:t>
      </w:r>
      <w:r>
        <w:t xml:space="preserve"> </w:t>
      </w:r>
      <w:r>
        <w:t>cm</w:t>
      </w:r>
      <w:r>
        <w:rPr>
          <w:vertAlign w:val="subscript"/>
        </w:rPr>
        <w:t>2</w:t>
      </w:r>
      <w:r>
        <w:t>s</w:t>
      </w:r>
      <w:r>
        <w:t xml:space="preserve"> </w:t>
      </w:r>
      <w:r>
        <w:t>−1</w:t>
      </w:r>
      <w:r>
        <w:t xml:space="preserve"> </w:t>
      </w:r>
      <w:r>
        <w:t>) compared to that in pristine graphite. It delivers stable cycling over 2000 cycles with a high areal capacity retention of 3.84 mAh cm</w:t>
      </w:r>
      <w:r>
        <w:t xml:space="preserve"> </w:t>
      </w:r>
      <w:r>
        <w:t>−2</w:t>
      </w:r>
      <w:r>
        <w:t xml:space="preserve"> </w:t>
      </w:r>
      <w:r>
        <w:t>at 1C and maintains 500‐cycle stability at 5C. Furthermore, an Ah‐level pouch cell assembled with AC‐G and cathode achieves an energy density of 285 Wh kg</w:t>
      </w:r>
      <w:r>
        <w:t xml:space="preserve"> </w:t>
      </w:r>
      <w:r>
        <w:t>−1</w:t>
      </w:r>
      <w:r>
        <w:t xml:space="preserve"> </w:t>
      </w:r>
      <w:r>
        <w:t>at 3C. The present work provides a new design strategy for graphite by introducing interlayer electron‐bridging structures, offering valuable insights for next‐generation fast‐charging lithium‐ion batteries</w:t>
      </w:r>
    </w:p>
    <w:p>
      <w:pPr>
        <w:spacing w:before="120" w:after="120"/>
      </w:pPr>
      <w:r>
        <w:rPr>
          <w:sz w:val="18"/>
        </w:rPr>
        <w:t>——————————————————————————————————————————————————————————————————————</w:t>
      </w:r>
    </w:p>
    <w:p>
      <w:pPr>
        <w:spacing w:before="160" w:after="80" w:line="240" w:lineRule="auto"/>
      </w:pPr>
      <w:r>
        <w:rPr>
          <w:b/>
        </w:rPr>
        <w:t xml:space="preserve">[448] </w:t>
      </w:r>
      <w:hyperlink r:id="rId727">
        <w:r>
          <w:rPr>
            <w:color w:val="1155CC"/>
            <w:u w:val="single"/>
          </w:rPr>
          <w:t>3D Photonic Metacrystals with Enhanced Collective Mie Resonances for Dual Structural Coloration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28">
        <w:r>
          <w:rPr>
            <w:color w:val="1155CC"/>
            <w:u w:val="single"/>
          </w:rPr>
          <w:t>10.1002/adma.202504222</w:t>
        </w:r>
      </w:hyperlink>
    </w:p>
    <w:p>
      <w:pPr>
        <w:spacing w:before="0" w:after="120"/>
      </w:pPr>
      <w:r>
        <w:rPr>
          <w:b/>
        </w:rPr>
        <w:t xml:space="preserve">Notes: </w:t>
      </w:r>
      <w:r>
        <w:t>abstract_source=crossref</w:t>
      </w:r>
    </w:p>
    <w:p>
      <w:pPr>
        <w:spacing w:before="0" w:after="200" w:lineRule="auto" w:line="276"/>
      </w:pPr>
      <w:r>
        <w:rPr>
          <w:b/>
        </w:rPr>
        <w:t xml:space="preserve">Abstract: </w:t>
      </w:r>
      <w:r>
        <w:t>3D photonic crystals offer nonfading structural coloration and complex optical properties through coupled Mie resonances in high‐refractive‐index materials. Although strong magnetic resonances make them promising, they often suffer from optical losses in the visible spectrum. Enhancing Mie resonances and quality factors through collective coupling in lithographically ordered arrays has been demonstrated. However, large‐area applications using self‐assembled colloidal resonators in metafluid inks have been limited by inadequate monodispersity and insufficient surface charge, hindering effective ordering. Here, we report high‐quality 3D Mie‐resonant metacrystals formed by high‐temperature self‐assembly of CdS nanoparticles (refractive index 2.5). Their long‐range ordering attenuates local density of states overlapping with Mie resonances, minimizing external radiation losses and yielding one order of magnitude enhancement in collective Mie behavior. A 13‐fold enhancement in magnetic Mie resonances with quality factors reaching 17 is experimentally demonstrated. The structures produce Bragg peaks that coexist with enhanced collective Mie resonances, enabling angle‐dependent, dual nonfading structural coloration across the visible and near‐infrared spectrum. As a proof of concept, wafer‐scale inkjet printing using metafluid inks of CdS and ZnS nanoparticles demonstrates stable coloration and angle‐sensitive hues. This work opens new avenues in durable structural coloration and multifunctional optical platforms for applications such as ultrasensitive polarimetry and advanced optical sensing.</w:t>
      </w:r>
    </w:p>
    <w:p>
      <w:pPr>
        <w:spacing w:before="120" w:after="120"/>
      </w:pPr>
      <w:r>
        <w:rPr>
          <w:sz w:val="18"/>
        </w:rPr>
        <w:t>——————————————————————————————————————————————————————————————————————</w:t>
      </w:r>
    </w:p>
    <w:p>
      <w:pPr>
        <w:spacing w:before="160" w:after="80" w:line="240" w:lineRule="auto"/>
      </w:pPr>
      <w:r>
        <w:rPr>
          <w:b/>
        </w:rPr>
        <w:t xml:space="preserve">[449] </w:t>
      </w:r>
      <w:hyperlink r:id="rId729">
        <w:r>
          <w:rPr>
            <w:color w:val="1155CC"/>
            <w:u w:val="single"/>
          </w:rPr>
          <w:t>Perovskite Tandems: the Next Big Leap in Photovoltaic Technology</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30">
        <w:r>
          <w:rPr>
            <w:color w:val="1155CC"/>
            <w:u w:val="single"/>
          </w:rPr>
          <w:t>10.1002/adma.202508331</w:t>
        </w:r>
      </w:hyperlink>
    </w:p>
    <w:p>
      <w:pPr>
        <w:spacing w:before="0" w:after="120"/>
      </w:pPr>
      <w:r>
        <w:rPr>
          <w:b/>
        </w:rPr>
        <w:t xml:space="preserve">Notes: </w:t>
      </w:r>
      <w:r>
        <w:t>abstract_source=crossref</w:t>
      </w:r>
    </w:p>
    <w:p>
      <w:pPr>
        <w:spacing w:before="0" w:after="200" w:lineRule="auto" w:line="276"/>
      </w:pPr>
      <w:r>
        <w:rPr>
          <w:b/>
        </w:rPr>
        <w:t xml:space="preserve">Abstract: </w:t>
      </w:r>
      <w:r>
        <w:t>The global demand for clean energy is driving the need for next‐generation solar technologies with higher power conversion efficiencies. Multijunction solar cells, which stack absorbers with cascaded bandgaps, offer a compelling path forward by more efficiently utilizing the solar spectrum. Among these, metal halide perovskites stand out for their bandgap tunability, enabling efficient tandem solar cells (TSCs) when paired with a range of semiconductors—including perovskite/perovskite, perovskite/silicon, perovskite/organic, and perovskite/CIGS. Central to these architectures are wide‐bandgap perovskites, which harvest high‐energy, short‐wavelength photons. This review highlights recent advances and challenges in perovskite‐based TSCs, focusing on the photophysical properties and application of wide‐bandgap perovskites across different tandem configurations. Future research directions are outlined aimed at enhancing performance and long‐term stability to accelerate industrial deployment.</w:t>
      </w:r>
    </w:p>
    <w:p>
      <w:pPr>
        <w:spacing w:before="120" w:after="120"/>
      </w:pPr>
      <w:r>
        <w:rPr>
          <w:sz w:val="18"/>
        </w:rPr>
        <w:t>——————————————————————————————————————————————————————————————————————</w:t>
      </w:r>
    </w:p>
    <w:p>
      <w:pPr>
        <w:spacing w:before="160" w:after="80" w:line="240" w:lineRule="auto"/>
      </w:pPr>
      <w:r>
        <w:rPr>
          <w:b/>
        </w:rPr>
        <w:t xml:space="preserve">[450] </w:t>
      </w:r>
      <w:hyperlink r:id="rId731">
        <w:r>
          <w:rPr>
            <w:color w:val="1155CC"/>
            <w:u w:val="single"/>
          </w:rPr>
          <w:t>Recent Advances in Impurity‐Induced Room‐Temperature Phosphorescence</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32">
        <w:r>
          <w:rPr>
            <w:color w:val="1155CC"/>
            <w:u w:val="single"/>
          </w:rPr>
          <w:t>10.1002/adma.202506549</w:t>
        </w:r>
      </w:hyperlink>
    </w:p>
    <w:p>
      <w:pPr>
        <w:spacing w:before="0" w:after="120"/>
      </w:pPr>
      <w:r>
        <w:rPr>
          <w:b/>
        </w:rPr>
        <w:t xml:space="preserve">Notes: </w:t>
      </w:r>
      <w:r>
        <w:t>abstract_source=crossref</w:t>
      </w:r>
    </w:p>
    <w:p>
      <w:pPr>
        <w:spacing w:before="0" w:after="200" w:lineRule="auto" w:line="276"/>
      </w:pPr>
      <w:r>
        <w:rPr>
          <w:b/>
        </w:rPr>
        <w:t xml:space="preserve">Abstract: </w:t>
      </w:r>
      <w:r>
        <w:t>Organic room‐temperature phosphorescence (RTP) materials with large Stokes shifts and prolonged afterglows are gaining increasing attention in a variety of applications, including displays, anti‐counterfeiting, sensing, and bioimaging. However, achieving high‐performance organic RTP remains challenging due to weak spin‐orbit coupling, rapid non‐radiative decay, and unstable triplet excitons. Early studies focused on crystal engineering, as ordered lattices restrict molecular motion and stabilize triplet excitons. Analyzing crystal structures and packing provides valuable insights into intermolecular interactions, while theoretical calculations have clarified electronic structures, laying the foundation for rational RTP material design. However, recent findings suggest RTP in many single‐component systems may arise from trace impurities, significantly influencing RTP properties. This discovery has greatly advanced the understanding of impurity‐induced phosphorescence. This review systematically examines the role of impurities in RTP, detailing their origins from starting materials, solvents, and side reactions. It also explores how these identified impurities can serve as essential building blocks for designing new RTP materials. Finally, essential methods for evaluating compound purity, emphasizing the critical importance of rigorous analysis and validation are presented. Material purity plays a pivotal role in RTP research, as impurities can distort experimental data, potentially leading to misinterpretations that can impede advancements in understanding the underlying mechanisms.</w:t>
      </w:r>
    </w:p>
    <w:p>
      <w:pPr>
        <w:spacing w:before="120" w:after="120"/>
      </w:pPr>
      <w:r>
        <w:rPr>
          <w:sz w:val="18"/>
        </w:rPr>
        <w:t>——————————————————————————————————————————————————————————————————————</w:t>
      </w:r>
    </w:p>
    <w:p>
      <w:pPr>
        <w:spacing w:before="160" w:after="80" w:line="240" w:lineRule="auto"/>
      </w:pPr>
      <w:r>
        <w:rPr>
          <w:b/>
        </w:rPr>
        <w:t xml:space="preserve">[451] </w:t>
      </w:r>
      <w:hyperlink r:id="rId733">
        <w:r>
          <w:rPr>
            <w:color w:val="1155CC"/>
            <w:u w:val="single"/>
          </w:rPr>
          <w:t>Design Strategies and Roles of Hydrogels for Sustainable Energy Conversion and Harvesting from Natural and Biological Environments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34">
        <w:r>
          <w:rPr>
            <w:color w:val="1155CC"/>
            <w:u w:val="single"/>
          </w:rPr>
          <w:t>10.1002/adma.202510270</w:t>
        </w:r>
      </w:hyperlink>
    </w:p>
    <w:p>
      <w:pPr>
        <w:spacing w:before="0" w:after="120"/>
      </w:pPr>
      <w:r>
        <w:rPr>
          <w:b/>
        </w:rPr>
        <w:t xml:space="preserve">Notes: </w:t>
      </w:r>
      <w:r>
        <w:t>abstract_source=crossref</w:t>
      </w:r>
    </w:p>
    <w:p>
      <w:pPr>
        <w:spacing w:before="0" w:after="200" w:lineRule="auto" w:line="276"/>
      </w:pPr>
      <w:r>
        <w:rPr>
          <w:b/>
        </w:rPr>
        <w:t xml:space="preserve">Abstract: </w:t>
      </w:r>
      <w:r>
        <w:t>The growing demand for sustainable energy has spurred interest in harvesting ambient sources, such as solar radiation, mechanical vibrations, water flow, and temperature gradients, and biological activities, such as motion and respiration. In this context, hydrogels have emerged as promising materials bridging natural and physiological energy environments. Known for their polymer networks and biocompatibility, hydrogels are widely used across bioengineering, biomedicine, and agriculture. Beyond these applications, hydrogels are also gaining attention in environmental and energy‐related technologies, including solar‐driven desalination, catalysis, and energy generation and storage. Their appeal lies in unique physicochemical properties, stimuli‐responsiveness, tunable interfacial chemistry, environmental benignity, and efficient mass and heat transfer while maintaining mechanical compatibility with hybrid or soft–hard systems. Despite these promising attributes, few reviews focus on the role of hydrogels in energy harvesting. This review addresses that gap by examining hydrogel‐based technologies driven by environmental stimuli and emphasizing their unique contributions to energy conversion. It offers insights into design strategies and recent advancements in functional hydrogels, highlighting opportunities and challenges in this field. As hydrogel‐based energy harvesting evolves, innovative design, deeper mechanistic understanding, and interdisciplinary integration are needed to unlock its potential.</w:t>
      </w:r>
    </w:p>
    <w:p>
      <w:pPr>
        <w:spacing w:before="120" w:after="120"/>
      </w:pPr>
      <w:r>
        <w:rPr>
          <w:sz w:val="18"/>
        </w:rPr>
        <w:t>——————————————————————————————————————————————————————————————————————</w:t>
      </w:r>
    </w:p>
    <w:p>
      <w:pPr>
        <w:spacing w:before="160" w:after="80" w:line="240" w:lineRule="auto"/>
      </w:pPr>
      <w:r>
        <w:rPr>
          <w:b/>
        </w:rPr>
        <w:t xml:space="preserve">[452] </w:t>
      </w:r>
      <w:hyperlink r:id="rId735">
        <w:r>
          <w:rPr>
            <w:color w:val="1155CC"/>
            <w:u w:val="single"/>
          </w:rPr>
          <w:t>From Pollution to Value: Electrochemical Systems for Transforming Flue Gas into Chemicals and Fuels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36">
        <w:r>
          <w:rPr>
            <w:color w:val="1155CC"/>
            <w:u w:val="single"/>
          </w:rPr>
          <w:t>10.1002/adma.202509581</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CO</w:t>
      </w:r>
      <w:r>
        <w:rPr>
          <w:vertAlign w:val="subscript"/>
        </w:rPr>
        <w:t>2</w:t>
      </w:r>
      <w:r>
        <w:t>reduction reaction (CO</w:t>
      </w:r>
      <w:r>
        <w:rPr>
          <w:vertAlign w:val="subscript"/>
        </w:rPr>
        <w:t>2</w:t>
      </w:r>
      <w:r>
        <w:t>RR) can enable the production of fuels and chemicals from CO</w:t>
      </w:r>
      <w:r>
        <w:rPr>
          <w:vertAlign w:val="subscript"/>
        </w:rPr>
        <w:t>2</w:t>
      </w:r>
      <w:r>
        <w:t>emissions. Direct flue gas conversion can address the emissions from hard‐to‐abate sectors, including cement, steel, and power generation industries. Such integration with SCO</w:t>
      </w:r>
      <w:r>
        <w:rPr>
          <w:vertAlign w:val="subscript"/>
        </w:rPr>
        <w:t>2</w:t>
      </w:r>
      <w:r>
        <w:t>RR can also decarbonize the petrochemical industry and eliminate separation and purification steps. Here, recent progress and emerging opportunities for transformative flue‐gas‐tolerant systems for producing fuels and chemicals are reviewed. The review begins by analyzing recent progress in direct flue gas conversion and highlighting emerging micro‐reaction environment features. Next, performance degradation mechanisms associated with flue gas conversion in CO</w:t>
      </w:r>
      <w:r>
        <w:rPr>
          <w:vertAlign w:val="subscript"/>
        </w:rPr>
        <w:t>2</w:t>
      </w:r>
      <w:r>
        <w:t>RR systems are discussed. Following this, the bicarbonate reduction reaction (BRR) and CO</w:t>
      </w:r>
      <w:r>
        <w:rPr>
          <w:vertAlign w:val="subscript"/>
        </w:rPr>
        <w:t>2</w:t>
      </w:r>
      <w:r>
        <w:t>RR from amine‐based capture as emerging strategies for high‐rate, selective, and stable electrosynthesis of chemicals from feeds containing low CO</w:t>
      </w:r>
      <w:r>
        <w:rPr>
          <w:vertAlign w:val="subscript"/>
        </w:rPr>
        <w:t>2</w:t>
      </w:r>
      <w:r>
        <w:t>concentrations are highlighted. Finally, the mitigation of flue gas impurities such as oxygen, sulfur oxides, and nitrogen oxides, is discussed, and perspectives for emerging opportunities are shared.</w:t>
      </w:r>
    </w:p>
    <w:p>
      <w:pPr>
        <w:spacing w:before="120" w:after="120"/>
      </w:pPr>
      <w:r>
        <w:rPr>
          <w:sz w:val="18"/>
        </w:rPr>
        <w:t>——————————————————————————————————————————————————————————————————————</w:t>
      </w:r>
    </w:p>
    <w:p>
      <w:pPr>
        <w:spacing w:before="160" w:after="80" w:line="240" w:lineRule="auto"/>
      </w:pPr>
      <w:r>
        <w:rPr>
          <w:b/>
        </w:rPr>
        <w:t xml:space="preserve">[453] </w:t>
      </w:r>
      <w:hyperlink r:id="rId737">
        <w:r>
          <w:rPr>
            <w:color w:val="1155CC"/>
            <w:u w:val="single"/>
          </w:rPr>
          <w:t>Surface Energy‐Confined Multi‐Layer Inkjet Printing for Customizable Optical Microstructures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38">
        <w:r>
          <w:rPr>
            <w:color w:val="1155CC"/>
            <w:u w:val="single"/>
          </w:rPr>
          <w:t>10.1002/adma.202509818</w:t>
        </w:r>
      </w:hyperlink>
    </w:p>
    <w:p>
      <w:pPr>
        <w:spacing w:before="0" w:after="120"/>
      </w:pPr>
      <w:r>
        <w:rPr>
          <w:b/>
        </w:rPr>
        <w:t xml:space="preserve">Notes: </w:t>
      </w:r>
      <w:r>
        <w:t>abstract_source=crossref</w:t>
      </w:r>
    </w:p>
    <w:p>
      <w:pPr>
        <w:spacing w:before="0" w:after="200" w:lineRule="auto" w:line="276"/>
      </w:pPr>
      <w:r>
        <w:rPr>
          <w:b/>
        </w:rPr>
        <w:t xml:space="preserve">Abstract: </w:t>
      </w:r>
      <w:r>
        <w:t>Inkjet printing emerges as a versatile on‐demand patterning technique for additive manufacturing of optical microstructures, yet its ability to regulate the ink droplet morphology is constrained by the intrinsic interplay between ink‐substrate wetting conditions, thereby hindering the customizable fabrication of 3D microstructures. Here, a surface energy‐confined multi‐layer inkjet printing strategy is developed for precisely fabricating curved optical microstructures with tunable size, solid angle, and configuration. The strategy is implemented through custom‐engineered layer‐by‐layer printing on a pre‐patterned substrate with spatially defined interfacial energy barriers, enabling the precise construction and integration of distinct optical microdomes (characterized by substrate attachment and uniform curved profiles) at the microscale. Notably, the strategy facilitates the high‐throughput printing of diverse topological microdomes, ranging from triangular to hexagonal architectures. The as‐fabricated microdomes, featuring precisely engineered morphology and sub‐nanometer surface roughness, exhibit integrated light‐field manipulation capabilities and unique multifocal characteristics, highlighting their potential for miniaturized optical systems and intelligent imaging devices. Beyond UV‐cured polymers, this methodology is extendable to nanomaterial‐based micro‐3D printing (e.g., colloidal photonic crystal microdomes), opening avenues for more sophisticated optical functionalities. As a proof‐of‐concept demonstration, a non‐imaging multidimensional encryption platform is printed leveraging 3D morphology‐tailored optical readout.</w:t>
      </w:r>
    </w:p>
    <w:p>
      <w:pPr>
        <w:spacing w:before="120" w:after="120"/>
      </w:pPr>
      <w:r>
        <w:rPr>
          <w:sz w:val="18"/>
        </w:rPr>
        <w:t>——————————————————————————————————————————————————————————————————————</w:t>
      </w:r>
    </w:p>
    <w:p>
      <w:pPr>
        <w:spacing w:before="160" w:after="80" w:line="240" w:lineRule="auto"/>
      </w:pPr>
      <w:r>
        <w:rPr>
          <w:b/>
        </w:rPr>
        <w:t xml:space="preserve">[454] </w:t>
      </w:r>
      <w:hyperlink r:id="rId739">
        <w:r>
          <w:rPr>
            <w:color w:val="1155CC"/>
            <w:u w:val="single"/>
          </w:rPr>
          <w:t>Materials Design and Assessment of Redox‐Mediated Flow Cell Systems for Enhanced Energy Storage and Conversion</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40">
        <w:r>
          <w:rPr>
            <w:color w:val="1155CC"/>
            <w:u w:val="single"/>
          </w:rPr>
          <w:t>10.1002/adma.202509991</w:t>
        </w:r>
      </w:hyperlink>
    </w:p>
    <w:p>
      <w:pPr>
        <w:spacing w:before="0" w:after="120"/>
      </w:pPr>
      <w:r>
        <w:rPr>
          <w:b/>
        </w:rPr>
        <w:t xml:space="preserve">Notes: </w:t>
      </w:r>
      <w:r>
        <w:t>abstract_source=crossref</w:t>
      </w:r>
    </w:p>
    <w:p>
      <w:pPr>
        <w:spacing w:before="0" w:after="200" w:lineRule="auto" w:line="276"/>
      </w:pPr>
      <w:r>
        <w:rPr>
          <w:b/>
        </w:rPr>
        <w:t xml:space="preserve">Abstract: </w:t>
      </w:r>
      <w:r>
        <w:t>The transition toward sustainable energy systems necessitates innovations that overcome the limitations of conventional electrochemical systems. Redox‐mediated flow cell systems emerge as a transformative paradigm by decoupling energy storage, conversion, and chemical processes from traditional electrode‐bound reactions. These systems employ soluble redox mediators to shuttle electrons between electrodes and spatially separated reactive phases (solid, liquid, or gas), thereby enabling unprecedented operational flexibility and scalability. This standpoint underscores the adaptability of redox‐mediated electrified systems across a range of applications, encompassing high‐energy‐density redox targeting‐based flow batteries, fuel cells, electrified CO</w:t>
      </w:r>
      <w:r>
        <w:rPr>
          <w:vertAlign w:val="subscript"/>
        </w:rPr>
        <w:t>2</w:t>
      </w:r>
      <w:r>
        <w:t>capture, sustainable chemical synthesis, waste recycling, etc. The rational design of redox‐active materials is central to their success, with precise alignment of redox potentials, enhanced electron‐transfer kinetics, and robust stability underpinning performance. The challenges of new materials development, system durability, and cost‐effectiveness can be addressed through advances in experimental measurement, computational modeling, operando characterization, and interdisciplinary collaboration. Moving forward, the integration of redox‐mediated technologies with renewable energy systems and industrial processes is predicted to transform energy and chemical landscapes. The integration of laboratory innovations with real‐world deployment facilitates a pathway to decarbonization, resource efficiency, and the circular economy. This perspective emphasizes the pivotal functions of redox‐mediated architectures in fostering a robust, electrified future, where the convergence of energy storage, environmental stewardship, and sustainable chemical production is pivotal in addressing global challenges.</w:t>
      </w:r>
    </w:p>
    <w:p>
      <w:pPr>
        <w:spacing w:before="120" w:after="120"/>
      </w:pPr>
      <w:r>
        <w:rPr>
          <w:sz w:val="18"/>
        </w:rPr>
        <w:t>——————————————————————————————————————————————————————————————————————</w:t>
      </w:r>
    </w:p>
    <w:p>
      <w:pPr>
        <w:spacing w:before="160" w:after="80" w:line="240" w:lineRule="auto"/>
      </w:pPr>
      <w:r>
        <w:rPr>
          <w:b/>
        </w:rPr>
        <w:t xml:space="preserve">[455] </w:t>
      </w:r>
      <w:hyperlink r:id="rId741">
        <w:r>
          <w:rPr>
            <w:color w:val="1155CC"/>
            <w:u w:val="single"/>
          </w:rPr>
          <w:t>Galvanic‐Cell‐Based Self‐Powered Bioelectronic Devices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42">
        <w:r>
          <w:rPr>
            <w:color w:val="1155CC"/>
            <w:u w:val="single"/>
          </w:rPr>
          <w:t>10.1002/adma.202509169</w:t>
        </w:r>
      </w:hyperlink>
    </w:p>
    <w:p>
      <w:pPr>
        <w:spacing w:before="0" w:after="120"/>
      </w:pPr>
      <w:r>
        <w:rPr>
          <w:b/>
        </w:rPr>
        <w:t xml:space="preserve">Notes: </w:t>
      </w:r>
      <w:r>
        <w:t>abstract_source=crossref</w:t>
      </w:r>
    </w:p>
    <w:p>
      <w:pPr>
        <w:spacing w:before="0" w:after="200" w:lineRule="auto" w:line="276"/>
      </w:pPr>
      <w:r>
        <w:rPr>
          <w:b/>
        </w:rPr>
        <w:t xml:space="preserve">Abstract: </w:t>
      </w:r>
      <w:r>
        <w:t>Bioelectronic devices hold significant promise for advancing biomedical technologies, addressing critical healthcare challenges, and improving the quality of human life. Conventional bioelectronic devices are typically powered by external, bulky batteries connected by extended electrical wires, which limit the compactness and miniaturization of bioelectronics, restrict patient mobility, and increase the risk of complications such as infections and device‐related failures. This perspective discusses the emerging concept of galvanic‐cell‐based self‐powered bioelectronic devices, in which galvanic electrodes serve directly as the tissue‐contacting interfaces. We provide an overview of the principles and working mechanisms of biocompatible galvanic cells in galvanic devices for diverse biomedical applications, including electrical modulation, chemical and biochemical modulation, and hybrid electrical/(bio)chemical modulation, along with their control strategies: passive control and active control. Furthermore, we envision that the advancement of galvanic devices will represent a promising direction for biomedical applications, despite the presence of inherent challenges.</w:t>
      </w:r>
    </w:p>
    <w:p>
      <w:pPr>
        <w:spacing w:before="120" w:after="120"/>
      </w:pPr>
      <w:r>
        <w:rPr>
          <w:sz w:val="18"/>
        </w:rPr>
        <w:t>——————————————————————————————————————————————————————————————————————</w:t>
      </w:r>
    </w:p>
    <w:p>
      <w:pPr>
        <w:spacing w:before="160" w:after="80" w:line="240" w:lineRule="auto"/>
      </w:pPr>
      <w:r>
        <w:rPr>
          <w:b/>
        </w:rPr>
        <w:t xml:space="preserve">[456] </w:t>
      </w:r>
      <w:hyperlink r:id="rId743">
        <w:r>
          <w:rPr>
            <w:color w:val="1155CC"/>
            <w:u w:val="single"/>
          </w:rPr>
          <w:t>Advances in Intelligent Nano‐Micro‐Scale Sensors and Actuators: Moving toward Self‐Sustained Edge AI Microsystems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44">
        <w:r>
          <w:rPr>
            <w:color w:val="1155CC"/>
            <w:u w:val="single"/>
          </w:rPr>
          <w:t>10.1002/adma.202510417</w:t>
        </w:r>
      </w:hyperlink>
    </w:p>
    <w:p>
      <w:pPr>
        <w:spacing w:before="0" w:after="120"/>
      </w:pPr>
      <w:r>
        <w:rPr>
          <w:b/>
        </w:rPr>
        <w:t xml:space="preserve">Notes: </w:t>
      </w:r>
      <w:r>
        <w:t>abstract_source=crossref</w:t>
      </w:r>
    </w:p>
    <w:p>
      <w:pPr>
        <w:spacing w:before="0" w:after="200" w:lineRule="auto" w:line="276"/>
      </w:pPr>
      <w:r>
        <w:rPr>
          <w:b/>
        </w:rPr>
        <w:t xml:space="preserve">Abstract: </w:t>
      </w:r>
      <w:r>
        <w:t>Over recent decades, nano‐micro‐scale sensors and actuators have evolved from discrete microelectromechanical systems (MEMS) components. As demand for maintenance‐free systems grew, developments emphasized integrating energy harvesting into sensing platforms and deploying self‐powered sensors that utilize piezoelectric and triboelectric transducers. Such co‐localization enabled self‐sustained Internet‐of‐Things (IoT) deployments, supporting continuous operation without external power and improving network autonomy and scalability. Integrating artificial intelligence (AI) at the sensor edge has further transformed these platforms into intelligent AI‐of‐Things (AIoT) systems, enabling multimodal analytics, adaptive decision‐making, and immersive human–machine interaction. Concurrently, advances in photonics—including mid‐infrared, terahertz, and near‐infrared technologies—have produced sensitive molecular and chemical sensors with improved selectivity and spectral resolution. These advances have also yielded photonic integrated circuits capable of ultrafast in‐sensor computation and real‐time Bayesian photonic neural inference, delivering sophisticated edge‐AI processing with low latency and power consumption. Hybrid systems that combine flexible wearable electronics with integrated photonic platforms have emerged, allowing direct transduction and interpretation of mechanical and physiological signals from flexible sensors via photonic chips. Progress in materials, packaging, and system co‐design underpins reliability and operation in harsh environments. Together, these advances foreshadow highly integrated, self‐sustained edge‐AI microsystems that embody perpetual, real‐time intelligence and seamless user–environment interaction.</w:t>
      </w:r>
    </w:p>
    <w:p>
      <w:pPr>
        <w:spacing w:before="120" w:after="120"/>
      </w:pPr>
      <w:r>
        <w:rPr>
          <w:sz w:val="18"/>
        </w:rPr>
        <w:t>——————————————————————————————————————————————————————————————————————</w:t>
      </w:r>
    </w:p>
    <w:p>
      <w:pPr>
        <w:spacing w:before="160" w:after="80" w:line="240" w:lineRule="auto"/>
      </w:pPr>
      <w:r>
        <w:rPr>
          <w:b/>
        </w:rPr>
        <w:t xml:space="preserve">[457] </w:t>
      </w:r>
      <w:hyperlink r:id="rId745">
        <w:r>
          <w:rPr>
            <w:color w:val="1155CC"/>
            <w:u w:val="single"/>
          </w:rPr>
          <w:t>Dry Transfer of CVD Graphene Film Using Adhesion Switchable Ferroelectric Polymers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46">
        <w:r>
          <w:rPr>
            <w:color w:val="1155CC"/>
            <w:u w:val="single"/>
          </w:rPr>
          <w:t>10.1002/adma.202510545</w:t>
        </w:r>
      </w:hyperlink>
    </w:p>
    <w:p>
      <w:pPr>
        <w:spacing w:before="0" w:after="120"/>
      </w:pPr>
      <w:r>
        <w:rPr>
          <w:b/>
        </w:rPr>
        <w:t xml:space="preserve">Notes: </w:t>
      </w:r>
      <w:r>
        <w:t>abstract_source=crossref</w:t>
      </w:r>
    </w:p>
    <w:p>
      <w:pPr>
        <w:spacing w:before="0" w:after="200" w:lineRule="auto" w:line="276"/>
      </w:pPr>
      <w:r>
        <w:rPr>
          <w:b/>
        </w:rPr>
        <w:t xml:space="preserve">Abstract: </w:t>
      </w:r>
      <w:r>
        <w:t>Although chemical vapor deposition (CVD) produces meter‐scale, high‐quality graphene (Gr) on copper (Cu) foils, its practical integration is hampered by challenges in the transfer process. Conventional wet transfers are slow, produce chemical waste, and lack scalability, whereas existing dry transfer methods struggle with mechanical damage and residues due to strong Gr‐Cu adhesion and the difficulty in precisely tuning interfacial forces. Here, a fully dry, industrially compatible transfer platform utilizing a ferroelectric poly(vinylidene‐fluoride‐trifluoroethylene) (P(VDF‐TrFE)) film with electrostatically switchable adhesion, serving as both a mechanical support and a transfer layer, is demonstrated. Negative Corona poling of P(VDF‐TrFE) induces p‐type doping in graphene. Density Functional Theory calculations confirm that this simultaneously reduces Gr‐Cu adhesion while increasing P(VDF‐TrFE)‐Gr adhesion, enabling clean, large‐scale graphene delamination from Cu foils with &amp;gt;99% coverage. Subsequent thermal annealing above P(VDF‐TrFE)’s Curie temperature (≈135 °C) depolarizes the film, neutralizing the interfacial charge for a clean release. The versatility of this method is shown for other two‐dimensional (2D) materials, including molybdenum disulfide and hexagonal boron nitride. Crucially, the process has been validated on cm‐scale samples using a fully automated system with a transfer time of &amp;lt;5 min, highlighting a viable path toward industrial‐scale production of high‐quality 2D material films.</w:t>
      </w:r>
    </w:p>
    <w:p>
      <w:pPr>
        <w:spacing w:before="120" w:after="120"/>
      </w:pPr>
      <w:r>
        <w:rPr>
          <w:sz w:val="18"/>
        </w:rPr>
        <w:t>——————————————————————————————————————————————————————————————————————</w:t>
      </w:r>
    </w:p>
    <w:p>
      <w:pPr>
        <w:spacing w:before="160" w:after="80" w:line="240" w:lineRule="auto"/>
      </w:pPr>
      <w:r>
        <w:rPr>
          <w:b/>
        </w:rPr>
        <w:t xml:space="preserve">[458] </w:t>
      </w:r>
      <w:hyperlink r:id="rId747">
        <w:r>
          <w:rPr>
            <w:color w:val="1155CC"/>
            <w:u w:val="single"/>
          </w:rPr>
          <w:t>Ce Single Atom‐Engineered Amorphous/Crystalline Nanosheets for Enhanced Alkaline Water Electrolysis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48">
        <w:r>
          <w:rPr>
            <w:color w:val="1155CC"/>
            <w:u w:val="single"/>
          </w:rPr>
          <w:t>10.1002/adma.202508893</w:t>
        </w:r>
      </w:hyperlink>
    </w:p>
    <w:p>
      <w:pPr>
        <w:spacing w:before="0" w:after="120"/>
      </w:pPr>
      <w:r>
        <w:rPr>
          <w:b/>
        </w:rPr>
        <w:t xml:space="preserve">Notes: </w:t>
      </w:r>
      <w:r>
        <w:t>abstract_source=crossref</w:t>
      </w:r>
    </w:p>
    <w:p>
      <w:pPr>
        <w:spacing w:before="0" w:after="200" w:lineRule="auto" w:line="276"/>
      </w:pPr>
      <w:r>
        <w:rPr>
          <w:b/>
        </w:rPr>
        <w:t xml:space="preserve">Abstract: </w:t>
      </w:r>
      <w:r>
        <w:t>Designing nanocatalysts with fast water dissociation kinetics is key to achieving the industrial current density of the cathodic hydrogen evolution reaction (HER) for green hydrogen production via water electrolysis, which remains a grand challenge. Here, leverage single‐atom engineering,a Ce single‐atom‐doped amorphous RuO</w:t>
      </w:r>
      <w:r>
        <w:t xml:space="preserve"> </w:t>
      </w:r>
      <w:r>
        <w:t>x</w:t>
      </w:r>
      <w:r>
        <w:t xml:space="preserve"> </w:t>
      </w:r>
      <w:r>
        <w:t>nanosheet featuring abundant amorphous/crystalline nanojunctions, namely, ac‐Ce</w:t>
      </w:r>
      <w:r>
        <w:t xml:space="preserve"> </w:t>
      </w:r>
      <w:r>
        <w:t>SA</w:t>
      </w:r>
      <w:r>
        <w:t xml:space="preserve"> </w:t>
      </w:r>
      <w:r>
        <w:t>RuO</w:t>
      </w:r>
      <w:r>
        <w:t xml:space="preserve"> </w:t>
      </w:r>
      <w:r>
        <w:t>x</w:t>
      </w:r>
      <w:r>
        <w:t xml:space="preserve"> </w:t>
      </w:r>
      <w:r>
        <w:t>is successfully developed. When employed as a catalyst for alkaline HER, the ac‐Ce</w:t>
      </w:r>
      <w:r>
        <w:t xml:space="preserve"> </w:t>
      </w:r>
      <w:r>
        <w:t>SA</w:t>
      </w:r>
      <w:r>
        <w:t xml:space="preserve"> </w:t>
      </w:r>
      <w:r>
        <w:t>RuO</w:t>
      </w:r>
      <w:r>
        <w:t xml:space="preserve"> </w:t>
      </w:r>
      <w:r>
        <w:t>x</w:t>
      </w:r>
      <w:r>
        <w:t xml:space="preserve"> </w:t>
      </w:r>
      <w:r>
        <w:t>catalyst displays an overpotential of only 8.3 mV at 10 mA cm</w:t>
      </w:r>
      <w:r>
        <w:t xml:space="preserve"> </w:t>
      </w:r>
      <w:r>
        <w:t>−2</w:t>
      </w:r>
      <w:r>
        <w:t xml:space="preserve"> </w:t>
      </w:r>
      <w:r>
        <w:t>and Tafel slope as low as 23.1 mV dec</w:t>
      </w:r>
      <w:r>
        <w:t xml:space="preserve"> </w:t>
      </w:r>
      <w:r>
        <w:t>−1</w:t>
      </w:r>
      <w:r>
        <w:t xml:space="preserve"> </w:t>
      </w:r>
      <w:r>
        <w:t>, outperforming the Ru‐based catalysts reported in recent studies. Anion exchange‐membrane water electrolyzers (AEMWEs) tests using ac‐Ce</w:t>
      </w:r>
      <w:r>
        <w:t xml:space="preserve"> </w:t>
      </w:r>
      <w:r>
        <w:t>SA</w:t>
      </w:r>
      <w:r>
        <w:t xml:space="preserve"> </w:t>
      </w:r>
      <w:r>
        <w:t>RuO</w:t>
      </w:r>
      <w:r>
        <w:t xml:space="preserve"> </w:t>
      </w:r>
      <w:r>
        <w:t>x</w:t>
      </w:r>
      <w:r>
        <w:t xml:space="preserve"> </w:t>
      </w:r>
      <w:r>
        <w:t>as the cathode catalyst exhibit a low cell voltage of 1.71 V at 1000 mA cm</w:t>
      </w:r>
      <w:r>
        <w:t xml:space="preserve"> </w:t>
      </w:r>
      <w:r>
        <w:t>−2</w:t>
      </w:r>
      <w:r>
        <w:t xml:space="preserve"> </w:t>
      </w:r>
      <w:r>
        <w:t>, and the performance can be well maintained after 300 h. In situ spectroscopic analyses demonstrate the increased coverage of OH species on ac‐Ce</w:t>
      </w:r>
      <w:r>
        <w:t xml:space="preserve"> </w:t>
      </w:r>
      <w:r>
        <w:t>SA</w:t>
      </w:r>
      <w:r>
        <w:t xml:space="preserve"> </w:t>
      </w:r>
      <w:r>
        <w:t>RuO</w:t>
      </w:r>
      <w:r>
        <w:t xml:space="preserve"> </w:t>
      </w:r>
      <w:r>
        <w:t>x</w:t>
      </w:r>
      <w:r>
        <w:t xml:space="preserve"> </w:t>
      </w:r>
      <w:r>
        <w:t>for enhanced water dissociation. Density function theory calculations suggest that the Ce‐doped crystalline nanodomains in the amorphous/nanocrystalline nanojunction could effectively reduce the energy barrier to water dissociation, while the Ce‐doped amorphous constituents regulate the H</w:t>
      </w:r>
      <w:r>
        <w:t xml:space="preserve"> </w:t>
      </w:r>
      <w:r>
        <w:t>*</w:t>
      </w:r>
      <w:r>
        <w:t xml:space="preserve"> </w:t>
      </w:r>
      <w:r>
        <w:t>adsorption, which collectively boost the HER performance. This work offers a new strategy to create amorphous/nanocrystalline nanojunctions in nanocatalysts for enhanced electrocatalysis.</w:t>
      </w:r>
    </w:p>
    <w:p>
      <w:pPr>
        <w:spacing w:before="120" w:after="120"/>
      </w:pPr>
      <w:r>
        <w:rPr>
          <w:sz w:val="18"/>
        </w:rPr>
        <w:t>——————————————————————————————————————————————————————————————————————</w:t>
      </w:r>
    </w:p>
    <w:p>
      <w:pPr>
        <w:spacing w:before="160" w:after="80" w:line="240" w:lineRule="auto"/>
      </w:pPr>
      <w:r>
        <w:rPr>
          <w:b/>
        </w:rPr>
        <w:t xml:space="preserve">[459] </w:t>
      </w:r>
      <w:hyperlink r:id="rId749">
        <w:r>
          <w:rPr>
            <w:color w:val="1155CC"/>
            <w:u w:val="single"/>
          </w:rPr>
          <w:t>Reconfigurable Magnetotransport in MnBi2Te4 via Gate and Magnetic Field Tuning</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50">
        <w:r>
          <w:rPr>
            <w:color w:val="1155CC"/>
            <w:u w:val="single"/>
          </w:rPr>
          <w:t>10.1002/adma.202510734</w:t>
        </w:r>
      </w:hyperlink>
    </w:p>
    <w:p>
      <w:pPr>
        <w:spacing w:before="0" w:after="120"/>
      </w:pPr>
      <w:r>
        <w:rPr>
          <w:b/>
        </w:rPr>
        <w:t xml:space="preserve">Notes: </w:t>
      </w:r>
      <w:r>
        <w:t>abstract_source=crossref</w:t>
      </w:r>
    </w:p>
    <w:p>
      <w:pPr>
        <w:spacing w:before="0" w:after="200" w:lineRule="auto" w:line="276"/>
      </w:pPr>
      <w:r>
        <w:rPr>
          <w:b/>
        </w:rPr>
        <w:t xml:space="preserve">Abstract: </w:t>
      </w:r>
      <w:r>
        <w:t>The intrinsic magnetic topological insulator MnBi</w:t>
      </w:r>
      <w:r>
        <w:rPr>
          <w:vertAlign w:val="subscript"/>
        </w:rPr>
        <w:t>2</w:t>
      </w:r>
      <w:r>
        <w:t>Te</w:t>
      </w:r>
      <w:r>
        <w:rPr>
          <w:vertAlign w:val="subscript"/>
        </w:rPr>
        <w:t>4</w:t>
      </w:r>
      <w:r>
        <w:t>is a promising platform for exploring quantum phases with nontrivial band topology and for enabling electrical control over coupled magnetic and electronic phase transitions. In‐plane magnetic fields, in particular, offer a distinct means of tuning these properties by strengthening quantized Hall effects, enhancing surface energy gaps, and driving spin reorientation transitions. However, a systematic understanding of how such fields affect magnetotransport is limited. Here, the magnetotransport behavior of few‐layer MnBi</w:t>
      </w:r>
      <w:r>
        <w:rPr>
          <w:vertAlign w:val="subscript"/>
        </w:rPr>
        <w:t>2</w:t>
      </w:r>
      <w:r>
        <w:t>Te</w:t>
      </w:r>
      <w:r>
        <w:rPr>
          <w:vertAlign w:val="subscript"/>
        </w:rPr>
        <w:t>4</w:t>
      </w:r>
      <w:r>
        <w:t>as a function of gate voltage, temperature, and magnetic field angle, with a primary focus on in‐plane field effects, are investigated. A gate‐tunable crossover in magnetoresistance is observed from positive to negative values under in‐plane magnetic fields as the gate voltage is swept below the charge neutrality point at temperatures below the Néel temperature. The in‐plane field drives a transition from the antiferromagnetic ground state to a ferromagnetic configuration with spins aligned in‐plane, while simultaneously altering the electronic structure, as revealed by gate‐dependent transport features. The angle‐dependent measurements reveal strongly gate‐tunable magnetotransport anisotropy. These results establish in‐plane magnetic fields as an effective tuning parameter for modulating spin and charge transport in MnBi</w:t>
      </w:r>
      <w:r>
        <w:rPr>
          <w:vertAlign w:val="subscript"/>
        </w:rPr>
        <w:t>2</w:t>
      </w:r>
      <w:r>
        <w:t>Te</w:t>
      </w:r>
      <w:r>
        <w:rPr>
          <w:vertAlign w:val="subscript"/>
        </w:rPr>
        <w:t>4</w:t>
      </w:r>
      <w:r>
        <w:t>, advancing prospects for reconfigurable spintronic and topological devices.</w:t>
      </w:r>
    </w:p>
    <w:p>
      <w:pPr>
        <w:spacing w:before="120" w:after="120"/>
      </w:pPr>
      <w:r>
        <w:rPr>
          <w:sz w:val="18"/>
        </w:rPr>
        <w:t>——————————————————————————————————————————————————————————————————————</w:t>
      </w:r>
    </w:p>
    <w:p>
      <w:pPr>
        <w:spacing w:before="160" w:after="80" w:line="240" w:lineRule="auto"/>
      </w:pPr>
      <w:r>
        <w:rPr>
          <w:b/>
        </w:rPr>
        <w:t xml:space="preserve">[460] </w:t>
      </w:r>
      <w:hyperlink r:id="rId751">
        <w:r>
          <w:rPr>
            <w:color w:val="1155CC"/>
            <w:u w:val="single"/>
          </w:rPr>
          <w:t>Utilize Natural Forces in Water Treatment Through 3D‐Printed Structures: From Purification to Clean Energy</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52">
        <w:r>
          <w:rPr>
            <w:color w:val="1155CC"/>
            <w:u w:val="single"/>
          </w:rPr>
          <w:t>10.1002/adma.202509185</w:t>
        </w:r>
      </w:hyperlink>
    </w:p>
    <w:p>
      <w:pPr>
        <w:spacing w:before="0" w:after="120"/>
      </w:pPr>
      <w:r>
        <w:rPr>
          <w:b/>
        </w:rPr>
        <w:t xml:space="preserve">Notes: </w:t>
      </w:r>
      <w:r>
        <w:t>abstract_source=crossref</w:t>
      </w:r>
    </w:p>
    <w:p>
      <w:pPr>
        <w:spacing w:before="0" w:after="200" w:lineRule="auto" w:line="276"/>
      </w:pPr>
      <w:r>
        <w:rPr>
          <w:b/>
        </w:rPr>
        <w:t xml:space="preserve">Abstract: </w:t>
      </w:r>
      <w:r>
        <w:t>The utilization of natural forces for water purification has long been a pursuit of scientific and technological interest, offering the potential to reduce both energy consumption and secondary pollution associated with conventional processes. Structural materials play a pivotal role in water treatment by harnessing natural forces, such as gravity, capillarity, and solar energy, to purify water or even to generate clean energy from water, enabling structure‐determined properties beyond material functionality. With their advantages in design freedom and structural customization, 3D printing techniques offer significant potential for materializing these designs into functional devices. This review investigates recent advances in 3D‐printed materials and devices that utilize natural forces for water purification, including gravity‐driven oil/water separation, solar‐powered photodegradation, solar evaporation desalination, and photovoltaic water splitting for clean energy, with a particular focus on the benefits conferred by structural design. Harnessing the holistic design freedom and modular manufacturing capabilities afforded by 3D printing, the approach proposes an integrated water treatment system where an oil/water separator and a photodegradation module are assembled with solar evaporators to generate purified water for photovoltaic water splitting. This design aims to establish a conceptual framework that enables rapid iteration, collaborative innovation, and digital model‐based standardization across the field.</w:t>
      </w:r>
    </w:p>
    <w:p>
      <w:pPr>
        <w:spacing w:before="120" w:after="120"/>
      </w:pPr>
      <w:r>
        <w:rPr>
          <w:sz w:val="18"/>
        </w:rPr>
        <w:t>——————————————————————————————————————————————————————————————————————</w:t>
      </w:r>
    </w:p>
    <w:p>
      <w:pPr>
        <w:spacing w:before="160" w:after="80" w:line="240" w:lineRule="auto"/>
      </w:pPr>
      <w:r>
        <w:rPr>
          <w:b/>
        </w:rPr>
        <w:t xml:space="preserve">[461] </w:t>
      </w:r>
      <w:hyperlink r:id="rId753">
        <w:r>
          <w:rPr>
            <w:color w:val="1155CC"/>
            <w:u w:val="single"/>
          </w:rPr>
          <w:t>Advancing the Frontiers of HfO2‐Based Ferroelectric Memories: Innovative Concepts from Materials to Applications</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54">
        <w:r>
          <w:rPr>
            <w:color w:val="1155CC"/>
            <w:u w:val="single"/>
          </w:rPr>
          <w:t>10.1002/adma.202509525</w:t>
        </w:r>
      </w:hyperlink>
    </w:p>
    <w:p>
      <w:pPr>
        <w:spacing w:before="0" w:after="120"/>
      </w:pPr>
      <w:r>
        <w:rPr>
          <w:b/>
        </w:rPr>
        <w:t xml:space="preserve">Notes: </w:t>
      </w:r>
      <w:r>
        <w:t>abstract_source=crossref</w:t>
      </w:r>
    </w:p>
    <w:p>
      <w:pPr>
        <w:spacing w:before="0" w:after="200" w:lineRule="auto" w:line="276"/>
      </w:pPr>
      <w:r>
        <w:rPr>
          <w:b/>
        </w:rPr>
        <w:t xml:space="preserve">Abstract: </w:t>
      </w:r>
      <w:r>
        <w:t>The emergence of HfO</w:t>
      </w:r>
      <w:r>
        <w:rPr>
          <w:vertAlign w:val="subscript"/>
        </w:rPr>
        <w:t>2</w:t>
      </w:r>
      <w:r>
        <w:t>‐based ferroelectric materials has revolutionized ferroelectric memory technologies, which overcome several key challenges of conventional ferroelectric materials and exhibit outstanding performance, aligning with the surging demands from data‐centric computing. In this review, a comprehensive overview of recent developments in HfO</w:t>
      </w:r>
      <w:r>
        <w:rPr>
          <w:vertAlign w:val="subscript"/>
        </w:rPr>
        <w:t>2</w:t>
      </w:r>
      <w:r>
        <w:t>‐based ferroelectric memories is provided, spanning materials research, device engineering, integration strategies, and emerging applications. At the material level, advances in thickness and grain size scaling are discussed, as well as the investigation on polarization switching dynamics and cryogenic behavior. On the device front, progress is examined in ferroelectric field‐effect transistors (FeFETs), including alternative channel materials and gate stack designs, as well as novel device concepts beyond traditional FeFET architectures. Integration strategies to realize high‐density, high‐bandwidth memories, including the 3D stacking architectures and monolithic integration with logic transistors, are also reviewed. Finally, applications are explored that extend beyond conventional data storage. Through this multi‐faceted review, the aim is to identify both the technological opportunities and remaining challenges associated with HfO</w:t>
      </w:r>
      <w:r>
        <w:rPr>
          <w:vertAlign w:val="subscript"/>
        </w:rPr>
        <w:t>2</w:t>
      </w:r>
      <w:r>
        <w:t>‐based ferroelectric memories, with the goal of inspiring further innovations in this emerging field.</w:t>
      </w:r>
    </w:p>
    <w:p>
      <w:pPr>
        <w:spacing w:before="120" w:after="120"/>
      </w:pPr>
      <w:r>
        <w:rPr>
          <w:sz w:val="18"/>
        </w:rPr>
        <w:t>——————————————————————————————————————————————————————————————————————</w:t>
      </w:r>
    </w:p>
    <w:p>
      <w:pPr>
        <w:spacing w:before="160" w:after="80" w:line="240" w:lineRule="auto"/>
      </w:pPr>
      <w:r>
        <w:rPr>
          <w:b/>
        </w:rPr>
        <w:t xml:space="preserve">[462] </w:t>
      </w:r>
      <w:hyperlink r:id="rId755">
        <w:r>
          <w:rPr>
            <w:color w:val="1155CC"/>
            <w:u w:val="single"/>
          </w:rPr>
          <w:t>HZO/HSO Superlattice ReFET Array Integrating Optical Sensing for Neuromorphic Vision Computing</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56">
        <w:r>
          <w:rPr>
            <w:color w:val="1155CC"/>
            <w:u w:val="single"/>
          </w:rPr>
          <w:t>10.1002/adma.202508889</w:t>
        </w:r>
      </w:hyperlink>
    </w:p>
    <w:p>
      <w:pPr>
        <w:spacing w:before="0" w:after="120"/>
      </w:pPr>
      <w:r>
        <w:rPr>
          <w:b/>
        </w:rPr>
        <w:t xml:space="preserve">Notes: </w:t>
      </w:r>
      <w:r>
        <w:t>abstract_source=crossref</w:t>
      </w:r>
    </w:p>
    <w:p>
      <w:pPr>
        <w:spacing w:before="0" w:after="200" w:lineRule="auto" w:line="276"/>
      </w:pPr>
      <w:r>
        <w:rPr>
          <w:b/>
        </w:rPr>
        <w:t xml:space="preserve">Abstract: </w:t>
      </w:r>
      <w:r>
        <w:t>Neuromorphic vision systems require artificial synapses that integrate sensing, memory, and computation with high precision and stability. Conventional memristors face limitations including forming requirements, few multilevel states, low endurance, and poor integration density, while ferroelectric and flash‐based transistors suffer trade‐offs among endurance, retention, and switching ratio, and generally lack intrinsic photonic sensitivity, constraining in‐sensor computing. Here, a photonic resistive‐gate field‐effect transistor (ReFET) array is presented that combines optical sensing, forming‐free multilevel memory, and analog computation in a single device. The ReFET employs a Hf</w:t>
      </w:r>
      <w:r>
        <w:rPr>
          <w:vertAlign w:val="subscript"/>
        </w:rPr>
        <w:t>0</w:t>
      </w:r>
      <w:r>
        <w:t>.</w:t>
      </w:r>
      <w:r>
        <w:rPr>
          <w:vertAlign w:val="subscript"/>
        </w:rPr>
        <w:t>5</w:t>
      </w:r>
      <w:r>
        <w:t>Zr</w:t>
      </w:r>
      <w:r>
        <w:rPr>
          <w:vertAlign w:val="subscript"/>
        </w:rPr>
        <w:t>0</w:t>
      </w:r>
      <w:r>
        <w:t>.</w:t>
      </w:r>
      <w:r>
        <w:rPr>
          <w:vertAlign w:val="subscript"/>
        </w:rPr>
        <w:t>5</w:t>
      </w:r>
      <w:r>
        <w:t>O</w:t>
      </w:r>
      <w:r>
        <w:rPr>
          <w:vertAlign w:val="subscript"/>
        </w:rPr>
        <w:t>2</w:t>
      </w:r>
      <w:r>
        <w:t>/Hf</w:t>
      </w:r>
      <w:r>
        <w:rPr>
          <w:vertAlign w:val="subscript"/>
        </w:rPr>
        <w:t>0</w:t>
      </w:r>
      <w:r>
        <w:t>.</w:t>
      </w:r>
      <w:r>
        <w:rPr>
          <w:vertAlign w:val="subscript"/>
        </w:rPr>
        <w:t>95</w:t>
      </w:r>
      <w:r>
        <w:t>Sr</w:t>
      </w:r>
      <w:r>
        <w:rPr>
          <w:vertAlign w:val="subscript"/>
        </w:rPr>
        <w:t>0</w:t>
      </w:r>
      <w:r>
        <w:t>.</w:t>
      </w:r>
      <w:r>
        <w:rPr>
          <w:vertAlign w:val="subscript"/>
        </w:rPr>
        <w:t>05</w:t>
      </w:r>
      <w:r>
        <w:t>O</w:t>
      </w:r>
      <w:r>
        <w:rPr>
          <w:vertAlign w:val="subscript"/>
        </w:rPr>
        <w:t>2</w:t>
      </w:r>
      <w:r>
        <w:t>(HZO/HSO) superlattice gate and an amorphous InGaZnO (IGZO) channel, achieving 272 stable conductance states (&amp;gt;8‐bit) in a 20 × 20 array, ON/OFF ratios &amp;gt;10⁶, endurance &amp;gt;10</w:t>
      </w:r>
      <w:r>
        <w:rPr>
          <w:vertAlign w:val="subscript"/>
        </w:rPr>
        <w:t>10</w:t>
      </w:r>
      <w:r>
        <w:t>cycles, and retention &amp;gt;10⁶ s. The array functions as an in‐sensor optical convolutional layer, performing multiply–accumulate (MAC) operations with 94.45% accuracy on Fashion‐MNIST using 8‐bit quantized weights, while delivering high energy efficiency. This platform enables scalable, high‐precision, energy‐efficient photonic neuromorphic computing, integrating sensing, memory, and computation in one architecture.</w:t>
      </w:r>
    </w:p>
    <w:p>
      <w:pPr>
        <w:spacing w:before="120" w:after="120"/>
      </w:pPr>
      <w:r>
        <w:rPr>
          <w:sz w:val="18"/>
        </w:rPr>
        <w:t>——————————————————————————————————————————————————————————————————————</w:t>
      </w:r>
    </w:p>
    <w:p>
      <w:pPr>
        <w:spacing w:before="160" w:after="80" w:line="240" w:lineRule="auto"/>
      </w:pPr>
      <w:r>
        <w:rPr>
          <w:b/>
        </w:rPr>
        <w:t xml:space="preserve">[463] </w:t>
      </w:r>
      <w:hyperlink r:id="rId757">
        <w:r>
          <w:rPr>
            <w:color w:val="1155CC"/>
            <w:u w:val="single"/>
          </w:rPr>
          <w:t>Zinc‐Coordinated Trienzyme Nanogel Cascade Therapy for Accelerated Post‐Pancreatectomy Cutaneous Wound Healing</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58">
        <w:r>
          <w:rPr>
            <w:color w:val="1155CC"/>
            <w:u w:val="single"/>
          </w:rPr>
          <w:t>10.1002/adma.202508538</w:t>
        </w:r>
      </w:hyperlink>
    </w:p>
    <w:p>
      <w:pPr>
        <w:spacing w:before="0" w:after="120"/>
      </w:pPr>
      <w:r>
        <w:rPr>
          <w:b/>
        </w:rPr>
        <w:t xml:space="preserve">Notes: </w:t>
      </w:r>
      <w:r>
        <w:t>abstract_source=crossref</w:t>
      </w:r>
    </w:p>
    <w:p>
      <w:pPr>
        <w:spacing w:before="0" w:after="200" w:lineRule="auto" w:line="276"/>
      </w:pPr>
      <w:r>
        <w:rPr>
          <w:b/>
        </w:rPr>
        <w:t xml:space="preserve">Abstract: </w:t>
      </w:r>
      <w:r>
        <w:t>Orchestration of enzyme cascades in synthetic systems remains a major challenge for catalytic control in complex biological environments. Here, a zinc‐coordinated tri‐enzyme nanogel system (Zn@nGSC) is reported that mimics natural enzymatic assemblies by confining individual glucose oxidase (GOX), superoxide dismutase (SOD), and catalase (CAT) within an imidazole‐functionalized polymeric nanogel matrix. The nanogel is fabricated via mild in situ polymerization combined with Zn</w:t>
      </w:r>
      <w:r>
        <w:rPr>
          <w:vertAlign w:val="subscript"/>
        </w:rPr>
        <w:t>2</w:t>
      </w:r>
      <w:r>
        <w:t>⁺‐imidazole coordination, yielding structurally stable multi‐enzyme assemblies. The engineered assemblies demonstrate simultaneous preservation of enzymatic activity and enhanced cascade efficiency under thermal and proteolytic stress. Cascade reactions proceed as follows: i) glucose is depleted by GOX, ii) superoxide radicals are scavenged by SOD to alleviate oxidative stress, and iii) residual H</w:t>
      </w:r>
      <w:r>
        <w:rPr>
          <w:vertAlign w:val="subscript"/>
        </w:rPr>
        <w:t>2</w:t>
      </w:r>
      <w:r>
        <w:t>O</w:t>
      </w:r>
      <w:r>
        <w:rPr>
          <w:vertAlign w:val="subscript"/>
        </w:rPr>
        <w:t>2</w:t>
      </w:r>
      <w:r>
        <w:t>is converted into oxygen by CAT in order to mitigate hypoxia. Functionally, Zn@nGSC restores redox balance and metabolic homeostasis, demonstrated in a murine model of post‐pancreatectomy wound healing, with emphasis on treating hyperglycemia and improving regeneration. Another pronounced advantage of Zn@nGSC treatment is its antibacterial effect, which enhances angiogenesis, collagen deposition, and immune modulation. Overall, this modular nanoplatform provides a blueprint for designing robust, bioresponsive cascade systems with therapeutic potential in metabolically compromised microenvironments.</w:t>
      </w:r>
    </w:p>
    <w:p>
      <w:pPr>
        <w:spacing w:before="120" w:after="120"/>
      </w:pPr>
      <w:r>
        <w:rPr>
          <w:sz w:val="18"/>
        </w:rPr>
        <w:t>——————————————————————————————————————————————————————————————————————</w:t>
      </w:r>
    </w:p>
    <w:p>
      <w:pPr>
        <w:spacing w:before="160" w:after="80" w:line="240" w:lineRule="auto"/>
      </w:pPr>
      <w:r>
        <w:rPr>
          <w:b/>
        </w:rPr>
        <w:t xml:space="preserve">[464] </w:t>
      </w:r>
      <w:hyperlink r:id="rId759">
        <w:r>
          <w:rPr>
            <w:color w:val="1155CC"/>
            <w:u w:val="single"/>
          </w:rPr>
          <w:t>Spatially Programmable Electroadhesive Enables In Situ Site‐Selective Functional Coupling</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60">
        <w:r>
          <w:rPr>
            <w:color w:val="1155CC"/>
            <w:u w:val="single"/>
          </w:rPr>
          <w:t>10.1002/adma.202511039</w:t>
        </w:r>
      </w:hyperlink>
    </w:p>
    <w:p>
      <w:pPr>
        <w:spacing w:before="0" w:after="120"/>
      </w:pPr>
      <w:r>
        <w:rPr>
          <w:b/>
        </w:rPr>
        <w:t xml:space="preserve">Notes: </w:t>
      </w:r>
      <w:r>
        <w:t>abstract_source=crossref</w:t>
      </w:r>
    </w:p>
    <w:p>
      <w:pPr>
        <w:spacing w:before="0" w:after="200" w:lineRule="auto" w:line="276"/>
      </w:pPr>
      <w:r>
        <w:rPr>
          <w:b/>
        </w:rPr>
        <w:t xml:space="preserve">Abstract: </w:t>
      </w:r>
      <w:r>
        <w:t>Precise intraoperative integration of bioelectronic devices with wet tissue surfaces remains a challenge due to the limited spatial control of adhesion sites. Here, an in situ spatially programmable electrical bioadhesive (termed “STICH”) is reported that enables site‐selective adhesion and functional coupling via light‐activated bonding with wet biological tissue. Upon irradiation with patterned green light, Rose Bengal in a chitosan/silver nanowire hydrogel matrix generates singlet oxygen, which oxidizes amino acid residues into carbonyl groups on the tissue surface. The covalent bonding is then formed between the newly formed reactive carbonyl group and amine groups on chitosan. The spatially programmable adhesive allows robust tissue bonding with a lap‐shear strength of 160 kPa and precise adhesion regions at ≈2 µm resolution. The light‐patternable adhesive enables spatially resolved mechanical coupling for directional electromechanical sensing on ex vivo cardiac tissue. The low impedance adhesive interface also provides spatially programmed electrical coupling for in vivo neuromuscular stimulation on intraoperatively selected muscle groups. This platform advances microscale device‐tissue integration and paves the way for reconfigurable bioelectronic therapies.</w:t>
      </w:r>
    </w:p>
    <w:p>
      <w:pPr>
        <w:spacing w:before="120" w:after="120"/>
      </w:pPr>
      <w:r>
        <w:rPr>
          <w:sz w:val="18"/>
        </w:rPr>
        <w:t>——————————————————————————————————————————————————————————————————————</w:t>
      </w:r>
    </w:p>
    <w:p>
      <w:pPr>
        <w:spacing w:before="160" w:after="80" w:line="240" w:lineRule="auto"/>
      </w:pPr>
      <w:r>
        <w:rPr>
          <w:b/>
        </w:rPr>
        <w:t xml:space="preserve">[465] </w:t>
      </w:r>
      <w:hyperlink r:id="rId761">
        <w:r>
          <w:rPr>
            <w:color w:val="1155CC"/>
            <w:u w:val="single"/>
          </w:rPr>
          <w:t>Precise Surface Engineering of Metal Nanoclusters: Ligand Programming for Functionality Design</w:t>
        </w:r>
      </w:hyperlink>
    </w:p>
    <w:p>
      <w:pPr>
        <w:spacing w:before="0" w:after="120" w:line="240" w:lineRule="auto"/>
      </w:pPr>
      <w:r>
        <w:rPr>
          <w:b/>
        </w:rPr>
        <w:t xml:space="preserve">Source: </w:t>
      </w:r>
      <w:r>
        <w:t>Wiley: Advanced Materials: Table of Contents</w:t>
      </w:r>
      <w:r>
        <w:t xml:space="preserve">    </w:t>
      </w:r>
      <w:r>
        <w:rPr>
          <w:b/>
        </w:rPr>
        <w:t xml:space="preserve">Pub date: </w:t>
      </w:r>
      <w:r>
        <w:t>2025-12-17 14:13:34+00:00</w:t>
      </w:r>
      <w:r>
        <w:t xml:space="preserve">    </w:t>
      </w:r>
      <w:r>
        <w:rPr>
          <w:b/>
        </w:rPr>
        <w:t xml:space="preserve">DOI: </w:t>
      </w:r>
      <w:hyperlink r:id="rId762">
        <w:r>
          <w:rPr>
            <w:color w:val="1155CC"/>
            <w:u w:val="single"/>
          </w:rPr>
          <w:t>10.1002/adma.202508578</w:t>
        </w:r>
      </w:hyperlink>
    </w:p>
    <w:p>
      <w:pPr>
        <w:spacing w:before="0" w:after="120"/>
      </w:pPr>
      <w:r>
        <w:rPr>
          <w:b/>
        </w:rPr>
        <w:t xml:space="preserve">Notes: </w:t>
      </w:r>
      <w:r>
        <w:t>abstract_source=crossref</w:t>
      </w:r>
    </w:p>
    <w:p>
      <w:pPr>
        <w:spacing w:before="0" w:after="200" w:lineRule="auto" w:line="276"/>
      </w:pPr>
      <w:r>
        <w:rPr>
          <w:b/>
        </w:rPr>
        <w:t xml:space="preserve">Abstract: </w:t>
      </w:r>
      <w:r>
        <w:t>Precise surface engineering of metal nanoclusters (MNCs) has emerged as a powerful strategy for tailoring their structural, electronic, and catalytic properties. On the basis of traditional surface chemistry, ligand programming enables atomic‐level control over MNC functionality by modulating metal‐ligand coordination, intra/inter‐ligand interactions, and interfacial chemistry. These three layers within the “Engineering Zone” define structural flexibility, charge transfer pathways, molecular rigidity, and surface accessibility, key factors in optimizing catalytic activity, luminescence efficiency, and molecular recognition. This</w:t>
      </w:r>
      <w:r>
        <w:t xml:space="preserve"> </w:t>
      </w:r>
      <w:r>
        <w:t>Perspective</w:t>
      </w:r>
      <w:r>
        <w:t xml:space="preserve"> </w:t>
      </w:r>
      <w:r>
        <w:t>explores the chemistry governing ligand‐directed MNC behavior in the three layers, highlighting its role in catalysis, photonics, and biomedicine. By integrating coordination chemistry, intra/inter‐ligand design, and interfacial interactions, how ligand programming transforms MNCs is demonstrated into tunable platforms for next‐generation functional materials. Insights from MNCs also provide a model for advancing surface engineering in broader nanomaterials, paving the way for innovative applications in materials science.</w:t>
      </w:r>
    </w:p>
    <w:p>
      <w:pPr>
        <w:spacing w:before="120" w:after="120"/>
      </w:pPr>
      <w:r>
        <w:rPr>
          <w:sz w:val="18"/>
        </w:rPr>
        <w:t>——————————————————————————————————————————————————————————————————————</w:t>
      </w:r>
    </w:p>
    <w:p>
      <w:pPr>
        <w:spacing w:before="160" w:after="80" w:line="240" w:lineRule="auto"/>
      </w:pPr>
      <w:r>
        <w:rPr>
          <w:b/>
        </w:rPr>
        <w:t xml:space="preserve">[466] </w:t>
      </w:r>
      <w:hyperlink r:id="rId763">
        <w:r>
          <w:rPr>
            <w:color w:val="1155CC"/>
            <w:u w:val="single"/>
          </w:rPr>
          <w:t>[ASAP] Decoding the Oxygen Activity with Iron through Ligand-to-Metal Charge Transfer in Li-Rich Layered Cathodes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14:18:08+00:00</w:t>
      </w:r>
      <w:r>
        <w:t xml:space="preserve">    </w:t>
      </w:r>
      <w:r>
        <w:rPr>
          <w:b/>
        </w:rPr>
        <w:t xml:space="preserve">DOI: </w:t>
      </w:r>
      <w:hyperlink r:id="rId764">
        <w:r>
          <w:rPr>
            <w:color w:val="1155CC"/>
            <w:u w:val="single"/>
          </w:rPr>
          <w:t>10.1021/jacs.5c10485</w:t>
        </w:r>
      </w:hyperlink>
    </w:p>
    <w:p>
      <w:pPr>
        <w:spacing w:before="0" w:after="120"/>
      </w:pPr>
      <w:r>
        <w:rPr>
          <w:b/>
        </w:rPr>
        <w:t xml:space="preserve">Notes: </w:t>
      </w:r>
      <w:r>
        <w:t>abstract_source=pubmed</w:t>
      </w:r>
    </w:p>
    <w:p>
      <w:pPr>
        <w:spacing w:before="0" w:after="200" w:lineRule="auto" w:line="276"/>
      </w:pPr>
      <w:r>
        <w:rPr>
          <w:b/>
        </w:rPr>
        <w:t xml:space="preserve">Abstract: </w:t>
      </w:r>
      <w:r>
        <w:t>The quest for high-energy-density and cost-effective cathode materials has revitalized lithium-rich iron-based oxides, where Fe3+ ions with their stable half-filled d5 electronic configuration demonstrate unique potentials in regulating oxygen redox activity through ligand-to-metal charge transfer. Using operando 57Fe Mössbauer spectroscopy, synchrotron X-ray techniques, and density functional theory calculations, we unravel the enhanced Fe-O redox activity through the LMCT process and the concomitant evolution of local structure distortion in the Li-rich layered system Li1.2MO2 (M = Ni, Mn, Fe). The metastable Fe4+ intermediates facilitate early activation of oxygen redox through LMCT along with increased delithiation at a lowered potential (below 4.5 V). This process inherently suppresses Jahn-Teller distortion of Fe4+ and exhibits Fe-O redox dominance over conventional Fe3+/Fe4+ redox in Li-rich oxides. The Fe-O coupling redox exhibits improved initial Coulombic efficiency and 95% capacity retention over 200 cycles at 4.4 V. However, the LMCT process is accompanied by aggravated cation migration and voltage fade at low cutoff potentials, which requires further mitigation for the utilization of Fe-O redox. Overall, these findings demonstrate the regulating mechanism of iron for oxygen redox through LMCT and provide fundamental insights into the design principles for high-performance, cost-effective iron-based cathode materials.</w:t>
      </w:r>
    </w:p>
    <w:p>
      <w:pPr>
        <w:spacing w:before="120" w:after="120"/>
      </w:pPr>
      <w:r>
        <w:rPr>
          <w:sz w:val="18"/>
        </w:rPr>
        <w:t>——————————————————————————————————————————————————————————————————————</w:t>
      </w:r>
    </w:p>
    <w:p>
      <w:pPr>
        <w:spacing w:before="160" w:after="80" w:line="240" w:lineRule="auto"/>
      </w:pPr>
      <w:r>
        <w:rPr>
          <w:b/>
        </w:rPr>
        <w:t xml:space="preserve">[467] </w:t>
      </w:r>
      <w:hyperlink r:id="rId765">
        <w:r>
          <w:rPr>
            <w:color w:val="1155CC"/>
            <w:u w:val="single"/>
          </w:rPr>
          <w:t>[ASAP] Suppressing Fe Migration for Highly Reversible Oxygen Redox of Sodium-Ion Layered Oxide Cathode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14:19:07+00:00</w:t>
      </w:r>
      <w:r>
        <w:t xml:space="preserve">    </w:t>
      </w:r>
      <w:r>
        <w:rPr>
          <w:b/>
        </w:rPr>
        <w:t xml:space="preserve">DOI: </w:t>
      </w:r>
      <w:hyperlink r:id="rId766">
        <w:r>
          <w:rPr>
            <w:color w:val="1155CC"/>
            <w:u w:val="single"/>
          </w:rPr>
          <w:t>10.1021/jacs.5c15943</w:t>
        </w:r>
      </w:hyperlink>
    </w:p>
    <w:p>
      <w:pPr>
        <w:spacing w:before="0" w:after="120"/>
      </w:pPr>
      <w:r>
        <w:rPr>
          <w:b/>
        </w:rPr>
        <w:t xml:space="preserve">Notes: </w:t>
      </w:r>
      <w:r>
        <w:t>abstract_source=pubmed</w:t>
      </w:r>
    </w:p>
    <w:p>
      <w:pPr>
        <w:spacing w:before="0" w:after="200" w:lineRule="auto" w:line="276"/>
      </w:pPr>
      <w:r>
        <w:rPr>
          <w:b/>
        </w:rPr>
        <w:t xml:space="preserve">Abstract: </w:t>
      </w:r>
      <w:r>
        <w:t>Sodium-ion batteries are promising energy storage device candidates, yet are limited by low energy density. NaNi0.33Fe0.33Mn0.33O2 (NFM) activates oxygen redox under high voltage and delivers a high capacity, but suffers from irreversible oxygen loss and rapid capacity fading. Moreover, the underlying failure mechanism is still debatable. Herein, we highlight the critical role of Fe migration in NFM electrochemical degradation and develop approaches to suppress Fe migration and facilitate reversible oxygen redox. Incorporating Ca and Sn into NFM mitigates the OP2 phase, alleviates NiO6/FeO6 Jahn-Teller distortions, and deters incoming Fe3+ ions. Consequently, the out-of-plane Fe migration is effectively suppressed, thus minimizing undercoordinated oxygen species formation and achieving highly reversible oxygen redox. As-optimized NFM cathode exhibits a high capacity of 158.3 mAh g-1 and excellent electrochemical stability even under high voltage (4.5 V) and high temperature (50 °C). The pouch cells using this NFM cathode achieve a high capacity retention of 80.7% after 2000 cycles. This interlayer-migration-free cathode offers guidelines for developing long-life sodium-ion layered oxides.</w:t>
      </w:r>
    </w:p>
    <w:p>
      <w:pPr>
        <w:spacing w:before="120" w:after="120"/>
      </w:pPr>
      <w:r>
        <w:rPr>
          <w:sz w:val="18"/>
        </w:rPr>
        <w:t>——————————————————————————————————————————————————————————————————————</w:t>
      </w:r>
    </w:p>
    <w:p>
      <w:pPr>
        <w:spacing w:before="160" w:after="80" w:line="240" w:lineRule="auto"/>
      </w:pPr>
      <w:r>
        <w:rPr>
          <w:b/>
        </w:rPr>
        <w:t xml:space="preserve">[468] </w:t>
      </w:r>
      <w:hyperlink r:id="rId767">
        <w:r>
          <w:rPr>
            <w:color w:val="1155CC"/>
            <w:u w:val="single"/>
          </w:rPr>
          <w:t>[ASAP] Reconciling the Stability-Activity Dilemma on Perovskite Oxide Electrode Surfaces with Oxygen-Deficient ZrOx Nanocoatings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2025-12-17 15:38:43+00:00</w:t>
      </w:r>
      <w:r>
        <w:t xml:space="preserve">    </w:t>
      </w:r>
      <w:r>
        <w:rPr>
          <w:b/>
        </w:rPr>
        <w:t xml:space="preserve">DOI: </w:t>
      </w:r>
      <w:hyperlink r:id="rId768">
        <w:r>
          <w:rPr>
            <w:color w:val="1155CC"/>
            <w:u w:val="single"/>
          </w:rPr>
          <w:t>10.1021/acsenergylett.5c03514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[469] </w:t>
      </w:r>
      <w:hyperlink r:id="rId769">
        <w:r>
          <w:rPr>
            <w:color w:val="1155CC"/>
            <w:u w:val="single"/>
          </w:rPr>
          <w:t>[ASAP] Telecom-Luminescent and Room Temperature Coherent Tetrathiafulvalene-Based Qubits in Spin-Rich Solids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17:37:12+00:00</w:t>
      </w:r>
      <w:r>
        <w:t xml:space="preserve">    </w:t>
      </w:r>
      <w:r>
        <w:rPr>
          <w:b/>
        </w:rPr>
        <w:t xml:space="preserve">DOI: </w:t>
      </w:r>
      <w:hyperlink r:id="rId770">
        <w:r>
          <w:rPr>
            <w:color w:val="1155CC"/>
            <w:u w:val="single"/>
          </w:rPr>
          <w:t>10.1021/jacs.5c12570</w:t>
        </w:r>
      </w:hyperlink>
    </w:p>
    <w:p>
      <w:pPr>
        <w:spacing w:before="0" w:after="120"/>
      </w:pPr>
      <w:r>
        <w:rPr>
          <w:b/>
        </w:rPr>
        <w:t xml:space="preserve">Notes: </w:t>
      </w:r>
      <w:r>
        <w:t>abstract_source=pubmed</w:t>
      </w:r>
    </w:p>
    <w:p>
      <w:pPr>
        <w:spacing w:before="0" w:after="200" w:lineRule="auto" w:line="276"/>
      </w:pPr>
      <w:r>
        <w:rPr>
          <w:b/>
        </w:rPr>
        <w:t xml:space="preserve">Abstract: </w:t>
      </w:r>
      <w:r>
        <w:t>One of the main challenges facing quantum information science (QIS) is the development of robust qubits that can be operated under ambient conditions. Current state-of-the-art anionic nitrogen-vacancy center (NV-) defect qubits are robust enough to be operated at room temperature but lack scalability and tunability. These are areas where molecular qubits excel, although, in contrast, they typically suffer from poor air stability and fast decoherence at elevated temperatures and in magnetically noisy environments. Organic-based systems offer possible advantages to this end, although examples retaining room temperature coherence are still rare. Furthermore, most organic-based systems lack optical transitions similar to NV- centers that could allow for optical initialization and readout. Here we report two new organic-based qubit candidates that demonstrate room temperature coherence in nuclear and electron spin-rich environments. These qubits luminesce far into the near-infrared (NIR, 700-1700 nm) and telecom (∼1260-1625 nm) regions, ideal for biological sensing and communications applications, respectively.</w:t>
      </w:r>
    </w:p>
    <w:p>
      <w:pPr>
        <w:spacing w:before="120" w:after="120"/>
      </w:pPr>
      <w:r>
        <w:rPr>
          <w:sz w:val="18"/>
        </w:rPr>
        <w:t>——————————————————————————————————————————————————————————————————————</w:t>
      </w:r>
    </w:p>
    <w:p>
      <w:pPr>
        <w:spacing w:before="160" w:after="80" w:line="240" w:lineRule="auto"/>
      </w:pPr>
      <w:r>
        <w:rPr>
          <w:b/>
        </w:rPr>
        <w:t xml:space="preserve">[470] </w:t>
      </w:r>
      <w:hyperlink r:id="rId771">
        <w:r>
          <w:rPr>
            <w:color w:val="1155CC"/>
            <w:u w:val="single"/>
          </w:rPr>
          <w:t>[ASAP] Hybrid Perovskites beyond Photovoltaics: Unlocking Multifunctional Energy and Optoelectronic Applications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2025-12-17 18:11:37+00:00</w:t>
      </w:r>
      <w:r>
        <w:t xml:space="preserve">    </w:t>
      </w:r>
      <w:r>
        <w:rPr>
          <w:b/>
        </w:rPr>
        <w:t xml:space="preserve">DOI: </w:t>
      </w:r>
      <w:hyperlink r:id="rId772">
        <w:r>
          <w:rPr>
            <w:color w:val="1155CC"/>
            <w:u w:val="single"/>
          </w:rPr>
          <w:t>10.1021/acsenergylett.5c03409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[471] </w:t>
      </w:r>
      <w:hyperlink r:id="rId773">
        <w:r>
          <w:rPr>
            <w:color w:val="1155CC"/>
            <w:u w:val="single"/>
          </w:rPr>
          <w:t>[ASAP] Convergent Evolution: Self-Assembly of Small Molecule, Polymeric, and Inorganic Contrast Agents toward Advanced MRI</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19:33:22+00:00</w:t>
      </w:r>
      <w:r>
        <w:t xml:space="preserve">    </w:t>
      </w:r>
      <w:r>
        <w:rPr>
          <w:b/>
        </w:rPr>
        <w:t xml:space="preserve">DOI: </w:t>
      </w:r>
      <w:hyperlink r:id="rId774">
        <w:r>
          <w:rPr>
            <w:color w:val="1155CC"/>
            <w:u w:val="single"/>
          </w:rPr>
          <w:t>10.1021/jacs.4c11767</w:t>
        </w:r>
      </w:hyperlink>
    </w:p>
    <w:p>
      <w:pPr>
        <w:spacing w:before="0" w:after="120"/>
      </w:pPr>
      <w:r>
        <w:rPr>
          <w:b/>
        </w:rPr>
        <w:t xml:space="preserve">Notes: </w:t>
      </w:r>
      <w:r>
        <w:t>abstract_source=pubmed</w:t>
      </w:r>
    </w:p>
    <w:p>
      <w:pPr>
        <w:spacing w:before="0" w:after="200" w:lineRule="auto" w:line="276"/>
      </w:pPr>
      <w:r>
        <w:rPr>
          <w:b/>
        </w:rPr>
        <w:t xml:space="preserve">Abstract: </w:t>
      </w:r>
      <w:r>
        <w:t>Magnetic resonance imaging (MRI) is a non-invasive technique providing detailed anatomical, physiological, and molecular information. Contrast agents (CAs), such as gadolinium-based chelates, enhance differentiation between normal and abnormal tissues, highlight blood vessels, and detect tumors, inflammation, or other conditions, to aid clinical diagnostics. Although small-molecule chelate-based CAs have been used clinically for several years, extensive research efforts have been directed toward enhancing CA properties, ranging from boosting their contrast-to-noise ratio to developing responsive agents, through careful design. This perspective examines the convergent (not chronological) evolution of different classes of CAs: small-molecule complexes, polymeric chelates, and inorganic nanoparticles. We outline how research across these types of CAs has led to self-assembled species showcasing superior MRI performance compared to traditional agents. Despite different mechanisms driving the two main MRI CA classes (positive, T1 and negative, T2), similar strategies have been exploited to drive changes in structure, active-species interaction, and modulation of water access. Self-assembled CAs not only demonstrate considerably slower tumbling rates and enhanced water interactions, which mechanistically boost signal, but also generally manifest improved biodistribution, effective passive targeting to tumor sites, and tuneable clearance pathways when utilized as delivery carriers. These agents further exhibit promise for switchable and active in vivo behavior, valuable in clinical diagnostics. However, despite significant advances, translation to clinic remains a bottleneck due to the complex relationship between mechanistic parameters which define MRI and how they ultimately behave in the body. As such, much work remains, and this perspective aims to inspire by demonstrating how the "old generation" of CAs could evolve to address these challenges.</w:t>
      </w:r>
    </w:p>
    <w:p>
      <w:pPr>
        <w:spacing w:before="120" w:after="120"/>
      </w:pPr>
      <w:r>
        <w:rPr>
          <w:sz w:val="18"/>
        </w:rPr>
        <w:t>——————————————————————————————————————————————————————————————————————</w:t>
      </w:r>
    </w:p>
    <w:p>
      <w:pPr>
        <w:spacing w:before="160" w:after="80" w:line="240" w:lineRule="auto"/>
      </w:pPr>
      <w:r>
        <w:rPr>
          <w:b/>
        </w:rPr>
        <w:t xml:space="preserve">[472] </w:t>
      </w:r>
      <w:hyperlink r:id="rId775">
        <w:r>
          <w:rPr>
            <w:color w:val="1155CC"/>
            <w:u w:val="single"/>
          </w:rPr>
          <w:t>[ASAP] Determination of Magnetic Anisotropy Tensors in Actinide Complexes Using Torque Magnetometry: A U(IV) Case Study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19:44:23+00:00</w:t>
      </w:r>
      <w:r>
        <w:t xml:space="preserve">    </w:t>
      </w:r>
      <w:r>
        <w:rPr>
          <w:b/>
        </w:rPr>
        <w:t xml:space="preserve">DOI: </w:t>
      </w:r>
      <w:hyperlink r:id="rId776">
        <w:r>
          <w:rPr>
            <w:color w:val="1155CC"/>
            <w:u w:val="single"/>
          </w:rPr>
          <w:t>10.1021/jacs.5c16992</w:t>
        </w:r>
      </w:hyperlink>
    </w:p>
    <w:p>
      <w:pPr>
        <w:spacing w:before="0" w:after="120"/>
      </w:pPr>
      <w:r>
        <w:rPr>
          <w:b/>
        </w:rPr>
        <w:t xml:space="preserve">Notes: </w:t>
      </w:r>
      <w:r>
        <w:t>abstract_source=pubmed</w:t>
      </w:r>
    </w:p>
    <w:p>
      <w:pPr>
        <w:spacing w:before="0" w:after="200" w:lineRule="auto" w:line="276"/>
      </w:pPr>
      <w:r>
        <w:rPr>
          <w:b/>
        </w:rPr>
        <w:t xml:space="preserve">Abstract: </w:t>
      </w:r>
      <w:r>
        <w:t>In this study, we employed cantilever torque magnetometry to probe the magnetic anisotropy of a single crystal of U(DOTA)(H2O) (DOTA = 1,4,7,10-tetraazacyclododecane-1,4,7,10-tetraacetic acid), representing, to the best of our knowledge, the first application of this technique to an actinide-based molecular system. Combining cantilever torque magnetometry data with ab initio calculations allowed us to determine the magnetic anisotropy tensor of the uranium center. The resulting parameters enabled direct comparison with the isoelectronic lanthanide complex previously reported in the literature as well as with ab initio predictions for the theoretical Es4+ isostructural analogue. We find that the magnetic anisotropy axes of U(DOTA)(H2O) (5f2) closely align with those of the Pr3+ (4f2) and Dy3+ (4f9) analogues and with those predicted for Es(DOTA)(H2O) (5f9). The combination of CTM and electronic structure calculations was essential to describe the weakly paramagnetic, EPR-silent, non-Kramers ground state of U(DOTA)(H2O), despite the added complexity of four noncollinear molecules in the unit cell. Overall, these results demonstrate that cantilever torque magnetometry provides a powerful route to characterize the magnetic anisotropy of actinide complexes and offers a valuable experimental benchmark for validating computational approaches to 5f-element magnetism.</w:t>
      </w:r>
    </w:p>
    <w:p>
      <w:pPr>
        <w:spacing w:before="120" w:after="120"/>
      </w:pPr>
      <w:r>
        <w:rPr>
          <w:sz w:val="18"/>
        </w:rPr>
        <w:t>——————————————————————————————————————————————————————————————————————</w:t>
      </w:r>
    </w:p>
    <w:p>
      <w:pPr>
        <w:spacing w:before="160" w:after="80" w:line="240" w:lineRule="auto"/>
      </w:pPr>
      <w:r>
        <w:rPr>
          <w:b/>
        </w:rPr>
        <w:t xml:space="preserve">[473] </w:t>
      </w:r>
      <w:hyperlink r:id="rId777">
        <w:r>
          <w:rPr>
            <w:color w:val="1155CC"/>
            <w:u w:val="single"/>
          </w:rPr>
          <w:t>[ASAP] Cascade Dearomative Hydride Transfer/Enantioselective Semipinacol Rearrangement of Quinolines by a Chiral Brønsted Acid</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20:40:08+00:00</w:t>
      </w:r>
      <w:r>
        <w:t xml:space="preserve">    </w:t>
      </w:r>
      <w:r>
        <w:rPr>
          <w:b/>
        </w:rPr>
        <w:t xml:space="preserve">DOI: </w:t>
      </w:r>
      <w:hyperlink r:id="rId778">
        <w:r>
          <w:rPr>
            <w:color w:val="1155CC"/>
            <w:u w:val="single"/>
          </w:rPr>
          <w:t>10.1021/jacs.5c19409</w:t>
        </w:r>
      </w:hyperlink>
    </w:p>
    <w:p>
      <w:pPr>
        <w:spacing w:before="0" w:after="120"/>
      </w:pPr>
      <w:r>
        <w:rPr>
          <w:b/>
        </w:rPr>
        <w:t xml:space="preserve">Notes: </w:t>
      </w:r>
      <w:r>
        <w:t>abstract_source=pubmed</w:t>
      </w:r>
    </w:p>
    <w:p>
      <w:pPr>
        <w:spacing w:before="0" w:after="200" w:lineRule="auto" w:line="276"/>
      </w:pPr>
      <w:r>
        <w:rPr>
          <w:b/>
        </w:rPr>
        <w:t xml:space="preserve">Abstract: </w:t>
      </w:r>
      <w:r>
        <w:t>Herein, we report a chiral Brønsted-acid-catalyzed dearomatization of quinolines. The reaction proceeds via dearomative hydride transfer and subsequent enantioselective semipinacol rearrangement. The key to this reaction sequence is to guide the imine intermediate to a rearrangement pathway other than over-reduction. Utilizing a bulky chiral imidodiphosphorimidate catalyst guarantees the desired reactivity. A series of chiral spiro tetrahydroquinoline products is afforded in good yields (up to 93%) and enantioselectivity (up to 93% ee). Detailed mechanistic insights are obtained based on DFT calculations.</w:t>
      </w:r>
    </w:p>
    <w:p>
      <w:pPr>
        <w:spacing w:before="120" w:after="120"/>
      </w:pPr>
      <w:r>
        <w:rPr>
          <w:sz w:val="18"/>
        </w:rPr>
        <w:t>——————————————————————————————————————————————————————————————————————</w:t>
      </w:r>
    </w:p>
    <w:p>
      <w:pPr>
        <w:spacing w:before="160" w:after="80" w:line="240" w:lineRule="auto"/>
      </w:pPr>
      <w:r>
        <w:rPr>
          <w:b/>
        </w:rPr>
        <w:t xml:space="preserve">[474] </w:t>
      </w:r>
      <w:hyperlink r:id="rId779">
        <w:r>
          <w:rPr>
            <w:color w:val="1155CC"/>
            <w:u w:val="single"/>
          </w:rPr>
          <w:t>[ASAP] Asymmetrical Substitution Manipulates Stacking Modes in 2D Conductive MOF Crystals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2025-12-17 20:40:49+00:00</w:t>
      </w:r>
      <w:r>
        <w:t xml:space="preserve">    </w:t>
      </w:r>
      <w:r>
        <w:rPr>
          <w:b/>
        </w:rPr>
        <w:t xml:space="preserve">DOI: </w:t>
      </w:r>
      <w:hyperlink r:id="rId780">
        <w:r>
          <w:rPr>
            <w:color w:val="1155CC"/>
            <w:u w:val="single"/>
          </w:rPr>
          <w:t>10.1021/jacs.5c15827</w:t>
        </w:r>
      </w:hyperlink>
    </w:p>
    <w:p>
      <w:pPr>
        <w:spacing w:before="0" w:after="120"/>
      </w:pPr>
      <w:r>
        <w:rPr>
          <w:b/>
        </w:rPr>
        <w:t xml:space="preserve">Notes: </w:t>
      </w:r>
      <w:r>
        <w:t>abstract_source=pubmed</w:t>
      </w:r>
    </w:p>
    <w:p>
      <w:pPr>
        <w:spacing w:before="0" w:after="200" w:lineRule="auto" w:line="276"/>
      </w:pPr>
      <w:r>
        <w:rPr>
          <w:b/>
        </w:rPr>
        <w:t xml:space="preserve">Abstract: </w:t>
      </w:r>
      <w:r>
        <w:t>The stacking modes in two-dimensional conductive metal-organic frameworks (2D c-MOFs) serve as a pivotal design parameter for precisely controlling charge transport pathways, thereby directly regulating carrier mobility and anisotropic transport. Precise control over the stacking modes of atomically precise single-crystal structures of 2D c-MOFs through the bottom-up synthesis remains a major challenge. The reason lies in the dominant role of coordination bonds during 2D c-MOF synthesis, where the weak van der Waals interactions between ligands are often overridden and fail to be expressed in the final MOF architecture. Moreover, most 2D c-MOFs can only be obtained as nanocrystalline powders, making it difficult to obtain precise structural information. Here, we report a new strategy for achieving controllable stacking and enhanced crystallinity in 2D c-MOFs through the asymmetrical electrostatic potential modulation of ligands. By strategically substituting fluorine atoms into the hexahydroxytriphenylene (HHTP) ligands, we modulated the intrinsic charge distribution, enabling the synthesis of two HHTP derivatives with different packing modes. The c-MOF crystals synthesized through this approach exhibit distinct stacking modes and tunable electrical properties. Through the systematic modulation of ligand stacking configurations, this work elucidates fundamental structure-property correlations in 2D c-MOFs, providing a rational design strategy for tailoring 2D c-MOF materials with optimized performance characteristics.</w:t>
      </w:r>
    </w:p>
    <w:p>
      <w:pPr>
        <w:spacing w:before="120" w:after="120"/>
      </w:pPr>
      <w:r>
        <w:rPr>
          <w:sz w:val="18"/>
        </w:rPr>
        <w:t>——————————————————————————————————————————————————————————————————————</w:t>
      </w:r>
    </w:p>
    <w:p>
      <w:pPr>
        <w:spacing w:before="160" w:after="80" w:line="240" w:lineRule="auto"/>
      </w:pPr>
      <w:r>
        <w:rPr>
          <w:b/>
        </w:rPr>
        <w:t xml:space="preserve">[475] </w:t>
      </w:r>
      <w:hyperlink r:id="rId781">
        <w:r>
          <w:rPr>
            <w:color w:val="1155CC"/>
            <w:u w:val="single"/>
          </w:rPr>
          <w:t>[ASAP] Mechanistic Understanding of Thermal Stability and Safety in Lithium Metal Batteries</w:t>
        </w:r>
      </w:hyperlink>
    </w:p>
    <w:p>
      <w:pPr>
        <w:spacing w:before="0" w:after="120" w:line="240" w:lineRule="auto"/>
      </w:pPr>
      <w:r>
        <w:rPr>
          <w:b/>
        </w:rPr>
        <w:t xml:space="preserve">Source: </w:t>
      </w:r>
      <w:r>
        <w:t>Chemical Reviews: Latest Articles (ACS Publications)</w:t>
      </w:r>
      <w:r>
        <w:t xml:space="preserve">    </w:t>
      </w:r>
      <w:r>
        <w:rPr>
          <w:b/>
        </w:rPr>
        <w:t xml:space="preserve">Pub date: </w:t>
      </w:r>
      <w:r>
        <w:t>2025-12-17 20:41:32+00:00</w:t>
      </w:r>
      <w:r>
        <w:t xml:space="preserve">    </w:t>
      </w:r>
      <w:r>
        <w:rPr>
          <w:b/>
        </w:rPr>
        <w:t xml:space="preserve">DOI: </w:t>
      </w:r>
      <w:hyperlink r:id="rId782">
        <w:r>
          <w:rPr>
            <w:color w:val="1155CC"/>
            <w:u w:val="single"/>
          </w:rPr>
          <w:t>10.1021/acs.chemrev.5c00621</w:t>
        </w:r>
      </w:hyperlink>
    </w:p>
    <w:p>
      <w:pPr>
        <w:spacing w:before="0" w:after="120"/>
      </w:pPr>
      <w:r>
        <w:rPr>
          <w:b/>
        </w:rPr>
        <w:t xml:space="preserve">Notes: </w:t>
      </w:r>
      <w:r>
        <w:t>abstract_source=pubmed</w:t>
      </w:r>
    </w:p>
    <w:p>
      <w:pPr>
        <w:spacing w:before="0" w:after="200" w:lineRule="auto" w:line="276"/>
      </w:pPr>
      <w:r>
        <w:rPr>
          <w:b/>
        </w:rPr>
        <w:t xml:space="preserve">Abstract: </w:t>
      </w:r>
      <w:r>
        <w:t>As lithium-ion batteries approach their theoretical capacity limits, lithium metal batteries (LMBs) have emerged as promising candidates for next-generation energy storage, offering substantially higher energy densities. However, their practical deployment remains limited by several interrelated challenges including lithium dendrite growth, parasitic side reactions, unstable solid electrolyte interphases (SEI), and poor cycling stability. While recent advances in electrolyte design, anode architecture, and interfacial engineering have significantly improved electrochemical performance, the thermal stability and safety of LMBs, particularly at the interface and electrode levels, still require extensive investigation. This review provides a comprehensive mechanistic analysis of thermal instability in LMBs, spanning material degradation, interfacial decomposition, and cell-level thermal behavior. We critically examine the roles of lithium metal, liquid- and solid-state electrolytes, and diverse cathode chemistries (e.g., layered oxides, sulfur) in triggering exothermic reaction pathways, gas evolution, and thermal runaway. The complex coupling among electrode-electrolyte interactions, interphase chemistry, electrochemo-mechanics, morphological evolution, and thermal instability across emerging LMB chemistries is highlighted. By identifying dominant thermal instability mechanisms and key knowledge gaps, this review establishes a mechanistic foundation for designing thermally resilient LMBs and outlines future directions for advancing safety in high-energy battery systems.</w:t>
      </w:r>
    </w:p>
    <w:p>
      <w:pPr>
        <w:spacing w:before="120" w:after="120"/>
      </w:pPr>
      <w:r>
        <w:rPr>
          <w:sz w:val="18"/>
        </w:rPr>
        <w:t>——————————————————————————————————————————————————————————————————————</w:t>
      </w:r>
    </w:p>
    <w:p>
      <w:pPr>
        <w:spacing w:before="160" w:after="80" w:line="240" w:lineRule="auto"/>
      </w:pPr>
      <w:r>
        <w:rPr>
          <w:b/>
        </w:rPr>
        <w:t xml:space="preserve">[476] </w:t>
      </w:r>
      <w:hyperlink r:id="rId783">
        <w:r>
          <w:rPr>
            <w:color w:val="1155CC"/>
            <w:u w:val="single"/>
          </w:rPr>
          <w:t>Combining water and carbon footprint</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[477] </w:t>
      </w:r>
      <w:hyperlink r:id="rId784">
        <w:r>
          <w:rPr>
            <w:color w:val="1155CC"/>
            <w:u w:val="single"/>
          </w:rPr>
          <w:t>Haptic feedback that rings true</w:t>
        </w:r>
      </w:hyperlink>
    </w:p>
    <w:p>
      <w:pPr>
        <w:spacing w:before="0" w:after="120" w:line="240" w:lineRule="auto"/>
      </w:pPr>
      <w:r>
        <w:rPr>
          <w:b/>
        </w:rPr>
        <w:t xml:space="preserve">Source: </w:t>
      </w:r>
      <w:r>
        <w:t>Nature Electronics</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[478] </w:t>
      </w:r>
      <w:hyperlink r:id="rId785">
        <w:r>
          <w:rPr>
            <w:color w:val="1155CC"/>
            <w:u w:val="single"/>
          </w:rPr>
          <w:t>An 18-g haptic feedback ring with a three-axis force-sensing skin</w:t>
        </w:r>
      </w:hyperlink>
    </w:p>
    <w:p>
      <w:pPr>
        <w:spacing w:before="0" w:after="120" w:line="240" w:lineRule="auto"/>
      </w:pPr>
      <w:r>
        <w:rPr>
          <w:b/>
        </w:rPr>
        <w:t xml:space="preserve">Source: </w:t>
      </w:r>
      <w:r>
        <w:t>Nature Electronics</w:t>
      </w:r>
      <w:r>
        <w:t xml:space="preserve">    </w:t>
      </w:r>
      <w:r>
        <w:rPr>
          <w:b/>
        </w:rPr>
        <w:t xml:space="preserve">Pub date: </w:t>
      </w:r>
      <w:r>
        <w:t>2025-12-18 00:00:00+00:00</w:t>
      </w:r>
    </w:p>
    <w:p>
      <w:pPr>
        <w:spacing w:before="0" w:after="120"/>
      </w:pPr>
      <w:r>
        <w:rPr>
          <w:b/>
        </w:rPr>
        <w:t xml:space="preserve">Notes: </w:t>
      </w:r>
      <w:r>
        <w:t>abstract_source=nature_html</w:t>
      </w:r>
    </w:p>
    <w:p>
      <w:pPr>
        <w:spacing w:before="0" w:after="200" w:lineRule="auto" w:line="276"/>
      </w:pPr>
      <w:r>
        <w:rPr>
          <w:b/>
        </w:rPr>
        <w:t xml:space="preserve">Abstract: </w:t>
      </w:r>
      <w:r>
        <w:t>Wearable human–machine interfaces could provide immersive, multisensory interactions, turning everyday items into smart haptic devices for virtual and augmented reality. However, the development of tactile wearables with kinaesthetic feedback remains limited by the size and weight of the devices, which restricts portability and comfort. Here we report a haptic ring that weighs 18 g and offers three-degrees-of-freedom force sensing and feedback. The system has an origami-inspired structural base that provides efficient and compact force transmission, and a soft force-sensing skin capable of simultaneously detecting shear and normal forces. The force-sensing skin is made by combining a topology-optimized, laser-patterned layer that has pyramid microstructures with a layer with four resistive pixels, an approach that ensures linear sensitivity and a rapid response time. The ring, which is powered by soft pneumatic actuators and integrated with inkjet-printed bending sensors, can provide kinaesthetic force feedback of up to 6.5 N.</w:t>
      </w:r>
    </w:p>
    <w:p>
      <w:pPr>
        <w:spacing w:before="120" w:after="120"/>
      </w:pPr>
      <w:r>
        <w:rPr>
          <w:sz w:val="18"/>
        </w:rPr>
        <w:t>——————————————————————————————————————————————————————————————————————</w:t>
      </w:r>
    </w:p>
    <w:p>
      <w:pPr>
        <w:spacing w:before="160" w:after="80" w:line="240" w:lineRule="auto"/>
      </w:pPr>
      <w:r>
        <w:rPr>
          <w:b/>
        </w:rPr>
        <w:t xml:space="preserve">[479] </w:t>
      </w:r>
      <w:hyperlink r:id="rId786">
        <w:r>
          <w:rPr>
            <w:color w:val="1155CC"/>
            <w:u w:val="single"/>
          </w:rPr>
          <w:t>Rethinking education</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[480] </w:t>
      </w:r>
      <w:hyperlink r:id="rId787">
        <w:r>
          <w:rPr>
            <w:color w:val="1155CC"/>
            <w:u w:val="single"/>
          </w:rPr>
          <w:t>Clean energy straight from space</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[481] </w:t>
      </w:r>
      <w:hyperlink r:id="rId788">
        <w:r>
          <w:rPr>
            <w:color w:val="1155CC"/>
            <w:u w:val="single"/>
          </w:rPr>
          <w:t>3D printing of organogel solar evaporators</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[482] </w:t>
      </w:r>
      <w:hyperlink r:id="rId789">
        <w:r>
          <w:rPr>
            <w:color w:val="1155CC"/>
            <w:u w:val="single"/>
          </w:rPr>
          <w:t>Carbon conflicts in ocean fisheries</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[483] </w:t>
      </w:r>
      <w:hyperlink r:id="rId790">
        <w:r>
          <w:rPr>
            <w:color w:val="1155CC"/>
            <w:u w:val="single"/>
          </w:rPr>
          <w:t>From solvation shells to power cells</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[484] </w:t>
      </w:r>
      <w:hyperlink r:id="rId791">
        <w:r>
          <w:rPr>
            <w:color w:val="1155CC"/>
            <w:u w:val="single"/>
          </w:rPr>
          <w:t>Lightweight luffa-like membranes</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[485] </w:t>
      </w:r>
      <w:hyperlink r:id="rId792">
        <w:r>
          <w:rPr>
            <w:color w:val="1155CC"/>
            <w:u w:val="single"/>
          </w:rPr>
          <w:t>Enzymes can multitask</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[486] </w:t>
      </w:r>
      <w:hyperlink r:id="rId793">
        <w:r>
          <w:rPr>
            <w:color w:val="1155CC"/>
            <w:u w:val="single"/>
          </w:rPr>
          <w:t>Electrolyte-driven cathode catalysis chemistry in sodium–chlorine batteries</w:t>
        </w:r>
      </w:hyperlink>
    </w:p>
    <w:p>
      <w:pPr>
        <w:spacing w:before="0" w:after="120" w:line="240" w:lineRule="auto"/>
      </w:pPr>
      <w:r>
        <w:rPr>
          <w:b/>
        </w:rPr>
        <w:t xml:space="preserve">Source: </w:t>
      </w:r>
      <w:r>
        <w:t>National Science Review Advance Access</w:t>
      </w:r>
      <w:r>
        <w:t xml:space="preserve">    </w:t>
      </w:r>
      <w:r>
        <w:rPr>
          <w:b/>
        </w:rPr>
        <w:t xml:space="preserve">Pub date: </w:t>
      </w:r>
      <w:r>
        <w:t>2025-12-18 00:00:00+00:00</w:t>
      </w:r>
      <w:r>
        <w:t xml:space="preserve">    </w:t>
      </w:r>
      <w:r>
        <w:rPr>
          <w:b/>
        </w:rPr>
        <w:t xml:space="preserve">DOI: </w:t>
      </w:r>
      <w:hyperlink r:id="rId794">
        <w:r>
          <w:rPr>
            <w:color w:val="1155CC"/>
            <w:u w:val="single"/>
          </w:rPr>
          <w:t>10.1093/nsr/nwaf579/8383420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[487] </w:t>
      </w:r>
      <w:hyperlink r:id="rId795">
        <w:r>
          <w:rPr>
            <w:color w:val="1155CC"/>
            <w:u w:val="single"/>
          </w:rPr>
          <w:t>New shifts in olefin production</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[488] </w:t>
      </w:r>
      <w:hyperlink r:id="rId796">
        <w:r>
          <w:rPr>
            <w:color w:val="1155CC"/>
            <w:u w:val="single"/>
          </w:rPr>
          <w:t>Casting pathways for net zero</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[489] </w:t>
      </w:r>
      <w:hyperlink r:id="rId797">
        <w:r>
          <w:rPr>
            <w:color w:val="1155CC"/>
            <w:u w:val="single"/>
          </w:rPr>
          <w:t>A century-old reaction finds its rhythm</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[490] </w:t>
      </w:r>
      <w:hyperlink r:id="rId798">
        <w:r>
          <w:rPr>
            <w:color w:val="1155CC"/>
            <w:u w:val="single"/>
          </w:rPr>
          <w:t>Take it past the limit</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[491] </w:t>
      </w:r>
      <w:hyperlink r:id="rId799">
        <w:r>
          <w:rPr>
            <w:color w:val="1155CC"/>
            <w:u w:val="single"/>
          </w:rPr>
          <w:t>The next era of Fischer−Tropsch technology</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[492] </w:t>
      </w:r>
      <w:hyperlink r:id="rId800">
        <w:r>
          <w:rPr>
            <w:color w:val="1155CC"/>
            <w:u w:val="single"/>
          </w:rPr>
          <w:t>Chromium-activated phosphors: from theory to applications</w:t>
        </w:r>
      </w:hyperlink>
    </w:p>
    <w:p>
      <w:pPr>
        <w:spacing w:before="0" w:after="120" w:line="240" w:lineRule="auto"/>
      </w:pPr>
      <w:r>
        <w:rPr>
          <w:b/>
        </w:rPr>
        <w:t xml:space="preserve">Source: </w:t>
      </w:r>
      <w:r>
        <w:t>RSC - Chem. Soc. Rev. latest articles</w:t>
      </w:r>
      <w:r>
        <w:t xml:space="preserve">    </w:t>
      </w:r>
      <w:r>
        <w:rPr>
          <w:b/>
        </w:rPr>
        <w:t xml:space="preserve">Pub date: </w:t>
      </w:r>
      <w:r>
        <w:t>2025-12-18 00:00:00+00:00</w:t>
      </w:r>
    </w:p>
    <w:p>
      <w:pPr>
        <w:spacing w:before="0" w:after="120"/>
      </w:pPr>
      <w:r>
        <w:rPr>
          <w:b/>
        </w:rPr>
        <w:t xml:space="preserve">Notes: </w:t>
      </w:r>
      <w:r>
        <w:t>abstract_source=rsc_html</w:t>
      </w:r>
    </w:p>
    <w:p>
      <w:pPr>
        <w:spacing w:before="0" w:after="200" w:lineRule="auto" w:line="276"/>
      </w:pPr>
      <w:r>
        <w:rPr>
          <w:b/>
        </w:rPr>
        <w:t xml:space="preserve">Abstract: </w:t>
      </w:r>
      <w:r>
        <w:t>The development of chromium-activated phosphors is essential for applications such as near-infrared (NIR) lighting and in vivo bioimaging. The intra-configurational transition within the 3d orbital of chromium ions, which is susceptible to the surrounding crystal environment, leads to remarkable luminescence tunability from the NIR-I to NIR-II regions. The striking NIR luminescence property makes chromium-activated phosphors a versatile material platform for fundamental optical studies and practical device applications. This review comprehensively summarizes the recent developments in chromium-activated phosphors, encompassing the phenomenological crystal field theories, design principles, materials preparation methodologies, and emerging applications. We delve into the correlation between the local coordination environment (e.g., the geometrical structure of polyhedra, nephelauxetic effect, and interaction coupling) and optical properties (e.g., spectral profile, quantum efficiency, luminescence thermal stability, as well as persistent luminescence and mechanoluminescence), aiming to provide a theoretical basis and experimental guidance for further refinement of chromium-activated phosphors. We also discuss future opportunities and challenges of chromium-activated phosphors, such as extended optical tuning by controlling crystal size and energy level coupling.</w:t>
      </w:r>
    </w:p>
    <w:p>
      <w:pPr>
        <w:spacing w:before="120" w:after="120"/>
      </w:pPr>
      <w:r>
        <w:rPr>
          <w:sz w:val="18"/>
        </w:rPr>
        <w:t>——————————————————————————————————————————————————————————————————————</w:t>
      </w:r>
    </w:p>
    <w:p>
      <w:pPr>
        <w:spacing w:before="160" w:after="80" w:line="240" w:lineRule="auto"/>
      </w:pPr>
      <w:r>
        <w:rPr>
          <w:b/>
        </w:rPr>
        <w:t xml:space="preserve">[493] </w:t>
      </w:r>
      <w:hyperlink r:id="rId801">
        <w:r>
          <w:rPr>
            <w:color w:val="1155CC"/>
            <w:u w:val="single"/>
          </w:rPr>
          <w:t>Enhanced εr/LD and improved acceptor crystal growth enable all-polymer solar cells with outstanding efficiency, stability, and processability from a chlorinated-dimer diluent additive</w:t>
        </w:r>
      </w:hyperlink>
    </w:p>
    <w:p>
      <w:pPr>
        <w:spacing w:before="0" w:after="120" w:line="240" w:lineRule="auto"/>
      </w:pPr>
      <w:r>
        <w:rPr>
          <w:b/>
        </w:rPr>
        <w:t xml:space="preserve">Source: </w:t>
      </w:r>
      <w:r>
        <w:t>RSC - Energy Environ. Sci. latest articles</w:t>
      </w:r>
      <w:r>
        <w:t xml:space="preserve">    </w:t>
      </w:r>
      <w:r>
        <w:rPr>
          <w:b/>
        </w:rPr>
        <w:t xml:space="preserve">Pub date: </w:t>
      </w:r>
      <w:r>
        <w:t>2025-12-18 00:00:00+00:00</w:t>
      </w:r>
    </w:p>
    <w:p>
      <w:pPr>
        <w:spacing w:before="0" w:after="120"/>
      </w:pPr>
      <w:r>
        <w:rPr>
          <w:b/>
        </w:rPr>
        <w:t xml:space="preserve">Notes: </w:t>
      </w:r>
      <w:r>
        <w:t>abstract_source=rsc_html</w:t>
      </w:r>
    </w:p>
    <w:p>
      <w:pPr>
        <w:spacing w:before="0" w:after="200" w:lineRule="auto" w:line="276"/>
      </w:pPr>
      <w:r>
        <w:rPr>
          <w:b/>
        </w:rPr>
        <w:t xml:space="preserve">Abstract: </w:t>
      </w:r>
      <w:r>
        <w:t>Controlling morphological evolution during film formation is crucial for simultaneously achieving high power conversion efficiency (PCE) and solution processability in all-polymer solar cells (all-PSCs). However, the intrinsically strong intermolecular interactions and chain entanglements of polymeric materials present persistent challenges to achieving an ideal blend microstructure. Here, we introduce a chlorinated dimer acceptor, D-SeV-Cl, as a 5 wt% diluent additive in the PM6:PYT all-polymer system. Benefiting from favorable interactions with PYT, D-SeV-Cl induces a finely intermixed phase and promotes PYT crystallization, thereby enhancing the dielectric constant, extending exciton diffusion length, and suppressing trap-state density. Blade-coated devices deliver over 20% PCE for green solvent (toluene) with concurrent gains in charge management, alongside outstanding thermal- and photo-stability. The dimer-diluent strategy also broadens the processing window, sustaining PCEs above 19% across varied coating speeds (~1.0-30.0 m min-1) and achieving approximately 17% in large-area (15.40 cm2) modules. These results establish a scalable route to high-performance all-PSCs with excellent efficiency, stability, and processability.</w:t>
      </w:r>
    </w:p>
    <w:p>
      <w:pPr>
        <w:spacing w:before="120" w:after="120"/>
      </w:pPr>
      <w:r>
        <w:rPr>
          <w:sz w:val="18"/>
        </w:rPr>
        <w:t>——————————————————————————————————————————————————————————————————————</w:t>
      </w:r>
    </w:p>
    <w:p>
      <w:pPr>
        <w:spacing w:before="160" w:after="80" w:line="240" w:lineRule="auto"/>
      </w:pPr>
      <w:r>
        <w:rPr>
          <w:b/>
        </w:rPr>
        <w:t xml:space="preserve">[494] </w:t>
      </w:r>
      <w:hyperlink r:id="rId802">
        <w:r>
          <w:rPr>
            <w:color w:val="1155CC"/>
            <w:u w:val="single"/>
          </w:rPr>
          <w:t>Carbon-efficient synthesis</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[495] </w:t>
      </w:r>
      <w:hyperlink r:id="rId803">
        <w:r>
          <w:rPr>
            <w:color w:val="1155CC"/>
            <w:u w:val="single"/>
          </w:rPr>
          <w:t>Bienzyme-powered nanorobots with ultrasensitive chemotaxis for precision cancer therapy</w:t>
        </w:r>
      </w:hyperlink>
    </w:p>
    <w:p>
      <w:pPr>
        <w:spacing w:before="0" w:after="120" w:line="240" w:lineRule="auto"/>
      </w:pPr>
      <w:r>
        <w:rPr>
          <w:b/>
        </w:rPr>
        <w:t xml:space="preserve">Source: </w:t>
      </w:r>
      <w:r>
        <w:t>National Science Review Advance Access</w:t>
      </w:r>
      <w:r>
        <w:t xml:space="preserve">    </w:t>
      </w:r>
      <w:r>
        <w:rPr>
          <w:b/>
        </w:rPr>
        <w:t xml:space="preserve">Pub date: </w:t>
      </w:r>
      <w:r>
        <w:t>2025-12-18 00:00:00+00:00</w:t>
      </w:r>
      <w:r>
        <w:t xml:space="preserve">    </w:t>
      </w:r>
      <w:r>
        <w:rPr>
          <w:b/>
        </w:rPr>
        <w:t xml:space="preserve">DOI: </w:t>
      </w:r>
      <w:hyperlink r:id="rId804">
        <w:r>
          <w:rPr>
            <w:color w:val="1155CC"/>
            <w:u w:val="single"/>
          </w:rPr>
          <w:t>10.1093/nsr/nwaf580/8383424</w:t>
        </w:r>
      </w:hyperlink>
    </w:p>
    <w:p>
      <w:pPr>
        <w:spacing w:before="0" w:after="120"/>
      </w:pPr>
      <w:r>
        <w:rPr>
          <w:b/>
        </w:rPr>
        <w:t xml:space="preserve">Notes: </w:t>
      </w:r>
      <w:r>
        <w:t>abstract_source=rss_oup</w:t>
      </w:r>
    </w:p>
    <w:p>
      <w:pPr>
        <w:spacing w:before="0" w:after="200" w:lineRule="auto" w:line="276"/>
      </w:pPr>
      <w:r>
        <w:rPr>
          <w:b/>
        </w:rPr>
        <w:t xml:space="preserve">Abstract: </w:t>
      </w:r>
      <w:r>
        <w:t>Low tumor-targeting delivery efficiency (Ɛ</w:t>
      </w:r>
    </w:p>
    <w:p>
      <w:pPr>
        <w:spacing w:before="120" w:after="120"/>
      </w:pPr>
      <w:r>
        <w:rPr>
          <w:sz w:val="18"/>
        </w:rPr>
        <w:t>——————————————————————————————————————————————————————————————————————</w:t>
      </w:r>
    </w:p>
    <w:p>
      <w:pPr>
        <w:spacing w:before="160" w:after="80" w:line="240" w:lineRule="auto"/>
      </w:pPr>
      <w:r>
        <w:rPr>
          <w:b/>
        </w:rPr>
        <w:t xml:space="preserve">[496] </w:t>
      </w:r>
      <w:hyperlink r:id="rId805">
        <w:r>
          <w:rPr>
            <w:color w:val="1155CC"/>
            <w:u w:val="single"/>
          </w:rPr>
          <w:t>Hot spot: plants use infrared signals to say they’re ready to reproduce</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[497] </w:t>
      </w:r>
      <w:hyperlink r:id="rId806">
        <w:r>
          <w:rPr>
            <w:color w:val="1155CC"/>
            <w:u w:val="single"/>
          </w:rPr>
          <w:t>An enzymatic match made in high dimension</w:t>
        </w:r>
      </w:hyperlink>
    </w:p>
    <w:p>
      <w:pPr>
        <w:spacing w:before="0" w:after="120" w:line="240" w:lineRule="auto"/>
      </w:pPr>
      <w:r>
        <w:rPr>
          <w:b/>
        </w:rPr>
        <w:t xml:space="preserve">Source: </w:t>
      </w:r>
      <w:r>
        <w:t>Nature Chemical Engineering</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[498] </w:t>
      </w:r>
      <w:hyperlink r:id="rId807">
        <w:r>
          <w:rPr>
            <w:color w:val="1155CC"/>
            <w:u w:val="single"/>
          </w:rPr>
          <w:t>Publisher Correction: Covalent targeted radioligands potentiate radionuclide therapy</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[499] </w:t>
      </w:r>
      <w:hyperlink r:id="rId808">
        <w:r>
          <w:rPr>
            <w:color w:val="1155CC"/>
            <w:u w:val="single"/>
          </w:rPr>
          <w:t>Tigers and people</w:t>
        </w:r>
      </w:hyperlink>
    </w:p>
    <w:p>
      <w:pPr>
        <w:spacing w:before="0" w:after="120" w:line="240" w:lineRule="auto"/>
      </w:pPr>
      <w:r>
        <w:rPr>
          <w:b/>
        </w:rPr>
        <w:t xml:space="preserve">Source: </w:t>
      </w:r>
      <w:r>
        <w:t>Nature Sustainability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[500] </w:t>
      </w:r>
      <w:hyperlink r:id="rId809">
        <w:r>
          <w:rPr>
            <w:color w:val="1155CC"/>
            <w:u w:val="single"/>
          </w:rPr>
          <w:t>Author Correction: Exploring the space of self-reproducing ribozymes using generative models</w:t>
        </w:r>
      </w:hyperlink>
    </w:p>
    <w:p>
      <w:pPr>
        <w:spacing w:before="0" w:after="120" w:line="240" w:lineRule="auto"/>
      </w:pPr>
      <w:r>
        <w:rPr>
          <w:b/>
        </w:rPr>
        <w:t xml:space="preserve">Source: </w:t>
      </w:r>
      <w:r>
        <w:t>Nature Communications</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[501] </w:t>
      </w:r>
      <w:hyperlink r:id="rId810">
        <w:r>
          <w:rPr>
            <w:color w:val="1155CC"/>
            <w:u w:val="single"/>
          </w:rPr>
          <w:t>The blackjack of ice</w:t>
        </w:r>
      </w:hyperlink>
    </w:p>
    <w:p>
      <w:pPr>
        <w:spacing w:before="0" w:after="120" w:line="240" w:lineRule="auto"/>
      </w:pPr>
      <w:r>
        <w:rPr>
          <w:b/>
        </w:rPr>
        <w:t xml:space="preserve">Source: </w:t>
      </w:r>
      <w:r>
        <w:t>Nature Materials</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[502] </w:t>
      </w:r>
      <w:hyperlink r:id="rId811">
        <w:r>
          <w:rPr>
            <w:color w:val="1155CC"/>
            <w:u w:val="single"/>
          </w:rPr>
          <w:t>Ethanol vs. gasoline: conventional policies and the slow uptake</w:t>
        </w:r>
      </w:hyperlink>
    </w:p>
    <w:p>
      <w:pPr>
        <w:spacing w:before="0" w:after="120" w:line="240" w:lineRule="auto"/>
      </w:pPr>
      <w:r>
        <w:rPr>
          <w:b/>
        </w:rPr>
        <w:t xml:space="preserve">Source: </w:t>
      </w:r>
      <w:r>
        <w:t>ScienceDirect Publication: Energy Policy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[503] </w:t>
      </w:r>
      <w:hyperlink r:id="rId812">
        <w:r>
          <w:rPr>
            <w:color w:val="1155CC"/>
            <w:u w:val="single"/>
          </w:rPr>
          <w:t>Genetic and dietary determinants of gut microbiome-bile acid interactions in the BXD genetic reference population</w:t>
        </w:r>
      </w:hyperlink>
    </w:p>
    <w:p>
      <w:pPr>
        <w:spacing w:before="0" w:after="120" w:line="240" w:lineRule="auto"/>
      </w:pPr>
      <w:r>
        <w:rPr>
          <w:b/>
        </w:rPr>
        <w:t xml:space="preserve">Source: </w:t>
      </w:r>
      <w:r>
        <w:t>Nature Communications</w:t>
      </w:r>
      <w:r>
        <w:t xml:space="preserve">    </w:t>
      </w:r>
      <w:r>
        <w:rPr>
          <w:b/>
        </w:rPr>
        <w:t xml:space="preserve">Pub date: </w:t>
      </w:r>
      <w:r>
        <w:t>2025-12-18 00:00:00+00:00</w:t>
      </w:r>
    </w:p>
    <w:p>
      <w:pPr>
        <w:spacing w:before="0" w:after="120"/>
      </w:pPr>
      <w:r>
        <w:rPr>
          <w:b/>
        </w:rPr>
        <w:t xml:space="preserve">Notes: </w:t>
      </w:r>
      <w:r>
        <w:t>abstract_source=nature_html</w:t>
      </w:r>
    </w:p>
    <w:p>
      <w:pPr>
        <w:spacing w:before="0" w:after="200" w:lineRule="auto" w:line="276"/>
      </w:pPr>
      <w:r>
        <w:rPr>
          <w:b/>
        </w:rPr>
        <w:t xml:space="preserve">Abstract: </w:t>
      </w:r>
      <w:r>
        <w:t>The gut microbiome is crucial in regulating overall physiology and communicates with the host through various microbial-derived metabolites, including secondary bile acids (BAs). However, mechanisms underlying the gut microbiome-BA crosstalk (gMxB) are still poorly understood. Here, we assess the postprandial cecal microbiome, BA levels, and colon transcriptome of male BXD mice fed with a chow or high-fat diet, and find that genetic and dietary factors shift microbiome composition and affect gMxB. Four diet-dependent co-mapping genetic loci associated with gMxB, including the interaction between Turicibacter sanguinis - plasma cholic acid, are identified using systems genetics approaches. By integrating human MiBioGen database, we prioritize PTGR1 and PTPRD as candidate genes potentially regulating identified gMxB. The human relevance of these candidates on metabolic health is investigated using data from the UK biobank, FinnGen, and million veteran program databases. Overall, this study illustrates potential modulators regulating gMxB and provides insights into gut microbiome-host communication.</w:t>
      </w:r>
    </w:p>
    <w:p>
      <w:pPr>
        <w:spacing w:before="120" w:after="120"/>
      </w:pPr>
      <w:r>
        <w:rPr>
          <w:sz w:val="18"/>
        </w:rPr>
        <w:t>——————————————————————————————————————————————————————————————————————</w:t>
      </w:r>
    </w:p>
    <w:p>
      <w:pPr>
        <w:spacing w:before="160" w:after="80" w:line="240" w:lineRule="auto"/>
      </w:pPr>
      <w:r>
        <w:rPr>
          <w:b/>
        </w:rPr>
        <w:t xml:space="preserve">[504] </w:t>
      </w:r>
      <w:hyperlink r:id="rId813">
        <w:r>
          <w:rPr>
            <w:color w:val="1155CC"/>
            <w:u w:val="single"/>
          </w:rPr>
          <w:t>Real-space observation of flat-band ultrastrong coupling between optical phonons and surface plasmon polaritons</w:t>
        </w:r>
      </w:hyperlink>
    </w:p>
    <w:p>
      <w:pPr>
        <w:spacing w:before="0" w:after="120" w:line="240" w:lineRule="auto"/>
      </w:pPr>
      <w:r>
        <w:rPr>
          <w:b/>
        </w:rPr>
        <w:t xml:space="preserve">Source: </w:t>
      </w:r>
      <w:r>
        <w:t>Nature Materials</w:t>
      </w:r>
      <w:r>
        <w:t xml:space="preserve">    </w:t>
      </w:r>
      <w:r>
        <w:rPr>
          <w:b/>
        </w:rPr>
        <w:t xml:space="preserve">Pub date: </w:t>
      </w:r>
      <w:r>
        <w:t>2025-12-18 00:00:00+00:00</w:t>
      </w:r>
    </w:p>
    <w:p>
      <w:pPr>
        <w:spacing w:before="0" w:after="120"/>
      </w:pPr>
      <w:r>
        <w:rPr>
          <w:b/>
        </w:rPr>
        <w:t xml:space="preserve">Notes: </w:t>
      </w:r>
      <w:r>
        <w:t>abstract_source=nature_html</w:t>
      </w:r>
    </w:p>
    <w:p>
      <w:pPr>
        <w:spacing w:before="0" w:after="200" w:lineRule="auto" w:line="276"/>
      </w:pPr>
      <w:r>
        <w:rPr>
          <w:b/>
        </w:rPr>
        <w:t xml:space="preserve">Abstract: </w:t>
      </w:r>
      <w:r>
        <w:t>Strong and ultrastrong coupling are pivotal phenomena in science and technology, where light–matter hybridization opens new avenues for manipulating quantum states, material properties or chemical reactions. Here we use pump–probe nanospectroscopy for real-space mapping of vibrational ultrastrong coupling between optical phonons in a thin SiC layer and surface plasmon polaritons in a semiconductor (InAs) substrate. By adjusting the InAs carrier density through photoexcitation, we align the flat dispersion limit of the surface plasmon polaritons to the SiC transverse optical phonon, yielding hybridized modes in an intriguingly wide wavevector range. This flat-band ultrastrong coupling contrasts conventional ultrastrong coupling, where hybridization typically occurs in a narrow wavevector range. We further predict flat-band coupling for weak oscillators, illustrated by strong coupling of molecular vibrations with low-loss surface phonon polaritons at their dispersion limit. Achieving strong and ultrastrong coupling over a large wavevector range, and thus many hybrid modes, may benefit polariton chemistry and phase transitions induced by strong and ultrastrong coupling.</w:t>
      </w:r>
    </w:p>
    <w:p>
      <w:pPr>
        <w:spacing w:before="120" w:after="120"/>
      </w:pPr>
      <w:r>
        <w:rPr>
          <w:sz w:val="18"/>
        </w:rPr>
        <w:t>——————————————————————————————————————————————————————————————————————</w:t>
      </w:r>
    </w:p>
    <w:p>
      <w:pPr>
        <w:spacing w:before="160" w:after="80" w:line="240" w:lineRule="auto"/>
      </w:pPr>
      <w:r>
        <w:rPr>
          <w:b/>
        </w:rPr>
        <w:t xml:space="preserve">[505] </w:t>
      </w:r>
      <w:hyperlink r:id="rId814">
        <w:r>
          <w:rPr>
            <w:color w:val="1155CC"/>
            <w:u w:val="single"/>
          </w:rPr>
          <w:t>Interregional transmission can increase reliability while reducing costs and emissions in the US</w:t>
        </w:r>
      </w:hyperlink>
    </w:p>
    <w:p>
      <w:pPr>
        <w:spacing w:before="0" w:after="120" w:line="240" w:lineRule="auto"/>
      </w:pPr>
      <w:r>
        <w:rPr>
          <w:b/>
        </w:rPr>
        <w:t xml:space="preserve">Source: </w:t>
      </w:r>
      <w:r>
        <w:t>Nature Energy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[506] </w:t>
      </w:r>
      <w:hyperlink r:id="rId815">
        <w:r>
          <w:rPr>
            <w:color w:val="1155CC"/>
            <w:u w:val="single"/>
          </w:rPr>
          <w:t>Lactate mitochondrial oxidation drives stemness potential in metastatic breast cancer</w:t>
        </w:r>
      </w:hyperlink>
    </w:p>
    <w:p>
      <w:pPr>
        <w:spacing w:before="0" w:after="120" w:line="240" w:lineRule="auto"/>
      </w:pPr>
      <w:r>
        <w:rPr>
          <w:b/>
        </w:rPr>
        <w:t xml:space="preserve">Source: </w:t>
      </w:r>
      <w:r>
        <w:t>Nature Communications</w:t>
      </w:r>
      <w:r>
        <w:t xml:space="preserve">    </w:t>
      </w:r>
      <w:r>
        <w:rPr>
          <w:b/>
        </w:rPr>
        <w:t xml:space="preserve">Pub date: </w:t>
      </w:r>
      <w:r>
        <w:t>2025-12-18 00:00:00+00:00</w:t>
      </w:r>
    </w:p>
    <w:p>
      <w:pPr>
        <w:spacing w:before="0" w:after="120"/>
      </w:pPr>
      <w:r>
        <w:rPr>
          <w:b/>
        </w:rPr>
        <w:t xml:space="preserve">Notes: </w:t>
      </w:r>
      <w:r>
        <w:t>abstract_source=nature_html</w:t>
      </w:r>
    </w:p>
    <w:p>
      <w:pPr>
        <w:spacing w:before="0" w:after="200" w:lineRule="auto" w:line="276"/>
      </w:pPr>
      <w:r>
        <w:rPr>
          <w:b/>
        </w:rPr>
        <w:t xml:space="preserve">Abstract: </w:t>
      </w:r>
      <w:r>
        <w:t>Metastatic cancer cells, originating from cancer stem cells with metastatic capacity, utilize nutrient flexibility to navigate the challenges of the metastatic cascade. However, the nutrient required to maintain the stemness potentials of metastatic cancer cells remains unclear. Here, we reveal that metastatic breast cancer cells sustain stemness and initiate metastasis upon detachment by taking up and oxidizing lactate. In detached metastasizing breast cancer cells, lactate is incorporated into the tricarboxylic acid cycle, boosting oxidative phosphorylation, and promoting the stemness potentials via α-KG-DNMT3B-mediated SOX2 hypomethylation. Moreover, lactate is taken up and oxidized in mitochondria by the CD147/MCT1/LDHB complex, which correlates with stemness potentials and tumor metastasis in patients with breast cancer. An intracellularly expressed single-chain variable fragment targeting mitochondrial CD147 (mito-CD147 scFv) effectively disrupts the mitochondrial CD147/MCT1/LDHB complex, inhibits lactate-induced stemness potential, depletes circulating breast cancer cells, and reduces metastatic burden, suggesting promising clinical applications in reducing lactate-fueled metastasis.</w:t>
      </w:r>
    </w:p>
    <w:p>
      <w:pPr>
        <w:spacing w:before="120" w:after="120"/>
      </w:pPr>
      <w:r>
        <w:rPr>
          <w:sz w:val="18"/>
        </w:rPr>
        <w:t>——————————————————————————————————————————————————————————————————————</w:t>
      </w:r>
    </w:p>
    <w:p>
      <w:pPr>
        <w:spacing w:before="160" w:after="80" w:line="240" w:lineRule="auto"/>
      </w:pPr>
      <w:r>
        <w:rPr>
          <w:b/>
        </w:rPr>
        <w:t xml:space="preserve">[507] </w:t>
      </w:r>
      <w:hyperlink r:id="rId816">
        <w:r>
          <w:rPr>
            <w:color w:val="1155CC"/>
            <w:u w:val="single"/>
          </w:rPr>
          <w:t>Author Correction: A guidance to intelligent metamaterials and metamaterials intelligence</w:t>
        </w:r>
      </w:hyperlink>
    </w:p>
    <w:p>
      <w:pPr>
        <w:spacing w:before="0" w:after="120" w:line="240" w:lineRule="auto"/>
      </w:pPr>
      <w:r>
        <w:rPr>
          <w:b/>
        </w:rPr>
        <w:t xml:space="preserve">Source: </w:t>
      </w:r>
      <w:r>
        <w:t>Nature Communications</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[508] </w:t>
      </w:r>
      <w:hyperlink r:id="rId817">
        <w:r>
          <w:rPr>
            <w:color w:val="1155CC"/>
            <w:u w:val="single"/>
          </w:rPr>
          <w:t>Living water and whispering rocks: Books in brief</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[509] </w:t>
      </w:r>
      <w:hyperlink r:id="rId818">
        <w:r>
          <w:rPr>
            <w:color w:val="1155CC"/>
            <w:u w:val="single"/>
          </w:rPr>
          <w:t>Roadmap to 100 GWDC: Scientific and supply chain challenges for CdTe photovoltaics</w:t>
        </w:r>
      </w:hyperlink>
    </w:p>
    <w:p>
      <w:pPr>
        <w:spacing w:before="0" w:after="120" w:line="240" w:lineRule="auto"/>
      </w:pPr>
      <w:r>
        <w:rPr>
          <w:b/>
        </w:rPr>
        <w:t xml:space="preserve">Source: </w:t>
      </w:r>
      <w:r>
        <w:t>Joule</w:t>
      </w:r>
      <w:r>
        <w:t xml:space="preserve">    </w:t>
      </w:r>
      <w:r>
        <w:rPr>
          <w:b/>
        </w:rPr>
        <w:t xml:space="preserve">Pub date: </w:t>
      </w:r>
      <w:r>
        <w:t>2025-12-18 00:00:00+00:00</w:t>
      </w:r>
    </w:p>
    <w:p>
      <w:pPr>
        <w:spacing w:before="0" w:after="120"/>
      </w:pPr>
      <w:r>
        <w:rPr>
          <w:b/>
        </w:rPr>
        <w:t xml:space="preserve">Notes: </w:t>
      </w:r>
      <w:r>
        <w:t>abstract_source=rss_cell</w:t>
      </w:r>
    </w:p>
    <w:p>
      <w:pPr>
        <w:spacing w:before="0" w:after="200" w:lineRule="auto" w:line="276"/>
      </w:pPr>
      <w:r>
        <w:rPr>
          <w:b/>
        </w:rPr>
        <w:t xml:space="preserve">Abstract: </w:t>
      </w:r>
      <w:r>
        <w:t>This roadmap highlights pathways to expand the CdTe annual module manufacturing capacity to 100 GWDC by 2030 by improving Te extraction from existing supply chains, minimizing Te usage in modules, and focusing research efforts in key areas to improve module efficiencies. Both scientific and supply chain innovations will be necessary to maintain the high compound annual growth rate of the CdTe PV industry and cement its role as a key technology for multi-TW-scale PV deployment.</w:t>
      </w:r>
    </w:p>
    <w:p>
      <w:pPr>
        <w:spacing w:before="120" w:after="120"/>
      </w:pPr>
      <w:r>
        <w:rPr>
          <w:sz w:val="18"/>
        </w:rPr>
        <w:t>——————————————————————————————————————————————————————————————————————</w:t>
      </w:r>
    </w:p>
    <w:p>
      <w:pPr>
        <w:spacing w:before="160" w:after="80" w:line="240" w:lineRule="auto"/>
      </w:pPr>
      <w:r>
        <w:rPr>
          <w:b/>
        </w:rPr>
        <w:t xml:space="preserve">[510] </w:t>
      </w:r>
      <w:hyperlink r:id="rId819">
        <w:r>
          <w:rPr>
            <w:color w:val="1155CC"/>
            <w:u w:val="single"/>
          </w:rPr>
          <w:t>Physics-informed transfer learning by embedding physics into activation functions: an application in battery health management</w:t>
        </w:r>
      </w:hyperlink>
    </w:p>
    <w:p>
      <w:pPr>
        <w:spacing w:before="0" w:after="120" w:line="240" w:lineRule="auto"/>
      </w:pPr>
      <w:r>
        <w:rPr>
          <w:b/>
        </w:rPr>
        <w:t xml:space="preserve">Source: </w:t>
      </w:r>
      <w:r>
        <w:t>ScienceDirect Publication: Applied Energy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[511] </w:t>
      </w:r>
      <w:hyperlink r:id="rId820">
        <w:r>
          <w:rPr>
            <w:color w:val="1155CC"/>
            <w:u w:val="single"/>
          </w:rPr>
          <w:t>Molecular mechanisms of receptor recognition and antibody neutralization of coxsackievirus A6</w:t>
        </w:r>
      </w:hyperlink>
    </w:p>
    <w:p>
      <w:pPr>
        <w:spacing w:before="0" w:after="120" w:line="240" w:lineRule="auto"/>
      </w:pPr>
      <w:r>
        <w:rPr>
          <w:b/>
        </w:rPr>
        <w:t xml:space="preserve">Source: </w:t>
      </w:r>
      <w:r>
        <w:t>Nature Communications</w:t>
      </w:r>
      <w:r>
        <w:t xml:space="preserve">    </w:t>
      </w:r>
      <w:r>
        <w:rPr>
          <w:b/>
        </w:rPr>
        <w:t xml:space="preserve">Pub date: </w:t>
      </w:r>
      <w:r>
        <w:t>2025-12-18 00:00:00+00:00</w:t>
      </w:r>
    </w:p>
    <w:p>
      <w:pPr>
        <w:spacing w:before="0" w:after="120"/>
      </w:pPr>
      <w:r>
        <w:rPr>
          <w:b/>
        </w:rPr>
        <w:t xml:space="preserve">Notes: </w:t>
      </w:r>
      <w:r>
        <w:t>abstract_source=nature_html</w:t>
      </w:r>
    </w:p>
    <w:p>
      <w:pPr>
        <w:spacing w:before="0" w:after="200" w:lineRule="auto" w:line="276"/>
      </w:pPr>
      <w:r>
        <w:rPr>
          <w:b/>
        </w:rPr>
        <w:t xml:space="preserve">Abstract: </w:t>
      </w:r>
      <w:r>
        <w:t>Coxsackievirus A6 (CVA6), a major cause of hand, foot, and mouth disease, lacks approved vaccines or drugs. KRM1 is its only known receptor, but its precise role remains unclear. This study investigates CVA6’s entry mechanism and antibody neutralization. Cryo-EM shows CVA6 clinical strain HeB primarily exists as mature virions. KRM1 binding within the canyon triggers conversion to uncoating intermediate, defining KRM1 as an uncoating receptor for CVA6. However, KRM1 knockout reduces CVA6 infectivity without affecting attachment. Conversely, disrupting heparan sulfate proteoglycan (HSPG) impairs both viral attachment and infectivity, and CVA6 virions bind heparin directly. These results support a two-receptor entry model for CVA6: HSPG mediates viral attachment, while KRM1 induces uncoating. Additionally, we develop two CVA6-specific protective antibodies (1F4 and 3H7), targeting a new antigenic site near the three-fold axis of the viral capsid. These antibodies sterically block KRM1 binding and function post-attachment, consistent with KRM1’s role. The findings elucidate CVA6 entry and offer a basis for antibody interventions.</w:t>
      </w:r>
    </w:p>
    <w:p>
      <w:pPr>
        <w:spacing w:before="120" w:after="120"/>
      </w:pPr>
      <w:r>
        <w:rPr>
          <w:sz w:val="18"/>
        </w:rPr>
        <w:t>——————————————————————————————————————————————————————————————————————</w:t>
      </w:r>
    </w:p>
    <w:p>
      <w:pPr>
        <w:spacing w:before="160" w:after="80" w:line="240" w:lineRule="auto"/>
      </w:pPr>
      <w:r>
        <w:rPr>
          <w:b/>
        </w:rPr>
        <w:t xml:space="preserve">[512] </w:t>
      </w:r>
      <w:hyperlink r:id="rId821">
        <w:r>
          <w:rPr>
            <w:color w:val="1155CC"/>
            <w:u w:val="single"/>
          </w:rPr>
          <w:t>Rate dependence in granular matter with application to tunable metamaterials</w:t>
        </w:r>
      </w:hyperlink>
    </w:p>
    <w:p>
      <w:pPr>
        <w:spacing w:before="0" w:after="120" w:line="240" w:lineRule="auto"/>
      </w:pPr>
      <w:r>
        <w:rPr>
          <w:b/>
        </w:rPr>
        <w:t xml:space="preserve">Source: </w:t>
      </w:r>
      <w:r>
        <w:t>Matter</w:t>
      </w:r>
      <w:r>
        <w:t xml:space="preserve">    </w:t>
      </w:r>
      <w:r>
        <w:rPr>
          <w:b/>
        </w:rPr>
        <w:t xml:space="preserve">Pub date: </w:t>
      </w:r>
      <w:r>
        <w:t>2025-12-18 00:00:00+00:00</w:t>
      </w:r>
    </w:p>
    <w:p>
      <w:pPr>
        <w:spacing w:before="0" w:after="120"/>
      </w:pPr>
      <w:r>
        <w:rPr>
          <w:b/>
        </w:rPr>
        <w:t xml:space="preserve">Notes: </w:t>
      </w:r>
      <w:r>
        <w:t>abstract_source=rss_cell</w:t>
      </w:r>
    </w:p>
    <w:p>
      <w:pPr>
        <w:spacing w:before="0" w:after="200" w:lineRule="auto" w:line="276"/>
      </w:pPr>
      <w:r>
        <w:rPr>
          <w:b/>
        </w:rPr>
        <w:t xml:space="preserve">Abstract: </w:t>
      </w:r>
      <w:r>
        <w:t>Granular materials—sand, grains, powders—can act like solids or fluids depending on loading speed. This work shows that a packed bed of ordinary rice becomes markedly weaker under fast compression because surface friction drops and turns this counterintuitive effect into a design tool: pairing units with opposite rate responses creates metamaterials whose stiffness and buckling direction switch with speed, suggesting simple, power-free routes to adaptive soft robots, smarter protective gear, and energy-absorbing structures.</w:t>
      </w:r>
    </w:p>
    <w:p>
      <w:pPr>
        <w:spacing w:before="120" w:after="120"/>
      </w:pPr>
      <w:r>
        <w:rPr>
          <w:sz w:val="18"/>
        </w:rPr>
        <w:t>——————————————————————————————————————————————————————————————————————</w:t>
      </w:r>
    </w:p>
    <w:p>
      <w:pPr>
        <w:spacing w:before="160" w:after="80" w:line="240" w:lineRule="auto"/>
      </w:pPr>
      <w:r>
        <w:rPr>
          <w:b/>
        </w:rPr>
        <w:t xml:space="preserve">[513] </w:t>
      </w:r>
      <w:hyperlink r:id="rId822">
        <w:r>
          <w:rPr>
            <w:color w:val="1155CC"/>
            <w:u w:val="single"/>
          </w:rPr>
          <w:t>Science in 2026: the events to watch for in the coming year</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[514] </w:t>
      </w:r>
      <w:hyperlink r:id="rId823">
        <w:r>
          <w:rPr>
            <w:color w:val="1155CC"/>
            <w:u w:val="single"/>
          </w:rPr>
          <w:t>Dogma-defying signalling through G proteins could lead to better pain relief</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[515] </w:t>
      </w:r>
      <w:hyperlink r:id="rId824">
        <w:r>
          <w:rPr>
            <w:color w:val="1155CC"/>
            <w:u w:val="single"/>
          </w:rPr>
          <w:t>Assessment of offshore power potential in Zhoushan archipelago using a 45-year wind field product</w:t>
        </w:r>
      </w:hyperlink>
    </w:p>
    <w:p>
      <w:pPr>
        <w:spacing w:before="0" w:after="120" w:line="240" w:lineRule="auto"/>
      </w:pPr>
      <w:r>
        <w:rPr>
          <w:b/>
        </w:rPr>
        <w:t xml:space="preserve">Source: </w:t>
      </w:r>
      <w:r>
        <w:t>ScienceDirect Publication: Applied Energy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[516] </w:t>
      </w:r>
      <w:hyperlink r:id="rId825">
        <w:r>
          <w:rPr>
            <w:color w:val="1155CC"/>
            <w:u w:val="single"/>
          </w:rPr>
          <w:t>Point of no returns: researchers are crossing a threshold in the fight for funding</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[517] </w:t>
      </w:r>
      <w:hyperlink r:id="rId826">
        <w:r>
          <w:rPr>
            <w:color w:val="1155CC"/>
            <w:u w:val="single"/>
          </w:rPr>
          <w:t>High-efficiency, reusable electrokinetic filtration platform for high-Flux nanoplastic sequestration and self-powered operation</w:t>
        </w:r>
      </w:hyperlink>
    </w:p>
    <w:p>
      <w:pPr>
        <w:spacing w:before="0" w:after="120" w:line="240" w:lineRule="auto"/>
      </w:pPr>
      <w:r>
        <w:rPr>
          <w:b/>
        </w:rPr>
        <w:t xml:space="preserve">Source: </w:t>
      </w:r>
      <w:r>
        <w:t>ScienceDirect Publication: Materials Today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[518] </w:t>
      </w:r>
      <w:hyperlink r:id="rId827">
        <w:r>
          <w:rPr>
            <w:color w:val="1155CC"/>
            <w:u w:val="single"/>
          </w:rPr>
          <w:t>US–Africa bilateral health deals won’t help against diseases that ignore borders</w:t>
        </w:r>
      </w:hyperlink>
    </w:p>
    <w:p>
      <w:pPr>
        <w:spacing w:before="0" w:after="120" w:line="240" w:lineRule="auto"/>
      </w:pPr>
      <w:r>
        <w:rPr>
          <w:b/>
        </w:rPr>
        <w:t xml:space="preserve">Source: </w:t>
      </w:r>
      <w:r>
        <w:t>Nature</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[519] </w:t>
      </w:r>
      <w:hyperlink r:id="rId828">
        <w:r>
          <w:rPr>
            <w:color w:val="1155CC"/>
            <w:u w:val="single"/>
          </w:rPr>
          <w:t>A synthetic hydrogel niche reveals the interplay of matrix adhesion and mechanics in human epiblast model development</w:t>
        </w:r>
      </w:hyperlink>
    </w:p>
    <w:p>
      <w:pPr>
        <w:spacing w:before="0" w:after="120" w:line="240" w:lineRule="auto"/>
      </w:pPr>
      <w:r>
        <w:rPr>
          <w:b/>
        </w:rPr>
        <w:t xml:space="preserve">Source: </w:t>
      </w:r>
      <w:r>
        <w:t>ScienceDirect Publication: Materials Today</w:t>
      </w:r>
      <w:r>
        <w:t xml:space="preserve">    </w:t>
      </w:r>
      <w:r>
        <w:rPr>
          <w:b/>
        </w:rPr>
        <w:t xml:space="preserve">Pub date: </w:t>
      </w:r>
      <w:r>
        <w:t>2025-12-18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[520] </w:t>
      </w:r>
      <w:hyperlink r:id="rId829">
        <w:r>
          <w:rPr>
            <w:color w:val="1155CC"/>
            <w:u w:val="single"/>
          </w:rPr>
          <w:t>Extending the temperature range of the Cmcm phase of SnSe for high thermoelectric performance</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30">
        <w:r>
          <w:rPr>
            <w:color w:val="1155CC"/>
            <w:u w:val="single"/>
          </w:rPr>
          <w:t>10.1126/science.adt0831</w:t>
        </w:r>
      </w:hyperlink>
    </w:p>
    <w:p>
      <w:pPr>
        <w:spacing w:before="0" w:after="120"/>
      </w:pPr>
      <w:r>
        <w:rPr>
          <w:b/>
        </w:rPr>
        <w:t xml:space="preserve">Notes: </w:t>
      </w:r>
      <w:r>
        <w:t>abstract_source=crossref</w:t>
      </w:r>
    </w:p>
    <w:p>
      <w:pPr>
        <w:spacing w:before="0" w:after="200" w:lineRule="auto" w:line="276"/>
      </w:pPr>
      <w:r>
        <w:rPr>
          <w:b/>
        </w:rPr>
        <w:t xml:space="preserve">Abstract: </w:t>
      </w:r>
      <w:r>
        <w:t>Thermoelectric power generation requires high dimensionless figure of merit</w:t>
      </w:r>
      <w:r>
        <w:t xml:space="preserve"> </w:t>
      </w:r>
      <w:r>
        <w:t>ZT</w:t>
      </w:r>
      <w:r>
        <w:t xml:space="preserve"> </w:t>
      </w:r>
      <w:r>
        <w:t>across broad temperatures. The two-dimensional phonon and three-dimensional charge transports enable n-type–</w:t>
      </w:r>
      <w:r>
        <w:t xml:space="preserve"> </w:t>
      </w:r>
      <w:r>
        <w:t>Pnma</w:t>
      </w:r>
      <w:r>
        <w:t xml:space="preserve"> </w:t>
      </w:r>
      <w:r>
        <w:t>tin selenide (SnSe) crystals to show a peak</w:t>
      </w:r>
      <w:r>
        <w:t xml:space="preserve"> </w:t>
      </w:r>
      <w:r>
        <w:t>ZT</w:t>
      </w:r>
      <w:r>
        <w:t xml:space="preserve"> </w:t>
      </w:r>
      <w:r>
        <w:t>of ~3.0 at 748 kelvin. In this work, we focused on the high-symmetry</w:t>
      </w:r>
      <w:r>
        <w:t xml:space="preserve"> </w:t>
      </w:r>
      <w:r>
        <w:t>Cmcm</w:t>
      </w:r>
      <w:r>
        <w:t xml:space="preserve"> </w:t>
      </w:r>
      <w:r>
        <w:t>phase to boost two-dimensional phonon and three-dimensional charge transports and extended the high-performance (</w:t>
      </w:r>
      <w:r>
        <w:t xml:space="preserve"> </w:t>
      </w:r>
      <w:r>
        <w:t>ZT</w:t>
      </w:r>
      <w:r>
        <w:t xml:space="preserve"> </w:t>
      </w:r>
      <w:r>
        <w:t>~ 3.0) plateau. By simultaneously broadening the</w:t>
      </w:r>
      <w:r>
        <w:t xml:space="preserve"> </w:t>
      </w:r>
      <w:r>
        <w:t>Cmcm</w:t>
      </w:r>
      <w:r>
        <w:t xml:space="preserve"> </w:t>
      </w:r>
      <w:r>
        <w:t>-phase stability window and enhancing lattice symmetry through lead alloying, we extended the high performance from a single temperature point to a wide temperature range of ~250 kelvin in rock salt–like</w:t>
      </w:r>
      <w:r>
        <w:t xml:space="preserve"> </w:t>
      </w:r>
      <w:r>
        <w:t>Cmcm</w:t>
      </w:r>
      <w:r>
        <w:t xml:space="preserve"> </w:t>
      </w:r>
      <w:r>
        <w:t>SnSe crystals rendered n-type through chlorine doping. An average</w:t>
      </w:r>
      <w:r>
        <w:t xml:space="preserve"> </w:t>
      </w:r>
      <w:r>
        <w:t>ZT</w:t>
      </w:r>
      <w:r>
        <w:t xml:space="preserve"> </w:t>
      </w:r>
      <w:r>
        <w:t>of ~3.0 was achieved between 673 and 923 kelvin, with a conversion efficiency of ~19.1% under a temperature difference of ~572 kelvin.</w:t>
      </w:r>
    </w:p>
    <w:p>
      <w:pPr>
        <w:spacing w:before="120" w:after="120"/>
      </w:pPr>
      <w:r>
        <w:rPr>
          <w:sz w:val="18"/>
        </w:rPr>
        <w:t>——————————————————————————————————————————————————————————————————————</w:t>
      </w:r>
    </w:p>
    <w:p>
      <w:pPr>
        <w:spacing w:before="160" w:after="80" w:line="240" w:lineRule="auto"/>
      </w:pPr>
      <w:r>
        <w:rPr>
          <w:b/>
        </w:rPr>
        <w:t xml:space="preserve">[521] </w:t>
      </w:r>
      <w:hyperlink r:id="rId831">
        <w:r>
          <w:rPr>
            <w:color w:val="1155CC"/>
            <w:u w:val="single"/>
          </w:rPr>
          <w:t>All-optical synthesis chip for large-scale intelligent semantic vision generation</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32">
        <w:r>
          <w:rPr>
            <w:color w:val="1155CC"/>
            <w:u w:val="single"/>
          </w:rPr>
          <w:t>10.1126/science.adv7434</w:t>
        </w:r>
      </w:hyperlink>
    </w:p>
    <w:p>
      <w:pPr>
        <w:spacing w:before="0" w:after="120"/>
      </w:pPr>
      <w:r>
        <w:rPr>
          <w:b/>
        </w:rPr>
        <w:t xml:space="preserve">Notes: </w:t>
      </w:r>
      <w:r>
        <w:t>abstract_source=crossref</w:t>
      </w:r>
    </w:p>
    <w:p>
      <w:pPr>
        <w:spacing w:before="0" w:after="200" w:lineRule="auto" w:line="276"/>
      </w:pPr>
      <w:r>
        <w:rPr>
          <w:b/>
        </w:rPr>
        <w:t xml:space="preserve">Abstract: </w:t>
      </w:r>
      <w:r>
        <w:t>Large-scale generative artificial intelligence (AI) is facing a severe computing power shortage. Although photonic computing achieves excellence in decision tasks, its application in generative tasks remains formidable because of limited integration scale, time-consuming dimension conversions, and ground-truth-dependent training algorithms. We produced an all-optical chip for large-scale intelligent vision generation, named LightGen. By integrating millions of photonic neurons on a chip, varying network dimension through proposed optical latent space, and Bayes-based training algorithms, LightGen experimentally implemented high-resolution semantic image generation, denoising, style transfer, three-dimensional generation, and manipulation. Its measured end-to-end computing speed and energy efficiency were each more than two orders of magnitude greater than those of state-of-the-art electronic chips, paving the way for acceleration of large visual generative models.</w:t>
      </w:r>
    </w:p>
    <w:p>
      <w:pPr>
        <w:spacing w:before="120" w:after="120"/>
      </w:pPr>
      <w:r>
        <w:rPr>
          <w:sz w:val="18"/>
        </w:rPr>
        <w:t>——————————————————————————————————————————————————————————————————————</w:t>
      </w:r>
    </w:p>
    <w:p>
      <w:pPr>
        <w:spacing w:before="160" w:after="80" w:line="240" w:lineRule="auto"/>
      </w:pPr>
      <w:r>
        <w:rPr>
          <w:b/>
        </w:rPr>
        <w:t xml:space="preserve">[522] </w:t>
      </w:r>
      <w:hyperlink r:id="rId833">
        <w:r>
          <w:rPr>
            <w:color w:val="1155CC"/>
            <w:u w:val="single"/>
          </w:rPr>
          <w:t>NIH’s proposed caps on open-access publishing fees roil community</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34">
        <w:r>
          <w:rPr>
            <w:color w:val="1155CC"/>
            <w:u w:val="single"/>
          </w:rPr>
          <w:t>10.1126/science.aee8376</w:t>
        </w:r>
      </w:hyperlink>
    </w:p>
    <w:p>
      <w:pPr>
        <w:spacing w:before="0" w:after="120"/>
      </w:pPr>
      <w:r>
        <w:rPr>
          <w:b/>
        </w:rPr>
        <w:t xml:space="preserve">Notes: </w:t>
      </w:r>
      <w:r>
        <w:t>abstract_source=crossref</w:t>
      </w:r>
    </w:p>
    <w:p>
      <w:pPr>
        <w:spacing w:before="0" w:after="200" w:lineRule="auto" w:line="276"/>
      </w:pPr>
      <w:r>
        <w:rPr>
          <w:b/>
        </w:rPr>
        <w:t xml:space="preserve">Abstract: </w:t>
      </w:r>
      <w:r>
        <w:t>Change to be implemented next year drew more than 900 comments, most of them critical</w:t>
      </w:r>
    </w:p>
    <w:p>
      <w:pPr>
        <w:spacing w:before="120" w:after="120"/>
      </w:pPr>
      <w:r>
        <w:rPr>
          <w:sz w:val="18"/>
        </w:rPr>
        <w:t>——————————————————————————————————————————————————————————————————————</w:t>
      </w:r>
    </w:p>
    <w:p>
      <w:pPr>
        <w:spacing w:before="160" w:after="80" w:line="240" w:lineRule="auto"/>
      </w:pPr>
      <w:r>
        <w:rPr>
          <w:b/>
        </w:rPr>
        <w:t xml:space="preserve">[523] </w:t>
      </w:r>
      <w:hyperlink r:id="rId835">
        <w:r>
          <w:rPr>
            <w:color w:val="1155CC"/>
            <w:u w:val="single"/>
          </w:rPr>
          <w:t>A cellular basis for heightened gut sensitivity in females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36">
        <w:r>
          <w:rPr>
            <w:color w:val="1155CC"/>
            <w:u w:val="single"/>
          </w:rPr>
          <w:t>10.1126/science.adz1398</w:t>
        </w:r>
      </w:hyperlink>
    </w:p>
    <w:p>
      <w:pPr>
        <w:spacing w:before="0" w:after="120"/>
      </w:pPr>
      <w:r>
        <w:rPr>
          <w:b/>
        </w:rPr>
        <w:t xml:space="preserve">Notes: </w:t>
      </w:r>
      <w:r>
        <w:t>abstract_source=crossref</w:t>
      </w:r>
    </w:p>
    <w:p>
      <w:pPr>
        <w:spacing w:before="0" w:after="200" w:lineRule="auto" w:line="276"/>
      </w:pPr>
      <w:r>
        <w:rPr>
          <w:b/>
        </w:rPr>
        <w:t xml:space="preserve">Abstract: </w:t>
      </w:r>
      <w:r>
        <w:t>Visceral pain disorders, such as irritable bowel syndrome, exhibit a marked female prevalence. Enhanced signaling between enterochromaffin (EC) cells in the gut epithelium and mucosal sensory nerve fibers likely contributes to this sex bias. We identified an estrogen-responsive paracrine pathway in which two enteroendocrine cell types, peptide YY (PYY)–expressing L cells and serotonergic EC cells, communicate to increase gut sensitivity in females. We demonstrate that estrogen signaling up-regulates the bacterial metabolite short-chain fatty acid receptor</w:t>
      </w:r>
      <w:r>
        <w:t xml:space="preserve"> </w:t>
      </w:r>
      <w:r>
        <w:t>Olfr78</w:t>
      </w:r>
      <w:r>
        <w:t xml:space="preserve"> </w:t>
      </w:r>
      <w:r>
        <w:t>on colonic L cells, increasing PYY release and their sensitivity to acetate. Elevated PYY acts on neighboring EC cells by means of NPY1R, thereby enhancing serotonin release and gut pain. We propose that hormonal fluctuations, in conjunction with internal (stress) or environmental (diet) factors, amplify this local estrogen-responsive colonic circuit, resulting in maladaptive gut sensitivity.</w:t>
      </w:r>
    </w:p>
    <w:p>
      <w:pPr>
        <w:spacing w:before="120" w:after="120"/>
      </w:pPr>
      <w:r>
        <w:rPr>
          <w:sz w:val="18"/>
        </w:rPr>
        <w:t>——————————————————————————————————————————————————————————————————————</w:t>
      </w:r>
    </w:p>
    <w:p>
      <w:pPr>
        <w:spacing w:before="160" w:after="80" w:line="240" w:lineRule="auto"/>
      </w:pPr>
      <w:r>
        <w:rPr>
          <w:b/>
        </w:rPr>
        <w:t xml:space="preserve">[524] </w:t>
      </w:r>
      <w:hyperlink r:id="rId837">
        <w:r>
          <w:rPr>
            <w:color w:val="1155CC"/>
            <w:u w:val="single"/>
          </w:rPr>
          <w:t>Cutting cake into a slice of life</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38">
        <w:r>
          <w:rPr>
            <w:color w:val="1155CC"/>
            <w:u w:val="single"/>
          </w:rPr>
          <w:t>10.1126/science.adz2965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[525] </w:t>
      </w:r>
      <w:hyperlink r:id="rId839">
        <w:r>
          <w:rPr>
            <w:color w:val="1155CC"/>
            <w:u w:val="single"/>
          </w:rPr>
          <w:t>Seafloor telecom cable turned into giant earthquake detector</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40">
        <w:r>
          <w:rPr>
            <w:color w:val="1155CC"/>
            <w:u w:val="single"/>
          </w:rPr>
          <w:t>10.1126/science.aee8379</w:t>
        </w:r>
      </w:hyperlink>
    </w:p>
    <w:p>
      <w:pPr>
        <w:spacing w:before="0" w:after="120"/>
      </w:pPr>
      <w:r>
        <w:rPr>
          <w:b/>
        </w:rPr>
        <w:t xml:space="preserve">Notes: </w:t>
      </w:r>
      <w:r>
        <w:t>abstract_source=crossref</w:t>
      </w:r>
    </w:p>
    <w:p>
      <w:pPr>
        <w:spacing w:before="0" w:after="200" w:lineRule="auto" w:line="276"/>
      </w:pPr>
      <w:r>
        <w:rPr>
          <w:b/>
        </w:rPr>
        <w:t xml:space="preserve">Abstract: </w:t>
      </w:r>
      <w:r>
        <w:t>Dense seismic array more than 4000 kilometers long promises new views of Earth’s interior</w:t>
      </w:r>
    </w:p>
    <w:p>
      <w:pPr>
        <w:spacing w:before="120" w:after="120"/>
      </w:pPr>
      <w:r>
        <w:rPr>
          <w:sz w:val="18"/>
        </w:rPr>
        <w:t>——————————————————————————————————————————————————————————————————————</w:t>
      </w:r>
    </w:p>
    <w:p>
      <w:pPr>
        <w:spacing w:before="160" w:after="80" w:line="240" w:lineRule="auto"/>
      </w:pPr>
      <w:r>
        <w:rPr>
          <w:b/>
        </w:rPr>
        <w:t xml:space="preserve">[526] </w:t>
      </w:r>
      <w:hyperlink r:id="rId841">
        <w:r>
          <w:rPr>
            <w:color w:val="1155CC"/>
            <w:u w:val="single"/>
          </w:rPr>
          <w:t>A bacterial nutrition strategy for plant disease control</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42">
        <w:r>
          <w:rPr>
            <w:color w:val="1155CC"/>
            <w:u w:val="single"/>
          </w:rPr>
          <w:t>10.1126/science.ady8325</w:t>
        </w:r>
      </w:hyperlink>
    </w:p>
    <w:p>
      <w:pPr>
        <w:spacing w:before="0" w:after="120"/>
      </w:pPr>
      <w:r>
        <w:rPr>
          <w:b/>
        </w:rPr>
        <w:t xml:space="preserve">Notes: </w:t>
      </w:r>
      <w:r>
        <w:t>abstract_source=crossref</w:t>
      </w:r>
    </w:p>
    <w:p>
      <w:pPr>
        <w:spacing w:before="0" w:after="200" w:lineRule="auto" w:line="276"/>
      </w:pPr>
      <w:r>
        <w:rPr>
          <w:b/>
        </w:rPr>
        <w:t xml:space="preserve">Abstract: </w:t>
      </w:r>
      <w:r>
        <w:t>Xanthomonas</w:t>
      </w:r>
      <w:r>
        <w:t xml:space="preserve"> </w:t>
      </w:r>
      <w:r>
        <w:t>spp. cause serious diseases in more than 400 plant species. The conserved AvrBs2 family effectors are among the most important virulence factors in xanthomonads, but how AvrBs2 promotes infection remains elusive. We found that AvrBs2 is a glycerophosphodiesterase-derived synthetase that catalyzes uridine 5′-diphosphate-α-</w:t>
      </w:r>
      <w:r>
        <w:t>d</w:t>
      </w:r>
      <w:r>
        <w:t xml:space="preserve"> </w:t>
      </w:r>
      <w:r>
        <w:t>-galactose into a sugar phosphodiester, bis-(1,6)-cyclic dimeric α-</w:t>
      </w:r>
      <w:r>
        <w:t>d</w:t>
      </w:r>
      <w:r>
        <w:t xml:space="preserve"> </w:t>
      </w:r>
      <w:r>
        <w:t>-galactose-phosphate, which is referred to as xanthosan. Xanthosan is synthesized by AvrBs2 in host cells and released into apoplastic spaces.</w:t>
      </w:r>
      <w:r>
        <w:t xml:space="preserve"> </w:t>
      </w:r>
      <w:r>
        <w:t>Xanthomonas</w:t>
      </w:r>
      <w:r>
        <w:t xml:space="preserve"> </w:t>
      </w:r>
      <w:r>
        <w:t>bacteria uptake xanthosan through the XanT transporter and hydrolyze it through the XanP phosphodiesterase for nutrition. AvrBs2, XanT, and XanP form a xanthosan “generation-uptake-utilization” system to provide a dedicated nutritional strategy to feed xanthomonads. Furthermore, elucidation of the AvrBs2-XanT-XanP virulence mechanism inspired us to develop an “anti-nutrition” strategy that should be applicable to control a wide variety of</w:t>
      </w:r>
      <w:r>
        <w:t xml:space="preserve"> </w:t>
      </w:r>
      <w:r>
        <w:t>Xanthomonas</w:t>
      </w:r>
      <w:r>
        <w:t xml:space="preserve"> </w:t>
      </w:r>
      <w:r>
        <w:t>diseases.</w:t>
      </w:r>
    </w:p>
    <w:p>
      <w:pPr>
        <w:spacing w:before="120" w:after="120"/>
      </w:pPr>
      <w:r>
        <w:rPr>
          <w:sz w:val="18"/>
        </w:rPr>
        <w:t>——————————————————————————————————————————————————————————————————————</w:t>
      </w:r>
    </w:p>
    <w:p>
      <w:pPr>
        <w:spacing w:before="160" w:after="80" w:line="240" w:lineRule="auto"/>
      </w:pPr>
      <w:r>
        <w:rPr>
          <w:b/>
        </w:rPr>
        <w:t xml:space="preserve">[527] </w:t>
      </w:r>
      <w:hyperlink r:id="rId843">
        <w:r>
          <w:rPr>
            <w:color w:val="1155CC"/>
            <w:u w:val="single"/>
          </w:rPr>
          <w:t>Trifluoromethylation of alkyl electrophiles with 11C- or 18F-labeled fluoroform for PET applications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44">
        <w:r>
          <w:rPr>
            <w:color w:val="1155CC"/>
            <w:u w:val="single"/>
          </w:rPr>
          <w:t>10.1126/science.ady2969</w:t>
        </w:r>
      </w:hyperlink>
    </w:p>
    <w:p>
      <w:pPr>
        <w:spacing w:before="0" w:after="120"/>
      </w:pPr>
      <w:r>
        <w:rPr>
          <w:b/>
        </w:rPr>
        <w:t xml:space="preserve">Notes: </w:t>
      </w:r>
      <w:r>
        <w:t>abstract_source=crossref</w:t>
      </w:r>
    </w:p>
    <w:p>
      <w:pPr>
        <w:spacing w:before="0" w:after="200" w:lineRule="auto" w:line="276"/>
      </w:pPr>
      <w:r>
        <w:rPr>
          <w:b/>
        </w:rPr>
        <w:t xml:space="preserve">Abstract: </w:t>
      </w:r>
      <w:r>
        <w:t>Continued development of positron emission tomography (PET) tracers is essential for advancing molecular imaging in biomedical research and clinical diagnostics. A long-standing limitation in radiochemistry for PET imaging has been the lack of general methods for radiolabeling trifluoromethyl (CF</w:t>
      </w:r>
      <w:r>
        <w:rPr>
          <w:vertAlign w:val="subscript"/>
        </w:rPr>
        <w:t>3</w:t>
      </w:r>
      <w:r>
        <w:t>) groups at C(sp</w:t>
      </w:r>
      <w:r>
        <w:rPr>
          <w:vertAlign w:val="subscript"/>
        </w:rPr>
        <w:t>3</w:t>
      </w:r>
      <w:r>
        <w:t>) sites, despite their growing prevalence in bioactive molecules and radiopharmaceuticals. Here, we present a general approach for late-stage installation of either a [</w:t>
      </w:r>
      <w:r>
        <w:rPr>
          <w:vertAlign w:val="subscript"/>
        </w:rPr>
        <w:t>18</w:t>
      </w:r>
      <w:r>
        <w:t>F]CF</w:t>
      </w:r>
      <w:r>
        <w:rPr>
          <w:vertAlign w:val="subscript"/>
        </w:rPr>
        <w:t>3</w:t>
      </w:r>
      <w:r>
        <w:t>or [</w:t>
      </w:r>
      <w:r>
        <w:rPr>
          <w:vertAlign w:val="subscript"/>
        </w:rPr>
        <w:t>11</w:t>
      </w:r>
      <w:r>
        <w:t>C]CF</w:t>
      </w:r>
      <w:r>
        <w:rPr>
          <w:vertAlign w:val="subscript"/>
        </w:rPr>
        <w:t>3</w:t>
      </w:r>
      <w:r>
        <w:t>group at a C(sp</w:t>
      </w:r>
      <w:r>
        <w:rPr>
          <w:vertAlign w:val="subscript"/>
        </w:rPr>
        <w:t>3</w:t>
      </w:r>
      <w:r>
        <w:t>) site. This method leverages unusual copper-mediated radiotrifluoromethylation of alkyl halides and alkyl carboxylic acids by halogen atom transfer and photoredox catalysis, respectively. More than 50 complex molecules and pharmaceutical agents were efficiently labeled with fluorine-18 (</w:t>
      </w:r>
      <w:r>
        <w:rPr>
          <w:vertAlign w:val="subscript"/>
        </w:rPr>
        <w:t>18</w:t>
      </w:r>
      <w:r>
        <w:t>F) or carbon-11 (</w:t>
      </w:r>
      <w:r>
        <w:rPr>
          <w:vertAlign w:val="subscript"/>
        </w:rPr>
        <w:t>11</w:t>
      </w:r>
      <w:r>
        <w:t>C). Two long-sought-after radioligands, [</w:t>
      </w:r>
      <w:r>
        <w:rPr>
          <w:vertAlign w:val="subscript"/>
        </w:rPr>
        <w:t>18</w:t>
      </w:r>
      <w:r>
        <w:t>F]SL25.1188 and [</w:t>
      </w:r>
      <w:r>
        <w:rPr>
          <w:vertAlign w:val="subscript"/>
        </w:rPr>
        <w:t>18</w:t>
      </w:r>
      <w:r>
        <w:t>F]PS13, were synthesized, providing longer-lived</w:t>
      </w:r>
      <w:r>
        <w:rPr>
          <w:vertAlign w:val="subscript"/>
        </w:rPr>
        <w:t>18</w:t>
      </w:r>
      <w:r>
        <w:t>F analogs of their</w:t>
      </w:r>
      <w:r>
        <w:rPr>
          <w:vertAlign w:val="subscript"/>
        </w:rPr>
        <w:t>11</w:t>
      </w:r>
      <w:r>
        <w:t>C counterparts with great promise for human PET imaging.</w:t>
      </w:r>
    </w:p>
    <w:p>
      <w:pPr>
        <w:spacing w:before="120" w:after="120"/>
      </w:pPr>
      <w:r>
        <w:rPr>
          <w:sz w:val="18"/>
        </w:rPr>
        <w:t>——————————————————————————————————————————————————————————————————————</w:t>
      </w:r>
    </w:p>
    <w:p>
      <w:pPr>
        <w:spacing w:before="160" w:after="80" w:line="240" w:lineRule="auto"/>
      </w:pPr>
      <w:r>
        <w:rPr>
          <w:b/>
        </w:rPr>
        <w:t xml:space="preserve">[528] </w:t>
      </w:r>
      <w:hyperlink r:id="rId845">
        <w:r>
          <w:rPr>
            <w:color w:val="1155CC"/>
            <w:u w:val="single"/>
          </w:rPr>
          <w:t>New materials could supercharge computer memory chips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46">
        <w:r>
          <w:rPr>
            <w:color w:val="1155CC"/>
            <w:u w:val="single"/>
          </w:rPr>
          <w:t>10.1126/science.aee8380</w:t>
        </w:r>
      </w:hyperlink>
    </w:p>
    <w:p>
      <w:pPr>
        <w:spacing w:before="0" w:after="120"/>
      </w:pPr>
      <w:r>
        <w:rPr>
          <w:b/>
        </w:rPr>
        <w:t xml:space="preserve">Notes: </w:t>
      </w:r>
      <w:r>
        <w:t>abstract_source=crossref</w:t>
      </w:r>
    </w:p>
    <w:p>
      <w:pPr>
        <w:spacing w:before="0" w:after="200" w:lineRule="auto" w:line="276"/>
      </w:pPr>
      <w:r>
        <w:rPr>
          <w:b/>
        </w:rPr>
        <w:t xml:space="preserve">Abstract: </w:t>
      </w:r>
      <w:r>
        <w:t>Ferroelectrics could bolster “flash” memory in AI data centers and autonomous robots</w:t>
      </w:r>
    </w:p>
    <w:p>
      <w:pPr>
        <w:spacing w:before="120" w:after="120"/>
      </w:pPr>
      <w:r>
        <w:rPr>
          <w:sz w:val="18"/>
        </w:rPr>
        <w:t>——————————————————————————————————————————————————————————————————————</w:t>
      </w:r>
    </w:p>
    <w:p>
      <w:pPr>
        <w:spacing w:before="160" w:after="80" w:line="240" w:lineRule="auto"/>
      </w:pPr>
      <w:r>
        <w:rPr>
          <w:b/>
        </w:rPr>
        <w:t xml:space="preserve">[529] </w:t>
      </w:r>
      <w:hyperlink r:id="rId847">
        <w:r>
          <w:rPr>
            <w:color w:val="1155CC"/>
            <w:u w:val="single"/>
          </w:rPr>
          <w:t>NSF pares back grant-review process to ease workload</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48">
        <w:r>
          <w:rPr>
            <w:color w:val="1155CC"/>
            <w:u w:val="single"/>
          </w:rPr>
          <w:t>10.1126/science.aee8378</w:t>
        </w:r>
      </w:hyperlink>
    </w:p>
    <w:p>
      <w:pPr>
        <w:spacing w:before="0" w:after="120"/>
      </w:pPr>
      <w:r>
        <w:rPr>
          <w:b/>
        </w:rPr>
        <w:t xml:space="preserve">Notes: </w:t>
      </w:r>
      <w:r>
        <w:t>abstract_source=crossref</w:t>
      </w:r>
    </w:p>
    <w:p>
      <w:pPr>
        <w:spacing w:before="0" w:after="200" w:lineRule="auto" w:line="276"/>
      </w:pPr>
      <w:r>
        <w:rPr>
          <w:b/>
        </w:rPr>
        <w:t xml:space="preserve">Abstract: </w:t>
      </w:r>
      <w:r>
        <w:t>Memo cites reduced staff, but some say move also aims to elevate White House priorities</w:t>
      </w:r>
    </w:p>
    <w:p>
      <w:pPr>
        <w:spacing w:before="120" w:after="120"/>
      </w:pPr>
      <w:r>
        <w:rPr>
          <w:sz w:val="18"/>
        </w:rPr>
        <w:t>——————————————————————————————————————————————————————————————————————</w:t>
      </w:r>
    </w:p>
    <w:p>
      <w:pPr>
        <w:spacing w:before="160" w:after="80" w:line="240" w:lineRule="auto"/>
      </w:pPr>
      <w:r>
        <w:rPr>
          <w:b/>
        </w:rPr>
        <w:t xml:space="preserve">[530] </w:t>
      </w:r>
      <w:hyperlink r:id="rId849">
        <w:r>
          <w:rPr>
            <w:color w:val="1155CC"/>
            <w:u w:val="single"/>
          </w:rPr>
          <w:t>A new preprint server welcomes papers written and reviewed by AI</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50">
        <w:r>
          <w:rPr>
            <w:color w:val="1155CC"/>
            <w:u w:val="single"/>
          </w:rPr>
          <w:t>10.1126/science.aee8377</w:t>
        </w:r>
      </w:hyperlink>
    </w:p>
    <w:p>
      <w:pPr>
        <w:spacing w:before="0" w:after="120"/>
      </w:pPr>
      <w:r>
        <w:rPr>
          <w:b/>
        </w:rPr>
        <w:t xml:space="preserve">Notes: </w:t>
      </w:r>
      <w:r>
        <w:t>abstract_source=crossref</w:t>
      </w:r>
    </w:p>
    <w:p>
      <w:pPr>
        <w:spacing w:before="0" w:after="200" w:lineRule="auto" w:line="276"/>
      </w:pPr>
      <w:r>
        <w:rPr>
          <w:b/>
        </w:rPr>
        <w:t xml:space="preserve">Abstract: </w:t>
      </w:r>
      <w:r>
        <w:t>With human peer review struggling to keep pace with machine-generated science, aiXiv enlists bots to help</w:t>
      </w:r>
    </w:p>
    <w:p>
      <w:pPr>
        <w:spacing w:before="120" w:after="120"/>
      </w:pPr>
      <w:r>
        <w:rPr>
          <w:sz w:val="18"/>
        </w:rPr>
        <w:t>——————————————————————————————————————————————————————————————————————</w:t>
      </w:r>
    </w:p>
    <w:p>
      <w:pPr>
        <w:spacing w:before="160" w:after="80" w:line="240" w:lineRule="auto"/>
      </w:pPr>
      <w:r>
        <w:rPr>
          <w:b/>
        </w:rPr>
        <w:t xml:space="preserve">[531] </w:t>
      </w:r>
      <w:hyperlink r:id="rId851">
        <w:r>
          <w:rPr>
            <w:color w:val="1155CC"/>
            <w:u w:val="single"/>
          </w:rPr>
          <w:t>State-independent ionic conductivity</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52">
        <w:r>
          <w:rPr>
            <w:color w:val="1155CC"/>
            <w:u w:val="single"/>
          </w:rPr>
          <w:t>10.1126/science.adk0786</w:t>
        </w:r>
      </w:hyperlink>
    </w:p>
    <w:p>
      <w:pPr>
        <w:spacing w:before="0" w:after="120"/>
      </w:pPr>
      <w:r>
        <w:rPr>
          <w:b/>
        </w:rPr>
        <w:t xml:space="preserve">Notes: </w:t>
      </w:r>
      <w:r>
        <w:t>abstract_source=crossref</w:t>
      </w:r>
    </w:p>
    <w:p>
      <w:pPr>
        <w:spacing w:before="0" w:after="200" w:lineRule="auto" w:line="276"/>
      </w:pPr>
      <w:r>
        <w:rPr>
          <w:b/>
        </w:rPr>
        <w:t xml:space="preserve">Abstract: </w:t>
      </w:r>
      <w:r>
        <w:t>Liquids lend themselves to high ionic conductivities because of their molecular-level positional and orientational disorder, which enables the free movement of ions. However, there is an unavoidable steep drop in ionic conductivity upon phase transition from a fluid state to the more ordered solid state. Here, we describe organic salts that maintain the same ionic conductivity mechanism across transitions between three states of matter, from an initial isotropic liquid to a liquid crystalline state and then to a crystalline solid. We achieved this property by minimizing the ion-pairing interactions between mobile ions and highly diffuse counterions that assemble in a stepwise manner to preserve conformational flexibility across phase transitions. This state-independent ionic conductivity opens up opportunities to exploit liquid-like ionic conductivity in organic solids.</w:t>
      </w:r>
    </w:p>
    <w:p>
      <w:pPr>
        <w:spacing w:before="120" w:after="120"/>
      </w:pPr>
      <w:r>
        <w:rPr>
          <w:sz w:val="18"/>
        </w:rPr>
        <w:t>——————————————————————————————————————————————————————————————————————</w:t>
      </w:r>
    </w:p>
    <w:p>
      <w:pPr>
        <w:spacing w:before="160" w:after="80" w:line="240" w:lineRule="auto"/>
      </w:pPr>
      <w:r>
        <w:rPr>
          <w:b/>
        </w:rPr>
        <w:t xml:space="preserve">[532] </w:t>
      </w:r>
      <w:hyperlink r:id="rId853">
        <w:r>
          <w:rPr>
            <w:color w:val="1155CC"/>
            <w:u w:val="single"/>
          </w:rPr>
          <w:t>The burden of silence</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54">
        <w:r>
          <w:rPr>
            <w:color w:val="1155CC"/>
            <w:u w:val="single"/>
          </w:rPr>
          <w:t>10.1126/science.aee7297</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[533] </w:t>
      </w:r>
      <w:hyperlink r:id="rId855">
        <w:r>
          <w:rPr>
            <w:color w:val="1155CC"/>
            <w:u w:val="single"/>
          </w:rPr>
          <w:t>Electrode strain dynamics in layered intercalation battery cathodes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56">
        <w:r>
          <w:rPr>
            <w:color w:val="1155CC"/>
            <w:u w:val="single"/>
          </w:rPr>
          <w:t>10.1126/science.aea2763</w:t>
        </w:r>
      </w:hyperlink>
    </w:p>
    <w:p>
      <w:pPr>
        <w:spacing w:before="0" w:after="120"/>
      </w:pPr>
      <w:r>
        <w:rPr>
          <w:b/>
        </w:rPr>
        <w:t xml:space="preserve">Notes: </w:t>
      </w:r>
      <w:r>
        <w:t>abstract_source=crossref</w:t>
      </w:r>
    </w:p>
    <w:p>
      <w:pPr>
        <w:spacing w:before="0" w:after="200" w:lineRule="auto" w:line="276"/>
      </w:pPr>
      <w:r>
        <w:rPr>
          <w:b/>
        </w:rPr>
        <w:t xml:space="preserve">Abstract: </w:t>
      </w:r>
      <w:r>
        <w:t>Rechargeable batteries using electrodes based on intercalation chemistry exhibit notable cyclability, yet their performance still suffers from chemomechanical degradation. In this study, by combining a suite of operando microscopy methods, we explored electrode strain evolution and observed intricate particle cluster rearrangement under electrochemical stimuli. We show that early-stage strain accumulation in intercalation cathodes occurs during the period of interparticle charge transfer and redox reactions stemming from asynchronous coupling and decoupling between chemical (de)intercalation and physical grain motion. This interplay drives heterogeneous redox activity, localized charge equilibration, and multiscale strain cascades that propagate through an asynchronous network of chemical-mechanical interactions. Together, these findings reveal how collective particle dynamics and hierarchical strain transmission dictate electrode deformation and degradation in intercalation cathodes.</w:t>
      </w:r>
    </w:p>
    <w:p>
      <w:pPr>
        <w:spacing w:before="120" w:after="120"/>
      </w:pPr>
      <w:r>
        <w:rPr>
          <w:sz w:val="18"/>
        </w:rPr>
        <w:t>——————————————————————————————————————————————————————————————————————</w:t>
      </w:r>
    </w:p>
    <w:p>
      <w:pPr>
        <w:spacing w:before="160" w:after="80" w:line="240" w:lineRule="auto"/>
      </w:pPr>
      <w:r>
        <w:rPr>
          <w:b/>
        </w:rPr>
        <w:t xml:space="preserve">[534] </w:t>
      </w:r>
      <w:hyperlink r:id="rId857">
        <w:r>
          <w:rPr>
            <w:color w:val="1155CC"/>
            <w:u w:val="single"/>
          </w:rPr>
          <w:t>Here comes the Sun</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58">
        <w:r>
          <w:rPr>
            <w:color w:val="1155CC"/>
            <w:u w:val="single"/>
          </w:rPr>
          <w:t>10.1126/science.aee6842</w:t>
        </w:r>
      </w:hyperlink>
    </w:p>
    <w:p>
      <w:pPr>
        <w:spacing w:before="0" w:after="120"/>
      </w:pPr>
      <w:r>
        <w:rPr>
          <w:b/>
        </w:rPr>
        <w:t xml:space="preserve">Notes: </w:t>
      </w:r>
      <w:r>
        <w:t>abstract_source=crossref</w:t>
      </w:r>
    </w:p>
    <w:p>
      <w:pPr>
        <w:spacing w:before="0" w:after="200" w:lineRule="auto" w:line="276"/>
      </w:pPr>
      <w:r>
        <w:rPr>
          <w:b/>
        </w:rPr>
        <w:t xml:space="preserve">Abstract: </w:t>
      </w:r>
      <w:r>
        <w:t>Even though 2025 presented many troubling challenges for science, there was a bright spot: It was the first year in which more power was generated worldwide from renewable energy, including wind and solar, than from coal. The situation came very close to “peak carbon,” the point at which fossil fuel emissions peak for the world and then start to decline. That milestone may now be only a few years away. These encouraging changes were mainly a result of the greater availability of solar and wind energy technology and cheaper lithium batteries to run electric cars and store solar energy. Because of these achievements,</w:t>
      </w:r>
      <w:r>
        <w:t xml:space="preserve"> </w:t>
      </w:r>
      <w:r>
        <w:t>Science</w:t>
      </w:r>
      <w:r>
        <w:t xml:space="preserve"> </w:t>
      </w:r>
      <w:r>
        <w:t>has selected “Rise of the Renewables” as its Breakthrough of the Year.</w:t>
      </w:r>
    </w:p>
    <w:p>
      <w:pPr>
        <w:spacing w:before="120" w:after="120"/>
      </w:pPr>
      <w:r>
        <w:rPr>
          <w:sz w:val="18"/>
        </w:rPr>
        <w:t>——————————————————————————————————————————————————————————————————————</w:t>
      </w:r>
    </w:p>
    <w:p>
      <w:pPr>
        <w:spacing w:before="160" w:after="80" w:line="240" w:lineRule="auto"/>
      </w:pPr>
      <w:r>
        <w:rPr>
          <w:b/>
        </w:rPr>
        <w:t xml:space="preserve">[535] </w:t>
      </w:r>
      <w:hyperlink r:id="rId859">
        <w:r>
          <w:rPr>
            <w:color w:val="1155CC"/>
            <w:u w:val="single"/>
          </w:rPr>
          <w:t>Reevaluating PFAS exposure risks from marine fish</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60">
        <w:r>
          <w:rPr>
            <w:color w:val="1155CC"/>
            <w:u w:val="single"/>
          </w:rPr>
          <w:t>10.1126/science.aed7431</w:t>
        </w:r>
      </w:hyperlink>
    </w:p>
    <w:p>
      <w:pPr>
        <w:spacing w:before="0" w:after="120"/>
      </w:pPr>
      <w:r>
        <w:rPr>
          <w:b/>
        </w:rPr>
        <w:t xml:space="preserve">Notes: </w:t>
      </w:r>
      <w:r>
        <w:t>abstract_source=crossref</w:t>
      </w:r>
    </w:p>
    <w:p>
      <w:pPr>
        <w:spacing w:before="0" w:after="200" w:lineRule="auto" w:line="276"/>
      </w:pPr>
      <w:r>
        <w:rPr>
          <w:b/>
        </w:rPr>
        <w:t xml:space="preserve">Abstract: </w:t>
      </w:r>
      <w:r>
        <w:t>A modeling analysis suggests that legacy PFAS in marine fish have declined on a global scale</w:t>
      </w:r>
    </w:p>
    <w:p>
      <w:pPr>
        <w:spacing w:before="120" w:after="120"/>
      </w:pPr>
      <w:r>
        <w:rPr>
          <w:sz w:val="18"/>
        </w:rPr>
        <w:t>——————————————————————————————————————————————————————————————————————</w:t>
      </w:r>
    </w:p>
    <w:p>
      <w:pPr>
        <w:spacing w:before="160" w:after="80" w:line="240" w:lineRule="auto"/>
      </w:pPr>
      <w:r>
        <w:rPr>
          <w:b/>
        </w:rPr>
        <w:t xml:space="preserve">[536] </w:t>
      </w:r>
      <w:hyperlink r:id="rId861">
        <w:r>
          <w:rPr>
            <w:color w:val="1155CC"/>
            <w:u w:val="single"/>
          </w:rPr>
          <w:t>Pathways of pain</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62">
        <w:r>
          <w:rPr>
            <w:color w:val="1155CC"/>
            <w:u w:val="single"/>
          </w:rPr>
          <w:t>10.1126/science.aed4888</w:t>
        </w:r>
      </w:hyperlink>
    </w:p>
    <w:p>
      <w:pPr>
        <w:spacing w:before="0" w:after="120"/>
      </w:pPr>
      <w:r>
        <w:rPr>
          <w:b/>
        </w:rPr>
        <w:t xml:space="preserve">Notes: </w:t>
      </w:r>
      <w:r>
        <w:t>abstract_source=crossref</w:t>
      </w:r>
    </w:p>
    <w:p>
      <w:pPr>
        <w:spacing w:before="0" w:after="200" w:lineRule="auto" w:line="276"/>
      </w:pPr>
      <w:r>
        <w:rPr>
          <w:b/>
        </w:rPr>
        <w:t xml:space="preserve">Abstract: </w:t>
      </w:r>
      <w:r>
        <w:t>Estrogen tunes a cross-talk between hormone-secreting cells in the mouse gut to regulate visceral pain</w:t>
      </w:r>
    </w:p>
    <w:p>
      <w:pPr>
        <w:spacing w:before="120" w:after="120"/>
      </w:pPr>
      <w:r>
        <w:rPr>
          <w:sz w:val="18"/>
        </w:rPr>
        <w:t>——————————————————————————————————————————————————————————————————————</w:t>
      </w:r>
    </w:p>
    <w:p>
      <w:pPr>
        <w:spacing w:before="160" w:after="80" w:line="240" w:lineRule="auto"/>
      </w:pPr>
      <w:r>
        <w:rPr>
          <w:b/>
        </w:rPr>
        <w:t xml:space="preserve">[537] </w:t>
      </w:r>
      <w:hyperlink r:id="rId863">
        <w:r>
          <w:rPr>
            <w:color w:val="1155CC"/>
            <w:u w:val="single"/>
          </w:rPr>
          <w:t>The internet’s deepest infrastructure</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64">
        <w:r>
          <w:rPr>
            <w:color w:val="1155CC"/>
            <w:u w:val="single"/>
          </w:rPr>
          <w:t>10.1126/science.aed4516</w:t>
        </w:r>
      </w:hyperlink>
    </w:p>
    <w:p>
      <w:pPr>
        <w:spacing w:before="0" w:after="120"/>
      </w:pPr>
      <w:r>
        <w:rPr>
          <w:b/>
        </w:rPr>
        <w:t xml:space="preserve">Notes: </w:t>
      </w:r>
      <w:r>
        <w:t>abstract_source=crossref</w:t>
      </w:r>
    </w:p>
    <w:p>
      <w:pPr>
        <w:spacing w:before="0" w:after="200" w:lineRule="auto" w:line="276"/>
      </w:pPr>
      <w:r>
        <w:rPr>
          <w:b/>
        </w:rPr>
        <w:t xml:space="preserve">Abstract: </w:t>
      </w:r>
      <w:r>
        <w:t>Stakeholders vie for control of the underwater cables that underlie modern communications</w:t>
      </w:r>
    </w:p>
    <w:p>
      <w:pPr>
        <w:spacing w:before="120" w:after="120"/>
      </w:pPr>
      <w:r>
        <w:rPr>
          <w:sz w:val="18"/>
        </w:rPr>
        <w:t>——————————————————————————————————————————————————————————————————————</w:t>
      </w:r>
    </w:p>
    <w:p>
      <w:pPr>
        <w:spacing w:before="160" w:after="80" w:line="240" w:lineRule="auto"/>
      </w:pPr>
      <w:r>
        <w:rPr>
          <w:b/>
        </w:rPr>
        <w:t xml:space="preserve">[538] </w:t>
      </w:r>
      <w:hyperlink r:id="rId865">
        <w:r>
          <w:rPr>
            <w:color w:val="1155CC"/>
            <w:u w:val="single"/>
          </w:rPr>
          <w:t>Tricks for treats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66">
        <w:r>
          <w:rPr>
            <w:color w:val="1155CC"/>
            <w:u w:val="single"/>
          </w:rPr>
          <w:t>10.1126/science.aed2724</w:t>
        </w:r>
      </w:hyperlink>
    </w:p>
    <w:p>
      <w:pPr>
        <w:spacing w:before="0" w:after="120"/>
      </w:pPr>
      <w:r>
        <w:rPr>
          <w:b/>
        </w:rPr>
        <w:t xml:space="preserve">Notes: </w:t>
      </w:r>
      <w:r>
        <w:t>abstract_source=crossref</w:t>
      </w:r>
    </w:p>
    <w:p>
      <w:pPr>
        <w:spacing w:before="0" w:after="200" w:lineRule="auto" w:line="276"/>
      </w:pPr>
      <w:r>
        <w:rPr>
          <w:b/>
        </w:rPr>
        <w:t xml:space="preserve">Abstract: </w:t>
      </w:r>
      <w:r>
        <w:t>Plant pathogens use secreted effectors to trick plant cells into providing sugary treats</w:t>
      </w:r>
    </w:p>
    <w:p>
      <w:pPr>
        <w:spacing w:before="120" w:after="120"/>
      </w:pPr>
      <w:r>
        <w:rPr>
          <w:sz w:val="18"/>
        </w:rPr>
        <w:t>——————————————————————————————————————————————————————————————————————</w:t>
      </w:r>
    </w:p>
    <w:p>
      <w:pPr>
        <w:spacing w:before="160" w:after="80" w:line="240" w:lineRule="auto"/>
      </w:pPr>
      <w:r>
        <w:rPr>
          <w:b/>
        </w:rPr>
        <w:t xml:space="preserve">[539] </w:t>
      </w:r>
      <w:hyperlink r:id="rId867">
        <w:r>
          <w:rPr>
            <w:color w:val="1155CC"/>
            <w:u w:val="single"/>
          </w:rPr>
          <w:t>Wildfires mobilize soil pollutants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68">
        <w:r>
          <w:rPr>
            <w:color w:val="1155CC"/>
            <w:u w:val="single"/>
          </w:rPr>
          <w:t>10.1126/science.aed1239</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[540] </w:t>
      </w:r>
      <w:hyperlink r:id="rId869">
        <w:r>
          <w:rPr>
            <w:color w:val="1155CC"/>
            <w:u w:val="single"/>
          </w:rPr>
          <w:t>Soil Hg re-emissions erode control efforts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70">
        <w:r>
          <w:rPr>
            <w:color w:val="1155CC"/>
            <w:u w:val="single"/>
          </w:rPr>
          <w:t>10.1126/science.aed0788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[541] </w:t>
      </w:r>
      <w:hyperlink r:id="rId871">
        <w:r>
          <w:rPr>
            <w:color w:val="1155CC"/>
            <w:u w:val="single"/>
          </w:rPr>
          <w:t>Listening to the languages of nature</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72">
        <w:r>
          <w:rPr>
            <w:color w:val="1155CC"/>
            <w:u w:val="single"/>
          </w:rPr>
          <w:t>10.1126/science.aec6091</w:t>
        </w:r>
      </w:hyperlink>
    </w:p>
    <w:p>
      <w:pPr>
        <w:spacing w:before="0" w:after="120"/>
      </w:pPr>
      <w:r>
        <w:rPr>
          <w:b/>
        </w:rPr>
        <w:t xml:space="preserve">Notes: </w:t>
      </w:r>
      <w:r>
        <w:t>abstract_source=crossref</w:t>
      </w:r>
    </w:p>
    <w:p>
      <w:pPr>
        <w:spacing w:before="0" w:after="200" w:lineRule="auto" w:line="276"/>
      </w:pPr>
      <w:r>
        <w:rPr>
          <w:b/>
        </w:rPr>
        <w:t xml:space="preserve">Abstract: </w:t>
      </w:r>
      <w:r>
        <w:t>A journalist’s collected works probe the dazzling complexity of Earth’s ever-changing ecosystems</w:t>
      </w:r>
    </w:p>
    <w:p>
      <w:pPr>
        <w:spacing w:before="120" w:after="120"/>
      </w:pPr>
      <w:r>
        <w:rPr>
          <w:sz w:val="18"/>
        </w:rPr>
        <w:t>——————————————————————————————————————————————————————————————————————</w:t>
      </w:r>
    </w:p>
    <w:p>
      <w:pPr>
        <w:spacing w:before="160" w:after="80" w:line="240" w:lineRule="auto"/>
      </w:pPr>
      <w:r>
        <w:rPr>
          <w:b/>
        </w:rPr>
        <w:t xml:space="preserve">[542] </w:t>
      </w:r>
      <w:hyperlink r:id="rId873">
        <w:r>
          <w:rPr>
            <w:color w:val="1155CC"/>
            <w:u w:val="single"/>
          </w:rPr>
          <w:t>A century of modern cosmology</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74">
        <w:r>
          <w:rPr>
            <w:color w:val="1155CC"/>
            <w:u w:val="single"/>
          </w:rPr>
          <w:t>10.1126/science.aec1402</w:t>
        </w:r>
      </w:hyperlink>
    </w:p>
    <w:p>
      <w:pPr>
        <w:spacing w:before="0" w:after="120"/>
      </w:pPr>
      <w:r>
        <w:rPr>
          <w:b/>
        </w:rPr>
        <w:t xml:space="preserve">Notes: </w:t>
      </w:r>
      <w:r>
        <w:t>abstract_source=crossref</w:t>
      </w:r>
    </w:p>
    <w:p>
      <w:pPr>
        <w:spacing w:before="0" w:after="200" w:lineRule="auto" w:line="276"/>
      </w:pPr>
      <w:r>
        <w:rPr>
          <w:b/>
        </w:rPr>
        <w:t xml:space="preserve">Abstract: </w:t>
      </w:r>
      <w:r>
        <w:t>Edwin Hubble’s measurement of a galaxy beyond the Milky Way led to the discovery of cosmic expansion</w:t>
      </w:r>
    </w:p>
    <w:p>
      <w:pPr>
        <w:spacing w:before="120" w:after="120"/>
      </w:pPr>
      <w:r>
        <w:rPr>
          <w:sz w:val="18"/>
        </w:rPr>
        <w:t>——————————————————————————————————————————————————————————————————————</w:t>
      </w:r>
    </w:p>
    <w:p>
      <w:pPr>
        <w:spacing w:before="160" w:after="80" w:line="240" w:lineRule="auto"/>
      </w:pPr>
      <w:r>
        <w:rPr>
          <w:b/>
        </w:rPr>
        <w:t xml:space="preserve">[543] </w:t>
      </w:r>
      <w:hyperlink r:id="rId875">
        <w:r>
          <w:rPr>
            <w:color w:val="1155CC"/>
            <w:u w:val="single"/>
          </w:rPr>
          <w:t>2025 AAAS Kavli Science Journalism Award winners named</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76">
        <w:r>
          <w:rPr>
            <w:color w:val="1155CC"/>
            <w:u w:val="single"/>
          </w:rPr>
          <w:t>10.1126/science.aee7304</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[544] </w:t>
      </w:r>
      <w:hyperlink r:id="rId877">
        <w:r>
          <w:rPr>
            <w:color w:val="1155CC"/>
            <w:u w:val="single"/>
          </w:rPr>
          <w:t>Risks of per- and polyfluoroalkyl substance exposure through marine fish consumption</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78">
        <w:r>
          <w:rPr>
            <w:color w:val="1155CC"/>
            <w:u w:val="single"/>
          </w:rPr>
          <w:t>10.1126/science.adr0351</w:t>
        </w:r>
      </w:hyperlink>
    </w:p>
    <w:p>
      <w:pPr>
        <w:spacing w:before="0" w:after="120"/>
      </w:pPr>
      <w:r>
        <w:rPr>
          <w:b/>
        </w:rPr>
        <w:t xml:space="preserve">Notes: </w:t>
      </w:r>
      <w:r>
        <w:t>abstract_source=crossref</w:t>
      </w:r>
    </w:p>
    <w:p>
      <w:pPr>
        <w:spacing w:before="0" w:after="200" w:lineRule="auto" w:line="276"/>
      </w:pPr>
      <w:r>
        <w:rPr>
          <w:b/>
        </w:rPr>
        <w:t xml:space="preserve">Abstract: </w:t>
      </w:r>
      <w:r>
        <w:t>Global food trade expansion has enriched diets worldwide but also heightened concerns about contaminant spread. Per- and polyfluoroalkyl substances (PFAS) can persist in the environment for decades, yet their risks through food trade remain unclear. The global median estimated daily intake (EDI) of C8-PFAS (perfluorooctanoic acid and perfluorooctane sulfonate) (0.023 nanograms per kilograms per day) was mapped from 212 marine fish species, which indicated higher EDIs in North America, Oceania, and Europe. Furthermore, European countries play a pivotal role in C8-PFAS trade flows, markedly reshaping exposure pathways and driving increased exposure in many nations. These dynamics highlight the importance of establishing food-safety regulations and international trade standards. Although perfluorooctane sulfonate hazard index decreased by 72% after its 2009 regulations, unregulated long-chain PFAS continue to pose elevated risks.</w:t>
      </w:r>
    </w:p>
    <w:p>
      <w:pPr>
        <w:spacing w:before="120" w:after="120"/>
      </w:pPr>
      <w:r>
        <w:rPr>
          <w:sz w:val="18"/>
        </w:rPr>
        <w:t>——————————————————————————————————————————————————————————————————————</w:t>
      </w:r>
    </w:p>
    <w:p>
      <w:pPr>
        <w:spacing w:before="160" w:after="80" w:line="240" w:lineRule="auto"/>
      </w:pPr>
      <w:r>
        <w:rPr>
          <w:b/>
        </w:rPr>
        <w:t xml:space="preserve">[545] </w:t>
      </w:r>
      <w:hyperlink r:id="rId879">
        <w:r>
          <w:rPr>
            <w:color w:val="1155CC"/>
            <w:u w:val="single"/>
          </w:rPr>
          <w:t>In Science Journals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80">
        <w:r>
          <w:rPr>
            <w:color w:val="1155CC"/>
            <w:u w:val="single"/>
          </w:rPr>
          <w:t>10.1126/science.aee7987</w:t>
        </w:r>
      </w:hyperlink>
    </w:p>
    <w:p>
      <w:pPr>
        <w:spacing w:before="0" w:after="120"/>
      </w:pPr>
      <w:r>
        <w:rPr>
          <w:b/>
        </w:rPr>
        <w:t xml:space="preserve">Notes: </w:t>
      </w:r>
      <w:r>
        <w:t>abstract_source=crossref</w:t>
      </w:r>
    </w:p>
    <w:p>
      <w:pPr>
        <w:spacing w:before="0" w:after="200" w:lineRule="auto" w:line="276"/>
      </w:pPr>
      <w:r>
        <w:rPr>
          <w:b/>
        </w:rPr>
        <w:t xml:space="preserve">Abstract: </w:t>
      </w:r>
      <w:r>
        <w:t>Highlights from the</w:t>
      </w:r>
      <w:r>
        <w:t xml:space="preserve"> </w:t>
      </w:r>
      <w:r>
        <w:t>Science</w:t>
      </w:r>
      <w:r>
        <w:t xml:space="preserve"> </w:t>
      </w:r>
      <w:r>
        <w:t>family of journals</w:t>
      </w:r>
    </w:p>
    <w:p>
      <w:pPr>
        <w:spacing w:before="120" w:after="120"/>
      </w:pPr>
      <w:r>
        <w:rPr>
          <w:sz w:val="18"/>
        </w:rPr>
        <w:t>——————————————————————————————————————————————————————————————————————</w:t>
      </w:r>
    </w:p>
    <w:p>
      <w:pPr>
        <w:spacing w:before="160" w:after="80" w:line="240" w:lineRule="auto"/>
      </w:pPr>
      <w:r>
        <w:rPr>
          <w:b/>
        </w:rPr>
        <w:t xml:space="preserve">[546] </w:t>
      </w:r>
      <w:hyperlink r:id="rId881">
        <w:r>
          <w:rPr>
            <w:color w:val="1155CC"/>
            <w:u w:val="single"/>
          </w:rPr>
          <w:t>In Other Journals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82">
        <w:r>
          <w:rPr>
            <w:color w:val="1155CC"/>
            <w:u w:val="single"/>
          </w:rPr>
          <w:t>10.1126/science.aee7988</w:t>
        </w:r>
      </w:hyperlink>
    </w:p>
    <w:p>
      <w:pPr>
        <w:spacing w:before="0" w:after="120"/>
      </w:pPr>
      <w:r>
        <w:rPr>
          <w:b/>
        </w:rPr>
        <w:t xml:space="preserve">Notes: </w:t>
      </w:r>
      <w:r>
        <w:t>abstract_source=crossref</w:t>
      </w:r>
    </w:p>
    <w:p>
      <w:pPr>
        <w:spacing w:before="0" w:after="200" w:lineRule="auto" w:line="276"/>
      </w:pPr>
      <w:r>
        <w:rPr>
          <w:b/>
        </w:rPr>
        <w:t xml:space="preserve">Abstract: </w:t>
      </w:r>
      <w:r>
        <w:t>Editors’ selections from the current scientific literature</w:t>
      </w:r>
    </w:p>
    <w:p>
      <w:pPr>
        <w:spacing w:before="120" w:after="120"/>
      </w:pPr>
      <w:r>
        <w:rPr>
          <w:sz w:val="18"/>
        </w:rPr>
        <w:t>——————————————————————————————————————————————————————————————————————</w:t>
      </w:r>
    </w:p>
    <w:p>
      <w:pPr>
        <w:spacing w:before="160" w:after="80" w:line="240" w:lineRule="auto"/>
      </w:pPr>
      <w:r>
        <w:rPr>
          <w:b/>
        </w:rPr>
        <w:t xml:space="preserve">[547] </w:t>
      </w:r>
      <w:hyperlink r:id="rId883">
        <w:r>
          <w:rPr>
            <w:color w:val="1155CC"/>
            <w:u w:val="single"/>
          </w:rPr>
          <w:t>Good morning, sunshine</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84">
        <w:r>
          <w:rPr>
            <w:color w:val="1155CC"/>
            <w:u w:val="single"/>
          </w:rPr>
          <w:t>10.1126/science.aee8000</w:t>
        </w:r>
      </w:hyperlink>
    </w:p>
    <w:p>
      <w:pPr>
        <w:spacing w:before="0" w:after="120"/>
      </w:pPr>
      <w:r>
        <w:rPr>
          <w:b/>
        </w:rPr>
        <w:t xml:space="preserve">Notes: </w:t>
      </w:r>
      <w:r>
        <w:t>abstract_source=crossref</w:t>
      </w:r>
    </w:p>
    <w:p>
      <w:pPr>
        <w:spacing w:before="0" w:after="200" w:lineRule="auto" w:line="276"/>
      </w:pPr>
      <w:r>
        <w:rPr>
          <w:b/>
        </w:rPr>
        <w:t xml:space="preserve">Abstract: </w:t>
      </w:r>
      <w:r>
        <w:t>The seemingly unstoppable growth of renewable energy is</w:t>
      </w:r>
      <w:r>
        <w:t xml:space="preserve"> </w:t>
      </w:r>
      <w:r>
        <w:t>Science</w:t>
      </w:r>
      <w:r>
        <w:t xml:space="preserve"> </w:t>
      </w:r>
      <w:r>
        <w:t>’s 2025 Breakthrough of the Year</w:t>
      </w:r>
    </w:p>
    <w:p>
      <w:pPr>
        <w:spacing w:before="120" w:after="120"/>
      </w:pPr>
      <w:r>
        <w:rPr>
          <w:sz w:val="18"/>
        </w:rPr>
        <w:t>——————————————————————————————————————————————————————————————————————</w:t>
      </w:r>
    </w:p>
    <w:p>
      <w:pPr>
        <w:spacing w:before="160" w:after="80" w:line="240" w:lineRule="auto"/>
      </w:pPr>
      <w:r>
        <w:rPr>
          <w:b/>
        </w:rPr>
        <w:t xml:space="preserve">[548] </w:t>
      </w:r>
      <w:hyperlink r:id="rId885">
        <w:r>
          <w:rPr>
            <w:color w:val="1155CC"/>
            <w:u w:val="single"/>
          </w:rPr>
          <w:t>The green giant</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86">
        <w:r>
          <w:rPr>
            <w:color w:val="1155CC"/>
            <w:u w:val="single"/>
          </w:rPr>
          <w:t>10.1126/science.aee8001</w:t>
        </w:r>
      </w:hyperlink>
    </w:p>
    <w:p>
      <w:pPr>
        <w:spacing w:before="0" w:after="120"/>
      </w:pPr>
      <w:r>
        <w:rPr>
          <w:b/>
        </w:rPr>
        <w:t xml:space="preserve">Notes: </w:t>
      </w:r>
      <w:r>
        <w:t>abstract_source=crossref</w:t>
      </w:r>
    </w:p>
    <w:p>
      <w:pPr>
        <w:spacing w:before="0" w:after="200" w:lineRule="auto" w:line="276"/>
      </w:pPr>
      <w:r>
        <w:rPr>
          <w:b/>
        </w:rPr>
        <w:t xml:space="preserve">Abstract: </w:t>
      </w:r>
      <w:r>
        <w:t>Images of China’s clean energy infrastructure reveal a transformation of unmatched scale and speed</w:t>
      </w:r>
    </w:p>
    <w:p>
      <w:pPr>
        <w:spacing w:before="120" w:after="120"/>
      </w:pPr>
      <w:r>
        <w:rPr>
          <w:sz w:val="18"/>
        </w:rPr>
        <w:t>——————————————————————————————————————————————————————————————————————</w:t>
      </w:r>
    </w:p>
    <w:p>
      <w:pPr>
        <w:spacing w:before="160" w:after="80" w:line="240" w:lineRule="auto"/>
      </w:pPr>
      <w:r>
        <w:rPr>
          <w:b/>
        </w:rPr>
        <w:t xml:space="preserve">[549] </w:t>
      </w:r>
      <w:hyperlink r:id="rId887">
        <w:r>
          <w:rPr>
            <w:color w:val="1155CC"/>
            <w:u w:val="single"/>
          </w:rPr>
          <w:t>Runners-up</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88">
        <w:r>
          <w:rPr>
            <w:color w:val="1155CC"/>
            <w:u w:val="single"/>
          </w:rPr>
          <w:t>10.1126/science.aee8002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[550] </w:t>
      </w:r>
      <w:hyperlink r:id="rId889">
        <w:r>
          <w:rPr>
            <w:color w:val="1155CC"/>
            <w:u w:val="single"/>
          </w:rPr>
          <w:t>Breakdowns of the year</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90">
        <w:r>
          <w:rPr>
            <w:color w:val="1155CC"/>
            <w:u w:val="single"/>
          </w:rPr>
          <w:t>10.1126/science.aee8012</w:t>
        </w:r>
      </w:hyperlink>
    </w:p>
    <w:p>
      <w:pPr>
        <w:spacing w:before="0" w:after="120"/>
      </w:pPr>
      <w:r>
        <w:rPr>
          <w:b/>
        </w:rPr>
        <w:t xml:space="preserve">Notes: </w:t>
      </w:r>
      <w:r>
        <w:t>abstract_source=crossref</w:t>
      </w:r>
    </w:p>
    <w:p>
      <w:pPr>
        <w:spacing w:before="0" w:after="200" w:lineRule="auto" w:line="276"/>
      </w:pPr>
      <w:r>
        <w:rPr>
          <w:b/>
        </w:rPr>
        <w:t xml:space="preserve">Abstract: </w:t>
      </w:r>
      <w:r>
        <w:t>What went wrong in the world of science</w:t>
      </w:r>
    </w:p>
    <w:p>
      <w:pPr>
        <w:spacing w:before="120" w:after="120"/>
      </w:pPr>
      <w:r>
        <w:rPr>
          <w:sz w:val="18"/>
        </w:rPr>
        <w:t>——————————————————————————————————————————————————————————————————————</w:t>
      </w:r>
    </w:p>
    <w:p>
      <w:pPr>
        <w:spacing w:before="160" w:after="80" w:line="240" w:lineRule="auto"/>
      </w:pPr>
      <w:r>
        <w:rPr>
          <w:b/>
        </w:rPr>
        <w:t xml:space="preserve">[551] </w:t>
      </w:r>
      <w:hyperlink r:id="rId891">
        <w:r>
          <w:rPr>
            <w:color w:val="1155CC"/>
            <w:u w:val="single"/>
          </w:rPr>
          <w:t>Xanthomonas coordinates type III–type II effector synergy by activating fruit-ripening pathway</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92">
        <w:r>
          <w:rPr>
            <w:color w:val="1155CC"/>
            <w:u w:val="single"/>
          </w:rPr>
          <w:t>10.1126/science.adz9239</w:t>
        </w:r>
      </w:hyperlink>
    </w:p>
    <w:p>
      <w:pPr>
        <w:spacing w:before="0" w:after="120"/>
      </w:pPr>
      <w:r>
        <w:rPr>
          <w:b/>
        </w:rPr>
        <w:t xml:space="preserve">Notes: </w:t>
      </w:r>
      <w:r>
        <w:t>abstract_source=crossref</w:t>
      </w:r>
    </w:p>
    <w:p>
      <w:pPr>
        <w:spacing w:before="0" w:after="200" w:lineRule="auto" w:line="276"/>
      </w:pPr>
      <w:r>
        <w:rPr>
          <w:b/>
        </w:rPr>
        <w:t xml:space="preserve">Abstract: </w:t>
      </w:r>
      <w:r>
        <w:t>Plant cell walls harbor vast carbohydrate reserves, yet how pathogens unlock them remains unclear. We show that the citrus canker pathogen</w:t>
      </w:r>
      <w:r>
        <w:t xml:space="preserve"> </w:t>
      </w:r>
      <w:r>
        <w:t>Xanthomonas citri</w:t>
      </w:r>
      <w:r>
        <w:t xml:space="preserve"> </w:t>
      </w:r>
      <w:r>
        <w:t>subsp.</w:t>
      </w:r>
      <w:r>
        <w:t xml:space="preserve"> </w:t>
      </w:r>
      <w:r>
        <w:t>citri</w:t>
      </w:r>
      <w:r>
        <w:t xml:space="preserve"> </w:t>
      </w:r>
      <w:r>
        <w:t>(</w:t>
      </w:r>
      <w:r>
        <w:t xml:space="preserve"> </w:t>
      </w:r>
      <w:r>
        <w:t>Xcc</w:t>
      </w:r>
      <w:r>
        <w:t xml:space="preserve"> </w:t>
      </w:r>
      <w:r>
        <w:t>) mobilizes cell wall sugars by hijacking a fruit-ripening program through the type III effector PthA4, which activates the ripening coordinator CsLOB1. CsLOB1 induces approximately 100 genes, many encoding enzymes involved in cell wall breakdown. In the nonfruiting species</w:t>
      </w:r>
      <w:r>
        <w:t xml:space="preserve"> </w:t>
      </w:r>
      <w:r>
        <w:t>Nicotiana benthamiana</w:t>
      </w:r>
      <w:r>
        <w:t xml:space="preserve"> </w:t>
      </w:r>
      <w:r>
        <w:t>, CsLOB1 likewise promotes</w:t>
      </w:r>
      <w:r>
        <w:t xml:space="preserve"> </w:t>
      </w:r>
      <w:r>
        <w:t>Xanthomonas</w:t>
      </w:r>
      <w:r>
        <w:t xml:space="preserve"> </w:t>
      </w:r>
      <w:r>
        <w:t>growth, showing that its activity is not strictly dependent on a ripening program. Transcriptomics and reporter assays revealed PthA4-dependent activation of the</w:t>
      </w:r>
      <w:r>
        <w:t xml:space="preserve"> </w:t>
      </w:r>
      <w:r>
        <w:t>Xcc</w:t>
      </w:r>
      <w:r>
        <w:t xml:space="preserve"> </w:t>
      </w:r>
      <w:r>
        <w:t>xylan CUT system, triggered by host-derived xylose and including a type II–secreted xylanase. Thus, PthA4-driven cell wall remodeling activates bacterial xylan use, establishing a TIII–TII effector feedforward loop that fuels</w:t>
      </w:r>
      <w:r>
        <w:t xml:space="preserve"> </w:t>
      </w:r>
      <w:r>
        <w:t>Xcc</w:t>
      </w:r>
      <w:r>
        <w:t xml:space="preserve"> </w:t>
      </w:r>
      <w:r>
        <w:t>proliferation.</w:t>
      </w:r>
    </w:p>
    <w:p>
      <w:pPr>
        <w:spacing w:before="120" w:after="120"/>
      </w:pPr>
      <w:r>
        <w:rPr>
          <w:sz w:val="18"/>
        </w:rPr>
        <w:t>——————————————————————————————————————————————————————————————————————</w:t>
      </w:r>
    </w:p>
    <w:p>
      <w:pPr>
        <w:spacing w:before="160" w:after="80" w:line="240" w:lineRule="auto"/>
      </w:pPr>
      <w:r>
        <w:rPr>
          <w:b/>
        </w:rPr>
        <w:t xml:space="preserve">[552] </w:t>
      </w:r>
      <w:hyperlink r:id="rId893">
        <w:r>
          <w:rPr>
            <w:color w:val="1155CC"/>
            <w:u w:val="single"/>
          </w:rPr>
          <w:t>Scientific production in the era of large language models</w:t>
        </w:r>
      </w:hyperlink>
    </w:p>
    <w:p>
      <w:pPr>
        <w:spacing w:before="0" w:after="120" w:line="240" w:lineRule="auto"/>
      </w:pPr>
      <w:r>
        <w:rPr>
          <w:b/>
        </w:rPr>
        <w:t xml:space="preserve">Source: </w:t>
      </w:r>
      <w:r>
        <w:t>AAAS: Science: Table of Contents</w:t>
      </w:r>
      <w:r>
        <w:t xml:space="preserve">    </w:t>
      </w:r>
      <w:r>
        <w:rPr>
          <w:b/>
        </w:rPr>
        <w:t xml:space="preserve">Pub date: </w:t>
      </w:r>
      <w:r>
        <w:t>2025-12-18 07:00:11+00:00</w:t>
      </w:r>
      <w:r>
        <w:t xml:space="preserve">    </w:t>
      </w:r>
      <w:r>
        <w:rPr>
          <w:b/>
        </w:rPr>
        <w:t xml:space="preserve">DOI: </w:t>
      </w:r>
      <w:hyperlink r:id="rId894">
        <w:r>
          <w:rPr>
            <w:color w:val="1155CC"/>
            <w:u w:val="single"/>
          </w:rPr>
          <w:t>10.1126/science.adw3000</w:t>
        </w:r>
      </w:hyperlink>
    </w:p>
    <w:p>
      <w:pPr>
        <w:spacing w:before="0" w:after="120"/>
      </w:pPr>
      <w:r>
        <w:rPr>
          <w:b/>
        </w:rPr>
        <w:t xml:space="preserve">Notes: </w:t>
      </w:r>
      <w:r>
        <w:t>abstract_source=crossref</w:t>
      </w:r>
    </w:p>
    <w:p>
      <w:pPr>
        <w:spacing w:before="0" w:after="200" w:lineRule="auto" w:line="276"/>
      </w:pPr>
      <w:r>
        <w:rPr>
          <w:b/>
        </w:rPr>
        <w:t xml:space="preserve">Abstract: </w:t>
      </w:r>
      <w:r>
        <w:t>With the production process rapidly evolving, science policy must consider how institutions could evolve</w:t>
      </w:r>
    </w:p>
    <w:p>
      <w:pPr>
        <w:spacing w:before="120" w:after="120"/>
      </w:pPr>
      <w:r>
        <w:rPr>
          <w:sz w:val="18"/>
        </w:rPr>
        <w:t>——————————————————————————————————————————————————————————————————————</w:t>
      </w:r>
    </w:p>
    <w:p>
      <w:pPr>
        <w:spacing w:before="160" w:after="80" w:line="240" w:lineRule="auto"/>
      </w:pPr>
      <w:r>
        <w:rPr>
          <w:b/>
        </w:rPr>
        <w:t xml:space="preserve">[553] </w:t>
      </w:r>
      <w:hyperlink r:id="rId895">
        <w:r>
          <w:rPr>
            <w:color w:val="1155CC"/>
            <w:u w:val="single"/>
          </w:rPr>
          <w:t>Concurrently Achieving 10 mAh cm−2 and Ultralow Binder Content via Active‐Surface‐Guided Fibrillation for Fab‐Scale Dry‐Processed Lithium‐ion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2025-12-18 07:24:13+00:00</w:t>
      </w:r>
      <w:r>
        <w:t xml:space="preserve">    </w:t>
      </w:r>
      <w:r>
        <w:rPr>
          <w:b/>
        </w:rPr>
        <w:t xml:space="preserve">DOI: </w:t>
      </w:r>
      <w:hyperlink r:id="rId896">
        <w:r>
          <w:rPr>
            <w:color w:val="1155CC"/>
            <w:u w:val="single"/>
          </w:rPr>
          <w:t>10.1002/aenm.202504005</w:t>
        </w:r>
      </w:hyperlink>
    </w:p>
    <w:p>
      <w:pPr>
        <w:spacing w:before="0" w:after="120"/>
      </w:pPr>
      <w:r>
        <w:rPr>
          <w:b/>
        </w:rPr>
        <w:t xml:space="preserve">Notes: </w:t>
      </w:r>
      <w:r>
        <w:t>abstract_source=crossref</w:t>
      </w:r>
    </w:p>
    <w:p>
      <w:pPr>
        <w:spacing w:before="0" w:after="200" w:lineRule="auto" w:line="276"/>
      </w:pPr>
      <w:r>
        <w:rPr>
          <w:b/>
        </w:rPr>
        <w:t xml:space="preserve">Abstract: </w:t>
      </w:r>
      <w:r>
        <w:t>Binder fibrillation‐based dry electrode manufacturing is a promising strategy for producing thick electrodes for high‐energy‐density lithium‐ion batteries. However, its roll‐to‐roll scalability remains limited by competing demands among process efficiency, mechanical integrity, and electrochemical performance, particularly under reduced binder content. Here, we address these challenges by investigating the fibrillation behavior of polytetrafluoroethylene (PTFE) binders depending on carbon additive type. Among the tested architectures, carbon nanotube (CNT) coating significantly improves key commercial metrics—reducing kneading time by over 75%, enhancing mechanical strength, and achieving superior electrochemical performance—while also offering compatibility with roll‐to‐roll manufacturing. Notably, this improvement stems from a shift in the shear force transfer medium—from isolated carbon additives to the modified surface of active materials—which enables active‐surface‐guided fibrillation and robust binder network formation. Based on this design rule, we demonstrate fab‐scale electrodes (≥100 g batch) with an areal capacity of 10 mAh cm</w:t>
      </w:r>
      <w:r>
        <w:t xml:space="preserve"> </w:t>
      </w:r>
      <w:r>
        <w:t>−2</w:t>
      </w:r>
      <w:r>
        <w:t xml:space="preserve"> </w:t>
      </w:r>
      <w:r>
        <w:t>and ultralow binder content (0.3 wt.%). These electrodes exhibit excellent rate capability (71.3% at 1C) and &amp;gt;78% capacity retention over 500 cycles in graphite full cells. Furthermore, a 1 Ah‐class Li‐metal pouch cell and fully dry‐processed pouch cell confirm the scalability of this approach and set a new benchmark in dry electrode processing.</w:t>
      </w:r>
    </w:p>
    <w:p>
      <w:pPr>
        <w:spacing w:before="120" w:after="120"/>
      </w:pPr>
      <w:r>
        <w:rPr>
          <w:sz w:val="18"/>
        </w:rPr>
        <w:t>——————————————————————————————————————————————————————————————————————</w:t>
      </w:r>
    </w:p>
    <w:p>
      <w:pPr>
        <w:spacing w:before="160" w:after="80" w:line="240" w:lineRule="auto"/>
      </w:pPr>
      <w:r>
        <w:rPr>
          <w:b/>
        </w:rPr>
        <w:t xml:space="preserve">[554] </w:t>
      </w:r>
      <w:hyperlink r:id="rId897">
        <w:r>
          <w:rPr>
            <w:color w:val="1155CC"/>
            <w:u w:val="single"/>
          </w:rPr>
          <w:t>A Long‐Life and Safe Ni‐Rich Cathode Material for Lithium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2025-12-18 07:25:47+00:00</w:t>
      </w:r>
      <w:r>
        <w:t xml:space="preserve">    </w:t>
      </w:r>
      <w:r>
        <w:rPr>
          <w:b/>
        </w:rPr>
        <w:t xml:space="preserve">DOI: </w:t>
      </w:r>
      <w:hyperlink r:id="rId898">
        <w:r>
          <w:rPr>
            <w:color w:val="1155CC"/>
            <w:u w:val="single"/>
          </w:rPr>
          <w:t>10.1002/aenm.202505925</w:t>
        </w:r>
      </w:hyperlink>
    </w:p>
    <w:p>
      <w:pPr>
        <w:spacing w:before="0" w:after="120"/>
      </w:pPr>
      <w:r>
        <w:rPr>
          <w:b/>
        </w:rPr>
        <w:t xml:space="preserve">Notes: </w:t>
      </w:r>
      <w:r>
        <w:t>abstract_source=crossref</w:t>
      </w:r>
    </w:p>
    <w:p>
      <w:pPr>
        <w:spacing w:before="0" w:after="200" w:lineRule="auto" w:line="276"/>
      </w:pPr>
      <w:r>
        <w:rPr>
          <w:b/>
        </w:rPr>
        <w:t xml:space="preserve">Abstract: </w:t>
      </w:r>
      <w:r>
        <w:t>High‐energy Ni‐rich (≥90%) cathodes are inherently unstable during cycling, exhibit extensive gassing, and have poor thermal safety, limiting their use in long‐life battery applications. Addressing these issues not only requires developing an innovative cathode design, but also implementing an electrolyte tailored for cathode/electrolyte compatibility. Herein, we introduce the use of Li[Ni</w:t>
      </w:r>
      <w:r>
        <w:t xml:space="preserve"> </w:t>
      </w:r>
      <w:r>
        <w:t>0.902</w:t>
      </w:r>
      <w:r>
        <w:t xml:space="preserve"> </w:t>
      </w:r>
      <w:r>
        <w:t>Co</w:t>
      </w:r>
      <w:r>
        <w:t xml:space="preserve"> </w:t>
      </w:r>
      <w:r>
        <w:t>0.081</w:t>
      </w:r>
      <w:r>
        <w:t xml:space="preserve"> </w:t>
      </w:r>
      <w:r>
        <w:t>Al</w:t>
      </w:r>
      <w:r>
        <w:t xml:space="preserve"> </w:t>
      </w:r>
      <w:r>
        <w:t>0.010</w:t>
      </w:r>
      <w:r>
        <w:t xml:space="preserve"> </w:t>
      </w:r>
      <w:r>
        <w:t>B</w:t>
      </w:r>
      <w:r>
        <w:t xml:space="preserve"> </w:t>
      </w:r>
      <w:r>
        <w:t>0.007</w:t>
      </w:r>
      <w:r>
        <w:t xml:space="preserve"> </w:t>
      </w:r>
      <w:r>
        <w:t>]O</w:t>
      </w:r>
      <w:r>
        <w:rPr>
          <w:vertAlign w:val="subscript"/>
        </w:rPr>
        <w:t>2</w:t>
      </w:r>
      <w:r>
        <w:t>as a structurally and chemically redesigned cathode material, in combination with 1:9 fluoroethylene carbonate:ethyl methyl carbonate, as a cathode‐customized ethylene carbonate‐free electrolyte that addresses the aforementioned issues. This cathode/electrolyte system breaks away from the conventional degradation mechanisms reported in Ni‐rich cathodes. The developed cathode exhibited an excellent cycle life (10 000 cycles) and suppressed gas evolution even when its particles are extensively cracked, with its performance validated under practically relevant conditions, including a high electrode density (3.2 g cm</w:t>
      </w:r>
      <w:r>
        <w:t xml:space="preserve"> </w:t>
      </w:r>
      <w:r>
        <w:t>−3</w:t>
      </w:r>
      <w:r>
        <w:t xml:space="preserve"> </w:t>
      </w:r>
      <w:r>
        <w:t>) and capacity (700 mAh). In contrast to a conventional Ni‐rich cathode that experiences exacerbated thermal safety issues when cycled, the configuration reported herein maintained its thermal stability even after long‐term cycles. Collectively, the developed Ni‐rich‐cathode/electrolyte system transcends the traditional limitations of Ni‐rich cathodes and provides opportunities for redefining the practical limits of high‐energy, long‐life, and safe batteries.</w:t>
      </w:r>
    </w:p>
    <w:p>
      <w:pPr>
        <w:spacing w:before="120" w:after="120"/>
      </w:pPr>
      <w:r>
        <w:rPr>
          <w:sz w:val="18"/>
        </w:rPr>
        <w:t>——————————————————————————————————————————————————————————————————————</w:t>
      </w:r>
    </w:p>
    <w:p>
      <w:pPr>
        <w:spacing w:before="160" w:after="80" w:line="240" w:lineRule="auto"/>
      </w:pPr>
      <w:r>
        <w:rPr>
          <w:b/>
        </w:rPr>
        <w:t xml:space="preserve">[555] </w:t>
      </w:r>
      <w:hyperlink r:id="rId899">
        <w:r>
          <w:rPr>
            <w:color w:val="1155CC"/>
            <w:u w:val="single"/>
          </w:rPr>
          <w:t>Control of Covalent Bond Enables Efficient Magnetic Cooling</w:t>
        </w:r>
      </w:hyperlink>
    </w:p>
    <w:p>
      <w:pPr>
        <w:spacing w:before="0" w:after="120" w:line="240" w:lineRule="auto"/>
      </w:pPr>
      <w:r>
        <w:rPr>
          <w:b/>
        </w:rPr>
        <w:t xml:space="preserve">Source: </w:t>
      </w:r>
      <w:r>
        <w:t>Wiley: Advanced Materials: Table of Contents</w:t>
      </w:r>
      <w:r>
        <w:t xml:space="preserve">    </w:t>
      </w:r>
      <w:r>
        <w:rPr>
          <w:b/>
        </w:rPr>
        <w:t xml:space="preserve">Pub date: </w:t>
      </w:r>
      <w:r>
        <w:t>2025-12-18 07:26:09+00:00</w:t>
      </w:r>
      <w:r>
        <w:t xml:space="preserve">    </w:t>
      </w:r>
      <w:r>
        <w:rPr>
          <w:b/>
        </w:rPr>
        <w:t xml:space="preserve">DOI: </w:t>
      </w:r>
      <w:hyperlink r:id="rId900">
        <w:r>
          <w:rPr>
            <w:color w:val="1155CC"/>
            <w:u w:val="single"/>
          </w:rPr>
          <w:t>10.1002/adma.202514295</w:t>
        </w:r>
      </w:hyperlink>
    </w:p>
    <w:p>
      <w:pPr>
        <w:spacing w:before="0" w:after="120"/>
      </w:pPr>
      <w:r>
        <w:rPr>
          <w:b/>
        </w:rPr>
        <w:t xml:space="preserve">Notes: </w:t>
      </w:r>
      <w:r>
        <w:t>abstract_source=crossref</w:t>
      </w:r>
    </w:p>
    <w:p>
      <w:pPr>
        <w:spacing w:before="0" w:after="200" w:lineRule="auto" w:line="276"/>
      </w:pPr>
      <w:r>
        <w:rPr>
          <w:b/>
        </w:rPr>
        <w:t xml:space="preserve">Abstract: </w:t>
      </w:r>
      <w:r>
        <w:t>Magnetic cooling, harnessing the temperature change in matter when exposed to a magnetic field, presents an energy‐efficient and climate‐friendly alternative to traditional vapor‐compression refrigeration systems, with a significantly lower global warming potential. The advancement of this technology would be accelerated if irreversible losses arising from hysteresis in magnetocaloric materials are minimized. Despite extensive efforts to manipulate crystal lattice constants at the unit‐cell level, mitigating hysteresis often compromises cooling performance. Herein, we address this persistent challenge by forming Sn(Ge)</w:t>
      </w:r>
      <w:r>
        <w:rPr>
          <w:vertAlign w:val="subscript"/>
        </w:rPr>
        <w:t>3</w:t>
      </w:r>
      <w:r>
        <w:t>−Sn(Ge)</w:t>
      </w:r>
      <w:r>
        <w:rPr>
          <w:vertAlign w:val="subscript"/>
        </w:rPr>
        <w:t>3</w:t>
      </w:r>
      <w:r>
        <w:t>bonds within the unit cell of the Gd</w:t>
      </w:r>
      <w:r>
        <w:rPr>
          <w:vertAlign w:val="subscript"/>
        </w:rPr>
        <w:t>5</w:t>
      </w:r>
      <w:r>
        <w:t>Ge</w:t>
      </w:r>
      <w:r>
        <w:rPr>
          <w:vertAlign w:val="subscript"/>
        </w:rPr>
        <w:t>4</w:t>
      </w:r>
      <w:r>
        <w:t>compound. This approach enables an energetically favorable phase transition, leading to the elimination of thermal hysteresis. Consequently, we achieve a synergistic improvement of two key magnetocaloric figures of merit: a larger magnetic entropy change and a twofold increase in the reversible adiabatic temperature change (from 3.8 to 8 K) in the Gd</w:t>
      </w:r>
      <w:r>
        <w:rPr>
          <w:vertAlign w:val="subscript"/>
        </w:rPr>
        <w:t>5</w:t>
      </w:r>
      <w:r>
        <w:t>Sn</w:t>
      </w:r>
      <w:r>
        <w:rPr>
          <w:vertAlign w:val="subscript"/>
        </w:rPr>
        <w:t>2</w:t>
      </w:r>
      <w:r>
        <w:t>Ge</w:t>
      </w:r>
      <w:r>
        <w:rPr>
          <w:vertAlign w:val="subscript"/>
        </w:rPr>
        <w:t>2</w:t>
      </w:r>
      <w:r>
        <w:t>compound. Such synergies can be extended over a wide temperature range of 40–160 K. This study demonstrates a paradigm shift in mastering hysteresis toward simultaneously achieving exceptional magnetocaloric metrics and opens up promising avenues for gas liquefaction applications in the longstanding pursuit of sustainable energy solutions.</w:t>
      </w:r>
    </w:p>
    <w:p>
      <w:pPr>
        <w:spacing w:before="120" w:after="120"/>
      </w:pPr>
      <w:r>
        <w:rPr>
          <w:sz w:val="18"/>
        </w:rPr>
        <w:t>——————————————————————————————————————————————————————————————————————</w:t>
      </w:r>
    </w:p>
    <w:p>
      <w:pPr>
        <w:spacing w:before="160" w:after="80" w:line="240" w:lineRule="auto"/>
      </w:pPr>
      <w:r>
        <w:rPr>
          <w:b/>
        </w:rPr>
        <w:t xml:space="preserve">[556] </w:t>
      </w:r>
      <w:hyperlink r:id="rId901">
        <w:r>
          <w:rPr>
            <w:color w:val="1155CC"/>
            <w:u w:val="single"/>
          </w:rPr>
          <w:t>Roles of Single‐Atoms and Nanoparticles of Nickel‐Based Catalysts for Oxygen‐Involved Dry Reforming of Methane at Low Temperatures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2025-12-18 07:26:46+00:00</w:t>
      </w:r>
      <w:r>
        <w:t xml:space="preserve">    </w:t>
      </w:r>
      <w:r>
        <w:rPr>
          <w:b/>
        </w:rPr>
        <w:t xml:space="preserve">DOI: </w:t>
      </w:r>
      <w:hyperlink r:id="rId902">
        <w:r>
          <w:rPr>
            <w:color w:val="1155CC"/>
            <w:u w:val="single"/>
          </w:rPr>
          <w:t>10.1002/aenm.202506066</w:t>
        </w:r>
      </w:hyperlink>
    </w:p>
    <w:p>
      <w:pPr>
        <w:spacing w:before="0" w:after="120"/>
      </w:pPr>
      <w:r>
        <w:rPr>
          <w:b/>
        </w:rPr>
        <w:t xml:space="preserve">Notes: </w:t>
      </w:r>
      <w:r>
        <w:t>abstract_source=crossref</w:t>
      </w:r>
    </w:p>
    <w:p>
      <w:pPr>
        <w:spacing w:before="0" w:after="200" w:lineRule="auto" w:line="276"/>
      </w:pPr>
      <w:r>
        <w:rPr>
          <w:b/>
        </w:rPr>
        <w:t xml:space="preserve">Abstract: </w:t>
      </w:r>
      <w:r>
        <w:t>Oxygen‐involved dry reforming of methane (ODRM) shows potential for converting impure CO</w:t>
      </w:r>
      <w:r>
        <w:rPr>
          <w:vertAlign w:val="subscript"/>
        </w:rPr>
        <w:t>2</w:t>
      </w:r>
      <w:r>
        <w:t>captured from air, but it suffers from low CO</w:t>
      </w:r>
      <w:r>
        <w:rPr>
          <w:vertAlign w:val="subscript"/>
        </w:rPr>
        <w:t>2</w:t>
      </w:r>
      <w:r>
        <w:t>conversion, especially at low temperatures (400°C–700°C). The optimization of catalysts via controlling the size of metal centers is significant for this reaction. Herein, we report for the first time the roles of Ni single atoms (SAs) and nanoparticles (NPs) anchored on dendritic mesoporous silica (DMS) in determining the catalytic activity for low‐temperature ODRM with different CH</w:t>
      </w:r>
      <w:r>
        <w:rPr>
          <w:vertAlign w:val="subscript"/>
        </w:rPr>
        <w:t>4</w:t>
      </w:r>
      <w:r>
        <w:t>/CO</w:t>
      </w:r>
      <w:r>
        <w:rPr>
          <w:vertAlign w:val="subscript"/>
        </w:rPr>
        <w:t>2</w:t>
      </w:r>
      <w:r>
        <w:t>/O</w:t>
      </w:r>
      <w:r>
        <w:rPr>
          <w:vertAlign w:val="subscript"/>
        </w:rPr>
        <w:t>2</w:t>
      </w:r>
      <w:r>
        <w:t>ratios. Both the single‐atoms (Ni</w:t>
      </w:r>
      <w:r>
        <w:t xml:space="preserve"> </w:t>
      </w:r>
      <w:r>
        <w:t>SA</w:t>
      </w:r>
      <w:r>
        <w:t xml:space="preserve"> </w:t>
      </w:r>
      <w:r>
        <w:t>/DMS) and nanoparticles (Ni</w:t>
      </w:r>
      <w:r>
        <w:t xml:space="preserve"> </w:t>
      </w:r>
      <w:r>
        <w:t>NP</w:t>
      </w:r>
      <w:r>
        <w:t xml:space="preserve"> </w:t>
      </w:r>
      <w:r>
        <w:t>/DMS) on DMS are highly efficient in catalyzing the reforming of CO</w:t>
      </w:r>
      <w:r>
        <w:rPr>
          <w:vertAlign w:val="subscript"/>
        </w:rPr>
        <w:t>2</w:t>
      </w:r>
      <w:r>
        <w:t>and CH</w:t>
      </w:r>
      <w:r>
        <w:rPr>
          <w:vertAlign w:val="subscript"/>
        </w:rPr>
        <w:t>4</w:t>
      </w:r>
      <w:r>
        <w:t>, with the conversions of CO</w:t>
      </w:r>
      <w:r>
        <w:rPr>
          <w:vertAlign w:val="subscript"/>
        </w:rPr>
        <w:t>2</w:t>
      </w:r>
      <w:r>
        <w:t>and CH</w:t>
      </w:r>
      <w:r>
        <w:rPr>
          <w:vertAlign w:val="subscript"/>
        </w:rPr>
        <w:t>4</w:t>
      </w:r>
      <w:r>
        <w:t>in the range of 56%–61% at 550°C. The presence of O</w:t>
      </w:r>
      <w:r>
        <w:rPr>
          <w:vertAlign w:val="subscript"/>
        </w:rPr>
        <w:t>2</w:t>
      </w:r>
      <w:r>
        <w:t>suppresses the CO</w:t>
      </w:r>
      <w:r>
        <w:rPr>
          <w:vertAlign w:val="subscript"/>
        </w:rPr>
        <w:t>2</w:t>
      </w:r>
      <w:r>
        <w:t>conversion, while the Ni</w:t>
      </w:r>
      <w:r>
        <w:t xml:space="preserve"> </w:t>
      </w:r>
      <w:r>
        <w:t>SA</w:t>
      </w:r>
      <w:r>
        <w:t xml:space="preserve"> </w:t>
      </w:r>
      <w:r>
        <w:t>/DMS catalyst shows higher O</w:t>
      </w:r>
      <w:r>
        <w:rPr>
          <w:vertAlign w:val="subscript"/>
        </w:rPr>
        <w:t>2</w:t>
      </w:r>
      <w:r>
        <w:t>‐tolerance than the Ni</w:t>
      </w:r>
      <w:r>
        <w:t xml:space="preserve"> </w:t>
      </w:r>
      <w:r>
        <w:t>NP</w:t>
      </w:r>
      <w:r>
        <w:t xml:space="preserve"> </w:t>
      </w:r>
      <w:r>
        <w:t>/DMS, especially for the reactants with a relatively high concentration of O</w:t>
      </w:r>
      <w:r>
        <w:rPr>
          <w:vertAlign w:val="subscript"/>
        </w:rPr>
        <w:t>2</w:t>
      </w:r>
      <w:r>
        <w:t>. In addition, the Ni NPs tend to be oxidized by O</w:t>
      </w:r>
      <w:r>
        <w:rPr>
          <w:vertAlign w:val="subscript"/>
        </w:rPr>
        <w:t>2</w:t>
      </w:r>
      <w:r>
        <w:t>and favor the carbon formation, which hinders the catalytic performance during long‐term running. The Ni SAs stabilized by the interaction with DMS are highly stable under aerobic conditions and inhibit the formation of carbon deposits from CH</w:t>
      </w:r>
      <w:r>
        <w:rPr>
          <w:vertAlign w:val="subscript"/>
        </w:rPr>
        <w:t>4</w:t>
      </w:r>
      <w:r>
        <w:t>dissociation. The in situ characterizations and DFT calculations reveal that the Ni SAs show higher capacity for CO</w:t>
      </w:r>
      <w:r>
        <w:rPr>
          <w:vertAlign w:val="subscript"/>
        </w:rPr>
        <w:t>2</w:t>
      </w:r>
      <w:r>
        <w:t>dissociation but weaker ability to activate the C‐H bond of CH</w:t>
      </w:r>
      <w:r>
        <w:rPr>
          <w:vertAlign w:val="subscript"/>
        </w:rPr>
        <w:t>4</w:t>
      </w:r>
      <w:r>
        <w:t>than NPs, which contributes to the superior O</w:t>
      </w:r>
      <w:r>
        <w:rPr>
          <w:vertAlign w:val="subscript"/>
        </w:rPr>
        <w:t>2</w:t>
      </w:r>
      <w:r>
        <w:t>‐tolerance and carbon resistant of the Ni</w:t>
      </w:r>
      <w:r>
        <w:t xml:space="preserve"> </w:t>
      </w:r>
      <w:r>
        <w:t>SA</w:t>
      </w:r>
      <w:r>
        <w:t xml:space="preserve"> </w:t>
      </w:r>
      <w:r>
        <w:t>/DMS catalyst. The present discovery indicates that the controlled activation of CO</w:t>
      </w:r>
      <w:r>
        <w:rPr>
          <w:vertAlign w:val="subscript"/>
        </w:rPr>
        <w:t>2</w:t>
      </w:r>
      <w:r>
        <w:t>and CH</w:t>
      </w:r>
      <w:r>
        <w:rPr>
          <w:vertAlign w:val="subscript"/>
        </w:rPr>
        <w:t>4</w:t>
      </w:r>
      <w:r>
        <w:t>is essential for designing high‐performance catalysts of ODRM.</w:t>
      </w:r>
    </w:p>
    <w:p>
      <w:pPr>
        <w:spacing w:before="120" w:after="120"/>
      </w:pPr>
      <w:r>
        <w:rPr>
          <w:sz w:val="18"/>
        </w:rPr>
        <w:t>——————————————————————————————————————————————————————————————————————</w:t>
      </w:r>
    </w:p>
    <w:p>
      <w:pPr>
        <w:spacing w:before="160" w:after="80" w:line="240" w:lineRule="auto"/>
      </w:pPr>
      <w:r>
        <w:rPr>
          <w:b/>
        </w:rPr>
        <w:t xml:space="preserve">[557] </w:t>
      </w:r>
      <w:hyperlink r:id="rId903">
        <w:r>
          <w:rPr>
            <w:color w:val="1155CC"/>
            <w:u w:val="single"/>
          </w:rPr>
          <w:t>Impact of Processing Environment on Anti‐Solvent Free FAPbI3 Films and Solar Cells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2025-12-18 07:32:32+00:00</w:t>
      </w:r>
      <w:r>
        <w:t xml:space="preserve">    </w:t>
      </w:r>
      <w:r>
        <w:rPr>
          <w:b/>
        </w:rPr>
        <w:t xml:space="preserve">DOI: </w:t>
      </w:r>
      <w:hyperlink r:id="rId904">
        <w:r>
          <w:rPr>
            <w:color w:val="1155CC"/>
            <w:u w:val="single"/>
          </w:rPr>
          <w:t>10.1002/aenm.202503828</w:t>
        </w:r>
      </w:hyperlink>
    </w:p>
    <w:p>
      <w:pPr>
        <w:spacing w:before="0" w:after="120"/>
      </w:pPr>
      <w:r>
        <w:rPr>
          <w:b/>
        </w:rPr>
        <w:t xml:space="preserve">Notes: </w:t>
      </w:r>
      <w:r>
        <w:t>abstract_source=crossref</w:t>
      </w:r>
    </w:p>
    <w:p>
      <w:pPr>
        <w:spacing w:before="0" w:after="200" w:lineRule="auto" w:line="276"/>
      </w:pPr>
      <w:r>
        <w:rPr>
          <w:b/>
        </w:rPr>
        <w:t xml:space="preserve">Abstract: </w:t>
      </w:r>
      <w:r>
        <w:t>As perovskite solar cells approach commercialization, understanding the environmental sensitivities of perovskites during fabrication becomes increasingly important. In this work, the humidity‐dependence of each deposition and annealing step in the anti‐solvent‐free two‐step formamidinium lead iodide fabrication process is investigated in air and N</w:t>
      </w:r>
      <w:r>
        <w:rPr>
          <w:vertAlign w:val="subscript"/>
        </w:rPr>
        <w:t>2</w:t>
      </w:r>
      <w:r>
        <w:t>. In‐situ grazing‐incidence wide‐angle X‐ray scattering measurements during spin‐coating indicate that humidity affects the formation and dynamics of intermediate phases in perovskite precursor films. These differences, and those induced by annealing in humidity, impact the structure, morphology, and composition of resultant perovskite films, though the initial performance of solar cells fabricated using these active layers is relatively insensitive to humidity across the range studied. In contrast, stability is maximized in devices with dry‐processed active layers and those terminally annealed in humidity. Spin‐coating of PbI</w:t>
      </w:r>
      <w:r>
        <w:rPr>
          <w:vertAlign w:val="subscript"/>
        </w:rPr>
        <w:t>2</w:t>
      </w:r>
      <w:r>
        <w:t>is most environmentally sensitive—needle‐like structures precipitate while spin‐coating in 40% relative humidity leading to significantly reduced photovoltaic performance and device stability. Additionally, films and solar cells fabricated in air appear virtually identical to those fabricated in N</w:t>
      </w:r>
      <w:r>
        <w:rPr>
          <w:vertAlign w:val="subscript"/>
        </w:rPr>
        <w:t>2</w:t>
      </w:r>
      <w:r>
        <w:t>. Collectively, these results show that optimal performance and stability of two‐step processed formamidinium lead iodide solar cells is achieved when fabricating active layers in a dry atmosphere or with some humidity during the final anneal.</w:t>
      </w:r>
    </w:p>
    <w:p>
      <w:pPr>
        <w:spacing w:before="120" w:after="120"/>
      </w:pPr>
      <w:r>
        <w:rPr>
          <w:sz w:val="18"/>
        </w:rPr>
        <w:t>——————————————————————————————————————————————————————————————————————</w:t>
      </w:r>
    </w:p>
    <w:p>
      <w:pPr>
        <w:spacing w:before="160" w:after="80" w:line="240" w:lineRule="auto"/>
      </w:pPr>
      <w:r>
        <w:rPr>
          <w:b/>
        </w:rPr>
        <w:t xml:space="preserve">[558] </w:t>
      </w:r>
      <w:hyperlink r:id="rId905">
        <w:r>
          <w:rPr>
            <w:color w:val="1155CC"/>
            <w:u w:val="single"/>
          </w:rPr>
          <w:t>Electroextraction of low-concentration redox-active heavy metals with Eθ &lt; 0 V from acid mine drainage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06">
        <w:r>
          <w:rPr>
            <w:color w:val="1155CC"/>
            <w:u w:val="single"/>
          </w:rPr>
          <w:t>10.1073/pnas.2519564122</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recovery of heavy metals from acid mine drainage (AMD) offers a sustainable solution to global AMD contamination, yet remains challenged by thermodynamic and kinetic barriers in reducing redox-active metals with negative standard reduction potentials (E</w:t>
      </w:r>
      <w:r>
        <w:t xml:space="preserve"> </w:t>
      </w:r>
      <w:r>
        <w:t>θ</w:t>
      </w:r>
      <w:r>
        <w:t xml:space="preserve"> </w:t>
      </w:r>
      <w:r>
        <w:t>&amp;lt; 0 V), especially at low concentrations. Here, using Cd as a model system, we demonstrate that the formation of a metastable intermediate, Cd</w:t>
      </w:r>
      <w:r>
        <w:rPr>
          <w:vertAlign w:val="subscript"/>
        </w:rPr>
        <w:t>2</w:t>
      </w:r>
      <w:r>
        <w:t>SO</w:t>
      </w:r>
      <w:r>
        <w:rPr>
          <w:vertAlign w:val="subscript"/>
        </w:rPr>
        <w:t>4</w:t>
      </w:r>
      <w:r>
        <w:t>(OH)</w:t>
      </w:r>
      <w:r>
        <w:rPr>
          <w:vertAlign w:val="subscript"/>
        </w:rPr>
        <w:t>2</w:t>
      </w:r>
      <w:r>
        <w:t>, plays a crucial role in facilitating the efficient electrochemical reduction of low-concentration Cd(II) to metallic Cd</w:t>
      </w:r>
      <w:r>
        <w:rPr>
          <w:vertAlign w:val="subscript"/>
        </w:rPr>
        <w:t>0</w:t>
      </w:r>
      <w:r>
        <w:t>in acidic solutions. A combination of experimental and theoretical analyses reveals that in situ generated OH</w:t>
      </w:r>
      <w:r>
        <w:t xml:space="preserve"> </w:t>
      </w:r>
      <w:r>
        <w:t>−</w:t>
      </w:r>
      <w:r>
        <w:t>at the cathode, in conjunction with bulk-phase SO</w:t>
      </w:r>
      <w:r>
        <w:rPr>
          <w:vertAlign w:val="subscript"/>
        </w:rPr>
        <w:t>4</w:t>
      </w:r>
      <w:r>
        <w:t>2−</w:t>
      </w:r>
      <w:r>
        <w:t>, drives the formation of this metal-inorganic complex, which mediates electron transfer by overcoming redox limitations. By optimizing flow dynamics and incorporating hierarchical electrode configurations, we enhance intermediate formation and achieve 96.81% Cd recovery from real AMD, with effluent Cd concentrations below 0.5 mg L</w:t>
      </w:r>
      <w:r>
        <w:t xml:space="preserve"> </w:t>
      </w:r>
      <w:r>
        <w:t>−1</w:t>
      </w:r>
      <w:r>
        <w:t xml:space="preserve"> </w:t>
      </w:r>
      <w:r>
        <w:t>. Economic analysis estimates a net-positive return of 2.32 CNY per ton of treated AMD. Life cycle assessment further shows that the electroextraction process substantially outperforms lime neutralization with respect to all major environmental indicators. This work establishes a mechanistically driven, economically viable, and environmentally superior strategy for recovering valuable metals from AMD, advancing the prospects of circular resource recovery and sustainable wastewater management.</w:t>
      </w:r>
    </w:p>
    <w:p>
      <w:pPr>
        <w:spacing w:before="120" w:after="120"/>
      </w:pPr>
      <w:r>
        <w:rPr>
          <w:sz w:val="18"/>
        </w:rPr>
        <w:t>——————————————————————————————————————————————————————————————————————</w:t>
      </w:r>
    </w:p>
    <w:p>
      <w:pPr>
        <w:spacing w:before="160" w:after="80" w:line="240" w:lineRule="auto"/>
      </w:pPr>
      <w:r>
        <w:rPr>
          <w:b/>
        </w:rPr>
        <w:t xml:space="preserve">[559] </w:t>
      </w:r>
      <w:hyperlink r:id="rId907">
        <w:r>
          <w:rPr>
            <w:color w:val="1155CC"/>
            <w:u w:val="single"/>
          </w:rPr>
          <w:t>Proteasome stress activates YAP/TAZ through the RAP2–MAP4Ks–LATS1/2 pathway and its therapeutic implications in solid tumors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08">
        <w:r>
          <w:rPr>
            <w:color w:val="1155CC"/>
            <w:u w:val="single"/>
          </w:rPr>
          <w:t>10.1073/pnas.2517376122</w:t>
        </w:r>
      </w:hyperlink>
    </w:p>
    <w:p>
      <w:pPr>
        <w:spacing w:before="0" w:after="120"/>
      </w:pPr>
      <w:r>
        <w:rPr>
          <w:b/>
        </w:rPr>
        <w:t xml:space="preserve">Notes: </w:t>
      </w:r>
      <w:r>
        <w:t>abstract_source=crossref</w:t>
      </w:r>
    </w:p>
    <w:p>
      <w:pPr>
        <w:spacing w:before="0" w:after="200" w:lineRule="auto" w:line="276"/>
      </w:pPr>
      <w:r>
        <w:rPr>
          <w:b/>
        </w:rPr>
        <w:t xml:space="preserve">Abstract: </w:t>
      </w:r>
      <w:r>
        <w:t>Tumor cells heavily depend on proteasome-mediated protein turnover, making the proteasome an attractive therapeutic target. Clinically, proteasome inhibitors are effective against hematologic cancers but show limited success with solid tumors, and the reasons for this difference are not well understood. Activation of yes-associated protein (YAP)/TAZ, the downstream effectors of the Hippo pathway, is a key mechanism behind drug resistance in cancers. Here, we demonstrate that proteasome stress acts as an upstream signal of the Hippo pathway in solid tumor cells. When the proteasome is inhibited, RAP2 undergoes ubiquitination and becomes inactive, which in turn disrupts the RAP2–MAP4Ks–NF2–LATS1/2 signaling pathway, leading to the activation of YAP/TAZ. YAP/TAZ activation promotes cell survival and resistance to proteasome inhibitors. Conversely, blocking YAP/TAZ can overcome this resistance and restore cancer cell sensitivity to these drugs. In diffuse-type gastric cancer—an aggressive solid tumor with a poor prognosis and limited treatment options—combined inhibition of the proteasome and YAP/TAZ effectively suppresses tumor growth. Therefore, this study identifies proteasome stress as an upstream signal of the Hippo pathway and provides a mechanistic basis for combination cancer therapy.</w:t>
      </w:r>
    </w:p>
    <w:p>
      <w:pPr>
        <w:spacing w:before="120" w:after="120"/>
      </w:pPr>
      <w:r>
        <w:rPr>
          <w:sz w:val="18"/>
        </w:rPr>
        <w:t>——————————————————————————————————————————————————————————————————————</w:t>
      </w:r>
    </w:p>
    <w:p>
      <w:pPr>
        <w:spacing w:before="160" w:after="80" w:line="240" w:lineRule="auto"/>
      </w:pPr>
      <w:r>
        <w:rPr>
          <w:b/>
        </w:rPr>
        <w:t xml:space="preserve">[560] </w:t>
      </w:r>
      <w:hyperlink r:id="rId909">
        <w:r>
          <w:rPr>
            <w:color w:val="1155CC"/>
            <w:u w:val="single"/>
          </w:rPr>
          <w:t>Platelet-engineered CAR-T cells as adjuvant therapy after cancer surgery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10">
        <w:r>
          <w:rPr>
            <w:color w:val="1155CC"/>
            <w:u w:val="single"/>
          </w:rPr>
          <w:t>10.1073/pnas.2522020122</w:t>
        </w:r>
      </w:hyperlink>
    </w:p>
    <w:p>
      <w:pPr>
        <w:spacing w:before="0" w:after="120"/>
      </w:pPr>
      <w:r>
        <w:rPr>
          <w:b/>
        </w:rPr>
        <w:t xml:space="preserve">Notes: </w:t>
      </w:r>
      <w:r>
        <w:t>abstract_source=crossref</w:t>
      </w:r>
    </w:p>
    <w:p>
      <w:pPr>
        <w:spacing w:before="0" w:after="200" w:lineRule="auto" w:line="276"/>
      </w:pPr>
      <w:r>
        <w:rPr>
          <w:b/>
        </w:rPr>
        <w:t xml:space="preserve">Abstract: </w:t>
      </w:r>
      <w:r>
        <w:t>Surgery remains the mainstay treatment for many kinds of solid tumors, while tumor recurrence frequently occurs. Adjuvant therapy can reduce the risk of recurrence and improve the prognosis of surgery. Chimeric antigen receptor (CAR)-T cell therapy can be leveraged as an alternative adjuvant therapy to clear residual cancer cells and prevent tumor recurrence. However, systemic administration of CAR-T often results in insufficient tumor infiltration and side effects to normal organs. Given that platelets can preferentially accumulate at postsurgical wounds, we proposed that conjugating platelets to CAR-T cells may enhance the accumulation of the CAR-T cells within the surgical bed after the resection of solid tumors. In this study, we conjugated platelets to B7-H3.CAR-T cells via click chemistry. In postsurgical human pancreatic cancer mouse models, platelet-CAR-T cells showed enhanced tumor infiltration and elevated antitumor cytokine levels, resulting in superior suppression effects on tumor recurrence, compared with CAR-T cells. Additionally, platelet-CAR-T cells showed enhanced efficacy in inhibiting metastasis and prolonging the survival time of the mice in postsurgical triple-negative breast cancer (TNBC) models. Mechanistic studies revealed that platelet activation could improve the CAR-T cell activity and persistence, as evidenced by an upregulation of genes associated with T cell infiltration and a downregulation of genes related to T cell exhaustion. Finally, we further validated the biosafety profile and efficacy of platelet-CAR-T in a postsurgical patient-derived xenograft TNBC-bearing humanized mouse model. The results suggested that the CAR-T cell strengthened by platelet engineering is a promising adjuvant therapy against postsurgical tumor recurrence.</w:t>
      </w:r>
    </w:p>
    <w:p>
      <w:pPr>
        <w:spacing w:before="120" w:after="120"/>
      </w:pPr>
      <w:r>
        <w:rPr>
          <w:sz w:val="18"/>
        </w:rPr>
        <w:t>——————————————————————————————————————————————————————————————————————</w:t>
      </w:r>
    </w:p>
    <w:p>
      <w:pPr>
        <w:spacing w:before="160" w:after="80" w:line="240" w:lineRule="auto"/>
      </w:pPr>
      <w:r>
        <w:rPr>
          <w:b/>
        </w:rPr>
        <w:t xml:space="preserve">[561] </w:t>
      </w:r>
      <w:hyperlink r:id="rId911">
        <w:r>
          <w:rPr>
            <w:color w:val="1155CC"/>
            <w:u w:val="single"/>
          </w:rPr>
          <w:t>Emergent eukaryotic directional sensing via receptor degradation and diffusion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12">
        <w:r>
          <w:rPr>
            <w:color w:val="1155CC"/>
            <w:u w:val="single"/>
          </w:rPr>
          <w:t>10.1073/pnas.2516077122</w:t>
        </w:r>
      </w:hyperlink>
    </w:p>
    <w:p>
      <w:pPr>
        <w:spacing w:before="0" w:after="120"/>
      </w:pPr>
      <w:r>
        <w:rPr>
          <w:b/>
        </w:rPr>
        <w:t xml:space="preserve">Notes: </w:t>
      </w:r>
      <w:r>
        <w:t>abstract_source=crossref</w:t>
      </w:r>
    </w:p>
    <w:p>
      <w:pPr>
        <w:spacing w:before="0" w:after="200" w:lineRule="auto" w:line="276"/>
      </w:pPr>
      <w:r>
        <w:rPr>
          <w:b/>
        </w:rPr>
        <w:t xml:space="preserve">Abstract: </w:t>
      </w:r>
      <w:r>
        <w:t>Directional sensing enables eukaryotic cells to detect spatial gradients of extracellular ligands, allowing them to orient and migrate within complex environments. Prevalent models explain this computation through a circuit where signaling species with distinct diffusion constants act incoherently on a downstream readout. Here, we propose a fundamentally different mechanism of directional sensing based on simple receptor-level processes. Our model integrates three ubiquitous receptor processes-lateral diffusion, basal ligand-independent activation, and active receptor degradation, THAT together synergize to generate robust directional sensing. In the absence of diffusion, active receptor degradation and basal activity implement an integral feedback that adapts active receptor levels to a ligand-independent set point while depleting receptors in relatively ligand-rich regions. Diffusion then redistributes receptors from regions of relatively low ligand exposure to regions with higher ligand exposure. This creates a spatial mismatch between activity and feedback that drives asymmetric receptor activity relative to the set point. The model predicts an optimal diffusion constant that maximizes polarization, reveals that receptors can encode relative rather than absolute ligand concentrations, and identifies the optimal basal activity that maximizes the signal-to-noise ratio in stochastic regimes. A survey of kinetic parameters across receptor families suggests that this diffusion-degradation synergy constitutes a broadly applicable, receptor-level mechanism for directional sensing.</w:t>
      </w:r>
    </w:p>
    <w:p>
      <w:pPr>
        <w:spacing w:before="120" w:after="120"/>
      </w:pPr>
      <w:r>
        <w:rPr>
          <w:sz w:val="18"/>
        </w:rPr>
        <w:t>——————————————————————————————————————————————————————————————————————</w:t>
      </w:r>
    </w:p>
    <w:p>
      <w:pPr>
        <w:spacing w:before="160" w:after="80" w:line="240" w:lineRule="auto"/>
      </w:pPr>
      <w:r>
        <w:rPr>
          <w:b/>
        </w:rPr>
        <w:t xml:space="preserve">[562] </w:t>
      </w:r>
      <w:hyperlink r:id="rId913">
        <w:r>
          <w:rPr>
            <w:color w:val="1155CC"/>
            <w:u w:val="single"/>
          </w:rPr>
          <w:t>Convergent mutation trajectories convert functional self-tolerance in IGHV4-34 B cells to genetic tolerance encoded in the antibody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14">
        <w:r>
          <w:rPr>
            <w:color w:val="1155CC"/>
            <w:u w:val="single"/>
          </w:rPr>
          <w:t>10.1073/pnas.2522257122</w:t>
        </w:r>
      </w:hyperlink>
    </w:p>
    <w:p>
      <w:pPr>
        <w:spacing w:before="0" w:after="120"/>
      </w:pPr>
      <w:r>
        <w:rPr>
          <w:b/>
        </w:rPr>
        <w:t xml:space="preserve">Notes: </w:t>
      </w:r>
      <w:r>
        <w:t>abstract_source=crossref</w:t>
      </w:r>
    </w:p>
    <w:p>
      <w:pPr>
        <w:spacing w:before="0" w:after="200" w:lineRule="auto" w:line="276"/>
      </w:pPr>
      <w:r>
        <w:rPr>
          <w:b/>
        </w:rPr>
        <w:t xml:space="preserve">Abstract: </w:t>
      </w:r>
      <w:r>
        <w:t>Preventing autoantibody secretion by rendering self-reactive B cells functionally silent through clonal anergy has long posed the question of why fill the circulating B cell repertoire with cells that cannot secrete antibody? Here we address this question from the perspective of B cells that comprise 5 to 10% of the human circulating repertoire, expressing self-reactive surface immunoglobulins employing the IGHV4-34 heavy chain variable element. Using gene targeting to construct mice expressing a representative human IGHV4-34 antibody on the surface of many B cells, we show these cells are prevented from autoantibody secretion by B cell clonal anergy marked by downregulation of surface IgM, induction of tolerance-response mRNAs, and exclusion from the marginal zone and B1 cell subsets. This functionally tolerant state is overridden when the IGHV4-34 B cells cross-react with a virus, which stimulates the self-reactive B cells to hypermutate in germinal centers. Within 16 d of infection, 99% of daughter cells have acquired one of five heavy chain mutations that diminish binding to self but preserve virus binding, and 33% had combined 2 or 3 of these mutations to make their antibodies genetically self-tolerant and virus specific. These results demonstrate, from the perspective of a pathologically important human autoantibody class and the world’s most successful virus vaccine, how human antibody specificity is sculpted in the progeny of anergic B cells to yield antibodies that bind a virus but not self.</w:t>
      </w:r>
    </w:p>
    <w:p>
      <w:pPr>
        <w:spacing w:before="120" w:after="120"/>
      </w:pPr>
      <w:r>
        <w:rPr>
          <w:sz w:val="18"/>
        </w:rPr>
        <w:t>——————————————————————————————————————————————————————————————————————</w:t>
      </w:r>
    </w:p>
    <w:p>
      <w:pPr>
        <w:spacing w:before="160" w:after="80" w:line="240" w:lineRule="auto"/>
      </w:pPr>
      <w:r>
        <w:rPr>
          <w:b/>
        </w:rPr>
        <w:t xml:space="preserve">[563] </w:t>
      </w:r>
      <w:hyperlink r:id="rId915">
        <w:r>
          <w:rPr>
            <w:color w:val="1155CC"/>
            <w:u w:val="single"/>
          </w:rPr>
          <w:t>Intrinsic neuronal network organization of a mammalian peripheral nervous system</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16">
        <w:r>
          <w:rPr>
            <w:color w:val="1155CC"/>
            <w:u w:val="single"/>
          </w:rPr>
          <w:t>10.1073/pnas.2528657122</w:t>
        </w:r>
      </w:hyperlink>
    </w:p>
    <w:p>
      <w:pPr>
        <w:spacing w:before="0" w:after="120"/>
      </w:pPr>
      <w:r>
        <w:rPr>
          <w:b/>
        </w:rPr>
        <w:t xml:space="preserve">Notes: </w:t>
      </w:r>
      <w:r>
        <w:t>abstract_source=crossref</w:t>
      </w:r>
    </w:p>
    <w:p>
      <w:pPr>
        <w:spacing w:before="0" w:after="200" w:lineRule="auto" w:line="276"/>
      </w:pPr>
      <w:r>
        <w:rPr>
          <w:b/>
        </w:rPr>
        <w:t xml:space="preserve">Abstract: </w:t>
      </w:r>
      <w:r>
        <w:t>The vertebrate nervous system is traditionally parceled topographically into central and peripheral divisions. The peripheral nervous system (PNS) in turn is commonly viewed functionally as a set of nerves and ganglia transmitting input and output signals between the central nervous system (CNS) and other bodily systems to regulate physiology and behavior. Here, we collate and analyze neuroanatomical data on putative directed and weighted axonal connections between peripheral ganglia in a mammal (rat). The resulting network reveals a sparse but broad intra-PNS neuronal architecture with over 100 connections among 52 of the 84 sensory and autonomic ganglia identified. Local network differentiation of the associated 52×52 connection matrix (connectome) was examined with cluster analysis. It identified 22 modules (subsystems or subnetworks) within a six-level nested hierarchy, including seven first-order modules and 14 end modules, spatially distributed from rostral to caudal along the CNS–body axis. Global features of the intra-PNS neuronal network based on node (ganglion) centrality measures identified two hubs (the bilateral myenteric plexus ganglia that control digestive tract functionality), no rich club, and small-world properties comparable to those reported for the rat brain. These findings suggest that the PNS is not merely a series of parallel nerves and associated ganglia but instead forms a structured and recurrently connected neuronal network. Its full extent and functional relevance remain to be elucidated using contemporary structure–function neuroscience approaches.</w:t>
      </w:r>
    </w:p>
    <w:p>
      <w:pPr>
        <w:spacing w:before="120" w:after="120"/>
      </w:pPr>
      <w:r>
        <w:rPr>
          <w:sz w:val="18"/>
        </w:rPr>
        <w:t>——————————————————————————————————————————————————————————————————————</w:t>
      </w:r>
    </w:p>
    <w:p>
      <w:pPr>
        <w:spacing w:before="160" w:after="80" w:line="240" w:lineRule="auto"/>
      </w:pPr>
      <w:r>
        <w:rPr>
          <w:b/>
        </w:rPr>
        <w:t xml:space="preserve">[564] </w:t>
      </w:r>
      <w:hyperlink r:id="rId917">
        <w:r>
          <w:rPr>
            <w:color w:val="1155CC"/>
            <w:u w:val="single"/>
          </w:rPr>
          <w:t>Airborne PET nanoplastics alter tobacco’s chemical risk</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18">
        <w:r>
          <w:rPr>
            <w:color w:val="1155CC"/>
            <w:u w:val="single"/>
          </w:rPr>
          <w:t>10.1073/pnas.2519054122</w:t>
        </w:r>
      </w:hyperlink>
    </w:p>
    <w:p>
      <w:pPr>
        <w:spacing w:before="0" w:after="120"/>
      </w:pPr>
      <w:r>
        <w:rPr>
          <w:b/>
        </w:rPr>
        <w:t xml:space="preserve">Notes: </w:t>
      </w:r>
      <w:r>
        <w:t>abstract_source=crossref</w:t>
      </w:r>
    </w:p>
    <w:p>
      <w:pPr>
        <w:spacing w:before="0" w:after="200" w:lineRule="auto" w:line="276"/>
      </w:pPr>
      <w:r>
        <w:rPr>
          <w:b/>
        </w:rPr>
        <w:t xml:space="preserve">Abstract: </w:t>
      </w:r>
      <w:r>
        <w:t>Atmospheric micro(nano)plastics (MNPs), including polyethylene terephthalate (PET), enter plants via leaves, accumulating in tissues. Foliar PET nanoplastic exposure alters</w:t>
      </w:r>
      <w:r>
        <w:t xml:space="preserve"> </w:t>
      </w:r>
      <w:r>
        <w:t>Nicotiana benthamiana</w:t>
      </w:r>
      <w:r>
        <w:t xml:space="preserve"> </w:t>
      </w:r>
      <w:r>
        <w:t>nicotine biosynthesis, favoring the more potent (S)-isomer even without growth inhibition. This accumulation reveals a contamination pathway for combustible consumer products, demonstrating that MNPs-induced alteration of a plant’s endogenous biochemistry represents a significant and previously uncharacterized risk to agricultural sustainability and human health.</w:t>
      </w:r>
    </w:p>
    <w:p>
      <w:pPr>
        <w:spacing w:before="120" w:after="120"/>
      </w:pPr>
      <w:r>
        <w:rPr>
          <w:sz w:val="18"/>
        </w:rPr>
        <w:t>——————————————————————————————————————————————————————————————————————</w:t>
      </w:r>
    </w:p>
    <w:p>
      <w:pPr>
        <w:spacing w:before="160" w:after="80" w:line="240" w:lineRule="auto"/>
      </w:pPr>
      <w:r>
        <w:rPr>
          <w:b/>
        </w:rPr>
        <w:t xml:space="preserve">[565] </w:t>
      </w:r>
      <w:hyperlink r:id="rId919">
        <w:r>
          <w:rPr>
            <w:color w:val="1155CC"/>
            <w:u w:val="single"/>
          </w:rPr>
          <w:t>Heavy-tailed update distributions arise from information-driven self-organization in nonequilibrium learning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20">
        <w:r>
          <w:rPr>
            <w:color w:val="1155CC"/>
            <w:u w:val="single"/>
          </w:rPr>
          <w:t>10.1073/pnas.2523012122</w:t>
        </w:r>
      </w:hyperlink>
    </w:p>
    <w:p>
      <w:pPr>
        <w:spacing w:before="0" w:after="120"/>
      </w:pPr>
      <w:r>
        <w:rPr>
          <w:b/>
        </w:rPr>
        <w:t xml:space="preserve">Notes: </w:t>
      </w:r>
      <w:r>
        <w:t>abstract_source=crossref</w:t>
      </w:r>
    </w:p>
    <w:p>
      <w:pPr>
        <w:spacing w:before="0" w:after="200" w:lineRule="auto" w:line="276"/>
      </w:pPr>
      <w:r>
        <w:rPr>
          <w:b/>
        </w:rPr>
        <w:t xml:space="preserve">Abstract: </w:t>
      </w:r>
      <w:r>
        <w:t>Like human decision-making under real-world constraints, artificial neural networks may balance free exploration in parameter space with task-relevant adaptation. In this study, we identify consistent signatures of criticality during neural network training and provide theoretical evidence that such scaling behavior arises naturally from information-driven self-organization: a dynamic balance between the maximum entropy principle that promotes unbiased exploration and mutual information constraint that relates updates with task objective. We numerically demonstrate that the power-law exponent of updates remains stable throughout training, supporting the presence of self-organized criticality. Furthermore, we show that the loss landscape exhibits exponential ruggedness under small perturbations, transitioning to power-law ruggedness at larger scales, in the absence of mini-batch noise, indicating an intrinsic geometric landscape. We also observe a power-law distribution in the intervals between large updates, indicating an intermittent learning process. Together, these findings suggest that neural network learning reflects a nonequilibrium process governed by the fundamental trade-off between randomness and relevance, highlighting its dynamic nature and offering insights into the interpretability of AI systems.</w:t>
      </w:r>
    </w:p>
    <w:p>
      <w:pPr>
        <w:spacing w:before="120" w:after="120"/>
      </w:pPr>
      <w:r>
        <w:rPr>
          <w:sz w:val="18"/>
        </w:rPr>
        <w:t>——————————————————————————————————————————————————————————————————————</w:t>
      </w:r>
    </w:p>
    <w:p>
      <w:pPr>
        <w:spacing w:before="160" w:after="80" w:line="240" w:lineRule="auto"/>
      </w:pPr>
      <w:r>
        <w:rPr>
          <w:b/>
        </w:rPr>
        <w:t xml:space="preserve">[566] </w:t>
      </w:r>
      <w:hyperlink r:id="rId921">
        <w:r>
          <w:rPr>
            <w:color w:val="1155CC"/>
            <w:u w:val="single"/>
          </w:rPr>
          <w:t>Single-nucleus and spatial transcriptomics reveal the cell populations of intercalary meristems in bamboo</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22">
        <w:r>
          <w:rPr>
            <w:color w:val="1155CC"/>
            <w:u w:val="single"/>
          </w:rPr>
          <w:t>10.1073/pnas.2511701122</w:t>
        </w:r>
      </w:hyperlink>
    </w:p>
    <w:p>
      <w:pPr>
        <w:spacing w:before="0" w:after="120"/>
      </w:pPr>
      <w:r>
        <w:rPr>
          <w:b/>
        </w:rPr>
        <w:t xml:space="preserve">Notes: </w:t>
      </w:r>
      <w:r>
        <w:t>abstract_source=crossref</w:t>
      </w:r>
    </w:p>
    <w:p>
      <w:pPr>
        <w:spacing w:before="0" w:after="200" w:lineRule="auto" w:line="276"/>
      </w:pPr>
      <w:r>
        <w:rPr>
          <w:b/>
        </w:rPr>
        <w:t xml:space="preserve">Abstract: </w:t>
      </w:r>
      <w:r>
        <w:t>Intercalary meristems (IcMs), specialized developmental zones that drive rapid stem elongation in monocots, exhibit distinct spatiotemporal dynamics; however, their genetic basis remains poorly understood due to their transient activity and cellular heterogeneity. Moso bamboo (</w:t>
      </w:r>
      <w:r>
        <w:t xml:space="preserve"> </w:t>
      </w:r>
      <w:r>
        <w:t>Phyllostachys edulis</w:t>
      </w:r>
      <w:r>
        <w:t xml:space="preserve"> </w:t>
      </w:r>
      <w:r>
        <w:t>)—with its exceptional daily growth rates of up to 114.5 cm, prolonged IcM activity spanning 45 to 60 d, and large, accessible culm structure—provides an ideal system for building a comprehensive IcM cell atlas. Here, we integrated a chromosome-level genome assembly of Moso bamboo with a high-resolution anatomical atlas to delineate three critical developmental stages of IcM activity: the initial cell division phase (ID), the rapid cell division phase (RD), and the rapid cell elongation phase (RE). By combining single-nucleus RNA sequencing (snRNA-seq) and spatial transcriptomics, we reconstructed a dynamic single-nucleus transcriptomic continuum spanning from proliferative to elongation states. Multiomics integration, along with in situ hybridization and ultrastructural imaging, identified IcM cells as short-columnar cells adjacent to elongating ground tissue parenchyma (Gp) cells, with the IcM1 subpopulation functioning as stem-like cells essential for maintaining the proliferative capacity. Pseudotemporal trajectory analysis revealed transcriptional transitions from stem-like IcM states to differentiated Gp cells. Functional experiments revealed that</w:t>
      </w:r>
      <w:r>
        <w:t xml:space="preserve"> </w:t>
      </w:r>
      <w:r>
        <w:t>clrGene008562</w:t>
      </w:r>
      <w:r>
        <w:t xml:space="preserve"> </w:t>
      </w:r>
      <w:r>
        <w:t>, a</w:t>
      </w:r>
      <w:r>
        <w:t xml:space="preserve"> </w:t>
      </w:r>
      <w:r>
        <w:t>WOX2</w:t>
      </w:r>
      <w:r>
        <w:t xml:space="preserve"> </w:t>
      </w:r>
      <w:r>
        <w:t>homolog, enhances callus regeneration, indicating its potential role in promoting cell division and differentiation processes relevant to IcM development. These findings provide a comprehensive molecular and cellular framework for understanding IcM function and offer valuable multiomics resources for advancing meristem research in bamboo and other Poaceae species.</w:t>
      </w:r>
    </w:p>
    <w:p>
      <w:pPr>
        <w:spacing w:before="120" w:after="120"/>
      </w:pPr>
      <w:r>
        <w:rPr>
          <w:sz w:val="18"/>
        </w:rPr>
        <w:t>——————————————————————————————————————————————————————————————————————</w:t>
      </w:r>
    </w:p>
    <w:p>
      <w:pPr>
        <w:spacing w:before="160" w:after="80" w:line="240" w:lineRule="auto"/>
      </w:pPr>
      <w:r>
        <w:rPr>
          <w:b/>
        </w:rPr>
        <w:t xml:space="preserve">[567] </w:t>
      </w:r>
      <w:hyperlink r:id="rId923">
        <w:r>
          <w:rPr>
            <w:color w:val="1155CC"/>
            <w:u w:val="single"/>
          </w:rPr>
          <w:t>Stabilizing calcium nitride for efficient, long-term electrochemical ammonia synthesis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24">
        <w:r>
          <w:rPr>
            <w:color w:val="1155CC"/>
            <w:u w:val="single"/>
          </w:rPr>
          <w:t>10.1073/pnas.2513960122</w:t>
        </w:r>
      </w:hyperlink>
    </w:p>
    <w:p>
      <w:pPr>
        <w:spacing w:before="0" w:after="120"/>
      </w:pPr>
      <w:r>
        <w:rPr>
          <w:b/>
        </w:rPr>
        <w:t xml:space="preserve">Notes: </w:t>
      </w:r>
      <w:r>
        <w:t>abstract_source=crossref</w:t>
      </w:r>
    </w:p>
    <w:p>
      <w:pPr>
        <w:spacing w:before="0" w:after="200" w:lineRule="auto" w:line="276"/>
      </w:pPr>
      <w:r>
        <w:rPr>
          <w:b/>
        </w:rPr>
        <w:t xml:space="preserve">Abstract: </w:t>
      </w:r>
      <w:r>
        <w:t>Electrochemical ammonia synthesis at ambient conditions via calcium-mediated nitrogen fixation holds considerable promise but is impeded by fundamental gaps such as poor gas–liquid interface stability, sluggish hydrogen oxidation reaction (HOR) kinetics, and instability of the critical intermediate calcium nitride. To systematically address these barriers, we i) introduced a high surface-area Ni-based anode specifically selected for enhancing HOR kinetics and minimizing solvent oxidation; ii) substituted the conventionally used tetrahydrofuran solvent with dimethoxyethane (DME) to significantly improve chemical stability; and iii) developed a tailored flow cell configuration to enhance gas–liquid mass transport and stabilize reaction intermediates. Employing in-situ Raman spectroscopy and X-ray photoelectron spectroscopy, we provided direct evidence of stabilized calcium nitride formation, elucidating the crucial roles of solvent stability and electrode composition in sustaining reactive intermediates. As a result of these combined innovations, our system demonstrates substantial performance improvements, achieving a Faradaic efficiency (FE) of 34.35 ± 1.76% in short-term tests and sustaining ~20% FE over extended continuous operation (~56 h). At elevated current densities, the improved gas–liquid interface stability enables robust ammonia production, reaching partial current densities of approximately 219 mA cm</w:t>
      </w:r>
      <w:r>
        <w:t xml:space="preserve"> </w:t>
      </w:r>
      <w:r>
        <w:t>−</w:t>
      </w:r>
      <w:r>
        <w:rPr>
          <w:vertAlign w:val="subscript"/>
        </w:rPr>
        <w:t>2</w:t>
      </w:r>
      <w:r>
        <w:t>at ~29% FE. Isotope-labeling studies with</w:t>
      </w:r>
      <w:r>
        <w:rPr>
          <w:vertAlign w:val="subscript"/>
        </w:rPr>
        <w:t>15</w:t>
      </w:r>
      <w:r>
        <w:t>N</w:t>
      </w:r>
      <w:r>
        <w:rPr>
          <w:vertAlign w:val="subscript"/>
        </w:rPr>
        <w:t>2</w:t>
      </w:r>
      <w:r>
        <w:t>confirmed the direct electroreduction of N</w:t>
      </w:r>
      <w:r>
        <w:rPr>
          <w:vertAlign w:val="subscript"/>
        </w:rPr>
        <w:t>2</w:t>
      </w:r>
      <w:r>
        <w:t>, while kinetic analyses underscored the impact of anode material selection on HOR efficiency and overall electrochemical stability. These insights establish critical mechanistic understanding and clear design principles for future calcium-mediated electrochemical nitrogen fixation systems, enabling stable, efficient, and selective ammonia synthesis.</w:t>
      </w:r>
    </w:p>
    <w:p>
      <w:pPr>
        <w:spacing w:before="120" w:after="120"/>
      </w:pPr>
      <w:r>
        <w:rPr>
          <w:sz w:val="18"/>
        </w:rPr>
        <w:t>——————————————————————————————————————————————————————————————————————</w:t>
      </w:r>
    </w:p>
    <w:p>
      <w:pPr>
        <w:spacing w:before="160" w:after="80" w:line="240" w:lineRule="auto"/>
      </w:pPr>
      <w:r>
        <w:rPr>
          <w:b/>
        </w:rPr>
        <w:t xml:space="preserve">[568] </w:t>
      </w:r>
      <w:hyperlink r:id="rId925">
        <w:r>
          <w:rPr>
            <w:color w:val="1155CC"/>
            <w:u w:val="single"/>
          </w:rPr>
          <w:t>Intracellular competition shapes plasmid population dynamics</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26">
        <w:r>
          <w:rPr>
            <w:color w:val="1155CC"/>
            <w:u w:val="single"/>
          </w:rPr>
          <w:t>10.1126/science.adx0665</w:t>
        </w:r>
      </w:hyperlink>
    </w:p>
    <w:p>
      <w:pPr>
        <w:spacing w:before="0" w:after="120"/>
      </w:pPr>
      <w:r>
        <w:rPr>
          <w:b/>
        </w:rPr>
        <w:t xml:space="preserve">Notes: </w:t>
      </w:r>
      <w:r>
        <w:t>abstract_source=crossref</w:t>
      </w:r>
    </w:p>
    <w:p>
      <w:pPr>
        <w:spacing w:before="0" w:after="200" w:lineRule="auto" w:line="276"/>
      </w:pPr>
      <w:r>
        <w:rPr>
          <w:b/>
        </w:rPr>
        <w:t xml:space="preserve">Abstract: </w:t>
      </w:r>
      <w:r>
        <w:t>From populations of multicellular organisms to selfish genetic elements, conflicts between levels of biological organization are central to evolution. Plasmids are extrachromosomal, self-replicating genetic elements that face selective pressures from their hosts but also compete within the host cell for replication resources. Although theory indicates that within-cell selection matters for plasmid evolution, experimental measurement of these dynamics has remained elusive. We measured within-cell fitness of competing</w:t>
      </w:r>
      <w:r>
        <w:t xml:space="preserve"> </w:t>
      </w:r>
      <w:r>
        <w:t>Escherichia coli</w:t>
      </w:r>
      <w:r>
        <w:t xml:space="preserve"> </w:t>
      </w:r>
      <w:r>
        <w:t>plasmids and characterized their drift and selective dynamics. We made synthetic plasmid dimers that can be split in a controlled way to create balanced competition, which we probed experimentally. Incompatible plasmids coexist for an extended time owing to methylation-based replication control. Moreover, less transcriptionally active plasmids display a within-cell advantage and fix preferentially, favoring gene loss. Critically, fixation depends nontrivially on the interplay between plasmid transcription and translation. Our results show that plasmid evolution is driven by within- and between-cell dynamics.</w:t>
      </w:r>
    </w:p>
    <w:p>
      <w:pPr>
        <w:spacing w:before="120" w:after="120"/>
      </w:pPr>
      <w:r>
        <w:rPr>
          <w:sz w:val="18"/>
        </w:rPr>
        <w:t>——————————————————————————————————————————————————————————————————————</w:t>
      </w:r>
    </w:p>
    <w:p>
      <w:pPr>
        <w:spacing w:before="160" w:after="80" w:line="240" w:lineRule="auto"/>
      </w:pPr>
      <w:r>
        <w:rPr>
          <w:b/>
        </w:rPr>
        <w:t xml:space="preserve">[569] </w:t>
      </w:r>
      <w:hyperlink r:id="rId927">
        <w:r>
          <w:rPr>
            <w:color w:val="1155CC"/>
            <w:u w:val="single"/>
          </w:rPr>
          <w:t>Interprotomer communication and functional asymmetry in H/ACA snoRNPs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28">
        <w:r>
          <w:rPr>
            <w:color w:val="1155CC"/>
            <w:u w:val="single"/>
          </w:rPr>
          <w:t>10.1073/pnas.2514683122</w:t>
        </w:r>
      </w:hyperlink>
    </w:p>
    <w:p>
      <w:pPr>
        <w:spacing w:before="0" w:after="120"/>
      </w:pPr>
      <w:r>
        <w:rPr>
          <w:b/>
        </w:rPr>
        <w:t xml:space="preserve">Notes: </w:t>
      </w:r>
      <w:r>
        <w:t>abstract_source=crossref</w:t>
      </w:r>
    </w:p>
    <w:p>
      <w:pPr>
        <w:spacing w:before="0" w:after="200" w:lineRule="auto" w:line="276"/>
      </w:pPr>
      <w:r>
        <w:rPr>
          <w:b/>
        </w:rPr>
        <w:t xml:space="preserve">Abstract: </w:t>
      </w:r>
      <w:r>
        <w:t>H/ACA small nucleolar ribonucleoproteins (H/ACA snoRNPs) facilitate essential cellular processes such as RNA modification, folding, and stability. Here, we present multiple cryo-EM structures of endogenous insect H/ACA snoRNPs containing two protomers assembled on a two-hairpin H/ACA snoRNA. By characterizing key protein–protein and protein–RNA interactions, we reveal the coordination of pseudouridylation activity across the two protomers which explains the predominance of two-hairpin structures in eukaryotic H/ACA snoRNAs. Moreover, we found that several mutations in H/ACA proteins associated with dyskeratosis congenita (DC) directly impair pseudouridine formation suggesting how these mutations disrupt RNA modification and ribosome biogenesis in this disease. Additionally, we uncover coordinated structural changes between Nop10, Nhp2, and the N-terminal extensions of Cbf5 in the 3′ protomer that resemble active and inactive conformations and may regulate H/ACA snoRNP activity. In summary, this study provides detailed insight into the structure and function of RNA modification-competent H/ACA snoRNPs, which play pivotal roles in cellular processes including ribosome biogenesis, rRNA folding, (m)RNA modification, and telomere maintenance.</w:t>
      </w:r>
    </w:p>
    <w:p>
      <w:pPr>
        <w:spacing w:before="120" w:after="120"/>
      </w:pPr>
      <w:r>
        <w:rPr>
          <w:sz w:val="18"/>
        </w:rPr>
        <w:t>——————————————————————————————————————————————————————————————————————</w:t>
      </w:r>
    </w:p>
    <w:p>
      <w:pPr>
        <w:spacing w:before="160" w:after="80" w:line="240" w:lineRule="auto"/>
      </w:pPr>
      <w:r>
        <w:rPr>
          <w:b/>
        </w:rPr>
        <w:t xml:space="preserve">[570] </w:t>
      </w:r>
      <w:hyperlink r:id="rId929">
        <w:r>
          <w:rPr>
            <w:color w:val="1155CC"/>
            <w:u w:val="single"/>
          </w:rPr>
          <w:t>Erratum for the Research Article “Robust epitaxy of single-crystal transition-metal dichalcogenides on lanthanum-passivated sapphire” by X. Zou et al.</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30">
        <w:r>
          <w:rPr>
            <w:color w:val="1155CC"/>
            <w:u w:val="single"/>
          </w:rPr>
          <w:t>10.1126/science.aee7927</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[571] </w:t>
      </w:r>
      <w:hyperlink r:id="rId931">
        <w:r>
          <w:rPr>
            <w:color w:val="1155CC"/>
            <w:u w:val="single"/>
          </w:rPr>
          <w:t>Conformational landscape adaptations enable processive phosphorylation by Src family kinases</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32">
        <w:r>
          <w:rPr>
            <w:color w:val="1155CC"/>
            <w:u w:val="single"/>
          </w:rPr>
          <w:t>10.1126/science.adw8310</w:t>
        </w:r>
      </w:hyperlink>
    </w:p>
    <w:p>
      <w:pPr>
        <w:spacing w:before="0" w:after="120"/>
      </w:pPr>
      <w:r>
        <w:rPr>
          <w:b/>
        </w:rPr>
        <w:t xml:space="preserve">Notes: </w:t>
      </w:r>
      <w:r>
        <w:t>abstract_source=crossref</w:t>
      </w:r>
    </w:p>
    <w:p>
      <w:pPr>
        <w:spacing w:before="0" w:after="200" w:lineRule="auto" w:line="276"/>
      </w:pPr>
      <w:r>
        <w:rPr>
          <w:b/>
        </w:rPr>
        <w:t xml:space="preserve">Abstract: </w:t>
      </w:r>
      <w:r>
        <w:t>Processive phosphorylation by kinases enables the rapid multisite modification of signaling hubs, serving to integrate signals during time-sensitive cellular events. To achieve processivity, multiple catalytic cycles must occur before substrate dissociation, making rapid turnover rates essential. Src family kinases processively phosphorylate multisite substrates. Using nuclear magnetic resonance spectroscopy, we identified a transient intermediate state within the Src conformational ensemble, positioned between its active and inactive states. This intermediate state facilitates the rapid release of adenosine diphosphate following adenosine triphosphate hydrolysis, ensuring efficient catalytic turnover. Depletion of the intermediate state abrogated processive phosphorylation by Src, Lck, and Hck, impairing function. These findings reveal that the conformational ensemble of Src family kinases has evolved to incorporate a transient state that underpins their capacity for processive substrate phosphorylation.</w:t>
      </w:r>
    </w:p>
    <w:p>
      <w:pPr>
        <w:spacing w:before="120" w:after="120"/>
      </w:pPr>
      <w:r>
        <w:rPr>
          <w:sz w:val="18"/>
        </w:rPr>
        <w:t>——————————————————————————————————————————————————————————————————————</w:t>
      </w:r>
    </w:p>
    <w:p>
      <w:pPr>
        <w:spacing w:before="160" w:after="80" w:line="240" w:lineRule="auto"/>
      </w:pPr>
      <w:r>
        <w:rPr>
          <w:b/>
        </w:rPr>
        <w:t xml:space="preserve">[572] </w:t>
      </w:r>
      <w:hyperlink r:id="rId933">
        <w:r>
          <w:rPr>
            <w:color w:val="1155CC"/>
            <w:u w:val="single"/>
          </w:rPr>
          <w:t>Optimal perovskite vapor partitioning on textured silicon for high-stability tandem solar cells</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34">
        <w:r>
          <w:rPr>
            <w:color w:val="1155CC"/>
            <w:u w:val="single"/>
          </w:rPr>
          <w:t>10.1126/science.adz3698</w:t>
        </w:r>
      </w:hyperlink>
    </w:p>
    <w:p>
      <w:pPr>
        <w:spacing w:before="0" w:after="120"/>
      </w:pPr>
      <w:r>
        <w:rPr>
          <w:b/>
        </w:rPr>
        <w:t xml:space="preserve">Notes: </w:t>
      </w:r>
      <w:r>
        <w:t>abstract_source=crossref</w:t>
      </w:r>
    </w:p>
    <w:p>
      <w:pPr>
        <w:spacing w:before="0" w:after="200" w:lineRule="auto" w:line="276"/>
      </w:pPr>
      <w:r>
        <w:rPr>
          <w:b/>
        </w:rPr>
        <w:t xml:space="preserve">Abstract: </w:t>
      </w:r>
      <w:r>
        <w:t>Achieving conformal, vapor-deposited perovskite films on industry-standard textured silicon substrates with micrometer-scale pyramids remains challenging because of the complex surface partitioning of perovskite vapors and the effects of nonequilibrium organic and inorganic vapor adsorption. We incorporated 3,3,3-trifluoropropyl-trimethoxysilane to enhance substrate-organic interactions, thereby optimizing surface partitioning and balancing adsorption of perovskite vapors. Vertically uniform perovskite films with minimal phase impurities formed, and nanobeam diffraction confirmed formation of the perovskite cubic phase across different pyramid regions. The resulting tandem devices achieved a power conversion efficiency of 31.3% (1 square centimeter aperture area) and exhibited excellent operational stability, retaining 90% of their initial performance after 1400 hours of continuous 1-sun illumination at 85°C.</w:t>
      </w:r>
    </w:p>
    <w:p>
      <w:pPr>
        <w:spacing w:before="120" w:after="120"/>
      </w:pPr>
      <w:r>
        <w:rPr>
          <w:sz w:val="18"/>
        </w:rPr>
        <w:t>——————————————————————————————————————————————————————————————————————</w:t>
      </w:r>
    </w:p>
    <w:p>
      <w:pPr>
        <w:spacing w:before="160" w:after="80" w:line="240" w:lineRule="auto"/>
      </w:pPr>
      <w:r>
        <w:rPr>
          <w:b/>
        </w:rPr>
        <w:t xml:space="preserve">[573] </w:t>
      </w:r>
      <w:hyperlink r:id="rId935">
        <w:r>
          <w:rPr>
            <w:color w:val="1155CC"/>
            <w:u w:val="single"/>
          </w:rPr>
          <w:t>Safeguards for military robotics are impeded by the realities of warfare</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36">
        <w:r>
          <w:rPr>
            <w:color w:val="1155CC"/>
            <w:u w:val="single"/>
          </w:rPr>
          <w:t>10.1126/science.aed5178</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[574] </w:t>
      </w:r>
      <w:hyperlink r:id="rId937">
        <w:r>
          <w:rPr>
            <w:color w:val="1155CC"/>
            <w:u w:val="single"/>
          </w:rPr>
          <w:t>Ancient genomes illuminate the origins and dynamic history of East Asian cattle</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38">
        <w:r>
          <w:rPr>
            <w:color w:val="1155CC"/>
            <w:u w:val="single"/>
          </w:rPr>
          <w:t>10.1126/science.adu9904</w:t>
        </w:r>
      </w:hyperlink>
    </w:p>
    <w:p>
      <w:pPr>
        <w:spacing w:before="0" w:after="120"/>
      </w:pPr>
      <w:r>
        <w:rPr>
          <w:b/>
        </w:rPr>
        <w:t xml:space="preserve">Notes: </w:t>
      </w:r>
      <w:r>
        <w:t>abstract_source=crossref</w:t>
      </w:r>
    </w:p>
    <w:p>
      <w:pPr>
        <w:spacing w:before="0" w:after="200" w:lineRule="auto" w:line="276"/>
      </w:pPr>
      <w:r>
        <w:rPr>
          <w:b/>
        </w:rPr>
        <w:t xml:space="preserve">Abstract: </w:t>
      </w:r>
      <w:r>
        <w:t>The evolutionary history of domesticated cattle in East Asia for the past 5000 years remains largely obscure. Here, we investigated the origins and evolution of cattle genetic diversity in China by analyzing shotgun genome sequences of 166 ancient bovines spanning a 10,000-year period and encompassing now-extinct East Asian aurochs and domesticated cattle from key archaeological cultures. East and North Asian aurochs were distinct from western aurochs, although East Asian aurochs harbored approximately 15% western ancestry. The first domesticated cattle in the Yellow River region derived approximately 10% of their ancestry from local aurochs with an uneven genome-wide distribution. Early cattle from Xinjiang were genetically distinct and partially contributed to the later northern Chinese cattle. Indicine admixture became widespread only in the Medieval period in northern China.</w:t>
      </w:r>
    </w:p>
    <w:p>
      <w:pPr>
        <w:spacing w:before="120" w:after="120"/>
      </w:pPr>
      <w:r>
        <w:rPr>
          <w:sz w:val="18"/>
        </w:rPr>
        <w:t>——————————————————————————————————————————————————————————————————————</w:t>
      </w:r>
    </w:p>
    <w:p>
      <w:pPr>
        <w:spacing w:before="160" w:after="80" w:line="240" w:lineRule="auto"/>
      </w:pPr>
      <w:r>
        <w:rPr>
          <w:b/>
        </w:rPr>
        <w:t xml:space="preserve">[575] </w:t>
      </w:r>
      <w:hyperlink r:id="rId939">
        <w:r>
          <w:rPr>
            <w:color w:val="1155CC"/>
            <w:u w:val="single"/>
          </w:rPr>
          <w:t>Erratum for the Report “TFEB links autophagy to lysosomal biogenesis” by C. Settembre et al.</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40">
        <w:r>
          <w:rPr>
            <w:color w:val="1155CC"/>
            <w:u w:val="single"/>
          </w:rPr>
          <w:t>10.1126/science.aee5883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[576] </w:t>
      </w:r>
      <w:hyperlink r:id="rId941">
        <w:r>
          <w:rPr>
            <w:color w:val="1155CC"/>
            <w:u w:val="single"/>
          </w:rPr>
          <w:t>MTHFR allele and one-carbon metabolic profile predict severity of COVID-19</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42">
        <w:r>
          <w:rPr>
            <w:color w:val="1155CC"/>
            <w:u w:val="single"/>
          </w:rPr>
          <w:t>10.1073/pnas.2509118122</w:t>
        </w:r>
      </w:hyperlink>
    </w:p>
    <w:p>
      <w:pPr>
        <w:spacing w:before="0" w:after="120"/>
      </w:pPr>
      <w:r>
        <w:rPr>
          <w:b/>
        </w:rPr>
        <w:t xml:space="preserve">Notes: </w:t>
      </w:r>
      <w:r>
        <w:t>abstract_source=crossref</w:t>
      </w:r>
    </w:p>
    <w:p>
      <w:pPr>
        <w:spacing w:before="0" w:after="200" w:lineRule="auto" w:line="276"/>
      </w:pPr>
      <w:r>
        <w:rPr>
          <w:b/>
        </w:rPr>
        <w:t xml:space="preserve">Abstract: </w:t>
      </w:r>
      <w:r>
        <w:t>While the public health burden of SARS-CoV-2 infection has lessened due to natural and vaccine-acquired immunity, emergence of less virulent variants, and antiviral medications, COVID-19 continues to take a significant toll. There are thousands of new hospitalizations and hundreds of deaths per week in the United States, many of whom develop long COVID. Early identification of individuals at high risk of severe COVID-19 is key for monitoring and supporting respiratory status and improving outcomes. Therefore, precision tools for early detection of patients at high risk of severe disease can reduce morbidity and mortality. Here, we report an untargeted, longitudinal plasma metabolomics study of COVID-19 patients. One-carbon metabolism, a pathway previously shown as critical for viral propagation and disease progression, and a potential target for COVID-19 treatment, scored strongly as differentially abundant in patients with severe COVID-19. Targeted metabolite profiling revealed that one arm of the one-carbon metabolism pathway, the methionine cycle, is a major driver of the metabolic profile associated with disease severity. Further, genomic data from the profiled patients revealed a genetic contributor to methionine metabolism and identified the C677T allele of the</w:t>
      </w:r>
      <w:r>
        <w:t xml:space="preserve"> </w:t>
      </w:r>
      <w:r>
        <w:t>MTHFR</w:t>
      </w:r>
      <w:r>
        <w:t xml:space="preserve"> </w:t>
      </w:r>
      <w:r>
        <w:t>gene as a preexisting contributor to disease trajectory—patients that show aberrant one-carbon metabolite levels and that are homozygous for the</w:t>
      </w:r>
      <w:r>
        <w:t xml:space="preserve"> </w:t>
      </w:r>
      <w:r>
        <w:t>MTHFR</w:t>
      </w:r>
      <w:r>
        <w:t xml:space="preserve"> </w:t>
      </w:r>
      <w:r>
        <w:t>C677T, have higher incidence of severe COVID. Our results raise the possibility that</w:t>
      </w:r>
      <w:r>
        <w:t xml:space="preserve"> </w:t>
      </w:r>
      <w:r>
        <w:t>MTHFR</w:t>
      </w:r>
      <w:r>
        <w:t xml:space="preserve"> </w:t>
      </w:r>
      <w:r>
        <w:t>variant status may inform precision COVID-19 treatment strategies.</w:t>
      </w:r>
    </w:p>
    <w:p>
      <w:pPr>
        <w:spacing w:before="120" w:after="120"/>
      </w:pPr>
      <w:r>
        <w:rPr>
          <w:sz w:val="18"/>
        </w:rPr>
        <w:t>——————————————————————————————————————————————————————————————————————</w:t>
      </w:r>
    </w:p>
    <w:p>
      <w:pPr>
        <w:spacing w:before="160" w:after="80" w:line="240" w:lineRule="auto"/>
      </w:pPr>
      <w:r>
        <w:rPr>
          <w:b/>
        </w:rPr>
        <w:t xml:space="preserve">[577] </w:t>
      </w:r>
      <w:hyperlink r:id="rId943">
        <w:r>
          <w:rPr>
            <w:color w:val="1155CC"/>
            <w:u w:val="single"/>
          </w:rPr>
          <w:t>Merkel cell mechanotransduction facilitates adult neurogenesis and cognition in an enriched environment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44">
        <w:r>
          <w:rPr>
            <w:color w:val="1155CC"/>
            <w:u w:val="single"/>
          </w:rPr>
          <w:t>10.1073/pnas.2510374122</w:t>
        </w:r>
      </w:hyperlink>
    </w:p>
    <w:p>
      <w:pPr>
        <w:spacing w:before="0" w:after="120"/>
      </w:pPr>
      <w:r>
        <w:rPr>
          <w:b/>
        </w:rPr>
        <w:t xml:space="preserve">Notes: </w:t>
      </w:r>
      <w:r>
        <w:t>abstract_source=crossref</w:t>
      </w:r>
    </w:p>
    <w:p>
      <w:pPr>
        <w:spacing w:before="0" w:after="200" w:lineRule="auto" w:line="276"/>
      </w:pPr>
      <w:r>
        <w:rPr>
          <w:b/>
        </w:rPr>
        <w:t xml:space="preserve">Abstract: </w:t>
      </w:r>
      <w:r>
        <w:t>The tactile system empowers us to act on and interact with the changes of the external environment. In rodents, tactile sensation, a fundamental sense, is largely mediated via the vibrissae and the barrel cortex. However, it remains unclear how tactile perception reshape the brain when exploring a novel environment. Here, we showed that exposure to an enriched environment (EE) failed to enhance adult neurogenesis and cognition in the mice with defective touch perception due to loss of a mechanotransduction channel Piezo2 in Merkel cells. Moreover, we found an EE-activated neuraxis, in which the dentate gyrus received tactile input through a circuit that originated from the somatosensory cortex (S1) and relayed via dopaminergic neurons of the substantia nigra pars compacta (SNc). Defective touch perception diminished the S1 to SNc afferent, thereby reducing dopamine release. Notably, stimulation of the S1 to SNc afferent restored EE-induced adult neurogenesis and cognition in the mice with defective touch perception. Therefore, our study highlighted the important role of intact tactile processing in brain function.</w:t>
      </w:r>
    </w:p>
    <w:p>
      <w:pPr>
        <w:spacing w:before="120" w:after="120"/>
      </w:pPr>
      <w:r>
        <w:rPr>
          <w:sz w:val="18"/>
        </w:rPr>
        <w:t>——————————————————————————————————————————————————————————————————————</w:t>
      </w:r>
    </w:p>
    <w:p>
      <w:pPr>
        <w:spacing w:before="160" w:after="80" w:line="240" w:lineRule="auto"/>
      </w:pPr>
      <w:r>
        <w:rPr>
          <w:b/>
        </w:rPr>
        <w:t xml:space="preserve">[578] </w:t>
      </w:r>
      <w:hyperlink r:id="rId945">
        <w:r>
          <w:rPr>
            <w:color w:val="1155CC"/>
            <w:u w:val="single"/>
          </w:rPr>
          <w:t>Body ownership gates tactile awareness by reshaping the somatosensory functional connectivity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2025-12-18 08:00:00+00:00</w:t>
      </w:r>
      <w:r>
        <w:t xml:space="preserve">    </w:t>
      </w:r>
      <w:r>
        <w:rPr>
          <w:b/>
        </w:rPr>
        <w:t xml:space="preserve">DOI: </w:t>
      </w:r>
      <w:hyperlink r:id="rId946">
        <w:r>
          <w:rPr>
            <w:color w:val="1155CC"/>
            <w:u w:val="single"/>
          </w:rPr>
          <w:t>10.1073/pnas.2513533122</w:t>
        </w:r>
      </w:hyperlink>
    </w:p>
    <w:p>
      <w:pPr>
        <w:spacing w:before="0" w:after="120"/>
      </w:pPr>
      <w:r>
        <w:rPr>
          <w:b/>
        </w:rPr>
        <w:t xml:space="preserve">Notes: </w:t>
      </w:r>
      <w:r>
        <w:t>abstract_source=crossref</w:t>
      </w:r>
    </w:p>
    <w:p>
      <w:pPr>
        <w:spacing w:before="0" w:after="200" w:lineRule="auto" w:line="276"/>
      </w:pPr>
      <w:r>
        <w:rPr>
          <w:b/>
        </w:rPr>
        <w:t xml:space="preserve">Abstract: </w:t>
      </w:r>
      <w:r>
        <w:t>We all likely agree that tactile experience contributes to the emergence of the feeling of ownership over one’s own body. Is the opposite true? We answered this question by testing whether and how the sense of body ownership gates our tactile experience. In two experiments, we exploited a well-known multisensory illusion (Rubber Hand Illusion) to induce participants to feel a fake hand as belonging to their body, while their own hand was left in a disembodiment state (illusory-phases). After each illusory phase, a tactile stimulus was delivered to either the fake (embodied) hand or the real (disembodied) hand (testing-phases). Experiment 1 shows that the illusory phase significantly modulates the subjective feeling of touch experienced in the testing-phase, increasing tactile sensations when participants observed the fake (embodied) hand being touched (visual-touch), and decreasing them when the real (disembodied) hand was touched (real-touch). Experiment 2 investigated, by using TMS-EEG, the neural mechanism supporting this diametrical modulation of subjective feeling of touch, focusing on alpha-band oscillatory networks as the neural correlate of somatosensory awareness. S1 alpha-band connectivity fully matches the behavioral results, significantly increasing in visual-touch and decreasing in real-touch. In both experiments, a greater embodiment experienced in the illusory-phase significantly predicted higher behavioral and neurofunctional responses to visual-touch and lower responses to real-touch in the testing-phase. Altogether, our findings demonstrate that the sense of body ownership exerts a top-down modulation on tactile awareness and may do so by increasing or decreasing the strength of the somatosensory network involved in tactile awareness.</w:t>
      </w:r>
    </w:p>
    <w:p>
      <w:pPr>
        <w:spacing w:before="120" w:after="120"/>
      </w:pPr>
      <w:r>
        <w:rPr>
          <w:sz w:val="18"/>
        </w:rPr>
        <w:t>——————————————————————————————————————————————————————————————————————</w:t>
      </w:r>
    </w:p>
    <w:p>
      <w:pPr>
        <w:spacing w:before="160" w:after="80" w:line="240" w:lineRule="auto"/>
      </w:pPr>
      <w:r>
        <w:rPr>
          <w:b/>
        </w:rPr>
        <w:t xml:space="preserve">[579] </w:t>
      </w:r>
      <w:hyperlink r:id="rId947">
        <w:r>
          <w:rPr>
            <w:color w:val="1155CC"/>
            <w:u w:val="single"/>
          </w:rPr>
          <w:t>AQP5: A functional gastric cancer stem cell marker in mouse and human tumors</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48">
        <w:r>
          <w:rPr>
            <w:color w:val="1155CC"/>
            <w:u w:val="single"/>
          </w:rPr>
          <w:t>10.1126/science.adr2428</w:t>
        </w:r>
      </w:hyperlink>
    </w:p>
    <w:p>
      <w:pPr>
        <w:spacing w:before="0" w:after="120"/>
      </w:pPr>
      <w:r>
        <w:rPr>
          <w:b/>
        </w:rPr>
        <w:t xml:space="preserve">Notes: </w:t>
      </w:r>
      <w:r>
        <w:t>abstract_source=crossref</w:t>
      </w:r>
    </w:p>
    <w:p>
      <w:pPr>
        <w:spacing w:before="0" w:after="200" w:lineRule="auto" w:line="276"/>
      </w:pPr>
      <w:r>
        <w:rPr>
          <w:b/>
        </w:rPr>
        <w:t xml:space="preserve">Abstract: </w:t>
      </w:r>
      <w:r>
        <w:t>Cancer stem cells (CSCs) represent a self-renewing population capable of fueling long-term tumor growth. In gastric cancer, the identity of CSC populations remains unclear. In this study, we established a gastric CSC population marked by the water channel protein aquaporin-5 (AQP5), which resides in human and mouse pyloric tumors. Using multiple organoid and mouse models, we found a requirement for AQP5</w:t>
      </w:r>
      <w:r>
        <w:t xml:space="preserve"> </w:t>
      </w:r>
      <w:r>
        <w:t>+</w:t>
      </w:r>
      <w:r>
        <w:t xml:space="preserve"> </w:t>
      </w:r>
      <w:r>
        <w:t>CSCs in both initiating and sustaining cancer progression and demonstrated that AQP5 expression also directly promotes tumor growth and invasion in a WNT, PI3K (phosphatidylinositol 3-kinase), and MAPK (mitogen-activated protein kinase)–dependent manner. Beyond primary cancers, AQP5 further enriches for a functional CSC population in metastatic tumors. Together, our findings support a CSC model in gastric tumors that may have application for therapeutic strategies targeting CSCs.</w:t>
      </w:r>
    </w:p>
    <w:p>
      <w:pPr>
        <w:spacing w:before="120" w:after="120"/>
      </w:pPr>
      <w:r>
        <w:rPr>
          <w:sz w:val="18"/>
        </w:rPr>
        <w:t>——————————————————————————————————————————————————————————————————————</w:t>
      </w:r>
    </w:p>
    <w:p>
      <w:pPr>
        <w:spacing w:before="160" w:after="80" w:line="240" w:lineRule="auto"/>
      </w:pPr>
      <w:r>
        <w:rPr>
          <w:b/>
        </w:rPr>
        <w:t xml:space="preserve">[580] </w:t>
      </w:r>
      <w:hyperlink r:id="rId949">
        <w:r>
          <w:rPr>
            <w:color w:val="1155CC"/>
            <w:u w:val="single"/>
          </w:rPr>
          <w:t>A human pan-disease blood atlas of the circulating proteome</w:t>
        </w:r>
      </w:hyperlink>
    </w:p>
    <w:p>
      <w:pPr>
        <w:spacing w:before="0" w:after="120" w:line="240" w:lineRule="auto"/>
      </w:pPr>
      <w:r>
        <w:rPr>
          <w:b/>
        </w:rPr>
        <w:t xml:space="preserve">Source: </w:t>
      </w:r>
      <w:r>
        <w:t>AAAS: Science: Table of Contents</w:t>
      </w:r>
      <w:r>
        <w:t xml:space="preserve">    </w:t>
      </w:r>
      <w:r>
        <w:rPr>
          <w:b/>
        </w:rPr>
        <w:t xml:space="preserve">Pub date: </w:t>
      </w:r>
      <w:r>
        <w:t>2025-12-18 08:00:00+00:00</w:t>
      </w:r>
      <w:r>
        <w:t xml:space="preserve">    </w:t>
      </w:r>
      <w:r>
        <w:rPr>
          <w:b/>
        </w:rPr>
        <w:t xml:space="preserve">DOI: </w:t>
      </w:r>
      <w:hyperlink r:id="rId950">
        <w:r>
          <w:rPr>
            <w:color w:val="1155CC"/>
            <w:u w:val="single"/>
          </w:rPr>
          <w:t>10.1126/science.adx2678</w:t>
        </w:r>
      </w:hyperlink>
    </w:p>
    <w:p>
      <w:pPr>
        <w:spacing w:before="0" w:after="120"/>
      </w:pPr>
      <w:r>
        <w:rPr>
          <w:b/>
        </w:rPr>
        <w:t xml:space="preserve">Notes: </w:t>
      </w:r>
      <w:r>
        <w:t>abstract_source=crossref</w:t>
      </w:r>
    </w:p>
    <w:p>
      <w:pPr>
        <w:spacing w:before="0" w:after="200" w:lineRule="auto" w:line="276"/>
      </w:pPr>
      <w:r>
        <w:rPr>
          <w:b/>
        </w:rPr>
        <w:t xml:space="preserve">Abstract: </w:t>
      </w:r>
      <w:r>
        <w:t>The human blood proteome provides a holistic readout of health states through the assessment of thousands of circulating proteins. In this study, we present a pan-disease resource to enable the study of diverse disease phenotypes within a harmonized proteomics dataset. By profiling protein concentrations across 59 diseases and healthy cohorts, we identified proteins associated with age, sex, and body mass index, as well as disease-specific signatures. This study highlights shared and distinct protein patterns across conditions, demonstrating the power of a unified proteomics approach to uncover biological insights. The dataset, covering 8262 individuals and up to 5416 proteins, serves as an online resource for exploring disease-specific protein profiles and advancing precision medicine research.</w:t>
      </w:r>
    </w:p>
    <w:p>
      <w:pPr>
        <w:spacing w:before="120" w:after="120"/>
      </w:pPr>
      <w:r>
        <w:rPr>
          <w:sz w:val="18"/>
        </w:rPr>
        <w:t>——————————————————————————————————————————————————————————————————————</w:t>
      </w:r>
    </w:p>
    <w:p>
      <w:pPr>
        <w:spacing w:before="160" w:after="80" w:line="240" w:lineRule="auto"/>
      </w:pPr>
      <w:r>
        <w:rPr>
          <w:b/>
        </w:rPr>
        <w:t xml:space="preserve">[581] </w:t>
      </w:r>
      <w:hyperlink r:id="rId951">
        <w:r>
          <w:rPr>
            <w:color w:val="1155CC"/>
            <w:u w:val="single"/>
          </w:rPr>
          <w:t>Networked Porous Organic Cage Membranes for Precision Separation of Pharmaceutical Ingredients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09:00:46+00:00</w:t>
      </w:r>
      <w:r>
        <w:t xml:space="preserve">    </w:t>
      </w:r>
      <w:r>
        <w:rPr>
          <w:b/>
        </w:rPr>
        <w:t xml:space="preserve">DOI: </w:t>
      </w:r>
      <w:hyperlink r:id="rId952">
        <w:r>
          <w:rPr>
            <w:color w:val="1155CC"/>
            <w:u w:val="single"/>
          </w:rPr>
          <w:t>10.1002/anie.202520819</w:t>
        </w:r>
      </w:hyperlink>
    </w:p>
    <w:p>
      <w:pPr>
        <w:spacing w:before="0" w:after="120"/>
      </w:pPr>
      <w:r>
        <w:rPr>
          <w:b/>
        </w:rPr>
        <w:t xml:space="preserve">Notes: </w:t>
      </w:r>
      <w:r>
        <w:t>abstract_source=crossref</w:t>
      </w:r>
    </w:p>
    <w:p>
      <w:pPr>
        <w:spacing w:before="0" w:after="200" w:lineRule="auto" w:line="276"/>
      </w:pPr>
      <w:r>
        <w:rPr>
          <w:b/>
        </w:rPr>
        <w:t xml:space="preserve">Abstract: </w:t>
      </w:r>
      <w:r>
        <w:t>Organic solvent nanofiltration (OSN) membranes play a crucial role in the manufacturing of active pharmaceutical ingredients (APIs). The synthesis process of APIs typically contains low molecular weight genotoxic impurities (GTIs) that compromise product quality. However, current OSN membranes face significant technical challenges in separating high‐value APIs with molecular weights (MW) below 350 g mol</w:t>
      </w:r>
      <w:r>
        <w:t xml:space="preserve"> </w:t>
      </w:r>
      <w:r>
        <w:t>−1</w:t>
      </w:r>
      <w:r>
        <w:t xml:space="preserve"> </w:t>
      </w:r>
      <w:r>
        <w:t>due to their lack of precisely controlled pore structures. Porous organic cages (POCs), a class of discrete organic molecules with permanent three‐dimensional cavities, feature ordered pore structures, good processability and modularity, making them ideal candidates for fabricating membranes with highly tunable pore structures for precise separations. Here, we report the fabrication of porous network membranes via nucleophilic substitution reactions of POCs. These membranes, with retaining incorporated cavities, exhibit high methanol permeance and excellent dye rejection (&amp;gt;94% for APIs with MW above 368 g mol</w:t>
      </w:r>
      <w:r>
        <w:t xml:space="preserve"> </w:t>
      </w:r>
      <w:r>
        <w:t>−1</w:t>
      </w:r>
      <w:r>
        <w:t xml:space="preserve"> </w:t>
      </w:r>
      <w:r>
        <w:t>), outperforming commercial OSN membranes. Importantly, they achieve a selectivity of 13 in removing GTIs from APIs, thereby producing high‐purity APIs. This work highlights the great potential of the POCs‐based membranes for precision pharmaceutical separations.</w:t>
      </w:r>
    </w:p>
    <w:p>
      <w:pPr>
        <w:spacing w:before="120" w:after="120"/>
      </w:pPr>
      <w:r>
        <w:rPr>
          <w:sz w:val="18"/>
        </w:rPr>
        <w:t>——————————————————————————————————————————————————————————————————————</w:t>
      </w:r>
    </w:p>
    <w:p>
      <w:pPr>
        <w:spacing w:before="160" w:after="80" w:line="240" w:lineRule="auto"/>
      </w:pPr>
      <w:r>
        <w:rPr>
          <w:b/>
        </w:rPr>
        <w:t xml:space="preserve">[582] </w:t>
      </w:r>
      <w:hyperlink r:id="rId953">
        <w:r>
          <w:rPr>
            <w:color w:val="1155CC"/>
            <w:u w:val="single"/>
          </w:rPr>
          <w:t>Designing Synergistic Lewis Acid‐Base Pairs in Compressed Bismuth‐Copper Oxide for Selective CO2‐to‐Formate Electrosynthesis</w:t>
        </w:r>
      </w:hyperlink>
    </w:p>
    <w:p>
      <w:pPr>
        <w:spacing w:before="0" w:after="120" w:line="240" w:lineRule="auto"/>
      </w:pPr>
      <w:r>
        <w:rPr>
          <w:b/>
        </w:rPr>
        <w:t xml:space="preserve">Source: </w:t>
      </w:r>
      <w:r>
        <w:t>Wiley: Advanced Materials: Table of Contents</w:t>
      </w:r>
      <w:r>
        <w:t xml:space="preserve">    </w:t>
      </w:r>
      <w:r>
        <w:rPr>
          <w:b/>
        </w:rPr>
        <w:t xml:space="preserve">Pub date: </w:t>
      </w:r>
      <w:r>
        <w:t>2025-12-18 09:01:39+00:00</w:t>
      </w:r>
      <w:r>
        <w:t xml:space="preserve">    </w:t>
      </w:r>
      <w:r>
        <w:rPr>
          <w:b/>
        </w:rPr>
        <w:t xml:space="preserve">DOI: </w:t>
      </w:r>
      <w:hyperlink r:id="rId954">
        <w:r>
          <w:rPr>
            <w:color w:val="1155CC"/>
            <w:u w:val="single"/>
          </w:rPr>
          <w:t>10.1002/adma.202519866</w:t>
        </w:r>
      </w:hyperlink>
    </w:p>
    <w:p>
      <w:pPr>
        <w:spacing w:before="0" w:after="120"/>
      </w:pPr>
      <w:r>
        <w:rPr>
          <w:b/>
        </w:rPr>
        <w:t xml:space="preserve">Notes: </w:t>
      </w:r>
      <w:r>
        <w:t>abstract_source=crossref</w:t>
      </w:r>
    </w:p>
    <w:p>
      <w:pPr>
        <w:spacing w:before="0" w:after="200" w:lineRule="auto" w:line="276"/>
      </w:pPr>
      <w:r>
        <w:rPr>
          <w:b/>
        </w:rPr>
        <w:t xml:space="preserve">Abstract: </w:t>
      </w:r>
      <w:r>
        <w:t>Electrocatalytic carbon dioxide reduction (CO</w:t>
      </w:r>
      <w:r>
        <w:rPr>
          <w:vertAlign w:val="subscript"/>
        </w:rPr>
        <w:t>2</w:t>
      </w:r>
      <w:r>
        <w:t>RR) to formate represents a sustainable pathway for carbon utilization, yet its industrial deployment remains hindered by insufficient current density and stability of the electrocatalysts. While lattice strain engineering can modulate catalytic performance by altering electronic structures, a major challenge is the lack of a clear mechanistic understanding connecting the induced strain to the activity enhancement. Herein, by precisely engineering lattice strain in an atomically integrated catalytic system, we establish a definitive intrinsic structure‐activity relationship, moving beyond conventional correlations with apparent properties. Combined experimental and theoretical investigations demonstrate that compressive strain effectively modulates the electronic structure of the Cu d‐orbital and the local electronic states of oxygen vacancies, thereby enhancing the cooperation within the Lewis acid–base pairs. This mechanism facilitates CO</w:t>
      </w:r>
      <w:r>
        <w:rPr>
          <w:vertAlign w:val="subscript"/>
        </w:rPr>
        <w:t>2</w:t>
      </w:r>
      <w:r>
        <w:t>adsorption and activation, stabilizes the key</w:t>
      </w:r>
      <w:r>
        <w:t xml:space="preserve"> </w:t>
      </w:r>
      <w:r>
        <w:t>*</w:t>
      </w:r>
      <w:r>
        <w:t xml:space="preserve"> </w:t>
      </w:r>
      <w:r>
        <w:t>HCOO intermediate, and significantly lowers the reaction energy barrier. Consequently, the catalyst exhibits high formate Faradaic efficiency (&amp;gt;95%) over a broad current density range (−100 to −700 mA cm</w:t>
      </w:r>
      <w:r>
        <w:t xml:space="preserve"> </w:t>
      </w:r>
      <w:r>
        <w:t>−2</w:t>
      </w:r>
      <w:r>
        <w:t xml:space="preserve"> </w:t>
      </w:r>
      <w:r>
        <w:t>), achieving 96.1% at −576.8 mA cm</w:t>
      </w:r>
      <w:r>
        <w:t xml:space="preserve"> </w:t>
      </w:r>
      <w:r>
        <w:t>−2</w:t>
      </w:r>
      <w:r>
        <w:t xml:space="preserve"> </w:t>
      </w:r>
      <w:r>
        <w:t>. This research not only elucidates the synergistic Lewis acid‐base catalytic mechanism at the molecular level but also provides universal design principles for the sustainable electro‐synthesis of value‐added formate.</w:t>
      </w:r>
    </w:p>
    <w:p>
      <w:pPr>
        <w:spacing w:before="120" w:after="120"/>
      </w:pPr>
      <w:r>
        <w:rPr>
          <w:sz w:val="18"/>
        </w:rPr>
        <w:t>——————————————————————————————————————————————————————————————————————</w:t>
      </w:r>
    </w:p>
    <w:p>
      <w:pPr>
        <w:spacing w:before="160" w:after="80" w:line="240" w:lineRule="auto"/>
      </w:pPr>
      <w:r>
        <w:rPr>
          <w:b/>
        </w:rPr>
        <w:t xml:space="preserve">[583] </w:t>
      </w:r>
      <w:hyperlink r:id="rId955">
        <w:r>
          <w:rPr>
            <w:color w:val="1155CC"/>
            <w:u w:val="single"/>
          </w:rPr>
          <w:t>Ferroelectric Transistors: from Materials Innovation to Intelligent Electronic Systems</w:t>
        </w:r>
      </w:hyperlink>
    </w:p>
    <w:p>
      <w:pPr>
        <w:spacing w:before="0" w:after="120" w:line="240" w:lineRule="auto"/>
      </w:pPr>
      <w:r>
        <w:rPr>
          <w:b/>
        </w:rPr>
        <w:t xml:space="preserve">Source: </w:t>
      </w:r>
      <w:r>
        <w:t>Wiley: Advanced Materials: Table of Contents</w:t>
      </w:r>
      <w:r>
        <w:t xml:space="preserve">    </w:t>
      </w:r>
      <w:r>
        <w:rPr>
          <w:b/>
        </w:rPr>
        <w:t xml:space="preserve">Pub date: </w:t>
      </w:r>
      <w:r>
        <w:t>2025-12-18 09:03:17+00:00</w:t>
      </w:r>
      <w:r>
        <w:t xml:space="preserve">    </w:t>
      </w:r>
      <w:r>
        <w:rPr>
          <w:b/>
        </w:rPr>
        <w:t xml:space="preserve">DOI: </w:t>
      </w:r>
      <w:hyperlink r:id="rId956">
        <w:r>
          <w:rPr>
            <w:color w:val="1155CC"/>
            <w:u w:val="single"/>
          </w:rPr>
          <w:t>10.1002/adma.202515480</w:t>
        </w:r>
      </w:hyperlink>
    </w:p>
    <w:p>
      <w:pPr>
        <w:spacing w:before="0" w:after="120"/>
      </w:pPr>
      <w:r>
        <w:rPr>
          <w:b/>
        </w:rPr>
        <w:t xml:space="preserve">Notes: </w:t>
      </w:r>
      <w:r>
        <w:t>abstract_source=crossref</w:t>
      </w:r>
    </w:p>
    <w:p>
      <w:pPr>
        <w:spacing w:before="0" w:after="200" w:lineRule="auto" w:line="276"/>
      </w:pPr>
      <w:r>
        <w:rPr>
          <w:b/>
        </w:rPr>
        <w:t xml:space="preserve">Abstract: </w:t>
      </w:r>
      <w:r>
        <w:t>The explosive growth of artificial intelligence, big data, and the Internet of Things is driving an unprecedented demand for computing power and energy efficiency. However, conventional von Neumann architectures are increasingly constrained by the physical and economic limits of transistor scaling in the post‐Moore era. Ferroelectric transistors (FeFETs) are far more than a novel memory technology and instead represent a revolutionary platform that seamlessly integrates nonvolatile storage, in‐memory computation, and multi‐modal sensing into a single, energy‐efficient device, overcoming the bottlenecks of traditional computing architectures. This review provides a comprehensive overview of ferroelectric materials, including perovskite oxides, hafnium‐based compounds, organics, and emerging 2D systems, emphasizing their polarization original mechanisms and structureproperty relationships. This study focuses on the device physics and engineering of three terminal FeFETs, with particular attention to the current issues, optimization strategies, and contrasting operation principles of ferroelectric dielectric and semiconductor‐based designs. Finally, the expanding applications of FeFETs in nonvolatile memory, neuromorphic computing, and artificial intelligence hardware from device to system integration is discussed, and an outlook toward scalable, low‐power, and multifunctional electronics driven by ferroelectric innovation is presented.</w:t>
      </w:r>
    </w:p>
    <w:p>
      <w:pPr>
        <w:spacing w:before="120" w:after="120"/>
      </w:pPr>
      <w:r>
        <w:rPr>
          <w:sz w:val="18"/>
        </w:rPr>
        <w:t>——————————————————————————————————————————————————————————————————————</w:t>
      </w:r>
    </w:p>
    <w:p>
      <w:pPr>
        <w:spacing w:before="160" w:after="80" w:line="240" w:lineRule="auto"/>
      </w:pPr>
      <w:r>
        <w:rPr>
          <w:b/>
        </w:rPr>
        <w:t xml:space="preserve">[584] </w:t>
      </w:r>
      <w:hyperlink r:id="rId957">
        <w:r>
          <w:rPr>
            <w:color w:val="1155CC"/>
            <w:u w:val="single"/>
          </w:rPr>
          <w:t>Pressure‐Adaptive Artificial Synapses with High Linearity for Intelligent Computing in Extreme Environments</w:t>
        </w:r>
      </w:hyperlink>
    </w:p>
    <w:p>
      <w:pPr>
        <w:spacing w:before="0" w:after="120" w:line="240" w:lineRule="auto"/>
      </w:pPr>
      <w:r>
        <w:rPr>
          <w:b/>
        </w:rPr>
        <w:t xml:space="preserve">Source: </w:t>
      </w:r>
      <w:r>
        <w:t>Wiley: Advanced Materials: Table of Contents</w:t>
      </w:r>
      <w:r>
        <w:t xml:space="preserve">    </w:t>
      </w:r>
      <w:r>
        <w:rPr>
          <w:b/>
        </w:rPr>
        <w:t xml:space="preserve">Pub date: </w:t>
      </w:r>
      <w:r>
        <w:t>2025-12-18 09:10:14+00:00</w:t>
      </w:r>
      <w:r>
        <w:t xml:space="preserve">    </w:t>
      </w:r>
      <w:r>
        <w:rPr>
          <w:b/>
        </w:rPr>
        <w:t xml:space="preserve">DOI: </w:t>
      </w:r>
      <w:hyperlink r:id="rId958">
        <w:r>
          <w:rPr>
            <w:color w:val="1155CC"/>
            <w:u w:val="single"/>
          </w:rPr>
          <w:t>10.1002/adma.202516053</w:t>
        </w:r>
      </w:hyperlink>
    </w:p>
    <w:p>
      <w:pPr>
        <w:spacing w:before="0" w:after="120"/>
      </w:pPr>
      <w:r>
        <w:rPr>
          <w:b/>
        </w:rPr>
        <w:t xml:space="preserve">Notes: </w:t>
      </w:r>
      <w:r>
        <w:t>abstract_source=crossref</w:t>
      </w:r>
    </w:p>
    <w:p>
      <w:pPr>
        <w:spacing w:before="0" w:after="200" w:lineRule="auto" w:line="276"/>
      </w:pPr>
      <w:r>
        <w:rPr>
          <w:b/>
        </w:rPr>
        <w:t xml:space="preserve">Abstract: </w:t>
      </w:r>
      <w:r>
        <w:t>The ongoing exploration of the physical world has intensified the demand for intelligent computing in extreme environments. However, intelligent devices operating under extreme high‐pressure conditions are limited by the pressure tolerance of the materials used for intelligent computing. A pressure‐adaptive artificial synapse (PAAS) using VO</w:t>
      </w:r>
      <w:r>
        <w:rPr>
          <w:vertAlign w:val="subscript"/>
        </w:rPr>
        <w:t>2</w:t>
      </w:r>
      <w:r>
        <w:t>(M</w:t>
      </w:r>
      <w:r>
        <w:rPr>
          <w:vertAlign w:val="subscript"/>
        </w:rPr>
        <w:t>1</w:t>
      </w:r>
      <w:r>
        <w:t>) nanoparticles is developed, leveraging the increased lattice rigidity during the M</w:t>
      </w:r>
      <w:r>
        <w:rPr>
          <w:vertAlign w:val="subscript"/>
        </w:rPr>
        <w:t>1</w:t>
      </w:r>
      <w:r>
        <w:t>‐to‐M</w:t>
      </w:r>
      <w:r>
        <w:rPr>
          <w:vertAlign w:val="subscript"/>
        </w:rPr>
        <w:t>1</w:t>
      </w:r>
      <w:r>
        <w:t>’ phase transition (1 atm to 15.1 GPa), which causes the photoinduced insulator‐to‐metal transition to be Mott dominated. The PAAS demonstrated a stable operating current, a superior biomimetic plasticity (maximum paired‐pulse facilitation index from 109.6% to 155.4%), and an improved postsynaptic current linearity (Pearson's r from 0.64 to 0.97) from 1 atm to 15.1 GPa. Furthermore, an artificial neural network mapped by PAAS under high pressure achieved a validation accuracy of 95%–97% in handwritten digit recognition. The PAAS is also applied to a convolutional autoencoder for denoising reconstruction of color images.</w:t>
      </w:r>
    </w:p>
    <w:p>
      <w:pPr>
        <w:spacing w:before="120" w:after="120"/>
      </w:pPr>
      <w:r>
        <w:rPr>
          <w:sz w:val="18"/>
        </w:rPr>
        <w:t>——————————————————————————————————————————————————————————————————————</w:t>
      </w:r>
    </w:p>
    <w:p>
      <w:pPr>
        <w:spacing w:before="160" w:after="80" w:line="240" w:lineRule="auto"/>
      </w:pPr>
      <w:r>
        <w:rPr>
          <w:b/>
        </w:rPr>
        <w:t xml:space="preserve">[585] </w:t>
      </w:r>
      <w:hyperlink r:id="rId959">
        <w:r>
          <w:rPr>
            <w:color w:val="1155CC"/>
            <w:u w:val="single"/>
          </w:rPr>
          <w:t>[ASAP] Machine-Learning-Guided Insights into Solid-Electrolyte Interphase Conductivity: Are Amorphous Lithium Fluorophosphates the Key?</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2025-12-18 09:22:05+00:00</w:t>
      </w:r>
      <w:r>
        <w:t xml:space="preserve">    </w:t>
      </w:r>
      <w:r>
        <w:rPr>
          <w:b/>
        </w:rPr>
        <w:t xml:space="preserve">DOI: </w:t>
      </w:r>
      <w:hyperlink r:id="rId960">
        <w:r>
          <w:rPr>
            <w:color w:val="1155CC"/>
            <w:u w:val="single"/>
          </w:rPr>
          <w:t>10.1021/acsenergylett.5c03526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[586] </w:t>
      </w:r>
      <w:hyperlink r:id="rId961">
        <w:r>
          <w:rPr>
            <w:color w:val="1155CC"/>
            <w:u w:val="single"/>
          </w:rPr>
          <w:t>[ASAP] Interfacial Cation Arrangement Controls Electrocatalytic Kinetics in CO2 Reduction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09:49:43+00:00</w:t>
      </w:r>
      <w:r>
        <w:t xml:space="preserve">    </w:t>
      </w:r>
      <w:r>
        <w:rPr>
          <w:b/>
        </w:rPr>
        <w:t xml:space="preserve">DOI: </w:t>
      </w:r>
      <w:hyperlink r:id="rId962">
        <w:r>
          <w:rPr>
            <w:color w:val="1155CC"/>
            <w:u w:val="single"/>
          </w:rPr>
          <w:t>10.1021/jacs.5c18127</w:t>
        </w:r>
      </w:hyperlink>
    </w:p>
    <w:p>
      <w:pPr>
        <w:spacing w:before="0" w:after="120"/>
      </w:pPr>
      <w:r>
        <w:rPr>
          <w:b/>
        </w:rPr>
        <w:t xml:space="preserve">Notes: </w:t>
      </w:r>
      <w:r>
        <w:t>abstract_source=pubmed</w:t>
      </w:r>
    </w:p>
    <w:p>
      <w:pPr>
        <w:spacing w:before="0" w:after="200" w:lineRule="auto" w:line="276"/>
      </w:pPr>
      <w:r>
        <w:rPr>
          <w:b/>
        </w:rPr>
        <w:t xml:space="preserve">Abstract: </w:t>
      </w:r>
      <w:r>
        <w:t>The identity of electrolyte cations is known to strongly influence electrocatalytic activity, but the relationship between their interfacial arrangement and observed performance remains poorly understood. Organic cations, with their molecular tunability, provide a powerful platform for systematically probing these effects. Here, we leverage phosphonium-based geminal dications to control interfacial cation arrangement and identify the variables that most strongly influence catalytic rates. As a case study, we examine CO2 reduction to CO over polycrystalline silver electrodes in dry aprotic acetonitrile. Through a combination of rotating disk electrode measurements, electrochemical impedance spectroscopy, and molecular dynamics simulations, we decouple the effects of cation-electrode distance and interfacial cation density on catalytic rates. We find that smaller, more densely packed cations induce stronger interfacial electric fields, which lower the activation barrier for CO2 adsorption and increase reaction rates. Using geminal phosphonium dications [Cn(Pmmm)2][ClO4]2, we demonstrate that both the vertical and lateral positioning of organic cations within the electrical double layer independently affect reactivity. These results demonstrate that electrolyte cation identity primarily influences catalytic kinetics by determining how efficiently charge can be arranged at electrochemical interfaces. Overall, our findings support an electrostatic view of cation effects in catalysis and provide design principles for next-generation electrolytes.</w:t>
      </w:r>
    </w:p>
    <w:p>
      <w:pPr>
        <w:spacing w:before="120" w:after="120"/>
      </w:pPr>
      <w:r>
        <w:rPr>
          <w:sz w:val="18"/>
        </w:rPr>
        <w:t>——————————————————————————————————————————————————————————————————————</w:t>
      </w:r>
    </w:p>
    <w:p>
      <w:pPr>
        <w:spacing w:before="160" w:after="80" w:line="240" w:lineRule="auto"/>
      </w:pPr>
      <w:r>
        <w:rPr>
          <w:b/>
        </w:rPr>
        <w:t xml:space="preserve">[587] </w:t>
      </w:r>
      <w:hyperlink r:id="rId963">
        <w:r>
          <w:rPr>
            <w:color w:val="1155CC"/>
            <w:u w:val="single"/>
          </w:rPr>
          <w:t>[ASAP] Accelerated Deprotonation Triggered by Fluorinated RuO2 Enables Efficient and Stable Acidic Water Electrolysis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10:07:50+00:00</w:t>
      </w:r>
      <w:r>
        <w:t xml:space="preserve">    </w:t>
      </w:r>
      <w:r>
        <w:rPr>
          <w:b/>
        </w:rPr>
        <w:t xml:space="preserve">DOI: </w:t>
      </w:r>
      <w:hyperlink r:id="rId964">
        <w:r>
          <w:rPr>
            <w:color w:val="1155CC"/>
            <w:u w:val="single"/>
          </w:rPr>
          <w:t>10.1021/jacs.5c08859</w:t>
        </w:r>
      </w:hyperlink>
    </w:p>
    <w:p>
      <w:pPr>
        <w:spacing w:before="0" w:after="120"/>
      </w:pPr>
      <w:r>
        <w:rPr>
          <w:b/>
        </w:rPr>
        <w:t xml:space="preserve">Notes: </w:t>
      </w:r>
      <w:r>
        <w:t>abstract_source=pubmed</w:t>
      </w:r>
    </w:p>
    <w:p>
      <w:pPr>
        <w:spacing w:before="0" w:after="200" w:lineRule="auto" w:line="276"/>
      </w:pPr>
      <w:r>
        <w:rPr>
          <w:b/>
        </w:rPr>
        <w:t xml:space="preserve">Abstract: </w:t>
      </w:r>
      <w:r>
        <w:t>Ru-based catalysts are considered highly promising candidates for enabling cost-effective proton exchange membrane water electrolyzers (PEMWEs). However, under the harsh conditions of acidic oxygen evolution reaction (OER), Ru sites are prone to undesired overoxidation, leading to substantial deterioration in catalytic activity. Herein, we demonstrate a hydrogen-bond-mediated mechanism triggered by fluoride ion (F-) in RuO2 (RuO1.86F0.14) to achieve both high activity and stability. The spontaneous transfer of protons to bridging oxygen through hydrogen bonds accelerates the deprotonation of an oxo-intermediate, which improves the kinetics of the OER in acidic conditions. Moreover, the highly electronegative F- diminishes the covalency of Ru-O bonds and thus boosts the stability of RuO2. The optimized RuO1.86F0.14 catalyst presents an ultralow overpotential of 153 mV at 10 mA cm-2 and can sustain for more than 980 h with a low degradation rate of 27 μV h-1. Notably, the RuO1.86F0.14 applied in PEMWEs requires only 1.63 V and maintains stable operation for over 100 h at 1 A cm-2. This work demonstrates a promising anion-modulated approach to the design of high-performance acidic OER catalysts.</w:t>
      </w:r>
    </w:p>
    <w:p>
      <w:pPr>
        <w:spacing w:before="120" w:after="120"/>
      </w:pPr>
      <w:r>
        <w:rPr>
          <w:sz w:val="18"/>
        </w:rPr>
        <w:t>——————————————————————————————————————————————————————————————————————</w:t>
      </w:r>
    </w:p>
    <w:p>
      <w:pPr>
        <w:spacing w:before="160" w:after="80" w:line="240" w:lineRule="auto"/>
      </w:pPr>
      <w:r>
        <w:rPr>
          <w:b/>
        </w:rPr>
        <w:t xml:space="preserve">[588] </w:t>
      </w:r>
      <w:hyperlink r:id="rId965">
        <w:r>
          <w:rPr>
            <w:color w:val="1155CC"/>
            <w:u w:val="single"/>
          </w:rPr>
          <w:t>An Azobenzene‐Bridged Nonporous Adaptive Framework Enables Photo‐Regulated Desorption of Iodine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10:57:47+00:00</w:t>
      </w:r>
      <w:r>
        <w:t xml:space="preserve">    </w:t>
      </w:r>
      <w:r>
        <w:rPr>
          <w:b/>
        </w:rPr>
        <w:t xml:space="preserve">DOI: </w:t>
      </w:r>
      <w:hyperlink r:id="rId966">
        <w:r>
          <w:rPr>
            <w:color w:val="1155CC"/>
            <w:u w:val="single"/>
          </w:rPr>
          <w:t>10.1002/anie.202522569</w:t>
        </w:r>
      </w:hyperlink>
    </w:p>
    <w:p>
      <w:pPr>
        <w:spacing w:before="0" w:after="120"/>
      </w:pPr>
      <w:r>
        <w:rPr>
          <w:b/>
        </w:rPr>
        <w:t xml:space="preserve">Notes: </w:t>
      </w:r>
      <w:r>
        <w:t>abstract_source=crossref</w:t>
      </w:r>
    </w:p>
    <w:p>
      <w:pPr>
        <w:spacing w:before="0" w:after="200" w:lineRule="auto" w:line="276"/>
      </w:pPr>
      <w:r>
        <w:rPr>
          <w:b/>
        </w:rPr>
        <w:t xml:space="preserve">Abstract: </w:t>
      </w:r>
      <w:r>
        <w:t>Adsorption is one of the most convenient and efficient techniques for capturing and enriching various molecules. However, current strategies for the absorbent regeneration still face the challenges of labor‐intensive and/or environmentally unfriendly procedures. In this study, a novel nonporous adaptive framework (NAF) was constructed through rigid π‐stacked azobenzene (Azo) bridges and flexible non‐stacked amino joints. The precisely tuned flexibility of this framework enables adaptive and accessible pores, and sensitively photo‐responsive behavior. The results demonstrate that Azo‐NAF exhibits a remarkable iodine adsorption capacity up to 5.8 g/g. Notably, the adsorbed iodine molecules can be readily released by ultraviolet (UV) irradiation, allowing for facile regeneration and reuse of Azo‐NAF. Mechanistic studies reveal that iodine molecules interact more strongly with</w:t>
      </w:r>
      <w:r>
        <w:t xml:space="preserve"> </w:t>
      </w:r>
      <w:r>
        <w:t>cis</w:t>
      </w:r>
      <w:r>
        <w:t xml:space="preserve"> </w:t>
      </w:r>
      <w:r>
        <w:t>‐Azo‐NAF than</w:t>
      </w:r>
      <w:r>
        <w:t xml:space="preserve"> </w:t>
      </w:r>
      <w:r>
        <w:t>trans</w:t>
      </w:r>
      <w:r>
        <w:t xml:space="preserve"> </w:t>
      </w:r>
      <w:r>
        <w:t>‐Azo‐NAF. Thus, accompanying the UV‐induced transition from</w:t>
      </w:r>
      <w:r>
        <w:t xml:space="preserve"> </w:t>
      </w:r>
      <w:r>
        <w:t>cis</w:t>
      </w:r>
      <w:r>
        <w:t xml:space="preserve"> </w:t>
      </w:r>
      <w:r>
        <w:t>‐ to</w:t>
      </w:r>
      <w:r>
        <w:t xml:space="preserve"> </w:t>
      </w:r>
      <w:r>
        <w:t>trans</w:t>
      </w:r>
      <w:r>
        <w:t xml:space="preserve"> </w:t>
      </w:r>
      <w:r>
        <w:t>‐configuration of Azo units, the trapped iodine molecules are released from the framework. Moreover, this unique feature of Azo‐NAF enables remote regulation of iodine‐catalyzed organic reactions. Our finding thus provides a new design strategy for dynamic frameworks and establish how their switchable configurations can be harnessed for a tunable adsorption and desorption performance.</w:t>
      </w:r>
    </w:p>
    <w:p>
      <w:pPr>
        <w:spacing w:before="120" w:after="120"/>
      </w:pPr>
      <w:r>
        <w:rPr>
          <w:sz w:val="18"/>
        </w:rPr>
        <w:t>——————————————————————————————————————————————————————————————————————</w:t>
      </w:r>
    </w:p>
    <w:p>
      <w:pPr>
        <w:spacing w:before="160" w:after="80" w:line="240" w:lineRule="auto"/>
      </w:pPr>
      <w:r>
        <w:rPr>
          <w:b/>
        </w:rPr>
        <w:t xml:space="preserve">[589] </w:t>
      </w:r>
      <w:hyperlink r:id="rId967">
        <w:r>
          <w:rPr>
            <w:color w:val="1155CC"/>
            <w:u w:val="single"/>
          </w:rPr>
          <w:t>Intact Proteoform Analysis by Capillary Electrophoresis–Mass Spectrometry. Are We There Yet?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11:02:01+00:00</w:t>
      </w:r>
      <w:r>
        <w:t xml:space="preserve">    </w:t>
      </w:r>
      <w:r>
        <w:rPr>
          <w:b/>
        </w:rPr>
        <w:t xml:space="preserve">DOI: </w:t>
      </w:r>
      <w:hyperlink r:id="rId968">
        <w:r>
          <w:rPr>
            <w:color w:val="1155CC"/>
            <w:u w:val="single"/>
          </w:rPr>
          <w:t>10.1002/anie.202518366</w:t>
        </w:r>
      </w:hyperlink>
    </w:p>
    <w:p>
      <w:pPr>
        <w:spacing w:before="0" w:after="120"/>
      </w:pPr>
      <w:r>
        <w:rPr>
          <w:b/>
        </w:rPr>
        <w:t xml:space="preserve">Notes: </w:t>
      </w:r>
      <w:r>
        <w:t>abstract_source=crossref</w:t>
      </w:r>
    </w:p>
    <w:p>
      <w:pPr>
        <w:spacing w:before="0" w:after="200" w:lineRule="auto" w:line="276"/>
      </w:pPr>
      <w:r>
        <w:rPr>
          <w:b/>
        </w:rPr>
        <w:t xml:space="preserve">Abstract: </w:t>
      </w:r>
      <w:r>
        <w:t>Mass spectrometry (MS)‐based top–down proteomics (TDP) has emerged as a powerful tool for characterizing proteoforms to advance both fundamental and translational research. TDP requires high‐efficiency liquid‐phase separation, high‐resolution MS, and tandem MS. Capillary zone electrophoresis (CZE)‐MS has been proposed as a promising analytical technique for protein analysis decades ago because of its unique and valuable features, including high separation efficiency and high detection sensitivity. However, CZE‐MS has not been widely adopted by the proteomics community, mainly due to concerns with its robustness and reproducibility. Here, we hypothesized that CZE‐MS is sufficiently robust and reproducible for broad adoption due to the continued efforts of the community over the last three decades. In this work, for the first time, research teams from around the world validated the robustness, repeatability, and reproducibility of CZE‐MS for TDP in both simple and complex model proteoform mixtures employing a full spectrum of commercially available capillary electrophoresis (CE)‐MS interfaces, instrumentation, and compared CZE‐MS performance with state‐of‐the‐art liquid chromatography (LC)‐MS methods. This study offers the research community an informative resource of ready‐to‐use experimental CE‐MS techniques and a better understanding of the CZE‐MS approach and its potential in TDP, accelerating the broad adoption of CZE‐MS in proteoform research.</w:t>
      </w:r>
    </w:p>
    <w:p>
      <w:pPr>
        <w:spacing w:before="120" w:after="120"/>
      </w:pPr>
      <w:r>
        <w:rPr>
          <w:sz w:val="18"/>
        </w:rPr>
        <w:t>——————————————————————————————————————————————————————————————————————</w:t>
      </w:r>
    </w:p>
    <w:p>
      <w:pPr>
        <w:spacing w:before="160" w:after="80" w:line="240" w:lineRule="auto"/>
      </w:pPr>
      <w:r>
        <w:rPr>
          <w:b/>
        </w:rPr>
        <w:t xml:space="preserve">[590] </w:t>
      </w:r>
      <w:hyperlink r:id="rId969">
        <w:r>
          <w:rPr>
            <w:color w:val="1155CC"/>
            <w:u w:val="single"/>
          </w:rPr>
          <w:t>Bandgap‐Regulation for Directly Solar Energy Conversion in Zinc‐Air Battery with 4.55% PCE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11:06:58+00:00</w:t>
      </w:r>
      <w:r>
        <w:t xml:space="preserve">    </w:t>
      </w:r>
      <w:r>
        <w:rPr>
          <w:b/>
        </w:rPr>
        <w:t xml:space="preserve">DOI: </w:t>
      </w:r>
      <w:hyperlink r:id="rId970">
        <w:r>
          <w:rPr>
            <w:color w:val="1155CC"/>
            <w:u w:val="single"/>
          </w:rPr>
          <w:t>10.1002/anie.202517650</w:t>
        </w:r>
      </w:hyperlink>
    </w:p>
    <w:p>
      <w:pPr>
        <w:spacing w:before="0" w:after="120"/>
      </w:pPr>
      <w:r>
        <w:rPr>
          <w:b/>
        </w:rPr>
        <w:t xml:space="preserve">Notes: </w:t>
      </w:r>
      <w:r>
        <w:t>abstract_source=crossref</w:t>
      </w:r>
    </w:p>
    <w:p>
      <w:pPr>
        <w:spacing w:before="0" w:after="200" w:lineRule="auto" w:line="276"/>
      </w:pPr>
      <w:r>
        <w:rPr>
          <w:b/>
        </w:rPr>
        <w:t xml:space="preserve">Abstract: </w:t>
      </w:r>
      <w:r>
        <w:t>Direct conversion of solar energy in zinc‐air batteries (SZABs) represents a promising direction for energy storage with huge market potential. However, the key issue to be overcome is the pronounced photo‐generated carrier recombination and a mismatch in optoelectronic‐catalytic properties. Here, we report an atomic‐ level bandgap‐engineering regulation method to unlock high‐efficiency solar energy harvesting and catalytic activation in SZABs based on nitrogen‐substituting graphdiyne (N‐GDYs). The bandgap‐regulation creates tailored electronic structures of N‐GDYs, which not only extends the light absorption range, but also enhances the ability of separation and migration of photo‐generated carriers. Interestingly, the 2N‐GDY demonstrates superior photocatalytic performance, due to its optimal matching bandgap structure. The resulting SZABs device employing 2N‐GDY achieves exceptional battery efficiency of 96.8% under visible light illumination, accompanied by a remarkably low voltage gap of 0.04 V. Notably, under monochromatic light excitation, the system demonstrates enhanced light utilization through wavelength‐selective absorption, achieving a power conversion efficiency (PCE) of up to 4.55%. This work fundamentally advances the rational design of 2D catalytic materials, offering a critical pathway toward high‐efficiency solar rechargeable energy systems that bridge the gap between sustainable energy harvesting and storage.</w:t>
      </w:r>
    </w:p>
    <w:p>
      <w:pPr>
        <w:spacing w:before="120" w:after="120"/>
      </w:pPr>
      <w:r>
        <w:rPr>
          <w:sz w:val="18"/>
        </w:rPr>
        <w:t>——————————————————————————————————————————————————————————————————————</w:t>
      </w:r>
    </w:p>
    <w:p>
      <w:pPr>
        <w:spacing w:before="160" w:after="80" w:line="240" w:lineRule="auto"/>
      </w:pPr>
      <w:r>
        <w:rPr>
          <w:b/>
        </w:rPr>
        <w:t xml:space="preserve">[591] </w:t>
      </w:r>
      <w:hyperlink r:id="rId971">
        <w:r>
          <w:rPr>
            <w:color w:val="1155CC"/>
            <w:u w:val="single"/>
          </w:rPr>
          <w:t>Combined In‐Solution and On‐Surface Synthesis of a Fully Fused Cross‐Shaped Phthalocyanine Pentamer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11:07:48+00:00</w:t>
      </w:r>
      <w:r>
        <w:t xml:space="preserve">    </w:t>
      </w:r>
      <w:r>
        <w:rPr>
          <w:b/>
        </w:rPr>
        <w:t xml:space="preserve">DOI: </w:t>
      </w:r>
      <w:hyperlink r:id="rId972">
        <w:r>
          <w:rPr>
            <w:color w:val="1155CC"/>
            <w:u w:val="single"/>
          </w:rPr>
          <w:t>10.1002/anie.202521922</w:t>
        </w:r>
      </w:hyperlink>
    </w:p>
    <w:p>
      <w:pPr>
        <w:spacing w:before="0" w:after="120"/>
      </w:pPr>
      <w:r>
        <w:rPr>
          <w:b/>
        </w:rPr>
        <w:t xml:space="preserve">Notes: </w:t>
      </w:r>
      <w:r>
        <w:t>abstract_source=crossref</w:t>
      </w:r>
    </w:p>
    <w:p>
      <w:pPr>
        <w:spacing w:before="0" w:after="200" w:lineRule="auto" w:line="276"/>
      </w:pPr>
      <w:r>
        <w:rPr>
          <w:b/>
        </w:rPr>
        <w:t xml:space="preserve">Abstract: </w:t>
      </w:r>
      <w:r>
        <w:t>Phthalocyanines (Pcs) are a class of technologically relevant tetrapyrrolic macrocycles that offer rich photophysical properties as well as excellent tunability by means of chemical functionalization. Among such functionalization strategies, the synthesis of multinuclear, fully fused Pcs – adjacent macrocycles seamlessly fused through a shared aromatic ring into a continuous π‐system – is particularly appealing for the preparation of new, exotic, atomically precise carbon frameworks. However, the notoriously low solubility of Pcs typically impedes the synthesis of oligomers beyond trimers. In addition, the positional control for specific units in large low‐symmetry frameworks is particularly challenging. In this work, taking advantage of the benefits of on‐surface synthesis under ultra‐high vacuum (UHV) conditions, we present a strategy that allows the on‐surface synthesis of cross‐shaped Pc pentamers. This pentamer, which bears two different metal ions with pre‐defined positional control, shows a small transport gap of 1.15 eV on Au(111).</w:t>
      </w:r>
    </w:p>
    <w:p>
      <w:pPr>
        <w:spacing w:before="120" w:after="120"/>
      </w:pPr>
      <w:r>
        <w:rPr>
          <w:sz w:val="18"/>
        </w:rPr>
        <w:t>——————————————————————————————————————————————————————————————————————</w:t>
      </w:r>
    </w:p>
    <w:p>
      <w:pPr>
        <w:spacing w:before="160" w:after="80" w:line="240" w:lineRule="auto"/>
      </w:pPr>
      <w:r>
        <w:rPr>
          <w:b/>
        </w:rPr>
        <w:t xml:space="preserve">[592] </w:t>
      </w:r>
      <w:hyperlink r:id="rId973">
        <w:r>
          <w:rPr>
            <w:color w:val="1155CC"/>
            <w:u w:val="single"/>
          </w:rPr>
          <w:t>From Plastic Waste to Pharmaceutical Precursors: PET Upcycling Through Ruthenium Catalyzed Semi‐Hydrogenation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11:10:41+00:00</w:t>
      </w:r>
      <w:r>
        <w:t xml:space="preserve">    </w:t>
      </w:r>
      <w:r>
        <w:rPr>
          <w:b/>
        </w:rPr>
        <w:t xml:space="preserve">DOI: </w:t>
      </w:r>
      <w:hyperlink r:id="rId974">
        <w:r>
          <w:rPr>
            <w:color w:val="1155CC"/>
            <w:u w:val="single"/>
          </w:rPr>
          <w:t>10.1002/anie.202521838</w:t>
        </w:r>
      </w:hyperlink>
    </w:p>
    <w:p>
      <w:pPr>
        <w:spacing w:before="0" w:after="120"/>
      </w:pPr>
      <w:r>
        <w:rPr>
          <w:b/>
        </w:rPr>
        <w:t xml:space="preserve">Notes: </w:t>
      </w:r>
      <w:r>
        <w:t>abstract_source=crossref</w:t>
      </w:r>
    </w:p>
    <w:p>
      <w:pPr>
        <w:spacing w:before="0" w:after="200" w:lineRule="auto" w:line="276"/>
      </w:pPr>
      <w:r>
        <w:rPr>
          <w:b/>
        </w:rPr>
        <w:t xml:space="preserve">Abstract: </w:t>
      </w:r>
      <w:r>
        <w:t>We report here the upcycling of PET (polyethylene terephthalate) waste via semihydrogenation to make ethyl 4‐(hydroxymethyl)benzoate. The reaction is catalyzed by a ruthenium pincer catalyst at 80 °C in bioderived solvents – a combination of 2‐methyl THF and ethanol. A detailed mechanistic investigation through organometallic and kinetic studies, as well as chemical exchange saturation transfer (CEST) NMR spectroscopy, provides insights into the nature of active species and factors that promote and inhibit the catalytic hydrogenation of PET. Using this mechanistic knowledge, a record high turnover number of &amp;gt;30 000 was achieved for the hydrogenative depolymerization of end‐of‐life PET waste (e.g., bottles and textiles). The semihydrogenation product, ethyl 4‐(hydroxymethyl)benzoate, was utilized to make precursors of various known pharmaceutical drugs, an agrochemical, as well as a new and recyclable polyester. A cradle‐to‐gate life cycle assessment demonstrated that using PET waste as a feedstock for EHMB production significantly reduces the environmental footprint compared to the conventional route from</w:t>
      </w:r>
      <w:r>
        <w:t xml:space="preserve"> </w:t>
      </w:r>
      <w:r>
        <w:t>p</w:t>
      </w:r>
      <w:r>
        <w:t xml:space="preserve"> </w:t>
      </w:r>
      <w:r>
        <w:t>‐toluic acid.</w:t>
      </w:r>
    </w:p>
    <w:p>
      <w:pPr>
        <w:spacing w:before="120" w:after="120"/>
      </w:pPr>
      <w:r>
        <w:rPr>
          <w:sz w:val="18"/>
        </w:rPr>
        <w:t>——————————————————————————————————————————————————————————————————————</w:t>
      </w:r>
    </w:p>
    <w:p>
      <w:pPr>
        <w:spacing w:before="160" w:after="80" w:line="240" w:lineRule="auto"/>
      </w:pPr>
      <w:r>
        <w:rPr>
          <w:b/>
        </w:rPr>
        <w:t xml:space="preserve">[593] </w:t>
      </w:r>
      <w:hyperlink r:id="rId975">
        <w:r>
          <w:rPr>
            <w:color w:val="1155CC"/>
            <w:u w:val="single"/>
          </w:rPr>
          <w:t>Through‐Space Charge Transfer Complexes Based on Terpyridine Bi‐Functionalization for Efficient Solar‐Driven H2O2 Production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11:15:33+00:00</w:t>
      </w:r>
      <w:r>
        <w:t xml:space="preserve">    </w:t>
      </w:r>
      <w:r>
        <w:rPr>
          <w:b/>
        </w:rPr>
        <w:t xml:space="preserve">DOI: </w:t>
      </w:r>
      <w:hyperlink r:id="rId976">
        <w:r>
          <w:rPr>
            <w:color w:val="1155CC"/>
            <w:u w:val="single"/>
          </w:rPr>
          <w:t>10.1002/anie.202521532</w:t>
        </w:r>
      </w:hyperlink>
    </w:p>
    <w:p>
      <w:pPr>
        <w:spacing w:before="0" w:after="120"/>
      </w:pPr>
      <w:r>
        <w:rPr>
          <w:b/>
        </w:rPr>
        <w:t xml:space="preserve">Notes: </w:t>
      </w:r>
      <w:r>
        <w:t>abstract_source=crossref</w:t>
      </w:r>
    </w:p>
    <w:p>
      <w:pPr>
        <w:spacing w:before="0" w:after="200" w:lineRule="auto" w:line="276"/>
      </w:pPr>
      <w:r>
        <w:rPr>
          <w:b/>
        </w:rPr>
        <w:t xml:space="preserve">Abstract: </w:t>
      </w:r>
      <w:r>
        <w:t>To achieve precise spatial control of donor–acceptor (D–A) stacking and optimize through‐space charge transfer (TSCT) for efficient photocatalysis, we develop a novel terpyridine bi‐functionalization strategy, which utilizes the dissymmetrical 6‐ and 4′‐functionalization of 2,2′:6′,2″‐terpyridine (tpy) scaffold with triphenyltriazine (acceptor) and triphenylamine (donor) units. Using this strategy, we designed and synthesized two ligands,</w:t>
      </w:r>
      <w:r>
        <w:t xml:space="preserve"> </w:t>
      </w:r>
      <w:r>
        <w:t>L1</w:t>
      </w:r>
      <w:r>
        <w:t xml:space="preserve"> </w:t>
      </w:r>
      <w:r>
        <w:t>and</w:t>
      </w:r>
      <w:r>
        <w:t xml:space="preserve"> </w:t>
      </w:r>
      <w:r>
        <w:t>L2</w:t>
      </w:r>
      <w:r>
        <w:t xml:space="preserve"> </w:t>
      </w:r>
      <w:r>
        <w:t>, differing by a single phenylene unit in length. Upon coordination with Zn(II), the D and A units in the resulting complexes</w:t>
      </w:r>
      <w:r>
        <w:t xml:space="preserve"> </w:t>
      </w:r>
      <w:r>
        <w:t>S1</w:t>
      </w:r>
      <w:r>
        <w:t xml:space="preserve"> </w:t>
      </w:r>
      <w:r>
        <w:t>and</w:t>
      </w:r>
      <w:r>
        <w:t xml:space="preserve"> </w:t>
      </w:r>
      <w:r>
        <w:t>S2</w:t>
      </w:r>
      <w:r>
        <w:t xml:space="preserve"> </w:t>
      </w:r>
      <w:r>
        <w:t>are precisely edited at the molecular level, giving rise to distinct stacking geometries: slip‐stacked</w:t>
      </w:r>
      <w:r>
        <w:t xml:space="preserve"> </w:t>
      </w:r>
      <w:r>
        <w:t>S1</w:t>
      </w:r>
      <w:r>
        <w:t xml:space="preserve"> </w:t>
      </w:r>
      <w:r>
        <w:t>and co‐facially</w:t>
      </w:r>
      <w:r>
        <w:t xml:space="preserve"> </w:t>
      </w:r>
      <w:r>
        <w:t>S2</w:t>
      </w:r>
      <w:r>
        <w:t xml:space="preserve"> </w:t>
      </w:r>
      <w:r>
        <w:t>.</w:t>
      </w:r>
      <w:r>
        <w:t xml:space="preserve"> </w:t>
      </w:r>
      <w:r>
        <w:t>S2</w:t>
      </w:r>
      <w:r>
        <w:t xml:space="preserve"> </w:t>
      </w:r>
      <w:r>
        <w:t>significantly enhances TSCT, resulting in improved visible‐light absorption, prolonged charge carrier lifetime, superior charge separation efficiency and achieves a photocatalytic efficiency (2063 µmol g</w:t>
      </w:r>
      <w:r>
        <w:t xml:space="preserve"> </w:t>
      </w:r>
      <w:r>
        <w:t>−1</w:t>
      </w:r>
      <w:r>
        <w:t xml:space="preserve"> </w:t>
      </w:r>
      <w:r>
        <w:t>h</w:t>
      </w:r>
      <w:r>
        <w:t xml:space="preserve"> </w:t>
      </w:r>
      <w:r>
        <w:t>−1</w:t>
      </w:r>
      <w:r>
        <w:t xml:space="preserve"> </w:t>
      </w:r>
      <w:r>
        <w:t>) for H</w:t>
      </w:r>
      <w:r>
        <w:rPr>
          <w:vertAlign w:val="subscript"/>
        </w:rPr>
        <w:t>2</w:t>
      </w:r>
      <w:r>
        <w:t>O</w:t>
      </w:r>
      <w:r>
        <w:rPr>
          <w:vertAlign w:val="subscript"/>
        </w:rPr>
        <w:t>2</w:t>
      </w:r>
      <w:r>
        <w:t>production that is twice that of</w:t>
      </w:r>
      <w:r>
        <w:t xml:space="preserve"> </w:t>
      </w:r>
      <w:r>
        <w:t>S1</w:t>
      </w:r>
      <w:r>
        <w:t xml:space="preserve"> </w:t>
      </w:r>
      <w:r>
        <w:t>without the need for sacrificial agents. This work demonstrates the unique advantages of terpyridine bi‐functionalization strategy in constructing photocatalytic materials with tunable TSCT, providing new insights for the design and functional development of supramolecular systems.</w:t>
      </w:r>
    </w:p>
    <w:p>
      <w:pPr>
        <w:spacing w:before="120" w:after="120"/>
      </w:pPr>
      <w:r>
        <w:rPr>
          <w:sz w:val="18"/>
        </w:rPr>
        <w:t>——————————————————————————————————————————————————————————————————————</w:t>
      </w:r>
    </w:p>
    <w:p>
      <w:pPr>
        <w:spacing w:before="160" w:after="80" w:line="240" w:lineRule="auto"/>
      </w:pPr>
      <w:r>
        <w:rPr>
          <w:b/>
        </w:rPr>
        <w:t xml:space="preserve">[594] </w:t>
      </w:r>
      <w:hyperlink r:id="rId977">
        <w:r>
          <w:rPr>
            <w:color w:val="1155CC"/>
            <w:u w:val="single"/>
          </w:rPr>
          <w:t>Structural Symmetry and Mixed‐anion Engineering in Halopnictides for Extraordinary Second‐Harmonic Generation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11:56:03+00:00</w:t>
      </w:r>
      <w:r>
        <w:t xml:space="preserve">    </w:t>
      </w:r>
      <w:r>
        <w:rPr>
          <w:b/>
        </w:rPr>
        <w:t xml:space="preserve">DOI: </w:t>
      </w:r>
      <w:hyperlink r:id="rId978">
        <w:r>
          <w:rPr>
            <w:color w:val="1155CC"/>
            <w:u w:val="single"/>
          </w:rPr>
          <w:t>10.1002/anie.202519685</w:t>
        </w:r>
      </w:hyperlink>
    </w:p>
    <w:p>
      <w:pPr>
        <w:spacing w:before="0" w:after="120"/>
      </w:pPr>
      <w:r>
        <w:rPr>
          <w:b/>
        </w:rPr>
        <w:t xml:space="preserve">Notes: </w:t>
      </w:r>
      <w:r>
        <w:t>abstract_source=crossref</w:t>
      </w:r>
    </w:p>
    <w:p>
      <w:pPr>
        <w:spacing w:before="0" w:after="200" w:lineRule="auto" w:line="276"/>
      </w:pPr>
      <w:r>
        <w:rPr>
          <w:b/>
        </w:rPr>
        <w:t xml:space="preserve">Abstract: </w:t>
      </w:r>
      <w:r>
        <w:t>Achieving high nonlinear optical (NLO) coefficients in NLO materials remains a significant challenge. Herein, based on the [Cd</w:t>
      </w:r>
      <w:r>
        <w:rPr>
          <w:vertAlign w:val="subscript"/>
        </w:rPr>
        <w:t>4</w:t>
      </w:r>
      <w:r>
        <w:t>P</w:t>
      </w:r>
      <w:r>
        <w:rPr>
          <w:vertAlign w:val="subscript"/>
        </w:rPr>
        <w:t>2</w:t>
      </w:r>
      <w:r>
        <w:t>] flexible host pore framework, through the structural symmetry and mixed‐anion engineering, different tetrahedral units as the guest are selected as structural directing agents for embedding, resulting in host‐guest halopnictides [Cd</w:t>
      </w:r>
      <w:r>
        <w:rPr>
          <w:vertAlign w:val="subscript"/>
        </w:rPr>
        <w:t>4</w:t>
      </w:r>
      <w:r>
        <w:t>P</w:t>
      </w:r>
      <w:r>
        <w:rPr>
          <w:vertAlign w:val="subscript"/>
        </w:rPr>
        <w:t>2</w:t>
      </w:r>
      <w:r>
        <w:t>][ZnCl</w:t>
      </w:r>
      <w:r>
        <w:rPr>
          <w:vertAlign w:val="subscript"/>
        </w:rPr>
        <w:t>4</w:t>
      </w:r>
      <w:r>
        <w:t>] (space group</w:t>
      </w:r>
      <w:r>
        <w:t xml:space="preserve"> </w:t>
      </w:r>
      <w:r>
        <w:t>P</w:t>
      </w:r>
      <w:r>
        <w:rPr>
          <w:vertAlign w:val="subscript"/>
        </w:rPr>
        <w:t>2</w:t>
      </w:r>
      <w:r>
        <w:rPr>
          <w:vertAlign w:val="subscript"/>
        </w:rPr>
        <w:t>1</w:t>
      </w:r>
      <w:r>
        <w:t>,</w:t>
      </w:r>
      <w:r>
        <w:rPr>
          <w:vertAlign w:val="subscript"/>
        </w:rPr>
        <w:t>1</w:t>
      </w:r>
      <w:r>
        <w:t>), [Cd</w:t>
      </w:r>
      <w:r>
        <w:rPr>
          <w:vertAlign w:val="subscript"/>
        </w:rPr>
        <w:t>4</w:t>
      </w:r>
      <w:r>
        <w:t>P</w:t>
      </w:r>
      <w:r>
        <w:rPr>
          <w:vertAlign w:val="subscript"/>
        </w:rPr>
        <w:t>2</w:t>
      </w:r>
      <w:r>
        <w:t>][MnCl</w:t>
      </w:r>
      <w:r>
        <w:rPr>
          <w:vertAlign w:val="subscript"/>
        </w:rPr>
        <w:t>4</w:t>
      </w:r>
      <w:r>
        <w:t>] (</w:t>
      </w:r>
      <w:r>
        <w:t xml:space="preserve"> </w:t>
      </w:r>
      <w:r>
        <w:t>P</w:t>
      </w:r>
      <w:r>
        <w:rPr>
          <w:vertAlign w:val="subscript"/>
        </w:rPr>
        <w:t>2</w:t>
      </w:r>
      <w:r>
        <w:rPr>
          <w:vertAlign w:val="subscript"/>
        </w:rPr>
        <w:t>1</w:t>
      </w:r>
      <w:r>
        <w:rPr>
          <w:vertAlign w:val="subscript"/>
        </w:rPr>
        <w:t>2</w:t>
      </w:r>
      <w:r>
        <w:rPr>
          <w:vertAlign w:val="subscript"/>
        </w:rPr>
        <w:t>1</w:t>
      </w:r>
      <w:r>
        <w:rPr>
          <w:vertAlign w:val="subscript"/>
        </w:rPr>
        <w:t>2</w:t>
      </w:r>
      <w:r>
        <w:rPr>
          <w:vertAlign w:val="subscript"/>
        </w:rPr>
        <w:t>1</w:t>
      </w:r>
      <w:r>
        <w:t>,</w:t>
      </w:r>
      <w:r>
        <w:rPr>
          <w:vertAlign w:val="subscript"/>
        </w:rPr>
        <w:t>2</w:t>
      </w:r>
      <w:r>
        <w:t>), [Cd</w:t>
      </w:r>
      <w:r>
        <w:rPr>
          <w:vertAlign w:val="subscript"/>
        </w:rPr>
        <w:t>4</w:t>
      </w:r>
      <w:r>
        <w:t>P</w:t>
      </w:r>
      <w:r>
        <w:rPr>
          <w:vertAlign w:val="subscript"/>
        </w:rPr>
        <w:t>2</w:t>
      </w:r>
      <w:r>
        <w:t>][ZnBr</w:t>
      </w:r>
      <w:r>
        <w:rPr>
          <w:vertAlign w:val="subscript"/>
        </w:rPr>
        <w:t>4</w:t>
      </w:r>
      <w:r>
        <w:t>] (</w:t>
      </w:r>
      <w:r>
        <w:t xml:space="preserve"> </w:t>
      </w:r>
      <w:r>
        <w:t>Pna</w:t>
      </w:r>
      <w:r>
        <w:rPr>
          <w:vertAlign w:val="subscript"/>
        </w:rPr>
        <w:t>2</w:t>
      </w:r>
      <w:r>
        <w:rPr>
          <w:vertAlign w:val="subscript"/>
        </w:rPr>
        <w:t>1</w:t>
      </w:r>
      <w:r>
        <w:t>,</w:t>
      </w:r>
      <w:r>
        <w:rPr>
          <w:vertAlign w:val="subscript"/>
        </w:rPr>
        <w:t>3</w:t>
      </w:r>
      <w:r>
        <w:t>), [Cd</w:t>
      </w:r>
      <w:r>
        <w:rPr>
          <w:vertAlign w:val="subscript"/>
        </w:rPr>
        <w:t>4</w:t>
      </w:r>
      <w:r>
        <w:t>P</w:t>
      </w:r>
      <w:r>
        <w:rPr>
          <w:vertAlign w:val="subscript"/>
        </w:rPr>
        <w:t>2</w:t>
      </w:r>
      <w:r>
        <w:t>][Mn</w:t>
      </w:r>
      <w:r>
        <w:t xml:space="preserve"> </w:t>
      </w:r>
      <w:r>
        <w:t>0.6</w:t>
      </w:r>
      <w:r>
        <w:t xml:space="preserve"> </w:t>
      </w:r>
      <w:r>
        <w:t>Cd</w:t>
      </w:r>
      <w:r>
        <w:t xml:space="preserve"> </w:t>
      </w:r>
      <w:r>
        <w:t>0.4</w:t>
      </w:r>
      <w:r>
        <w:t xml:space="preserve"> </w:t>
      </w:r>
      <w:r>
        <w:t>Br</w:t>
      </w:r>
      <w:r>
        <w:rPr>
          <w:vertAlign w:val="subscript"/>
        </w:rPr>
        <w:t>4</w:t>
      </w:r>
      <w:r>
        <w:t>] (</w:t>
      </w:r>
      <w:r>
        <w:t xml:space="preserve"> </w:t>
      </w:r>
      <w:r>
        <w:t>Pna</w:t>
      </w:r>
      <w:r>
        <w:rPr>
          <w:vertAlign w:val="subscript"/>
        </w:rPr>
        <w:t>2</w:t>
      </w:r>
      <w:r>
        <w:rPr>
          <w:vertAlign w:val="subscript"/>
        </w:rPr>
        <w:t>1</w:t>
      </w:r>
      <w:r>
        <w:t>,</w:t>
      </w:r>
      <w:r>
        <w:rPr>
          <w:vertAlign w:val="subscript"/>
        </w:rPr>
        <w:t>4</w:t>
      </w:r>
      <w:r>
        <w:t>), and [Cd</w:t>
      </w:r>
      <w:r>
        <w:rPr>
          <w:vertAlign w:val="subscript"/>
        </w:rPr>
        <w:t>4</w:t>
      </w:r>
      <w:r>
        <w:t>P</w:t>
      </w:r>
      <w:r>
        <w:rPr>
          <w:vertAlign w:val="subscript"/>
        </w:rPr>
        <w:t>2</w:t>
      </w:r>
      <w:r>
        <w:t>][ZnCl</w:t>
      </w:r>
      <w:r>
        <w:rPr>
          <w:vertAlign w:val="subscript"/>
        </w:rPr>
        <w:t>3</w:t>
      </w:r>
      <w:r>
        <w:t>I] (</w:t>
      </w:r>
      <w:r>
        <w:t xml:space="preserve"> </w:t>
      </w:r>
      <w:r>
        <w:t>Pna</w:t>
      </w:r>
      <w:r>
        <w:rPr>
          <w:vertAlign w:val="subscript"/>
        </w:rPr>
        <w:t>2</w:t>
      </w:r>
      <w:r>
        <w:rPr>
          <w:vertAlign w:val="subscript"/>
        </w:rPr>
        <w:t>1</w:t>
      </w:r>
      <w:r>
        <w:t>,</w:t>
      </w:r>
      <w:r>
        <w:rPr>
          <w:vertAlign w:val="subscript"/>
        </w:rPr>
        <w:t>5</w:t>
      </w:r>
      <w:r>
        <w:t>). Notably, we enhance sharply second‐harmonic generation (SHG) responses (0∼6.6 × AgGaS</w:t>
      </w:r>
      <w:r>
        <w:rPr>
          <w:vertAlign w:val="subscript"/>
        </w:rPr>
        <w:t>2</w:t>
      </w:r>
      <w:r>
        <w:t>@1700 nm) by synergistically disrupting local symmetry through host framework porosity tuning (54.1% to 63.1%) and constructing polarizable polyhedra via mixed‐anion modulations. Furthermore, millimeter‐sized single‐crystal (3.0 × 5.0 × 8.0 mm</w:t>
      </w:r>
      <w:r>
        <w:rPr>
          <w:vertAlign w:val="subscript"/>
        </w:rPr>
        <w:t>3</w:t>
      </w:r>
      <w:r>
        <w:t>)</w:t>
      </w:r>
      <w:r>
        <w:rPr>
          <w:vertAlign w:val="subscript"/>
        </w:rPr>
        <w:t>3</w:t>
      </w:r>
      <w:r>
        <w:t>is successfully obtained, and possesses a strong SHG response (2.5 × AgGaS</w:t>
      </w:r>
      <w:r>
        <w:rPr>
          <w:vertAlign w:val="subscript"/>
        </w:rPr>
        <w:t>2</w:t>
      </w:r>
      <w:r>
        <w:t>), a high laser‐induced damage threshold (3.0 × AgGaS</w:t>
      </w:r>
      <w:r>
        <w:rPr>
          <w:vertAlign w:val="subscript"/>
        </w:rPr>
        <w:t>2</w:t>
      </w:r>
      <w:r>
        <w:t>@1064 nm), and broad infrared transmittance (2.5–14.9 µm), indicating the possible promise as a NLO material. This work offers valuable insights for the development of NLO materials through combined structural symmetry and mixed‐anion engineering.</w:t>
      </w:r>
    </w:p>
    <w:p>
      <w:pPr>
        <w:spacing w:before="120" w:after="120"/>
      </w:pPr>
      <w:r>
        <w:rPr>
          <w:sz w:val="18"/>
        </w:rPr>
        <w:t>——————————————————————————————————————————————————————————————————————</w:t>
      </w:r>
    </w:p>
    <w:p>
      <w:pPr>
        <w:spacing w:before="160" w:after="80" w:line="240" w:lineRule="auto"/>
      </w:pPr>
      <w:r>
        <w:rPr>
          <w:b/>
        </w:rPr>
        <w:t xml:space="preserve">[595] </w:t>
      </w:r>
      <w:hyperlink r:id="rId979">
        <w:r>
          <w:rPr>
            <w:color w:val="1155CC"/>
            <w:u w:val="single"/>
          </w:rPr>
          <w:t>Spiro‐fluoreno‐imidazole (SFI) Emitters Efficiently Harvesting Hot Excitons for Deep‐Blue Organic Light‐Emitting Diodes with CIEy Below 0.046</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11:57:50+00:00</w:t>
      </w:r>
      <w:r>
        <w:t xml:space="preserve">    </w:t>
      </w:r>
      <w:r>
        <w:rPr>
          <w:b/>
        </w:rPr>
        <w:t xml:space="preserve">DOI: </w:t>
      </w:r>
      <w:hyperlink r:id="rId980">
        <w:r>
          <w:rPr>
            <w:color w:val="1155CC"/>
            <w:u w:val="single"/>
          </w:rPr>
          <w:t>10.1002/anie.202524293</w:t>
        </w:r>
      </w:hyperlink>
    </w:p>
    <w:p>
      <w:pPr>
        <w:spacing w:before="0" w:after="120"/>
      </w:pPr>
      <w:r>
        <w:rPr>
          <w:b/>
        </w:rPr>
        <w:t xml:space="preserve">Notes: </w:t>
      </w:r>
      <w:r>
        <w:t>abstract_source=crossref</w:t>
      </w:r>
    </w:p>
    <w:p>
      <w:pPr>
        <w:spacing w:before="0" w:after="200" w:lineRule="auto" w:line="276"/>
      </w:pPr>
      <w:r>
        <w:rPr>
          <w:b/>
        </w:rPr>
        <w:t xml:space="preserve">Abstract: </w:t>
      </w:r>
      <w:r>
        <w:t>Hot exciton emitters have emerged as promising candidates for efficient deep‐blue fluorescent organic light‐emitting diodes (OLEDs), by enabling triplet exciton harvesting through high‐lying reverse intersystem crossing. However, limited molecular catalogues impede comprehensive mechanistic investigations and device performance elevations. Here, for the first time, we introduced a novel rigid and steric spiro‐fluoreno‐fused imidazole (SFI) skeleton to engineer high‐performance deep‐blue hot exciton emitters. Three derivatives, Cz‐SFI, tCz‐SFI, and 3Cz‐SFI, were strategically designed to modulate donor‐acceptor orbital overlap and hybridized local and charge‐transfer character. Detailed theoretical calculations and transient absorption spectra clearly revealed the dominant channel of high‐lying reverse intersystem crossing, with a rapid rate constant up to 3.36 × 10</w:t>
      </w:r>
      <w:r>
        <w:rPr>
          <w:vertAlign w:val="subscript"/>
        </w:rPr>
        <w:t>9</w:t>
      </w:r>
      <w:r>
        <w:t>s</w:t>
      </w:r>
      <w:r>
        <w:t xml:space="preserve"> </w:t>
      </w:r>
      <w:r>
        <w:t>−1</w:t>
      </w:r>
      <w:r>
        <w:t xml:space="preserve"> </w:t>
      </w:r>
      <w:r>
        <w:t>. Remarkably, the tCz‐SFI‐based OLED device achieved deep‐blue electroluminescence with an exciton utilization efficiency of 83.2% and an unprecedented external quantum efficiency of 12.55% by efficiently harvesting hot triplet excitons. The device exhibited stable electroluminescence peaking at 410 nm, corresponding to Commission Internationale de l'Eclairage coordinates of (0.161, 0.043), setting a new benchmark for deep‐blue hot‐exciton OLEDs.</w:t>
      </w:r>
    </w:p>
    <w:p>
      <w:pPr>
        <w:spacing w:before="120" w:after="120"/>
      </w:pPr>
      <w:r>
        <w:rPr>
          <w:sz w:val="18"/>
        </w:rPr>
        <w:t>——————————————————————————————————————————————————————————————————————</w:t>
      </w:r>
    </w:p>
    <w:p>
      <w:pPr>
        <w:spacing w:before="160" w:after="80" w:line="240" w:lineRule="auto"/>
      </w:pPr>
      <w:r>
        <w:rPr>
          <w:b/>
        </w:rPr>
        <w:t xml:space="preserve">[596] </w:t>
      </w:r>
      <w:hyperlink r:id="rId981">
        <w:r>
          <w:rPr>
            <w:color w:val="1155CC"/>
            <w:u w:val="single"/>
          </w:rPr>
          <w:t>A Multimodal Ensemble Framework for Optimal Mutant Prediction and Computational Enzyme Engineering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11:58:27+00:00</w:t>
      </w:r>
      <w:r>
        <w:t xml:space="preserve">    </w:t>
      </w:r>
      <w:r>
        <w:rPr>
          <w:b/>
        </w:rPr>
        <w:t xml:space="preserve">DOI: </w:t>
      </w:r>
      <w:hyperlink r:id="rId982">
        <w:r>
          <w:rPr>
            <w:color w:val="1155CC"/>
            <w:u w:val="single"/>
          </w:rPr>
          <w:t>10.1002/anie.202521396</w:t>
        </w:r>
      </w:hyperlink>
    </w:p>
    <w:p>
      <w:pPr>
        <w:spacing w:before="0" w:after="120"/>
      </w:pPr>
      <w:r>
        <w:rPr>
          <w:b/>
        </w:rPr>
        <w:t xml:space="preserve">Notes: </w:t>
      </w:r>
      <w:r>
        <w:t>abstract_source=crossref</w:t>
      </w:r>
    </w:p>
    <w:p>
      <w:pPr>
        <w:spacing w:before="0" w:after="200" w:lineRule="auto" w:line="276"/>
      </w:pPr>
      <w:r>
        <w:rPr>
          <w:b/>
        </w:rPr>
        <w:t xml:space="preserve">Abstract: </w:t>
      </w:r>
      <w:r>
        <w:t>Exploring mutational landscape of proteins to engineer improved enzymes remains a fundamental challenge. Traditional methods, whether reliant on high‐throughput experimentation, direct evolution, or on computational prediction, often face challenges to effectively model the complex epistatic and long‐range interactions that related to protein function. To address this, we present GEMS, a robust framework for enzyme engineering that leverages the ensemble zero‐shot capabilities of multiple modalities. By integrating evolutionary, structural, and sequence‐based constraints, GEMS effectively models the sequence–structure–function relationship and predicts beneficial variants. Benchmarking against state‐of‐the‐art (SOTA) methods revealed that GEMS achieves competitive performance in ranking beneficial variants, generates highly informative initial variant libraries, highlighting its strength in capturing long‐range functional constraints. We rigorously evaluated GEMS on five diverse enzyme engineering cases under both pure enzyme (Caulobacter segniscarotenoid cleavage dioxygenase from</w:t>
      </w:r>
      <w:r>
        <w:t xml:space="preserve"> </w:t>
      </w:r>
      <w:r>
        <w:t>Marine gamma proteobacterium</w:t>
      </w:r>
      <w:r>
        <w:t xml:space="preserve"> </w:t>
      </w:r>
      <w:r>
        <w:t>(</w:t>
      </w:r>
      <w:r>
        <w:t xml:space="preserve"> </w:t>
      </w:r>
      <w:r>
        <w:t>Mgp</w:t>
      </w:r>
      <w:r>
        <w:t xml:space="preserve"> </w:t>
      </w:r>
      <w:r>
        <w:t>CSO), aldehyde dehydrogenase from</w:t>
      </w:r>
      <w:r>
        <w:t xml:space="preserve"> </w:t>
      </w:r>
      <w:r>
        <w:t>Dickeya parazeae</w:t>
      </w:r>
      <w:r>
        <w:t xml:space="preserve"> </w:t>
      </w:r>
      <w:r>
        <w:t>(</w:t>
      </w:r>
      <w:r>
        <w:t xml:space="preserve"> </w:t>
      </w:r>
      <w:r>
        <w:t>Dp</w:t>
      </w:r>
      <w:r>
        <w:t xml:space="preserve"> </w:t>
      </w:r>
      <w:r>
        <w:t>ADA)) and whole‐cell conditions (CYP105A3 from</w:t>
      </w:r>
      <w:r>
        <w:t xml:space="preserve"> </w:t>
      </w:r>
      <w:r>
        <w:t>Streptomyces carbophilus</w:t>
      </w:r>
      <w:r>
        <w:t xml:space="preserve"> </w:t>
      </w:r>
      <w:r>
        <w:t>(P450</w:t>
      </w:r>
      <w:r>
        <w:t xml:space="preserve"> </w:t>
      </w:r>
      <w:r>
        <w:t>Sca</w:t>
      </w:r>
      <w:r>
        <w:t xml:space="preserve"> </w:t>
      </w:r>
      <w:r>
        <w:t>‐2), O‐methyltransferase 1 from</w:t>
      </w:r>
      <w:r>
        <w:t xml:space="preserve"> </w:t>
      </w:r>
      <w:r>
        <w:t>Cnidium monnieri</w:t>
      </w:r>
      <w:r>
        <w:t xml:space="preserve"> </w:t>
      </w:r>
      <w:r>
        <w:t>(</w:t>
      </w:r>
      <w:r>
        <w:t xml:space="preserve"> </w:t>
      </w:r>
      <w:r>
        <w:t>Cm</w:t>
      </w:r>
      <w:r>
        <w:t xml:space="preserve"> </w:t>
      </w:r>
      <w:r>
        <w:t>OMT1), prenyltransferase from</w:t>
      </w:r>
      <w:r>
        <w:t xml:space="preserve"> </w:t>
      </w:r>
      <w:r>
        <w:t>Pastinaca sativa</w:t>
      </w:r>
      <w:r>
        <w:t xml:space="preserve"> </w:t>
      </w:r>
      <w:r>
        <w:t>(</w:t>
      </w:r>
      <w:r>
        <w:t xml:space="preserve"> </w:t>
      </w:r>
      <w:r>
        <w:t>Ps</w:t>
      </w:r>
      <w:r>
        <w:t xml:space="preserve"> </w:t>
      </w:r>
      <w:r>
        <w:t>PT2)). Our results demonstrate that GEMS successfully identifies activity‐enhancing mutations, with single variants exhibiting 1.1 to 3.2‐fold improvements in catalytic efficiency. Collectively, our findings prove GEMS as a powerful and versatile tool for advanced enzyme engineering.</w:t>
      </w:r>
    </w:p>
    <w:p>
      <w:pPr>
        <w:spacing w:before="120" w:after="120"/>
      </w:pPr>
      <w:r>
        <w:rPr>
          <w:sz w:val="18"/>
        </w:rPr>
        <w:t>——————————————————————————————————————————————————————————————————————</w:t>
      </w:r>
    </w:p>
    <w:p>
      <w:pPr>
        <w:spacing w:before="160" w:after="80" w:line="240" w:lineRule="auto"/>
      </w:pPr>
      <w:r>
        <w:rPr>
          <w:b/>
        </w:rPr>
        <w:t xml:space="preserve">[597] </w:t>
      </w:r>
      <w:hyperlink r:id="rId983">
        <w:r>
          <w:rPr>
            <w:color w:val="1155CC"/>
            <w:u w:val="single"/>
          </w:rPr>
          <w:t>[ASAP] Assembly of Face Decorated Cuboidal Cages into Ultraporous Structures with Hierarchical Porosity: Accessing MOFs with the Awaited red-a Topology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12:12:43+00:00</w:t>
      </w:r>
      <w:r>
        <w:t xml:space="preserve">    </w:t>
      </w:r>
      <w:r>
        <w:rPr>
          <w:b/>
        </w:rPr>
        <w:t xml:space="preserve">DOI: </w:t>
      </w:r>
      <w:hyperlink r:id="rId984">
        <w:r>
          <w:rPr>
            <w:color w:val="1155CC"/>
            <w:u w:val="single"/>
          </w:rPr>
          <w:t>10.1021/jacs.5c16581</w:t>
        </w:r>
      </w:hyperlink>
    </w:p>
    <w:p>
      <w:pPr>
        <w:spacing w:before="0" w:after="120"/>
      </w:pPr>
      <w:r>
        <w:rPr>
          <w:b/>
        </w:rPr>
        <w:t xml:space="preserve">Notes: </w:t>
      </w:r>
      <w:r>
        <w:t>abstract_source=pubmed</w:t>
      </w:r>
    </w:p>
    <w:p>
      <w:pPr>
        <w:spacing w:before="0" w:after="200" w:lineRule="auto" w:line="276"/>
      </w:pPr>
      <w:r>
        <w:rPr>
          <w:b/>
        </w:rPr>
        <w:t xml:space="preserve">Abstract: </w:t>
      </w:r>
      <w:r>
        <w:t>The rational design of ultraporous metal-organic frameworks (MOFs) with hierarchical pore systems is of great significance but remains highly challenging. MOFs based on the reo-e or red topologies offer such pore architectures through face-shared cuboidal, cuboctahedral, and rhombicuboctahedral cages. Although hypothesized and computationally explored over the past two decades, these solids had not been experimentally realized. Here, we report the first MOFs based on the long-awaited red-a net, denoted as M-red-MOF-1 (M = Fe, Cr). Combining the nearly square yet rectangularly connected 4-c organic linker 4,4',″,4‴-([1,1':4',1″-terphenyl]-3,3'',5,5''-tetrayltetrakis(ethyne-2,1-diyl))tetrabenzoic acid, denoted as H4TCEPT, with FeCl3·6H2O under solvothermal conditions yielded Fe-red-MOF-1 as cubic-like single crystals. Extensive characterization using SCXRD, PXRD, SEM, TEM, gas sorption, TGA, and in-silico structure modeling, confirmed the red-a topology. Argon sorption at 87 K revealed three distinct S-type steps, consistent with the hierarchical pore network and demonstrated an ultrahigh pore volume (3.56 cm3 g-1) and BET area (5081 m2 g-1). Owing to its hierarchical porosity, Fe-red-MOF-1 exhibits excellent hydrogen storage performance with high gravimetric (13.5 wt %) and volumetric (39.5 g·L-1) working capacities under temperature and pressure swing conditions (77 K/100 bar → 160 K/5 bar), placing it among the top-performing MOFs. The isostructural Cr-red-MOF-1, obtained postsynthetically, showed a remarkable water uptake of 2.81 g g-1 at 298 K, surpassing the current top-ranking Cr-soc-MOF-1 (1.95 g g-1). Isoreticular analogues, denoted as M-red-MOF-2 (M = Fe, Cr), were also synthesized using the anthracene-based linker H4TEBDA. The present work opens new directions for designing ultraporous, hierarchical MOFs based on the red-a net.</w:t>
      </w:r>
    </w:p>
    <w:p>
      <w:pPr>
        <w:spacing w:before="120" w:after="120"/>
      </w:pPr>
      <w:r>
        <w:rPr>
          <w:sz w:val="18"/>
        </w:rPr>
        <w:t>——————————————————————————————————————————————————————————————————————</w:t>
      </w:r>
    </w:p>
    <w:p>
      <w:pPr>
        <w:spacing w:before="160" w:after="80" w:line="240" w:lineRule="auto"/>
      </w:pPr>
      <w:r>
        <w:rPr>
          <w:b/>
        </w:rPr>
        <w:t xml:space="preserve">[598] </w:t>
      </w:r>
      <w:hyperlink r:id="rId985">
        <w:r>
          <w:rPr>
            <w:color w:val="1155CC"/>
            <w:u w:val="single"/>
          </w:rPr>
          <w:t>Bulk Fabrication of Space‐Confined CsPbI3 Nanocrystal Films Toward Efficient and Bright Deep‐Red LEDs</w:t>
        </w:r>
      </w:hyperlink>
    </w:p>
    <w:p>
      <w:pPr>
        <w:spacing w:before="0" w:after="120" w:line="240" w:lineRule="auto"/>
      </w:pPr>
      <w:r>
        <w:rPr>
          <w:b/>
        </w:rPr>
        <w:t xml:space="preserve">Source: </w:t>
      </w:r>
      <w:r>
        <w:t>Wiley: Advanced Materials: Table of Contents</w:t>
      </w:r>
      <w:r>
        <w:t xml:space="preserve">    </w:t>
      </w:r>
      <w:r>
        <w:rPr>
          <w:b/>
        </w:rPr>
        <w:t xml:space="preserve">Pub date: </w:t>
      </w:r>
      <w:r>
        <w:t>2025-12-18 12:30:32+00:00</w:t>
      </w:r>
      <w:r>
        <w:t xml:space="preserve">    </w:t>
      </w:r>
      <w:r>
        <w:rPr>
          <w:b/>
        </w:rPr>
        <w:t xml:space="preserve">DOI: </w:t>
      </w:r>
      <w:hyperlink r:id="rId986">
        <w:r>
          <w:rPr>
            <w:color w:val="1155CC"/>
            <w:u w:val="single"/>
          </w:rPr>
          <w:t>10.1002/adma.202518255</w:t>
        </w:r>
      </w:hyperlink>
    </w:p>
    <w:p>
      <w:pPr>
        <w:spacing w:before="0" w:after="120"/>
      </w:pPr>
      <w:r>
        <w:rPr>
          <w:b/>
        </w:rPr>
        <w:t xml:space="preserve">Notes: </w:t>
      </w:r>
      <w:r>
        <w:t>abstract_source=crossref</w:t>
      </w:r>
    </w:p>
    <w:p>
      <w:pPr>
        <w:spacing w:before="0" w:after="200" w:lineRule="auto" w:line="276"/>
      </w:pPr>
      <w:r>
        <w:rPr>
          <w:b/>
        </w:rPr>
        <w:t xml:space="preserve">Abstract: </w:t>
      </w:r>
      <w:r>
        <w:t>Deep‐red light‐emitting diodes (LEDs) with 690−710 nm emission show high significance in optical, agricultural, and biomedical applications. As primary candidates for deep‐red emitters, all‐inorganic CsPbI</w:t>
      </w:r>
      <w:r>
        <w:rPr>
          <w:vertAlign w:val="subscript"/>
        </w:rPr>
        <w:t>3</w:t>
      </w:r>
      <w:r>
        <w:t>films suffer from fused large grains with abundant trap states, leading to inferior performance of deep‐red perovskite LEDs (PeLEDs). Here we report CsPbI</w:t>
      </w:r>
      <w:r>
        <w:rPr>
          <w:vertAlign w:val="subscript"/>
        </w:rPr>
        <w:t>3</w:t>
      </w:r>
      <w:r>
        <w:t>nanocrystal films with strong space confinement and notable performance at ∼700 nm of deep‐red emission via bulk fabrication. The dual roles of diaza‐18‐crown‐6 dihydriodide additive as crystallization regulator and Lewis base ligand trigger more nucleation sites, retarded grain growth and passivated trap states, ensuring the crystallization of high‐quality space‐confined CsPbI</w:t>
      </w:r>
      <w:r>
        <w:rPr>
          <w:vertAlign w:val="subscript"/>
        </w:rPr>
        <w:t>3</w:t>
      </w:r>
      <w:r>
        <w:t>nanocrystal films. This approach establishes a record‐high external quantum efficiency (EQE) of 23.4% for deep‐red PeLEDs, and achieves a maximum luminance of 10152 cd m</w:t>
      </w:r>
      <w:r>
        <w:t xml:space="preserve"> </w:t>
      </w:r>
      <w:r>
        <w:t>−2</w:t>
      </w:r>
      <w:r>
        <w:t xml:space="preserve"> </w:t>
      </w:r>
      <w:r>
        <w:t>. Low roll‐off is also demonstrated that EQE maintain over 20% under a high current density of 900 mA cm</w:t>
      </w:r>
      <w:r>
        <w:t xml:space="preserve"> </w:t>
      </w:r>
      <w:r>
        <w:t>−2</w:t>
      </w:r>
      <w:r>
        <w:t xml:space="preserve"> </w:t>
      </w:r>
      <w:r>
        <w:t>, which is superior to state‐of‐the‐art deep‐red organic and quantum‐dot LEDs. The</w:t>
      </w:r>
      <w:r>
        <w:t xml:space="preserve"> </w:t>
      </w:r>
      <w:r>
        <w:t>T</w:t>
      </w:r>
      <w:r>
        <w:rPr>
          <w:vertAlign w:val="subscript"/>
        </w:rPr>
        <w:t>50</w:t>
      </w:r>
      <w:r>
        <w:t xml:space="preserve"> </w:t>
      </w:r>
      <w:r>
        <w:t>operating lifetime is estimated to be 234 h at an initial radiance of 6.3 W sr</w:t>
      </w:r>
      <w:r>
        <w:t xml:space="preserve"> </w:t>
      </w:r>
      <w:r>
        <w:t>−1</w:t>
      </w:r>
      <w:r>
        <w:t xml:space="preserve"> </w:t>
      </w:r>
      <w:r>
        <w:t>m</w:t>
      </w:r>
      <w:r>
        <w:t xml:space="preserve"> </w:t>
      </w:r>
      <w:r>
        <w:t>−2</w:t>
      </w:r>
      <w:r>
        <w:t xml:space="preserve"> </w:t>
      </w:r>
      <w:r>
        <w:t>. This work provides an effectual strategy to accelerate radiative recombination and enhance the performance of CsPbI</w:t>
      </w:r>
      <w:r>
        <w:rPr>
          <w:vertAlign w:val="subscript"/>
        </w:rPr>
        <w:t>3</w:t>
      </w:r>
      <w:r>
        <w:t>‐based deep‐red PeLEDs.</w:t>
      </w:r>
    </w:p>
    <w:p>
      <w:pPr>
        <w:spacing w:before="120" w:after="120"/>
      </w:pPr>
      <w:r>
        <w:rPr>
          <w:sz w:val="18"/>
        </w:rPr>
        <w:t>——————————————————————————————————————————————————————————————————————</w:t>
      </w:r>
    </w:p>
    <w:p>
      <w:pPr>
        <w:spacing w:before="160" w:after="80" w:line="240" w:lineRule="auto"/>
      </w:pPr>
      <w:r>
        <w:rPr>
          <w:b/>
        </w:rPr>
        <w:t xml:space="preserve">[599] </w:t>
      </w:r>
      <w:hyperlink r:id="rId987">
        <w:r>
          <w:rPr>
            <w:color w:val="1155CC"/>
            <w:u w:val="single"/>
          </w:rPr>
          <w:t>Reversible Na+/I− Dual‐Ion Chemistry by Electrolyte Engineering Enables High‐Rate and Long‐Lifespan Energy Storage Device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12:30:42+00:00</w:t>
      </w:r>
      <w:r>
        <w:t xml:space="preserve">    </w:t>
      </w:r>
      <w:r>
        <w:rPr>
          <w:b/>
        </w:rPr>
        <w:t xml:space="preserve">DOI: </w:t>
      </w:r>
      <w:hyperlink r:id="rId988">
        <w:r>
          <w:rPr>
            <w:color w:val="1155CC"/>
            <w:u w:val="single"/>
          </w:rPr>
          <w:t>10.1002/anie.202523884</w:t>
        </w:r>
      </w:hyperlink>
    </w:p>
    <w:p>
      <w:pPr>
        <w:spacing w:before="0" w:after="120"/>
      </w:pPr>
      <w:r>
        <w:rPr>
          <w:b/>
        </w:rPr>
        <w:t xml:space="preserve">Notes: </w:t>
      </w:r>
      <w:r>
        <w:t>abstract_source=crossref</w:t>
      </w:r>
    </w:p>
    <w:p>
      <w:pPr>
        <w:spacing w:before="0" w:after="200" w:lineRule="auto" w:line="276"/>
      </w:pPr>
      <w:r>
        <w:rPr>
          <w:b/>
        </w:rPr>
        <w:t xml:space="preserve">Abstract: </w:t>
      </w:r>
      <w:r>
        <w:t>Aqueous battery energy storage systems have driven extensive attention owing to safety, low‐cost, and environmental friendliness. However, the dendrite growth, poor reversibility, and hydrogen evolution reactions (HER) hinder their commercial utilization. To address these issues, we first developed a dual‐ion sodium‐iodine (Na‐I</w:t>
      </w:r>
      <w:r>
        <w:rPr>
          <w:vertAlign w:val="subscript"/>
        </w:rPr>
        <w:t>2</w:t>
      </w:r>
      <w:r>
        <w:t>) battery system, incorporating a carbon‐coated Fe</w:t>
      </w:r>
      <w:r>
        <w:t xml:space="preserve"> </w:t>
      </w:r>
      <w:r>
        <w:t>0.5</w:t>
      </w:r>
      <w:r>
        <w:t xml:space="preserve"> </w:t>
      </w:r>
      <w:r>
        <w:t>Ti</w:t>
      </w:r>
      <w:r>
        <w:rPr>
          <w:vertAlign w:val="subscript"/>
        </w:rPr>
        <w:t>2</w:t>
      </w:r>
      <w:r>
        <w:t>(PO</w:t>
      </w:r>
      <w:r>
        <w:rPr>
          <w:vertAlign w:val="subscript"/>
        </w:rPr>
        <w:t>4</w:t>
      </w:r>
      <w:r>
        <w:t>)</w:t>
      </w:r>
      <w:r>
        <w:rPr>
          <w:vertAlign w:val="subscript"/>
        </w:rPr>
        <w:t>3</w:t>
      </w:r>
      <w:r>
        <w:t>anode coupled with an activated carbon cathode. This system demonstrates dendrite‐free behavior, superior durability, and excellent reversibility. Impressively, a Na‐ion solvation engineering strategy was performed through electrolyte optimization of sodium trifluoromethanesulfonate (NaOTf), in which OTf</w:t>
      </w:r>
      <w:r>
        <w:t xml:space="preserve"> </w:t>
      </w:r>
      <w:r>
        <w:t>−</w:t>
      </w:r>
      <w:r>
        <w:t>replaces the H</w:t>
      </w:r>
      <w:r>
        <w:rPr>
          <w:vertAlign w:val="subscript"/>
        </w:rPr>
        <w:t>2</w:t>
      </w:r>
      <w:r>
        <w:t>O in Na</w:t>
      </w:r>
      <w:r>
        <w:t xml:space="preserve"> </w:t>
      </w:r>
      <w:r>
        <w:t>+</w:t>
      </w:r>
      <w:r>
        <w:t xml:space="preserve"> </w:t>
      </w:r>
      <w:r>
        <w:t>solvation sheath. Breaking the hydrogen‐bond network of H</w:t>
      </w:r>
      <w:r>
        <w:rPr>
          <w:vertAlign w:val="subscript"/>
        </w:rPr>
        <w:t>2</w:t>
      </w:r>
      <w:r>
        <w:t>O molecules and reducing the desolvation energy barrier by approximately 40% is confirmed by MD simulations, as well as enhancing ionic conductivity and charge transfer kinetics. Accordingly, the Na‐I</w:t>
      </w:r>
      <w:r>
        <w:rPr>
          <w:vertAlign w:val="subscript"/>
        </w:rPr>
        <w:t>2</w:t>
      </w:r>
      <w:r>
        <w:t>batteries achieve a high capacity of 105 mAh g</w:t>
      </w:r>
      <w:r>
        <w:t xml:space="preserve"> </w:t>
      </w:r>
      <w:r>
        <w:t>−1</w:t>
      </w:r>
      <w:r>
        <w:t xml:space="preserve"> </w:t>
      </w:r>
      <w:r>
        <w:t>for 20,000 cycles with 79.2% capacity retention at 5 A g</w:t>
      </w:r>
      <w:r>
        <w:t xml:space="preserve"> </w:t>
      </w:r>
      <w:r>
        <w:t>−1</w:t>
      </w:r>
      <w:r>
        <w:t xml:space="preserve"> </w:t>
      </w:r>
      <w:r>
        <w:t>. Pouch cells with a capacity of 56 mAh achieve a long cycling lifespan up to 500 cycles with the retention of 92.3% at the current of 50 mA. Extended to 1.1 Ah, it also presents outstanding charging–discharging performance. This work offers a transformative framework for the development of high‐performance aqueous Na‐I</w:t>
      </w:r>
      <w:r>
        <w:rPr>
          <w:vertAlign w:val="subscript"/>
        </w:rPr>
        <w:t>2</w:t>
      </w:r>
      <w:r>
        <w:t>batteries.</w:t>
      </w:r>
    </w:p>
    <w:p>
      <w:pPr>
        <w:spacing w:before="120" w:after="120"/>
      </w:pPr>
      <w:r>
        <w:rPr>
          <w:sz w:val="18"/>
        </w:rPr>
        <w:t>——————————————————————————————————————————————————————————————————————</w:t>
      </w:r>
    </w:p>
    <w:p>
      <w:pPr>
        <w:spacing w:before="160" w:after="80" w:line="240" w:lineRule="auto"/>
      </w:pPr>
      <w:r>
        <w:rPr>
          <w:b/>
        </w:rPr>
        <w:t xml:space="preserve">[600] </w:t>
      </w:r>
      <w:hyperlink r:id="rId989">
        <w:r>
          <w:rPr>
            <w:color w:val="1155CC"/>
            <w:u w:val="single"/>
          </w:rPr>
          <w:t>Hydrophobic Association Enabled Salt‐Concentrated all‐Cellulose Hydrogel Electrolytes for High‐Temperature Zinc‐Ion Hybrid Supercapacitors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12:32:29+00:00</w:t>
      </w:r>
      <w:r>
        <w:t xml:space="preserve">    </w:t>
      </w:r>
      <w:r>
        <w:rPr>
          <w:b/>
        </w:rPr>
        <w:t xml:space="preserve">DOI: </w:t>
      </w:r>
      <w:hyperlink r:id="rId990">
        <w:r>
          <w:rPr>
            <w:color w:val="1155CC"/>
            <w:u w:val="single"/>
          </w:rPr>
          <w:t>10.1002/anie.202521038</w:t>
        </w:r>
      </w:hyperlink>
    </w:p>
    <w:p>
      <w:pPr>
        <w:spacing w:before="0" w:after="120"/>
      </w:pPr>
      <w:r>
        <w:rPr>
          <w:b/>
        </w:rPr>
        <w:t xml:space="preserve">Notes: </w:t>
      </w:r>
      <w:r>
        <w:t>abstract_source=crossref</w:t>
      </w:r>
    </w:p>
    <w:p>
      <w:pPr>
        <w:spacing w:before="0" w:after="200" w:lineRule="auto" w:line="276"/>
      </w:pPr>
      <w:r>
        <w:rPr>
          <w:b/>
        </w:rPr>
        <w:t xml:space="preserve">Abstract: </w:t>
      </w:r>
      <w:r>
        <w:t>Hydrogel electrolytes have great potential in electrochemical energy storage devices due to their high flexibility, conductivity, and safety. However, at high temperatures, the mechanical stability and ionic conductivity of hydrogel electrolytes are compromised due to water evaporation and unstabilization of polymer matrix. Herein, we propose a salt‐concentrated hydrogel electrolyte with its matrix showing hydrophobic association effect upon heating for achieving high‐temperature adaptability. The cotton cellulose supports a stable homogeneous polymer‐salt phase in the hydrogel electrolytes. The methylcellulose works through temperature‐dependent hydrophobic interactions, maintaining the stability of the salt‐concentrated hydrogel over a wide temperature range. An all‐biobased hydrogel with both mechanical and conductive stability is realized at high temperatures (more than 60 °C). We have demonstrated a zinc‐ion hybrid supercapacitor with a high specific capacity of 250.3 mAh g</w:t>
      </w:r>
      <w:r>
        <w:t xml:space="preserve"> </w:t>
      </w:r>
      <w:r>
        <w:t>−1</w:t>
      </w:r>
      <w:r>
        <w:t xml:space="preserve"> </w:t>
      </w:r>
      <w:r>
        <w:t>at 120 °C and 85.4% retention for 10,000 cycles at 60 °C. This work is expected to provide a general strategy to achieve high‐temperature hydrogel electrolyte.</w:t>
      </w:r>
    </w:p>
    <w:p>
      <w:pPr>
        <w:spacing w:before="120" w:after="120"/>
      </w:pPr>
      <w:r>
        <w:rPr>
          <w:sz w:val="18"/>
        </w:rPr>
        <w:t>——————————————————————————————————————————————————————————————————————</w:t>
      </w:r>
    </w:p>
    <w:p>
      <w:pPr>
        <w:spacing w:before="160" w:after="80" w:line="240" w:lineRule="auto"/>
      </w:pPr>
      <w:r>
        <w:rPr>
          <w:b/>
        </w:rPr>
        <w:t xml:space="preserve">[601] </w:t>
      </w:r>
      <w:hyperlink r:id="rId991">
        <w:r>
          <w:rPr>
            <w:color w:val="1155CC"/>
            <w:u w:val="single"/>
          </w:rPr>
          <w:t>The Zintl–Klemm Concept in the Amorphous State: A Case Study of Na–P Battery Anodes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12:37:15+00:00</w:t>
      </w:r>
      <w:r>
        <w:t xml:space="preserve">    </w:t>
      </w:r>
      <w:r>
        <w:rPr>
          <w:b/>
        </w:rPr>
        <w:t xml:space="preserve">DOI: </w:t>
      </w:r>
      <w:hyperlink r:id="rId992">
        <w:r>
          <w:rPr>
            <w:color w:val="1155CC"/>
            <w:u w:val="single"/>
          </w:rPr>
          <w:t>10.1002/anie.202508305</w:t>
        </w:r>
      </w:hyperlink>
    </w:p>
    <w:p>
      <w:pPr>
        <w:spacing w:before="0" w:after="120"/>
      </w:pPr>
      <w:r>
        <w:rPr>
          <w:b/>
        </w:rPr>
        <w:t xml:space="preserve">Notes: </w:t>
      </w:r>
      <w:r>
        <w:t>abstract_source=crossref</w:t>
      </w:r>
    </w:p>
    <w:p>
      <w:pPr>
        <w:spacing w:before="0" w:after="200" w:lineRule="auto" w:line="276"/>
      </w:pPr>
      <w:r>
        <w:rPr>
          <w:b/>
        </w:rPr>
        <w:t xml:space="preserve">Abstract: </w:t>
      </w:r>
      <w:r>
        <w:t>The Zintl–Klemm concept has long been used to explain and predict the bonding, and thereby the structures, of crystalline solid‐state materials. We apply this concept to the amorphous state, examining as an example the diverse disordered Na–P phases that can form in sodium‐ion battery anodes. Using first‐principles computations combined with state‐of‐the‐art machine‐learning methods, we provide atomic‐scale insights into the structures and energetics of amorphous Na–P phases. We showcase the applicability of the Zintl–Klemm rules in the amorphous state and discuss implications for future work.</w:t>
      </w:r>
    </w:p>
    <w:p>
      <w:pPr>
        <w:spacing w:before="120" w:after="120"/>
      </w:pPr>
      <w:r>
        <w:rPr>
          <w:sz w:val="18"/>
        </w:rPr>
        <w:t>——————————————————————————————————————————————————————————————————————</w:t>
      </w:r>
    </w:p>
    <w:p>
      <w:pPr>
        <w:spacing w:before="160" w:after="80" w:line="240" w:lineRule="auto"/>
      </w:pPr>
      <w:r>
        <w:rPr>
          <w:b/>
        </w:rPr>
        <w:t xml:space="preserve">[602] </w:t>
      </w:r>
      <w:hyperlink r:id="rId993">
        <w:r>
          <w:rPr>
            <w:color w:val="1155CC"/>
            <w:u w:val="single"/>
          </w:rPr>
          <w:t>Asymmetric Hydride Shift Reactions Catalyzed by Chiral Aluminium Complexes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12:42:03+00:00</w:t>
      </w:r>
      <w:r>
        <w:t xml:space="preserve">    </w:t>
      </w:r>
      <w:r>
        <w:rPr>
          <w:b/>
        </w:rPr>
        <w:t xml:space="preserve">DOI: </w:t>
      </w:r>
      <w:hyperlink r:id="rId994">
        <w:r>
          <w:rPr>
            <w:color w:val="1155CC"/>
            <w:u w:val="single"/>
          </w:rPr>
          <w:t>10.1002/anie.202521374</w:t>
        </w:r>
      </w:hyperlink>
    </w:p>
    <w:p>
      <w:pPr>
        <w:spacing w:before="0" w:after="120"/>
      </w:pPr>
      <w:r>
        <w:rPr>
          <w:b/>
        </w:rPr>
        <w:t xml:space="preserve">Notes: </w:t>
      </w:r>
      <w:r>
        <w:t>abstract_source=crossref</w:t>
      </w:r>
    </w:p>
    <w:p>
      <w:pPr>
        <w:spacing w:before="0" w:after="200" w:lineRule="auto" w:line="276"/>
      </w:pPr>
      <w:r>
        <w:rPr>
          <w:b/>
        </w:rPr>
        <w:t xml:space="preserve">Abstract: </w:t>
      </w:r>
      <w:r>
        <w:t>An asymmetric intramolecular hydride shift reaction has been developed that is catalyzed by Al Lewis acids in conjunction with a chiral BINOL‐derived ligand. Racemic THP substrates are transformed into cyclohexene products via a prochiral intermediate ring opened enone; which then undergoes a key 1,5‐hydride shift reaction. This reaction is operationally simple, works well on a gram scale, and the desired products are formed with very high enantioselectivity (up to &amp;gt;98:2 e.r.). Importantly, the cyclohexene products contain functionality that can be easily derivatized and this is exemplified in the paper. Finally, a model is presented for the enantioselective hydride shift that is based on previous DFT studies.</w:t>
      </w:r>
    </w:p>
    <w:p>
      <w:pPr>
        <w:spacing w:before="120" w:after="120"/>
      </w:pPr>
      <w:r>
        <w:rPr>
          <w:sz w:val="18"/>
        </w:rPr>
        <w:t>——————————————————————————————————————————————————————————————————————</w:t>
      </w:r>
    </w:p>
    <w:p>
      <w:pPr>
        <w:spacing w:before="160" w:after="80" w:line="240" w:lineRule="auto"/>
      </w:pPr>
      <w:r>
        <w:rPr>
          <w:b/>
        </w:rPr>
        <w:t xml:space="preserve">[603] </w:t>
      </w:r>
      <w:hyperlink r:id="rId995">
        <w:r>
          <w:rPr>
            <w:color w:val="1155CC"/>
            <w:u w:val="single"/>
          </w:rPr>
          <w:t>Designing Nuclease‐Resistant Enzyme‐Mimicking Assemblies of Oligonucleotides Through Supramolecular Conjugation with Platinum(II) Complexes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12:42:08+00:00</w:t>
      </w:r>
      <w:r>
        <w:t xml:space="preserve">    </w:t>
      </w:r>
      <w:r>
        <w:rPr>
          <w:b/>
        </w:rPr>
        <w:t xml:space="preserve">DOI: </w:t>
      </w:r>
      <w:hyperlink r:id="rId996">
        <w:r>
          <w:rPr>
            <w:color w:val="1155CC"/>
            <w:u w:val="single"/>
          </w:rPr>
          <w:t>10.1002/anie.202522266</w:t>
        </w:r>
      </w:hyperlink>
    </w:p>
    <w:p>
      <w:pPr>
        <w:spacing w:before="0" w:after="120"/>
      </w:pPr>
      <w:r>
        <w:rPr>
          <w:b/>
        </w:rPr>
        <w:t xml:space="preserve">Notes: </w:t>
      </w:r>
      <w:r>
        <w:t>abstract_source=crossref</w:t>
      </w:r>
    </w:p>
    <w:p>
      <w:pPr>
        <w:spacing w:before="0" w:after="200" w:lineRule="auto" w:line="276"/>
      </w:pPr>
      <w:r>
        <w:rPr>
          <w:b/>
        </w:rPr>
        <w:t xml:space="preserve">Abstract: </w:t>
      </w:r>
      <w:r>
        <w:t>The utility of oligonucleotides has evolved beyond merely delivering genetic information to playing a transformative role in functional nanotechnology. Specifically, the enzyme‐like properties of catalytic oligonucleotides, including ribozyme, DNAzyme, and their mimics, offer unique opportunities in bioengineering. A primary challenge in leveraging these catalytic oligonucleotide structures in biomedical applications is their susceptibility to degradation by nucleases. Herein, we introduce a high‐affinity (10</w:t>
      </w:r>
      <w:r>
        <w:rPr>
          <w:vertAlign w:val="subscript"/>
        </w:rPr>
        <w:t>7</w:t>
      </w:r>
      <w:r>
        <w:t>M</w:t>
      </w:r>
      <w:r>
        <w:t xml:space="preserve"> </w:t>
      </w:r>
      <w:r>
        <w:t>−1</w:t>
      </w:r>
      <w:r>
        <w:t xml:space="preserve"> </w:t>
      </w:r>
      <w:r>
        <w:t>) salt‐bridge interaction‐mediated generalized noncovalent fabrication strategy to construct arrays of oligonucleotide‐templated metal complexes, producing catalytically active hierarchical assemblies displaying resistance to nucleases in human serum. The one‐dimensional isodesmic polymeric growth of the supramolecular structures between oligonucleotides and guanidinium containing Pt(II)‐complex generates Pt</w:t>
      </w:r>
      <w:r>
        <w:t xml:space="preserve"> </w:t>
      </w:r>
      <w:r>
        <w:t>···</w:t>
      </w:r>
      <w:r>
        <w:t xml:space="preserve"> </w:t>
      </w:r>
      <w:r>
        <w:t>Pt interactions imparting luminescence enhancement (8–10 fold) with long‐lived (∼30 ns) excited states. Consequently, light‐mediated singlet oxygen generation enables efficient catalytic oxidation of substrates. Notably, the catalytic activity exclusively resembles oxidases, which function in the absence of H</w:t>
      </w:r>
      <w:r>
        <w:rPr>
          <w:vertAlign w:val="subscript"/>
        </w:rPr>
        <w:t>2</w:t>
      </w:r>
      <w:r>
        <w:t>O</w:t>
      </w:r>
      <w:r>
        <w:rPr>
          <w:vertAlign w:val="subscript"/>
        </w:rPr>
        <w:t>2</w:t>
      </w:r>
      <w:r>
        <w:t>(an essential component of peroxidases), unlike conventional nucleotide‐based enzyme mimics. The assembly showcases light‐dependent anticancer activity in vitro, with excellent biocompatibility. Overall, the ease of production and robustness of functional oligonucleotide‐based higher‐order materials, coupled with on‐demand photoactivation of exclusive oxidase enzyme‐like activity, makes the new supramolecular platform a promising candidate for practical biomedical applications.</w:t>
      </w:r>
    </w:p>
    <w:p>
      <w:pPr>
        <w:spacing w:before="120" w:after="120"/>
      </w:pPr>
      <w:r>
        <w:rPr>
          <w:sz w:val="18"/>
        </w:rPr>
        <w:t>——————————————————————————————————————————————————————————————————————</w:t>
      </w:r>
    </w:p>
    <w:p>
      <w:pPr>
        <w:spacing w:before="160" w:after="80" w:line="240" w:lineRule="auto"/>
      </w:pPr>
      <w:r>
        <w:rPr>
          <w:b/>
        </w:rPr>
        <w:t xml:space="preserve">[604] </w:t>
      </w:r>
      <w:hyperlink r:id="rId997">
        <w:r>
          <w:rPr>
            <w:color w:val="1155CC"/>
            <w:u w:val="single"/>
          </w:rPr>
          <w:t>[ASAP] Efficient Electrosynthesis of Adipic Acid via a Cascade Reaction at Pickering Droplet Interfaces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13:24:25+00:00</w:t>
      </w:r>
      <w:r>
        <w:t xml:space="preserve">    </w:t>
      </w:r>
      <w:r>
        <w:rPr>
          <w:b/>
        </w:rPr>
        <w:t xml:space="preserve">DOI: </w:t>
      </w:r>
      <w:hyperlink r:id="rId998">
        <w:r>
          <w:rPr>
            <w:color w:val="1155CC"/>
            <w:u w:val="single"/>
          </w:rPr>
          <w:t>10.1021/jacs.5c18948</w:t>
        </w:r>
      </w:hyperlink>
    </w:p>
    <w:p>
      <w:pPr>
        <w:spacing w:before="0" w:after="120"/>
      </w:pPr>
      <w:r>
        <w:rPr>
          <w:b/>
        </w:rPr>
        <w:t xml:space="preserve">Notes: </w:t>
      </w:r>
      <w:r>
        <w:t>abstract_source=pubmed</w:t>
      </w:r>
    </w:p>
    <w:p>
      <w:pPr>
        <w:spacing w:before="0" w:after="200" w:lineRule="auto" w:line="276"/>
      </w:pPr>
      <w:r>
        <w:rPr>
          <w:b/>
        </w:rPr>
        <w:t xml:space="preserve">Abstract: </w:t>
      </w:r>
      <w:r>
        <w:t>Adipic acid is currently produced via a nitric acid oxidation route, leading to substantial NOx and CO2 emissions. The sustainable adipic acid production powered by renewable electricity is highly desirable. Herein, we report an innovative strategy for efficient electrosynthesis of adipic acid by cascading a bromide-assisted olefin epoxidation and a subsequent epoxide oxidation on a Pickering-droplet-integrated electrode under ambient conditions. The oil-water interface provided by Pickering emulsion droplets on the electrode was found to be capable of stabilizing bromine radicals for facilitating the epoxidation process and simultaneously weakening the interfacial hydrogen-bonding network to suppress the competitive oxygen evolution reaction, which are crucial to activate the relatively inert C═C bonds and enhance the selectivity of epoxide oxidation. With this strategy, we achieved efficient continuous-flow adipic acid electrosynthesis with high FEs (∼80%), high selectivity (∼95%), long-term operational stability (1000 h), and scaling capability to achieve a 100 g scale synthesis at industrially relevant current densities (100 mA cm-2), using crude cyclohexene from the benzene hydrogenation as feedstock.</w:t>
      </w:r>
    </w:p>
    <w:p>
      <w:pPr>
        <w:spacing w:before="120" w:after="120"/>
      </w:pPr>
      <w:r>
        <w:rPr>
          <w:sz w:val="18"/>
        </w:rPr>
        <w:t>——————————————————————————————————————————————————————————————————————</w:t>
      </w:r>
    </w:p>
    <w:p>
      <w:pPr>
        <w:spacing w:before="160" w:after="80" w:line="240" w:lineRule="auto"/>
      </w:pPr>
      <w:r>
        <w:rPr>
          <w:b/>
        </w:rPr>
        <w:t xml:space="preserve">[605] </w:t>
      </w:r>
      <w:hyperlink r:id="rId999">
        <w:r>
          <w:rPr>
            <w:color w:val="1155CC"/>
            <w:u w:val="single"/>
          </w:rPr>
          <w:t>Facilitating the Construction of Strong Metal‐Support Interaction via Accelerating the Hydrogen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14:01:09+00:00</w:t>
      </w:r>
      <w:r>
        <w:t xml:space="preserve">    </w:t>
      </w:r>
      <w:r>
        <w:rPr>
          <w:b/>
        </w:rPr>
        <w:t xml:space="preserve">DOI: </w:t>
      </w:r>
      <w:hyperlink r:id="rId1000">
        <w:r>
          <w:rPr>
            <w:color w:val="1155CC"/>
            <w:u w:val="single"/>
          </w:rPr>
          <w:t>10.1002/anie.202523754</w:t>
        </w:r>
      </w:hyperlink>
    </w:p>
    <w:p>
      <w:pPr>
        <w:spacing w:before="0" w:after="120"/>
      </w:pPr>
      <w:r>
        <w:rPr>
          <w:b/>
        </w:rPr>
        <w:t xml:space="preserve">Notes: </w:t>
      </w:r>
      <w:r>
        <w:t>abstract_source=crossref</w:t>
      </w:r>
    </w:p>
    <w:p>
      <w:pPr>
        <w:spacing w:before="0" w:after="200" w:lineRule="auto" w:line="276"/>
      </w:pPr>
      <w:r>
        <w:rPr>
          <w:b/>
        </w:rPr>
        <w:t xml:space="preserve">Abstract: </w:t>
      </w:r>
      <w:r>
        <w:t>Strong metal‐support interaction (SMSI) critically regulates the catalytic performance of supported metal catalysts. Conventionally, a high‐temperature reduction (HTR) in H</w:t>
      </w:r>
      <w:r>
        <w:rPr>
          <w:vertAlign w:val="subscript"/>
        </w:rPr>
        <w:t>2</w:t>
      </w:r>
      <w:r>
        <w:t>is required to construct this state, a process that involves H</w:t>
      </w:r>
      <w:r>
        <w:rPr>
          <w:vertAlign w:val="subscript"/>
        </w:rPr>
        <w:t>2</w:t>
      </w:r>
      <w:r>
        <w:t>dissociation, spillover, and support activation. However, while a high temperature is indispensable to initiate SMSI, it also risks sintering the metal species, presenting a fundamental dilemma. Here, we demonstrate that this challenge can be overcome by accelerating the hydrogen catalysis kinetics through strategically manipulating active metal sites. As a proof of concept, by introducing Pt single atoms, the HTR temperature required to construct SMSI between Ru nanoparticles and TiO</w:t>
      </w:r>
      <w:r>
        <w:rPr>
          <w:vertAlign w:val="subscript"/>
        </w:rPr>
        <w:t>2</w:t>
      </w:r>
      <w:r>
        <w:t>is reduced from 600 to 400 °C. The key is that the Pt sites substantially promote the hydrogen spillover from Ru to TiO</w:t>
      </w:r>
      <w:r>
        <w:rPr>
          <w:vertAlign w:val="subscript"/>
        </w:rPr>
        <w:t>2</w:t>
      </w:r>
      <w:r>
        <w:t>, which is inherently sluggish due to an over‐strong Ru–H interaction. Both experimental and theoretical results confirm the accelerated support activation with the presence of Pt. The general effectiveness of this strategy is further validated by promoting SMSI formation in a Pd/TiO</w:t>
      </w:r>
      <w:r>
        <w:rPr>
          <w:vertAlign w:val="subscript"/>
        </w:rPr>
        <w:t>2</w:t>
      </w:r>
      <w:r>
        <w:t>system. The results highlight the significant role catalysis plays in SMSI manipulation and provide deeper insights into the SMSI formation mechanism, which is vital to the advancement of supported metal catalysts and beyond.</w:t>
      </w:r>
    </w:p>
    <w:p>
      <w:pPr>
        <w:spacing w:before="120" w:after="120"/>
      </w:pPr>
      <w:r>
        <w:rPr>
          <w:sz w:val="18"/>
        </w:rPr>
        <w:t>——————————————————————————————————————————————————————————————————————</w:t>
      </w:r>
    </w:p>
    <w:p>
      <w:pPr>
        <w:spacing w:before="160" w:after="80" w:line="240" w:lineRule="auto"/>
      </w:pPr>
      <w:r>
        <w:rPr>
          <w:b/>
        </w:rPr>
        <w:t xml:space="preserve">[606] </w:t>
      </w:r>
      <w:hyperlink r:id="rId1001">
        <w:r>
          <w:rPr>
            <w:color w:val="1155CC"/>
            <w:u w:val="single"/>
          </w:rPr>
          <w:t>Dispersion‐Enhanced Nitrogen‐Centered Photocatalysis of the Direct Hydrogen Atom Transfer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14:01:59+00:00</w:t>
      </w:r>
      <w:r>
        <w:t xml:space="preserve">    </w:t>
      </w:r>
      <w:r>
        <w:rPr>
          <w:b/>
        </w:rPr>
        <w:t xml:space="preserve">DOI: </w:t>
      </w:r>
      <w:hyperlink r:id="rId1002">
        <w:r>
          <w:rPr>
            <w:color w:val="1155CC"/>
            <w:u w:val="single"/>
          </w:rPr>
          <w:t>10.1002/anie.202522022</w:t>
        </w:r>
      </w:hyperlink>
    </w:p>
    <w:p>
      <w:pPr>
        <w:spacing w:before="0" w:after="120"/>
      </w:pPr>
      <w:r>
        <w:rPr>
          <w:b/>
        </w:rPr>
        <w:t xml:space="preserve">Notes: </w:t>
      </w:r>
      <w:r>
        <w:t>abstract_source=crossref</w:t>
      </w:r>
    </w:p>
    <w:p>
      <w:pPr>
        <w:spacing w:before="0" w:after="200" w:lineRule="auto" w:line="276"/>
      </w:pPr>
      <w:r>
        <w:rPr>
          <w:b/>
        </w:rPr>
        <w:t xml:space="preserve">Abstract: </w:t>
      </w:r>
      <w:r>
        <w:t>The development of structurally distinct and modular photocatalysts for direct hydrogen atom transfer (HAT) has emerged as a key frontier in radical‐mediated C–H functionalization of strong carbon–hydrogen bonds. Despite the largely untapped potential across the fields of organic synthesis, medicinal chemistry, and materials science, few classes of direct HAT photocatalysts are currently known, and the approaches to enhancing their photocatalytic activity remain underdeveloped. We report herein the development of nitrogen‐centered direct HAT photocatalysts based on the acridine framework, which leverage a C9‐</w:t>
      </w:r>
      <w:r>
        <w:t xml:space="preserve"> </w:t>
      </w:r>
      <w:r>
        <w:t>ortho</w:t>
      </w:r>
      <w:r>
        <w:t xml:space="preserve"> </w:t>
      </w:r>
      <w:r>
        <w:t>‐biaryl substituent for enhancing the photocatalytic activity through stabilizing dispersion interactions with the substrate as the key steering effect. The acridine direct HAT photocatalysis enables an array of carbon–carbon and carbon–heteroatom bond‐forming reactions in diverse structural and experimental settings, including cryogenic conditions. It also provides a blueprint for enhancing the photocatalytic activity of direct HAT catalysts by leveraging photocatalyst‐substrate dispersion interactions.</w:t>
      </w:r>
    </w:p>
    <w:p>
      <w:pPr>
        <w:spacing w:before="120" w:after="120"/>
      </w:pPr>
      <w:r>
        <w:rPr>
          <w:sz w:val="18"/>
        </w:rPr>
        <w:t>——————————————————————————————————————————————————————————————————————</w:t>
      </w:r>
    </w:p>
    <w:p>
      <w:pPr>
        <w:spacing w:before="160" w:after="80" w:line="240" w:lineRule="auto"/>
      </w:pPr>
      <w:r>
        <w:rPr>
          <w:b/>
        </w:rPr>
        <w:t xml:space="preserve">[607] </w:t>
      </w:r>
      <w:hyperlink r:id="rId1003">
        <w:r>
          <w:rPr>
            <w:color w:val="1155CC"/>
            <w:u w:val="single"/>
          </w:rPr>
          <w:t>A Stable Triindenobenzotrithiophene Triradical with Equilateral Ferromagnetic Spin Coupling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2025-12-18 14:02:39+00:00</w:t>
      </w:r>
      <w:r>
        <w:t xml:space="preserve">    </w:t>
      </w:r>
      <w:r>
        <w:rPr>
          <w:b/>
        </w:rPr>
        <w:t xml:space="preserve">DOI: </w:t>
      </w:r>
      <w:hyperlink r:id="rId1004">
        <w:r>
          <w:rPr>
            <w:color w:val="1155CC"/>
            <w:u w:val="single"/>
          </w:rPr>
          <w:t>10.1002/anie.202523047</w:t>
        </w:r>
      </w:hyperlink>
    </w:p>
    <w:p>
      <w:pPr>
        <w:spacing w:before="0" w:after="120"/>
      </w:pPr>
      <w:r>
        <w:rPr>
          <w:b/>
        </w:rPr>
        <w:t xml:space="preserve">Notes: </w:t>
      </w:r>
      <w:r>
        <w:t>abstract_source=crossref</w:t>
      </w:r>
    </w:p>
    <w:p>
      <w:pPr>
        <w:spacing w:before="0" w:after="200" w:lineRule="auto" w:line="276"/>
      </w:pPr>
      <w:r>
        <w:rPr>
          <w:b/>
        </w:rPr>
        <w:t xml:space="preserve">Abstract: </w:t>
      </w:r>
      <w:r>
        <w:t>Persistent carbon‐centered polyradicals with high‐spin ground states have received increasing attention for their unique magnetic and quantum technological applications. Yet, balancing the high spin density, favoring robust ferromagnetic (FM) coupling, with chemo‐stability presents a significant challenge. Here, a molecule featuring a central benzotrithiophene fused with three indeno‐radicals is designed to address this dilemma. The initially synthesized trianthryl‐substituted triradical (</w:t>
      </w:r>
      <w:r>
        <w:t xml:space="preserve"> </w:t>
      </w:r>
      <w:r>
        <w:t>TR1</w:t>
      </w:r>
      <w:r>
        <w:t xml:space="preserve"> </w:t>
      </w:r>
      <w:r>
        <w:t>) undergoes rapid cyclo‐dimerization and yields a stable σ‐dimeric diradical. Upon further structural modifications to enhance the steric blocking effect, dimerization is successfully prevented, and a new persistent triradical</w:t>
      </w:r>
      <w:r>
        <w:t xml:space="preserve"> </w:t>
      </w:r>
      <w:r>
        <w:t>TR2</w:t>
      </w:r>
      <w:r>
        <w:t xml:space="preserve"> </w:t>
      </w:r>
      <w:r>
        <w:t>is achieved, exhibiting a half‐life time of 191 h in air‐saturated solution and 398 h in solid state. The continuous‐wave (cw) and pulsed electron paramagnetic resonance (EPR) spectroscopy, along with superconducting quantum interference device (SQUID) magnetometry, unambiguously verify a quartet (</w:t>
      </w:r>
      <w:r>
        <w:t xml:space="preserve"> </w:t>
      </w:r>
      <w:r>
        <w:t>S</w:t>
      </w:r>
      <w:r>
        <w:t xml:space="preserve"> </w:t>
      </w:r>
      <w:r>
        <w:t>= 3/2) ground state with Δ</w:t>
      </w:r>
      <w:r>
        <w:t xml:space="preserve"> </w:t>
      </w:r>
      <w:r>
        <w:t>E</w:t>
      </w:r>
      <w:r>
        <w:t xml:space="preserve"> </w:t>
      </w:r>
      <w:r>
        <w:t>D−Q</w:t>
      </w:r>
      <w:r>
        <w:t xml:space="preserve"> </w:t>
      </w:r>
      <w:r>
        <w:t>of 0.41 kcal mol</w:t>
      </w:r>
      <w:r>
        <w:t xml:space="preserve"> </w:t>
      </w:r>
      <w:r>
        <w:t>−1</w:t>
      </w:r>
      <w:r>
        <w:t xml:space="preserve"> </w:t>
      </w:r>
      <w:r>
        <w:t>. Notably,</w:t>
      </w:r>
      <w:r>
        <w:t xml:space="preserve"> </w:t>
      </w:r>
      <w:r>
        <w:t>TR2</w:t>
      </w:r>
      <w:r>
        <w:t xml:space="preserve"> </w:t>
      </w:r>
      <w:r>
        <w:t>exhibits a zero‐field splitting parameter |</w:t>
      </w:r>
      <w:r>
        <w:t xml:space="preserve"> </w:t>
      </w:r>
      <w:r>
        <w:t>D</w:t>
      </w:r>
      <w:r>
        <w:t xml:space="preserve"> </w:t>
      </w:r>
      <w:r>
        <w:t>| of up to 115 MHz, affording well‐resolved and individually addressable spin transitions, as confirmed by nutation experiments. These features offer a viable organic platform for quantum spin‐manipulation studies.</w:t>
      </w:r>
    </w:p>
    <w:p>
      <w:pPr>
        <w:spacing w:before="120" w:after="120"/>
      </w:pPr>
      <w:r>
        <w:rPr>
          <w:sz w:val="18"/>
        </w:rPr>
        <w:t>——————————————————————————————————————————————————————————————————————</w:t>
      </w:r>
    </w:p>
    <w:p>
      <w:pPr>
        <w:spacing w:before="160" w:after="80" w:line="240" w:lineRule="auto"/>
      </w:pPr>
      <w:r>
        <w:rPr>
          <w:b/>
        </w:rPr>
        <w:t xml:space="preserve">[608] </w:t>
      </w:r>
      <w:hyperlink r:id="rId1005">
        <w:r>
          <w:rPr>
            <w:color w:val="1155CC"/>
            <w:u w:val="single"/>
          </w:rPr>
          <w:t>[ASAP] Bandgap Narrowing: From Molecular Design to Versatile Applications in Organic Solar Cells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2025-12-18 15:03:41+00:00</w:t>
      </w:r>
      <w:r>
        <w:t xml:space="preserve">    </w:t>
      </w:r>
      <w:r>
        <w:rPr>
          <w:b/>
        </w:rPr>
        <w:t xml:space="preserve">DOI: </w:t>
      </w:r>
      <w:hyperlink r:id="rId1006">
        <w:r>
          <w:rPr>
            <w:color w:val="1155CC"/>
            <w:u w:val="single"/>
          </w:rPr>
          <w:t>10.1021/acsenergylett.5c03276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[609] </w:t>
      </w:r>
      <w:hyperlink r:id="rId1007">
        <w:r>
          <w:rPr>
            <w:color w:val="1155CC"/>
            <w:u w:val="single"/>
          </w:rPr>
          <w:t>[ASAP] Interfaces Enhanced n-Propanol Electrosynthesis by Impeding C2 Intermediate Desorption in CO Conversion</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2025-12-18 15:12:55+00:00</w:t>
      </w:r>
      <w:r>
        <w:t xml:space="preserve">    </w:t>
      </w:r>
      <w:r>
        <w:rPr>
          <w:b/>
        </w:rPr>
        <w:t xml:space="preserve">DOI: </w:t>
      </w:r>
      <w:hyperlink r:id="rId1008">
        <w:r>
          <w:rPr>
            <w:color w:val="1155CC"/>
            <w:u w:val="single"/>
          </w:rPr>
          <w:t>10.1021/acsenergylett.5c03265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[610] </w:t>
      </w:r>
      <w:hyperlink r:id="rId1009">
        <w:r>
          <w:rPr>
            <w:color w:val="1155CC"/>
            <w:u w:val="single"/>
          </w:rPr>
          <w:t>[ASAP] Oxygen Vacancy Bridged Cu–Ce Pairs Boost CO2 Electroreduction to C2H4 via Accelerating *H Supply and Asymmetric C–C Coupling</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2025-12-18 15:13:28+00:00</w:t>
      </w:r>
      <w:r>
        <w:t xml:space="preserve">    </w:t>
      </w:r>
      <w:r>
        <w:rPr>
          <w:b/>
        </w:rPr>
        <w:t xml:space="preserve">DOI: </w:t>
      </w:r>
      <w:hyperlink r:id="rId1010">
        <w:r>
          <w:rPr>
            <w:color w:val="1155CC"/>
            <w:u w:val="single"/>
          </w:rPr>
          <w:t>10.1021/acsenergylett.5c03256</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[611] </w:t>
      </w:r>
      <w:hyperlink r:id="rId1011">
        <w:r>
          <w:rPr>
            <w:color w:val="1155CC"/>
            <w:u w:val="single"/>
          </w:rPr>
          <w:t>[ASAP] Versatile Strategy for Organic Surface Modification of Cobalt Phosphide Using Iodonium Salts Enables Systematic Tuning for Hydrogenation Catalysis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15:29:16+00:00</w:t>
      </w:r>
      <w:r>
        <w:t xml:space="preserve">    </w:t>
      </w:r>
      <w:r>
        <w:rPr>
          <w:b/>
        </w:rPr>
        <w:t xml:space="preserve">DOI: </w:t>
      </w:r>
      <w:hyperlink r:id="rId1012">
        <w:r>
          <w:rPr>
            <w:color w:val="1155CC"/>
            <w:u w:val="single"/>
          </w:rPr>
          <w:t>10.1021/jacs.5c18966</w:t>
        </w:r>
      </w:hyperlink>
    </w:p>
    <w:p>
      <w:pPr>
        <w:spacing w:before="0" w:after="120"/>
      </w:pPr>
      <w:r>
        <w:rPr>
          <w:b/>
        </w:rPr>
        <w:t xml:space="preserve">Notes: </w:t>
      </w:r>
      <w:r>
        <w:t>abstract_source=pubmed</w:t>
      </w:r>
    </w:p>
    <w:p>
      <w:pPr>
        <w:spacing w:before="0" w:after="200" w:lineRule="auto" w:line="276"/>
      </w:pPr>
      <w:r>
        <w:rPr>
          <w:b/>
        </w:rPr>
        <w:t xml:space="preserve">Abstract: </w:t>
      </w:r>
      <w:r>
        <w:t>Ligand-directed catalysis is a powerful tool to tune catalytic reactions. While this has been demonstrated for metal-based catalysts, versatile and controllable approaches for surface modification are lacking for emerging transition metal phosphide-based catalysts. Herein, we report a novel method for the surface functionalization of cobalt phosphide (CoP) using iodonium salts and compare it to an adapted literature method using diazonium salts. We show that the method using iodonium salts offers distinct advantages. A range of aryl and alkyl groups with varied steric and electronic properties can be introduced to the CoP surface using iodonium salts, while diazonium salt-based approaches are usually limited to aryl groups. Our method using iodonium salts further allowed control and quantification of surface coverage using the organo-iodines formed during modification. This is more challenging with highly reactive diazonium salts that often lead to multilayers. The utility of our surface modification approach for CoP is demonstrated for catalysis by testing a series of modified CoP materials with systematically varied steric and electronic properties and with varied surface coverage as catalysts for the hydrogenation of α,β-unsaturated aldehydes. A pronounced selectivity enhancement to the desired unsaturated alcohol was observed with surface-modified CoP. Our results show that the best selectivity can be obtained with dense, sterically demanding, and electron-donating organic surface ligands. Overall, our work significantly expands the chemical space accessible for modified transition metal phosphides and paves the way for the development of these materials for new catalytic applications.</w:t>
      </w:r>
    </w:p>
    <w:p>
      <w:pPr>
        <w:spacing w:before="120" w:after="120"/>
      </w:pPr>
      <w:r>
        <w:rPr>
          <w:sz w:val="18"/>
        </w:rPr>
        <w:t>——————————————————————————————————————————————————————————————————————</w:t>
      </w:r>
    </w:p>
    <w:p>
      <w:pPr>
        <w:spacing w:before="160" w:after="80" w:line="240" w:lineRule="auto"/>
      </w:pPr>
      <w:r>
        <w:rPr>
          <w:b/>
        </w:rPr>
        <w:t xml:space="preserve">[612] </w:t>
      </w:r>
      <w:hyperlink r:id="rId1013">
        <w:r>
          <w:rPr>
            <w:color w:val="1155CC"/>
            <w:u w:val="single"/>
          </w:rPr>
          <w:t>[ASAP] Radical Clock Substrates Measure Nonstatistical Dynamical Effects in Cytochrome P450-Mediated C–H Functionalization Reactions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15:46:26+00:00</w:t>
      </w:r>
      <w:r>
        <w:t xml:space="preserve">    </w:t>
      </w:r>
      <w:r>
        <w:rPr>
          <w:b/>
        </w:rPr>
        <w:t xml:space="preserve">DOI: </w:t>
      </w:r>
      <w:hyperlink r:id="rId1014">
        <w:r>
          <w:rPr>
            <w:color w:val="1155CC"/>
            <w:u w:val="single"/>
          </w:rPr>
          <w:t>10.1021/jacs.5c19469</w:t>
        </w:r>
      </w:hyperlink>
    </w:p>
    <w:p>
      <w:pPr>
        <w:spacing w:before="0" w:after="120"/>
      </w:pPr>
      <w:r>
        <w:rPr>
          <w:b/>
        </w:rPr>
        <w:t xml:space="preserve">Notes: </w:t>
      </w:r>
      <w:r>
        <w:t>abstract_source=pubmed</w:t>
      </w:r>
    </w:p>
    <w:p>
      <w:pPr>
        <w:spacing w:before="0" w:after="200" w:lineRule="auto" w:line="276"/>
      </w:pPr>
      <w:r>
        <w:rPr>
          <w:b/>
        </w:rPr>
        <w:t xml:space="preserve">Abstract: </w:t>
      </w:r>
      <w:r>
        <w:t>Cytochrome P450 enzymes functionalize strong C-H bonds via a two-step hydrogen atom abstraction-radical rebound mechanism that involves a transient radical pair intermediate. Specially designed strained hydrocarbon substrates with predetermined rearrangement rate constants (radical clocks) are typically used to probe the apparent lifetime of the intermediate and measure the rate of rebound. A long-standing mystery of P450 clock reactions is that the experimentally measured unrearranged (U) versus rearranged (R) clock product selectivity (U/R) has no correlation with the rate of radical rearrangements. Using ab initio direct dynamics trajectories, this work demonstrates that dynamic (momentum) nonstatistical effects control the fate of the radical pair intermediate in reactions of P450 Fe-oxo with clock substrates, and this explains the lack of correlation between U/R selectivity and radical rearrangement rates. It also means that the results of clock reactions cannot always be interpreted within the context of transition state theory. Trajectories also revealed that some clocks react through a carbocation intermediate rather than a radical intermediate, which also impacts the formation of U or R products. This discovery resolves the discrepancy in the experimentally observed U/R selectivity data by incorporating the clock ionization energy and C-C bond elongation during cation formation. Overall, this work reveals that understanding the outcome of radical clock experiments, especially for P450 reactions, requires the integration of two-state reactivity concepts with dynamic effects and nonstatistical pathway branching.</w:t>
      </w:r>
    </w:p>
    <w:p>
      <w:pPr>
        <w:spacing w:before="120" w:after="120"/>
      </w:pPr>
      <w:r>
        <w:rPr>
          <w:sz w:val="18"/>
        </w:rPr>
        <w:t>——————————————————————————————————————————————————————————————————————</w:t>
      </w:r>
    </w:p>
    <w:p>
      <w:pPr>
        <w:spacing w:before="160" w:after="80" w:line="240" w:lineRule="auto"/>
      </w:pPr>
      <w:r>
        <w:rPr>
          <w:b/>
        </w:rPr>
        <w:t xml:space="preserve">[613] </w:t>
      </w:r>
      <w:hyperlink r:id="rId1015">
        <w:r>
          <w:rPr>
            <w:color w:val="1155CC"/>
            <w:u w:val="single"/>
          </w:rPr>
          <w:t>[ASAP] Dispersive Fluorine/Bromine Interactions as Key Selectivity Determinant: Asymmetric Cyclopropanations with 3,3,3-Trifluoro-2-diazopropionate Catalyzed by a Heterochiral-at-The-Metal Centers Dirhodium Paddlewheel Complex</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16:45:40+00:00</w:t>
      </w:r>
      <w:r>
        <w:t xml:space="preserve">    </w:t>
      </w:r>
      <w:r>
        <w:rPr>
          <w:b/>
        </w:rPr>
        <w:t xml:space="preserve">DOI: </w:t>
      </w:r>
      <w:hyperlink r:id="rId1016">
        <w:r>
          <w:rPr>
            <w:color w:val="1155CC"/>
            <w:u w:val="single"/>
          </w:rPr>
          <w:t>10.1021/jacs.5c17842</w:t>
        </w:r>
      </w:hyperlink>
    </w:p>
    <w:p>
      <w:pPr>
        <w:spacing w:before="0" w:after="120"/>
      </w:pPr>
      <w:r>
        <w:rPr>
          <w:b/>
        </w:rPr>
        <w:t xml:space="preserve">Notes: </w:t>
      </w:r>
      <w:r>
        <w:t>abstract_source=openalex</w:t>
      </w:r>
    </w:p>
    <w:p>
      <w:pPr>
        <w:spacing w:before="0" w:after="200" w:lineRule="auto" w:line="276"/>
      </w:pPr>
      <w:r>
        <w:rPr>
          <w:b/>
        </w:rPr>
        <w:t xml:space="preserve">Abstract: </w:t>
      </w:r>
      <w:r>
        <w:t>Asymmetric cyclopropanation reactions of 3,3,3-trifluoro-2-diazopropionate have so far been largely beyond the scope of dirhodium catalysts. This significant gap in coverage is now closed with the aid of a new class of paddlewheel complex with "backbone chirality", in which an array of only three different achiral ligands (acetamidate, trifluoroacetate, calix[4]arene dicarboxylate) renders the two rhodium centers inequivalent and chiral-at-the-metal each. The -NH group of the acetamidate engages the ester carbonyl of the metal carbene intermediate into favorable interligand hydrogen bonding, which in turn controls the trajectory of the incoming olefinic reaction partner. In addition, a dispersive interaction between the -CF&lt;sub&gt;3&lt;/sub&gt; group flanking the carbene center and a strategically placed bromine substituent on the calixarene dicarboxylate locks the conformation of the reactive intermediate in place within the chiral binding site, which translates into high diastereoselectivity and optical purity alike. The same type of interhalogen London dispersion interaction can also benefit [2 + 1] cycloadditions of other fluorinated carbene donors.</w:t>
      </w:r>
    </w:p>
    <w:p>
      <w:pPr>
        <w:spacing w:before="120" w:after="120"/>
      </w:pPr>
      <w:r>
        <w:rPr>
          <w:sz w:val="18"/>
        </w:rPr>
        <w:t>——————————————————————————————————————————————————————————————————————</w:t>
      </w:r>
    </w:p>
    <w:p>
      <w:pPr>
        <w:spacing w:before="160" w:after="80" w:line="240" w:lineRule="auto"/>
      </w:pPr>
      <w:r>
        <w:rPr>
          <w:b/>
        </w:rPr>
        <w:t xml:space="preserve">[614] </w:t>
      </w:r>
      <w:hyperlink r:id="rId1017">
        <w:r>
          <w:rPr>
            <w:color w:val="1155CC"/>
            <w:u w:val="single"/>
          </w:rPr>
          <w:t>[ASAP] Dion–Jacobson Phase Perovskites with Organophosphorus Spacers for Photovoltaic–Detection–Emission Applications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2025-12-18 16:47:52+00:00</w:t>
      </w:r>
      <w:r>
        <w:t xml:space="preserve">    </w:t>
      </w:r>
      <w:r>
        <w:rPr>
          <w:b/>
        </w:rPr>
        <w:t xml:space="preserve">DOI: </w:t>
      </w:r>
      <w:hyperlink r:id="rId1018">
        <w:r>
          <w:rPr>
            <w:color w:val="1155CC"/>
            <w:u w:val="single"/>
          </w:rPr>
          <w:t>10.1021/acsenergylett.5c03510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[615] </w:t>
      </w:r>
      <w:hyperlink r:id="rId1019">
        <w:r>
          <w:rPr>
            <w:color w:val="1155CC"/>
            <w:u w:val="single"/>
          </w:rPr>
          <w:t>[ASAP] Correction to “Efficient and Stable Electrocatalytic Oxygen Evolution from MoTex/Ni(OH)2 Heterostructures”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18:15:32+00:00</w:t>
      </w:r>
      <w:r>
        <w:t xml:space="preserve">    </w:t>
      </w:r>
      <w:r>
        <w:rPr>
          <w:b/>
        </w:rPr>
        <w:t xml:space="preserve">DOI: </w:t>
      </w:r>
      <w:hyperlink r:id="rId1020">
        <w:r>
          <w:rPr>
            <w:color w:val="1155CC"/>
            <w:u w:val="single"/>
          </w:rPr>
          <w:t>10.1021/jacs.5c21483</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[616] </w:t>
      </w:r>
      <w:hyperlink r:id="rId1021">
        <w:r>
          <w:rPr>
            <w:color w:val="1155CC"/>
            <w:u w:val="single"/>
          </w:rPr>
          <w:t>[ASAP] Polyacid-Protonated Covalent Organic Frameworks Enable Stable and Efficient Photothermal Textiles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18:16:22+00:00</w:t>
      </w:r>
      <w:r>
        <w:t xml:space="preserve">    </w:t>
      </w:r>
      <w:r>
        <w:rPr>
          <w:b/>
        </w:rPr>
        <w:t xml:space="preserve">DOI: </w:t>
      </w:r>
      <w:hyperlink r:id="rId1022">
        <w:r>
          <w:rPr>
            <w:color w:val="1155CC"/>
            <w:u w:val="single"/>
          </w:rPr>
          <w:t>10.1021/jacs.5c16049</w:t>
        </w:r>
      </w:hyperlink>
    </w:p>
    <w:p>
      <w:pPr>
        <w:spacing w:before="0" w:after="120"/>
      </w:pPr>
      <w:r>
        <w:rPr>
          <w:b/>
        </w:rPr>
        <w:t xml:space="preserve">Notes: </w:t>
      </w:r>
      <w:r>
        <w:t>abstract_source=pubmed</w:t>
      </w:r>
    </w:p>
    <w:p>
      <w:pPr>
        <w:spacing w:before="0" w:after="200" w:lineRule="auto" w:line="276"/>
      </w:pPr>
      <w:r>
        <w:rPr>
          <w:b/>
        </w:rPr>
        <w:t xml:space="preserve">Abstract: </w:t>
      </w:r>
      <w:r>
        <w:t>Protonation is an effective strategy to enhance light trapping and photothermal conversion in covalent organic frameworks (COFs), yet conventional protonation sites are prone to environmental deactivation, leading to diminished stability and photothermal performance. Inspired by the stability of protein matrices, we developed polyacid-protonated COFs (PaCOFs) through in situ polymerization of dimercaptobutanesioic acid via dynamic disulfide bonds within COF pore channels. The resulting PaCOFs exhibit exceptional protonation stability and deliver a superior photothermal conversion efficiency of 77.8%, surpassing those of most conventional photothermal nanomaterials. Notably, PaCOFs can be readily processed by electrospinning into dual-mode thermal management textiles that achieve radiative cooling (∼7.2 °C) and solar heating (∼10.1 °C) under sunlight. These textiles outperform their commercial counterparts in wearable applications, establishing polyacid protonation as a robust strategy for stabilizing COFs and advancing their integration into photothermal energy conversion and personal thermal management.</w:t>
      </w:r>
    </w:p>
    <w:p>
      <w:pPr>
        <w:spacing w:before="120" w:after="120"/>
      </w:pPr>
      <w:r>
        <w:rPr>
          <w:sz w:val="18"/>
        </w:rPr>
        <w:t>——————————————————————————————————————————————————————————————————————</w:t>
      </w:r>
    </w:p>
    <w:p>
      <w:pPr>
        <w:spacing w:before="160" w:after="80" w:line="240" w:lineRule="auto"/>
      </w:pPr>
      <w:r>
        <w:rPr>
          <w:b/>
        </w:rPr>
        <w:t xml:space="preserve">[617] </w:t>
      </w:r>
      <w:hyperlink r:id="rId1023">
        <w:r>
          <w:rPr>
            <w:color w:val="1155CC"/>
            <w:u w:val="single"/>
          </w:rPr>
          <w:t>[ASAP] Fine-Tuning of the Neuropeptide Y1 G Protein-Coupled Receptor by the Tryptophan6.48 “Toggle Switch”</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19:20:57+00:00</w:t>
      </w:r>
      <w:r>
        <w:t xml:space="preserve">    </w:t>
      </w:r>
      <w:r>
        <w:rPr>
          <w:b/>
        </w:rPr>
        <w:t xml:space="preserve">DOI: </w:t>
      </w:r>
      <w:hyperlink r:id="rId1024">
        <w:r>
          <w:rPr>
            <w:color w:val="1155CC"/>
            <w:u w:val="single"/>
          </w:rPr>
          <w:t>10.1021/jacs.5c07143</w:t>
        </w:r>
      </w:hyperlink>
    </w:p>
    <w:p>
      <w:pPr>
        <w:spacing w:before="0" w:after="120"/>
      </w:pPr>
      <w:r>
        <w:rPr>
          <w:b/>
        </w:rPr>
        <w:t xml:space="preserve">Notes: </w:t>
      </w:r>
      <w:r>
        <w:t>abstract_source=pubmed</w:t>
      </w:r>
    </w:p>
    <w:p>
      <w:pPr>
        <w:spacing w:before="0" w:after="200" w:lineRule="auto" w:line="276"/>
      </w:pPr>
      <w:r>
        <w:rPr>
          <w:b/>
        </w:rPr>
        <w:t xml:space="preserve">Abstract: </w:t>
      </w:r>
      <w:r>
        <w:t>G protein-coupled receptors (GPCRs) transduce extracellular signals into the cell through binding and activation of intracellular effector proteins. Highly conserved residues such as tryptophan W6.48 of transmembrane helix 6 can play a role in GPCR activation, where W6.48 acts as a microswitch, changing its rotameric state depending on whether the receptor is bound to an agonist or antagonist. However, its exact role is not entirely clear. Here we investigate the role of W6.48 in the neuropeptide Y1 receptor (Y1R). Via NMR experiment and molecular dynamics simulations, we find that on the one hand, W6.48 exhibits multiple rotameric conformations, where simulations indicate that these are coupled to backbone structure. On the other hand, mutation of W6.48 to alanine does not prevent G-protein signaling, and agonist vs antagonist bound Y1R exhibits the same W6.48 rotameric state, calling into question whether its core function is to regulate Y1R activation. Further investigation indicates that the W6.48 rotameric state restricts microstates accessible by Y1R and impacts backbone dynamics. Using principal component analysis of multiple MD trajectories, we determine the structural similarity between Y1R for the various apo, NPY, NPY/Gi, and antagonist-bound conformational states. We propose a role for W6.48 in regulating Y1R binding, in which rotameric changes for W6.48 influence ligand binding by favoring backbone structures in apo Y1R that are similar to those observed for the active protein. Mutation of W6.48 then does not eliminate these structures but reduces their prevalence. Therefore, W6.48 provides "fine-tuning" of Y1R signaling; mutation of the 6.48 position leaves Y1R active but "detuned" such that signaling is still possible, but proper functioning is inhibited by a decrease in ligand binding rate.</w:t>
      </w:r>
    </w:p>
    <w:p>
      <w:pPr>
        <w:spacing w:before="120" w:after="120"/>
      </w:pPr>
      <w:r>
        <w:rPr>
          <w:sz w:val="18"/>
        </w:rPr>
        <w:t>——————————————————————————————————————————————————————————————————————</w:t>
      </w:r>
    </w:p>
    <w:p>
      <w:pPr>
        <w:spacing w:before="160" w:after="80" w:line="240" w:lineRule="auto"/>
      </w:pPr>
      <w:r>
        <w:rPr>
          <w:b/>
        </w:rPr>
        <w:t xml:space="preserve">[618] </w:t>
      </w:r>
      <w:hyperlink r:id="rId1025">
        <w:r>
          <w:rPr>
            <w:color w:val="1155CC"/>
            <w:u w:val="single"/>
          </w:rPr>
          <w:t>[ASAP] A Divergent Asymmetric Total Synthesis of Coprophilin and Four Trichodermic Acids via a [1,5]-Hydride Shift–Aldol Cascade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2025-12-18 20:16:15+00:00</w:t>
      </w:r>
      <w:r>
        <w:t xml:space="preserve">    </w:t>
      </w:r>
      <w:r>
        <w:rPr>
          <w:b/>
        </w:rPr>
        <w:t xml:space="preserve">DOI: </w:t>
      </w:r>
      <w:hyperlink r:id="rId1026">
        <w:r>
          <w:rPr>
            <w:color w:val="1155CC"/>
            <w:u w:val="single"/>
          </w:rPr>
          <w:t>10.1021/jacs.5c17359</w:t>
        </w:r>
      </w:hyperlink>
    </w:p>
    <w:p>
      <w:pPr>
        <w:spacing w:before="0" w:after="120"/>
      </w:pPr>
      <w:r>
        <w:rPr>
          <w:b/>
        </w:rPr>
        <w:t xml:space="preserve">Notes: </w:t>
      </w:r>
      <w:r>
        <w:t>abstract_source=pubmed</w:t>
      </w:r>
    </w:p>
    <w:p>
      <w:pPr>
        <w:spacing w:before="0" w:after="200" w:lineRule="auto" w:line="276"/>
      </w:pPr>
      <w:r>
        <w:rPr>
          <w:b/>
        </w:rPr>
        <w:t xml:space="preserve">Abstract: </w:t>
      </w:r>
      <w:r>
        <w:t>The asymmetric syntheses of coprophilin and four members of the trichodermic acid family of natural products are disclosed. Our work employs a number of key transformations, including an aluminum-promoted [1,5]-hydride shift-aldol cascade reaction, an exo-selective Diels-Alder cycloaddition, and a late-stage Fleming-Tamao oxidation. These key steps efficiently construct the bicyclic core of the natural products, which can then be readily functionalized in a divergent manner, allowing the synthesis of a wide range of natural product targets.</w:t>
      </w:r>
    </w:p>
    <w:p>
      <w:pPr>
        <w:spacing w:before="120" w:after="120"/>
      </w:pPr>
      <w:r>
        <w:rPr>
          <w:sz w:val="18"/>
        </w:rPr>
        <w:t>——————————————————————————————————————————————————————————————————————</w:t>
      </w:r>
    </w:p>
    <w:p>
      <w:pPr>
        <w:spacing w:before="160" w:after="80" w:line="240" w:lineRule="auto"/>
      </w:pPr>
      <w:r>
        <w:rPr>
          <w:b/>
        </w:rPr>
        <w:t xml:space="preserve">[619] </w:t>
      </w:r>
      <w:hyperlink r:id="rId1027">
        <w:r>
          <w:rPr>
            <w:color w:val="1155CC"/>
            <w:u w:val="single"/>
          </w:rPr>
          <w:t>Dynamic performance and control of Carnot battery-based combined cooling, heating and power systems with cascaded latent thermal energy stores</w:t>
        </w:r>
      </w:hyperlink>
    </w:p>
    <w:p>
      <w:pPr>
        <w:spacing w:before="0" w:after="120" w:line="240" w:lineRule="auto"/>
      </w:pPr>
      <w:r>
        <w:rPr>
          <w:b/>
        </w:rPr>
        <w:t xml:space="preserve">Source: </w:t>
      </w:r>
      <w:r>
        <w:t>ScienceDirect Publication: Applied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[620] </w:t>
      </w:r>
      <w:hyperlink r:id="rId1028">
        <w:r>
          <w:rPr>
            <w:color w:val="1155CC"/>
            <w:u w:val="single"/>
          </w:rPr>
          <w:t>Pricing CO2 as a dual commodity: Engineering-driven market design for CCUS deployment</w:t>
        </w:r>
      </w:hyperlink>
    </w:p>
    <w:p>
      <w:pPr>
        <w:spacing w:before="0" w:after="120" w:line="240" w:lineRule="auto"/>
      </w:pPr>
      <w:r>
        <w:rPr>
          <w:b/>
        </w:rPr>
        <w:t xml:space="preserve">Source: </w:t>
      </w:r>
      <w:r>
        <w:t>ScienceDirect Publication: Applied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[621] </w:t>
      </w:r>
      <w:hyperlink r:id="rId1029">
        <w:r>
          <w:rPr>
            <w:color w:val="1155CC"/>
            <w:u w:val="single"/>
          </w:rPr>
          <w:t>Attention-enhanced residual networks for real-time multi-label power quality disturbance classification with fast iterative filtering</w:t>
        </w:r>
      </w:hyperlink>
    </w:p>
    <w:p>
      <w:pPr>
        <w:spacing w:before="0" w:after="120" w:line="240" w:lineRule="auto"/>
      </w:pPr>
      <w:r>
        <w:rPr>
          <w:b/>
        </w:rPr>
        <w:t xml:space="preserve">Source: </w:t>
      </w:r>
      <w:r>
        <w:t>ScienceDirect Publication: Applied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[622] </w:t>
      </w:r>
      <w:hyperlink r:id="rId1030">
        <w:r>
          <w:rPr>
            <w:color w:val="1155CC"/>
            <w:u w:val="single"/>
          </w:rPr>
          <w:t>Fully printed organic thin-film transistors: pathways to scalable, high-performance flexible electronics</w:t>
        </w:r>
      </w:hyperlink>
    </w:p>
    <w:p>
      <w:pPr>
        <w:spacing w:before="0" w:after="120" w:line="240" w:lineRule="auto"/>
      </w:pPr>
      <w:r>
        <w:rPr>
          <w:b/>
        </w:rPr>
        <w:t xml:space="preserve">Source: </w:t>
      </w:r>
      <w:r>
        <w:t>RSC - Chem. Soc. Rev. latest articles</w:t>
      </w:r>
      <w:r>
        <w:t xml:space="preserve">    </w:t>
      </w:r>
      <w:r>
        <w:rPr>
          <w:b/>
        </w:rPr>
        <w:t xml:space="preserve">Pub date: </w:t>
      </w:r>
      <w:r>
        <w:t>2025-12-19 00:00:00+00:00</w:t>
      </w:r>
    </w:p>
    <w:p>
      <w:pPr>
        <w:spacing w:before="0" w:after="120"/>
      </w:pPr>
      <w:r>
        <w:rPr>
          <w:b/>
        </w:rPr>
        <w:t xml:space="preserve">Notes: </w:t>
      </w:r>
      <w:r>
        <w:t>abstract_source=rsc_html</w:t>
      </w:r>
    </w:p>
    <w:p>
      <w:pPr>
        <w:spacing w:before="0" w:after="200" w:lineRule="auto" w:line="276"/>
      </w:pPr>
      <w:r>
        <w:rPr>
          <w:b/>
        </w:rPr>
        <w:t xml:space="preserve">Abstract: </w:t>
      </w:r>
      <w:r>
        <w:t>The emergence of large-area electronics for the Internet of Things (IoT) necessitates the development of next-generation, lightweight, flexible, and energy-efficient devices. These devices demand high-throughput, low-cost production of reliable transistors and circuits seamlessly integrated into flexible substrates. The processability of organic semiconductor materials enables printing-based fabrication technologies, offering significant advantages over conventional semiconductors in terms of ease of processing, compatibility with flexible substrates, cost-effectiveness, and scalability. Despite these advantages, reports on fully printed organic thin-film transistors (OTFTs) and their integrated circuits remain limited, and the pathway from partially printed to fully printed organic devices is not yet fully established. This review provides a comprehensive analysis of various printing techniques and an overview of functional inks used in OTFT fabrication. We further present various methodologies from a chemistry perspective for optimizing channels, contacts, and dielectric interfaces to overcome performance limitations. Recent advancements in fully printed OTFTs and circuits are highlighted, underscoring the potential of these devices in flexible electronics. Finally, critical challenges—such as achieving high electrical performance, improving printing resolution, and enhancing manufacturing efficiency—are debated, with a focus on how chemical innovations in material synthesis, interface engineering, and process chemistry will facilitate progress. Overcoming these hurdles through chemical optimization will accelerate the adoption of printed organic electronics in next-generation IoT applications.</w:t>
      </w:r>
    </w:p>
    <w:p>
      <w:pPr>
        <w:spacing w:before="120" w:after="120"/>
      </w:pPr>
      <w:r>
        <w:rPr>
          <w:sz w:val="18"/>
        </w:rPr>
        <w:t>——————————————————————————————————————————————————————————————————————</w:t>
      </w:r>
    </w:p>
    <w:p>
      <w:pPr>
        <w:spacing w:before="160" w:after="80" w:line="240" w:lineRule="auto"/>
      </w:pPr>
      <w:r>
        <w:rPr>
          <w:b/>
        </w:rPr>
        <w:t xml:space="preserve">[623] </w:t>
      </w:r>
      <w:hyperlink r:id="rId1031">
        <w:r>
          <w:rPr>
            <w:color w:val="1155CC"/>
            <w:u w:val="single"/>
          </w:rPr>
          <w:t>Transforming adverse effect into beneficial outcome: A design strategy leveraging non-uniform flow for enhanced performance of PEM fuel cells</w:t>
        </w:r>
      </w:hyperlink>
    </w:p>
    <w:p>
      <w:pPr>
        <w:spacing w:before="0" w:after="120" w:line="240" w:lineRule="auto"/>
      </w:pPr>
      <w:r>
        <w:rPr>
          <w:b/>
        </w:rPr>
        <w:t xml:space="preserve">Source: </w:t>
      </w:r>
      <w:r>
        <w:t>ScienceDirect Publication: Applied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[624] </w:t>
      </w:r>
      <w:hyperlink r:id="rId1032">
        <w:r>
          <w:rPr>
            <w:color w:val="1155CC"/>
            <w:u w:val="single"/>
          </w:rPr>
          <w:t>Deep reinforcement learning-based multi-objective energy management system for microgrids under flexible energy market</w:t>
        </w:r>
      </w:hyperlink>
    </w:p>
    <w:p>
      <w:pPr>
        <w:spacing w:before="0" w:after="120" w:line="240" w:lineRule="auto"/>
      </w:pPr>
      <w:r>
        <w:rPr>
          <w:b/>
        </w:rPr>
        <w:t xml:space="preserve">Source: </w:t>
      </w:r>
      <w:r>
        <w:t>ScienceDirect Publication: Applied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[625] </w:t>
      </w:r>
      <w:hyperlink r:id="rId1033">
        <w:r>
          <w:rPr>
            <w:color w:val="1155CC"/>
            <w:u w:val="single"/>
          </w:rPr>
          <w:t>Nanomineral-fuelled chemolithoautotrophy leads to substantial mercury emission</w:t>
        </w:r>
      </w:hyperlink>
    </w:p>
    <w:p>
      <w:pPr>
        <w:spacing w:before="0" w:after="120" w:line="240" w:lineRule="auto"/>
      </w:pPr>
      <w:r>
        <w:rPr>
          <w:b/>
        </w:rPr>
        <w:t xml:space="preserve">Source: </w:t>
      </w:r>
      <w:r>
        <w:t>National Science Review Advance Access</w:t>
      </w:r>
      <w:r>
        <w:t xml:space="preserve">    </w:t>
      </w:r>
      <w:r>
        <w:rPr>
          <w:b/>
        </w:rPr>
        <w:t xml:space="preserve">Pub date: </w:t>
      </w:r>
      <w:r>
        <w:t>2025-12-19 00:00:00+00:00</w:t>
      </w:r>
      <w:r>
        <w:t xml:space="preserve">    </w:t>
      </w:r>
      <w:r>
        <w:rPr>
          <w:b/>
        </w:rPr>
        <w:t xml:space="preserve">DOI: </w:t>
      </w:r>
      <w:hyperlink r:id="rId1034">
        <w:r>
          <w:rPr>
            <w:color w:val="1155CC"/>
            <w:u w:val="single"/>
          </w:rPr>
          <w:t>10.1093/nsr/nwaf581/8384190</w:t>
        </w:r>
      </w:hyperlink>
    </w:p>
    <w:p>
      <w:pPr>
        <w:spacing w:before="0" w:after="120"/>
      </w:pPr>
      <w:r>
        <w:rPr>
          <w:b/>
        </w:rPr>
        <w:t xml:space="preserve">Notes: </w:t>
      </w:r>
      <w:r>
        <w:t>abstract_source=rss_oup</w:t>
      </w:r>
    </w:p>
    <w:p>
      <w:pPr>
        <w:spacing w:before="0" w:after="200" w:lineRule="auto" w:line="276"/>
      </w:pPr>
      <w:r>
        <w:rPr>
          <w:b/>
        </w:rPr>
        <w:t xml:space="preserve">Abstract: </w:t>
      </w:r>
      <w:r>
        <w:t>Elemental mercury (Hg0) is a pervasive pollutant of global concern. Recent research shows that global Hg0 emissions are significantly underestimated, but the additional sources contributing to this gap are unclear. Here, we demonstrate that chemolithoautotrophic microorganisms, such as sulfur-oxidizing and iron-oxidizing bacteria that are ubiquitous in diverse environments, utilize mercury sulfide (HgS) nanoparticles to support growth while releasing substantial amounts of Hg0. Unlike dissolved Hg(II) species, HgS nanoparticles (HgSNP) are internalized into bacterial cells through an adenosine triphosphate (ATP)-independent, highly energy-efficient process. This enhanced internalization leads to rapid metabolism of HgSNP via sulfur-oxidation, as well as the subsequent reduction of the released Hg(II) to Hg0 mediated by the mer</w:t>
      </w:r>
    </w:p>
    <w:p>
      <w:pPr>
        <w:spacing w:before="120" w:after="120"/>
      </w:pPr>
      <w:r>
        <w:rPr>
          <w:sz w:val="18"/>
        </w:rPr>
        <w:t>——————————————————————————————————————————————————————————————————————</w:t>
      </w:r>
    </w:p>
    <w:p>
      <w:pPr>
        <w:spacing w:before="160" w:after="80" w:line="240" w:lineRule="auto"/>
      </w:pPr>
      <w:r>
        <w:rPr>
          <w:b/>
        </w:rPr>
        <w:t xml:space="preserve">[626] </w:t>
      </w:r>
      <w:hyperlink r:id="rId1035">
        <w:r>
          <w:rPr>
            <w:color w:val="1155CC"/>
            <w:u w:val="single"/>
          </w:rPr>
          <w:t>Privacy-preserving economic dispatch for multi-energy virtual power plants: A distributed approach against Sybil attacks</w:t>
        </w:r>
      </w:hyperlink>
    </w:p>
    <w:p>
      <w:pPr>
        <w:spacing w:before="0" w:after="120" w:line="240" w:lineRule="auto"/>
      </w:pPr>
      <w:r>
        <w:rPr>
          <w:b/>
        </w:rPr>
        <w:t xml:space="preserve">Source: </w:t>
      </w:r>
      <w:r>
        <w:t>ScienceDirect Publication: Applied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[627] </w:t>
      </w:r>
      <w:hyperlink r:id="rId1036">
        <w:r>
          <w:rPr>
            <w:color w:val="1155CC"/>
            <w:u w:val="single"/>
          </w:rPr>
          <w:t>Nature's News &amp; Views roundup of 2025</w:t>
        </w:r>
      </w:hyperlink>
    </w:p>
    <w:p>
      <w:pPr>
        <w:spacing w:before="0" w:after="120" w:line="240" w:lineRule="auto"/>
      </w:pPr>
      <w:r>
        <w:rPr>
          <w:b/>
        </w:rPr>
        <w:t xml:space="preserve">Source: </w:t>
      </w:r>
      <w:r>
        <w:t>Nature</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[628] </w:t>
      </w:r>
      <w:hyperlink r:id="rId1037">
        <w:r>
          <w:rPr>
            <w:color w:val="1155CC"/>
            <w:u w:val="single"/>
          </w:rPr>
          <w:t>Material reformation and opportunities created by tetraamino-p-benzoquinone</w:t>
        </w:r>
      </w:hyperlink>
    </w:p>
    <w:p>
      <w:pPr>
        <w:spacing w:before="0" w:after="120" w:line="240" w:lineRule="auto"/>
      </w:pPr>
      <w:r>
        <w:rPr>
          <w:b/>
        </w:rPr>
        <w:t xml:space="preserve">Source: </w:t>
      </w:r>
      <w:r>
        <w:t>ScienceDirect Publication: Materials Today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[629] </w:t>
      </w:r>
      <w:hyperlink r:id="rId1038">
        <w:r>
          <w:rPr>
            <w:color w:val="1155CC"/>
            <w:u w:val="single"/>
          </w:rPr>
          <w:t>Mesoporous high-entropy oxides enable metabolic fingerprinting for pancreatic cancer</w:t>
        </w:r>
      </w:hyperlink>
    </w:p>
    <w:p>
      <w:pPr>
        <w:spacing w:before="0" w:after="120" w:line="240" w:lineRule="auto"/>
      </w:pPr>
      <w:r>
        <w:rPr>
          <w:b/>
        </w:rPr>
        <w:t xml:space="preserve">Source: </w:t>
      </w:r>
      <w:r>
        <w:t>Nature Reviews Materials</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[630] </w:t>
      </w:r>
      <w:hyperlink r:id="rId1039">
        <w:r>
          <w:rPr>
            <w:color w:val="1155CC"/>
            <w:u w:val="single"/>
          </w:rPr>
          <w:t>Author Correction: Cryo-EM structure of a natural RNA nanocage</w:t>
        </w:r>
      </w:hyperlink>
    </w:p>
    <w:p>
      <w:pPr>
        <w:spacing w:before="0" w:after="120" w:line="240" w:lineRule="auto"/>
      </w:pPr>
      <w:r>
        <w:rPr>
          <w:b/>
        </w:rPr>
        <w:t xml:space="preserve">Source: </w:t>
      </w:r>
      <w:r>
        <w:t>Nature</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[631] </w:t>
      </w:r>
      <w:hyperlink r:id="rId1040">
        <w:r>
          <w:rPr>
            <w:color w:val="1155CC"/>
            <w:u w:val="single"/>
          </w:rPr>
          <w:t>The design of analogue in-memory computing tiles</w:t>
        </w:r>
      </w:hyperlink>
    </w:p>
    <w:p>
      <w:pPr>
        <w:spacing w:before="0" w:after="120" w:line="240" w:lineRule="auto"/>
      </w:pPr>
      <w:r>
        <w:rPr>
          <w:b/>
        </w:rPr>
        <w:t xml:space="preserve">Source: </w:t>
      </w:r>
      <w:r>
        <w:t>Nature Electronics</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Analogue in-memory computing (AIMC) is an emerging computational approach that executes operations directly within memory arrays, reducing the need for data transfer between memory and processing units. AIMC-based accelerators are, in particular, being explored for deep neural network (DNN) inference, with the key element of such accelerators being the AIMC tile, which can be implemented using various conventional volatile charge-based and emerging non-volatile resistive memory (memristive) technologies. Here we examine the design of non-volatile memristive AIMC tiles for DNN accelerators. We explore the different components of a memristive AIMC tile and the range of mapping techniques for encoding signed multibit weights and inputs. We provide an analysis of the efficiency and accuracy of output encoding schemes, including various analogue-to-digital converter approaches. We also provide a comparative analysis of the different memory technologies being explored and projections for how technology scaling may impact key design components.</w:t>
      </w:r>
    </w:p>
    <w:p>
      <w:pPr>
        <w:spacing w:before="120" w:after="120"/>
      </w:pPr>
      <w:r>
        <w:rPr>
          <w:sz w:val="18"/>
        </w:rPr>
        <w:t>——————————————————————————————————————————————————————————————————————</w:t>
      </w:r>
    </w:p>
    <w:p>
      <w:pPr>
        <w:spacing w:before="160" w:after="80" w:line="240" w:lineRule="auto"/>
      </w:pPr>
      <w:r>
        <w:rPr>
          <w:b/>
        </w:rPr>
        <w:t xml:space="preserve">[632] </w:t>
      </w:r>
      <w:hyperlink r:id="rId1041">
        <w:r>
          <w:rPr>
            <w:color w:val="1155CC"/>
            <w:u w:val="single"/>
          </w:rPr>
          <w:t>Heat-driven pH swing for efficient CO2 capture and release</w:t>
        </w:r>
      </w:hyperlink>
    </w:p>
    <w:p>
      <w:pPr>
        <w:spacing w:before="0" w:after="120" w:line="240" w:lineRule="auto"/>
      </w:pPr>
      <w:r>
        <w:rPr>
          <w:b/>
        </w:rPr>
        <w:t xml:space="preserve">Source: </w:t>
      </w:r>
      <w:r>
        <w:t>Nature Chemical Engineering</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[633] </w:t>
      </w:r>
      <w:hyperlink r:id="rId1042">
        <w:r>
          <w:rPr>
            <w:color w:val="1155CC"/>
            <w:u w:val="single"/>
          </w:rPr>
          <w:t>Harnessing interfaces for direct air capture</w:t>
        </w:r>
      </w:hyperlink>
    </w:p>
    <w:p>
      <w:pPr>
        <w:spacing w:before="0" w:after="120" w:line="240" w:lineRule="auto"/>
      </w:pPr>
      <w:r>
        <w:rPr>
          <w:b/>
        </w:rPr>
        <w:t xml:space="preserve">Source: </w:t>
      </w:r>
      <w:r>
        <w:t>Nature Chemical Engineering</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[634] </w:t>
      </w:r>
      <w:hyperlink r:id="rId1043">
        <w:r>
          <w:rPr>
            <w:color w:val="1155CC"/>
            <w:u w:val="single"/>
          </w:rPr>
          <w:t>Iron as a sustainable energy carrier</w:t>
        </w:r>
      </w:hyperlink>
    </w:p>
    <w:p>
      <w:pPr>
        <w:spacing w:before="0" w:after="120" w:line="240" w:lineRule="auto"/>
      </w:pPr>
      <w:r>
        <w:rPr>
          <w:b/>
        </w:rPr>
        <w:t xml:space="preserve">Source: </w:t>
      </w:r>
      <w:r>
        <w:t>Nature Reviews Materials</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[635] </w:t>
      </w:r>
      <w:hyperlink r:id="rId1044">
        <w:r>
          <w:rPr>
            <w:color w:val="1155CC"/>
            <w:u w:val="single"/>
          </w:rPr>
          <w:t>Reversing the polycrystalline rules in single-crystal battery positive electrodes</w:t>
        </w:r>
      </w:hyperlink>
    </w:p>
    <w:p>
      <w:pPr>
        <w:spacing w:before="0" w:after="120" w:line="240" w:lineRule="auto"/>
      </w:pPr>
      <w:r>
        <w:rPr>
          <w:b/>
        </w:rPr>
        <w:t xml:space="preserve">Source: </w:t>
      </w:r>
      <w:r>
        <w:t>Nature Nanotechnology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[636] </w:t>
      </w:r>
      <w:hyperlink r:id="rId1045">
        <w:r>
          <w:rPr>
            <w:color w:val="1155CC"/>
            <w:u w:val="single"/>
          </w:rPr>
          <w:t>The great lipid hunt</w:t>
        </w:r>
      </w:hyperlink>
    </w:p>
    <w:p>
      <w:pPr>
        <w:spacing w:before="0" w:after="120" w:line="240" w:lineRule="auto"/>
      </w:pPr>
      <w:r>
        <w:rPr>
          <w:b/>
        </w:rPr>
        <w:t xml:space="preserve">Source: </w:t>
      </w:r>
      <w:r>
        <w:t>Nature Chemical Engineering</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[637] </w:t>
      </w:r>
      <w:hyperlink r:id="rId1046">
        <w:r>
          <w:rPr>
            <w:color w:val="1155CC"/>
            <w:u w:val="single"/>
          </w:rPr>
          <w:t>Exciting metal surfaces for more than a century</w:t>
        </w:r>
      </w:hyperlink>
    </w:p>
    <w:p>
      <w:pPr>
        <w:spacing w:before="0" w:after="120" w:line="240" w:lineRule="auto"/>
      </w:pPr>
      <w:r>
        <w:rPr>
          <w:b/>
        </w:rPr>
        <w:t xml:space="preserve">Source: </w:t>
      </w:r>
      <w:r>
        <w:t>Nature Chemical Engineering</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[638] </w:t>
      </w:r>
      <w:hyperlink r:id="rId1047">
        <w:r>
          <w:rPr>
            <w:color w:val="1155CC"/>
            <w:u w:val="single"/>
          </w:rPr>
          <w:t>Chemical processes and the energy system</w:t>
        </w:r>
      </w:hyperlink>
    </w:p>
    <w:p>
      <w:pPr>
        <w:spacing w:before="0" w:after="120" w:line="240" w:lineRule="auto"/>
      </w:pPr>
      <w:r>
        <w:rPr>
          <w:b/>
        </w:rPr>
        <w:t xml:space="preserve">Source: </w:t>
      </w:r>
      <w:r>
        <w:t>Nature Energy</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[639] </w:t>
      </w:r>
      <w:hyperlink r:id="rId1048">
        <w:r>
          <w:rPr>
            <w:color w:val="1155CC"/>
            <w:u w:val="single"/>
          </w:rPr>
          <w:t>Grid-scale corrosion-free Zn/Br flow batteries enabled by a multi-electron transfer reaction</w:t>
        </w:r>
      </w:hyperlink>
    </w:p>
    <w:p>
      <w:pPr>
        <w:spacing w:before="0" w:after="120" w:line="240" w:lineRule="auto"/>
      </w:pPr>
      <w:r>
        <w:rPr>
          <w:b/>
        </w:rPr>
        <w:t xml:space="preserve">Source: </w:t>
      </w:r>
      <w:r>
        <w:t>Nature Energy</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Flow batteries are promising for renewable energy storage due to their safety and scalability. Zinc/bromine flow batteries (Zn/Br) are popular due to their high energy densities and inexpensive electrolytes. However, they have a poor service life and lead to environmental harm as a result of the generated corrosive and volatile Br2. Here we introduce a Br2 scavenger to the catholyte, reducing the Br2 concentration to an acceptable level (~7 mM). The scavenger, sodium sulfamate (SANa), reacts rapidly with Br2 to form a mild product, N-bromo sodium sulfamate (Br-SANa; Br+). Additionally, the two-electron transfer reaction of Br-SANa/Br− (Br+/Br−) increases the energy density. We have developed a Zn/Br flow battery, paired with a Zn anode, that outperforms traditional Zn/Br flow batteries in energy density (152 Wh l−1 versus 90 Wh l−1) and cycle life (&gt;600 versus 30 cycles), using a sulfonated polyetheretherketone membrane. We assembled a 5-kW stack that operated stably for over 700 cycles (~1,400 h). Using this reaction, we have built a large-scale battery system.</w:t>
      </w:r>
    </w:p>
    <w:p>
      <w:pPr>
        <w:spacing w:before="120" w:after="120"/>
      </w:pPr>
      <w:r>
        <w:rPr>
          <w:sz w:val="18"/>
        </w:rPr>
        <w:t>——————————————————————————————————————————————————————————————————————</w:t>
      </w:r>
    </w:p>
    <w:p>
      <w:pPr>
        <w:spacing w:before="160" w:after="80" w:line="240" w:lineRule="auto"/>
      </w:pPr>
      <w:r>
        <w:rPr>
          <w:b/>
        </w:rPr>
        <w:t xml:space="preserve">[640] </w:t>
      </w:r>
      <w:hyperlink r:id="rId1049">
        <w:r>
          <w:rPr>
            <w:color w:val="1155CC"/>
            <w:u w:val="single"/>
          </w:rPr>
          <w:t>Author Correction: Microbiota-reprogrammed phosphatidylcholine inactivates cytotoxic CD8 T cells through UFMylation via exosomal SerpinB9 in multiple myeloma</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[641] </w:t>
      </w:r>
      <w:hyperlink r:id="rId1050">
        <w:r>
          <w:rPr>
            <w:color w:val="1155CC"/>
            <w:u w:val="single"/>
          </w:rPr>
          <w:t>Peptidyl-tRNA hydrolase 2 is a negative regulator of peripartum cardiomyopathy with heart failure in female mice</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The peptidyl-tRNA hydrolase 2 (PTRH2, Bit-1, BIT1) gene plays a pro-survival role during development with loss of function gene mutations causing congenital infantile multisystem disease (IMNEPD). In wild-type female mice hearts, Ptrh2 protein levels significantly increase during pregnancy and decrease postpartum, demonstrating a protective role in response to pregnancy-initiated cardiac stresses. Peripartum cardiomyopathy (PPCM) is due to dysregulated protective signaling in the pregnant heart. The genetic and molecular mechanisms underlying PPCM remain poorly defined with no specific therapies. Here, we engineered a cardiac-specific Ptrh2 knockout (Ptrh2-CKO) mouse and show these maternal mice develop left ventricular systolic dysfunction, exhibit high rates of postpartum heart failure, and model key features of human PPCM. Infusion of a caspase 3-specific inhibitor attenuated the PPCM phenotype. Collectively, our findings demonstrate Ptrh2 is a negative regulator of pregnancy-induced cardiac stresses by activating pro-survival signals and blocking apoptotic signals, suggesting Ptrh2 may be a therapeutic target for the treatment of PPCM.</w:t>
      </w:r>
    </w:p>
    <w:p>
      <w:pPr>
        <w:spacing w:before="120" w:after="120"/>
      </w:pPr>
      <w:r>
        <w:rPr>
          <w:sz w:val="18"/>
        </w:rPr>
        <w:t>——————————————————————————————————————————————————————————————————————</w:t>
      </w:r>
    </w:p>
    <w:p>
      <w:pPr>
        <w:spacing w:before="160" w:after="80" w:line="240" w:lineRule="auto"/>
      </w:pPr>
      <w:r>
        <w:rPr>
          <w:b/>
        </w:rPr>
        <w:t xml:space="preserve">[642] </w:t>
      </w:r>
      <w:hyperlink r:id="rId1051">
        <w:r>
          <w:rPr>
            <w:color w:val="1155CC"/>
            <w:u w:val="single"/>
          </w:rPr>
          <w:t>Author Correction: Identification of a non-inhibitory aptameric ligand to CRL2ZYG11B E3 ligase for targeted protein degradation</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[643] </w:t>
      </w:r>
      <w:hyperlink r:id="rId1052">
        <w:r>
          <w:rPr>
            <w:color w:val="1155CC"/>
            <w:u w:val="single"/>
          </w:rPr>
          <w:t>Electrolyte reduction on cathodes to enhance the performance of high-energy batteries</w:t>
        </w:r>
      </w:hyperlink>
    </w:p>
    <w:p>
      <w:pPr>
        <w:spacing w:before="0" w:after="120" w:line="240" w:lineRule="auto"/>
      </w:pPr>
      <w:r>
        <w:rPr>
          <w:b/>
        </w:rPr>
        <w:t xml:space="preserve">Source: </w:t>
      </w:r>
      <w:r>
        <w:t>Nature Chemistry</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The remarkable success of Li-ion batteries originates from the formation of solid electrolyte interphases through electrolyte reduction on anodes. Transferring electrolyte reduction to the cathode could generate cathode–electrolyte interphases that could further improve battery performances, but the implementation has been challenging. Here we introduce a bimolecular nucleophilic substitution reaction-assisted electrolyte reduction strategy that elevates the reduction potential of electrolytes and enables the formation of either passivating or non-passivating LiF-rich cathode–electrolyte interphases. Spectroscopic studies revealed that the passivation behaviour of these interphases is governed by the diffusivity of sulfite-based solvent reduction products and the fluoroborate anion type involved in the reaction. Guided by this principle, we have developed electrolytes that can either enhance the energy and power of primary batteries or extend the cycle life in rechargeable batteries. We also extend this electrolyte design principle from fluoroborate anions to SiCl4. Collectively, this work establishes a universal approach for electrolyte and interphase design that spans organic chemistry, interfacial chemistry and electrochemistry.</w:t>
      </w:r>
    </w:p>
    <w:p>
      <w:pPr>
        <w:spacing w:before="120" w:after="120"/>
      </w:pPr>
      <w:r>
        <w:rPr>
          <w:sz w:val="18"/>
        </w:rPr>
        <w:t>——————————————————————————————————————————————————————————————————————</w:t>
      </w:r>
    </w:p>
    <w:p>
      <w:pPr>
        <w:spacing w:before="160" w:after="80" w:line="240" w:lineRule="auto"/>
      </w:pPr>
      <w:r>
        <w:rPr>
          <w:b/>
        </w:rPr>
        <w:t xml:space="preserve">[644] </w:t>
      </w:r>
      <w:hyperlink r:id="rId1053">
        <w:r>
          <w:rPr>
            <w:color w:val="1155CC"/>
            <w:u w:val="single"/>
          </w:rPr>
          <w:t>Author Correction: Nanostructured organic sheets sequestering small extracellular vesicles and reactive species to protect against radiation-induced mucositis</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[645] </w:t>
      </w:r>
      <w:hyperlink r:id="rId1054">
        <w:r>
          <w:rPr>
            <w:color w:val="1155CC"/>
            <w:u w:val="single"/>
          </w:rPr>
          <w:t>‘A serious problem’: peer reviews created using AI can avoid detection</w:t>
        </w:r>
      </w:hyperlink>
    </w:p>
    <w:p>
      <w:pPr>
        <w:spacing w:before="0" w:after="120" w:line="240" w:lineRule="auto"/>
      </w:pPr>
      <w:r>
        <w:rPr>
          <w:b/>
        </w:rPr>
        <w:t xml:space="preserve">Source: </w:t>
      </w:r>
      <w:r>
        <w:t>Nature</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[646] </w:t>
      </w:r>
      <w:hyperlink r:id="rId1055">
        <w:r>
          <w:rPr>
            <w:color w:val="1155CC"/>
            <w:u w:val="single"/>
          </w:rPr>
          <w:t>Are we living in a parallel universe? The strange physics of Stranger Things</w:t>
        </w:r>
      </w:hyperlink>
    </w:p>
    <w:p>
      <w:pPr>
        <w:spacing w:before="0" w:after="120" w:line="240" w:lineRule="auto"/>
      </w:pPr>
      <w:r>
        <w:rPr>
          <w:b/>
        </w:rPr>
        <w:t xml:space="preserve">Source: </w:t>
      </w:r>
      <w:r>
        <w:t>Nature</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[647] </w:t>
      </w:r>
      <w:hyperlink r:id="rId1056">
        <w:r>
          <w:rPr>
            <w:color w:val="1155CC"/>
            <w:u w:val="single"/>
          </w:rPr>
          <w:t>AI and quantum science take centre stage under Trump — but with little new proposed funding</w:t>
        </w:r>
      </w:hyperlink>
    </w:p>
    <w:p>
      <w:pPr>
        <w:spacing w:before="0" w:after="120" w:line="240" w:lineRule="auto"/>
      </w:pPr>
      <w:r>
        <w:rPr>
          <w:b/>
        </w:rPr>
        <w:t xml:space="preserve">Source: </w:t>
      </w:r>
      <w:r>
        <w:t>Nature</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[648] </w:t>
      </w:r>
      <w:hyperlink r:id="rId1057">
        <w:r>
          <w:rPr>
            <w:color w:val="1155CC"/>
            <w:u w:val="single"/>
          </w:rPr>
          <w:t>Oddly cool super-hot planet has an atmosphere it shouldn’t</w:t>
        </w:r>
      </w:hyperlink>
    </w:p>
    <w:p>
      <w:pPr>
        <w:spacing w:before="0" w:after="120" w:line="240" w:lineRule="auto"/>
      </w:pPr>
      <w:r>
        <w:rPr>
          <w:b/>
        </w:rPr>
        <w:t xml:space="preserve">Source: </w:t>
      </w:r>
      <w:r>
        <w:t>Nature</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[649] </w:t>
      </w:r>
      <w:hyperlink r:id="rId1058">
        <w:r>
          <w:rPr>
            <w:color w:val="1155CC"/>
            <w:u w:val="single"/>
          </w:rPr>
          <w:t>Directed evolution of a TNA polymerase identifies independent paths to fidelity and catalysis</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Directed evolution facilitates functional adaptations through stepwise changes in sequence that alter protein structure. While most campaigns yield solutions that maintain the framework of a rigid protein architecture, a few have produced enzymes with more notable structural differences. One example is a polymerase that was evolved to synthesize threose nucleic acid (TNA) with near-natural activity. Understanding how this enzyme arose provides a model for studying pathways that guide enzymes toward more productive regions of the fitness landscape. Here, we trace the evolutionary trajectory of an unnatural polymerase by solving crystal structures of key intermediates along the pathway and evaluating their biochemical activity. Contrary to the view that fidelity is a product of increased catalytic efficiency, we find that accuracy and catalysis are decoupled activities guided by separate ground-state and transition-state discrimination events. Together, these results offer a glimpse into the forces responsible for shaping the emergence of new enzyme functions.</w:t>
      </w:r>
    </w:p>
    <w:p>
      <w:pPr>
        <w:spacing w:before="120" w:after="120"/>
      </w:pPr>
      <w:r>
        <w:rPr>
          <w:sz w:val="18"/>
        </w:rPr>
        <w:t>——————————————————————————————————————————————————————————————————————</w:t>
      </w:r>
    </w:p>
    <w:p>
      <w:pPr>
        <w:spacing w:before="160" w:after="80" w:line="240" w:lineRule="auto"/>
      </w:pPr>
      <w:r>
        <w:rPr>
          <w:b/>
        </w:rPr>
        <w:t xml:space="preserve">[650] </w:t>
      </w:r>
      <w:hyperlink r:id="rId1059">
        <w:r>
          <w:rPr>
            <w:color w:val="1155CC"/>
            <w:u w:val="single"/>
          </w:rPr>
          <w:t>Boosting ionic conductivity of fluoride electrolytes by polyanion coordination chemistry enabling 5 V-Class all-solid-state batteries</w:t>
        </w:r>
      </w:hyperlink>
    </w:p>
    <w:p>
      <w:pPr>
        <w:spacing w:before="0" w:after="120" w:line="240" w:lineRule="auto"/>
      </w:pPr>
      <w:r>
        <w:rPr>
          <w:b/>
        </w:rPr>
        <w:t xml:space="preserve">Source: </w:t>
      </w:r>
      <w:r>
        <w:t>Joule</w:t>
      </w:r>
      <w:r>
        <w:t xml:space="preserve">    </w:t>
      </w:r>
      <w:r>
        <w:rPr>
          <w:b/>
        </w:rPr>
        <w:t xml:space="preserve">Pub date: </w:t>
      </w:r>
      <w:r>
        <w:t>2025-12-19 00:00:00+00:00</w:t>
      </w:r>
    </w:p>
    <w:p>
      <w:pPr>
        <w:spacing w:before="0" w:after="120"/>
      </w:pPr>
      <w:r>
        <w:rPr>
          <w:b/>
        </w:rPr>
        <w:t xml:space="preserve">Notes: </w:t>
      </w:r>
      <w:r>
        <w:t>abstract_source=rss_cell</w:t>
      </w:r>
    </w:p>
    <w:p>
      <w:pPr>
        <w:spacing w:before="0" w:after="200" w:lineRule="auto" w:line="276"/>
      </w:pPr>
      <w:r>
        <w:rPr>
          <w:b/>
        </w:rPr>
        <w:t xml:space="preserve">Abstract: </w:t>
      </w:r>
      <w:r>
        <w:t>This study developed a novel class of highly conductive amorphous fluoride solid-state electrolytes (SSEs) LixTi(PO4)x/3F4, using a polyanion coordination strategy. The optimized Li1.3Ti(PO4)1.3/3F4 achieves a Li+ conductivity of 1.16 × 10−5 S cm−1, two orders of magnitude higher than that of analogous Li2TiF6. Combining the inherent high-voltage stability of fluoride and the excellent ionic conductivity of Li1.3Ti(PO4)1.3/3F4, this material enables superior 5 V-class all-solid-state battery performance. This work opens a new avenue for designing high-conductivity fluoride SSEs and advancing the performance of 5 V-class all-solid-state batteries.</w:t>
      </w:r>
    </w:p>
    <w:p>
      <w:pPr>
        <w:spacing w:before="120" w:after="120"/>
      </w:pPr>
      <w:r>
        <w:rPr>
          <w:sz w:val="18"/>
        </w:rPr>
        <w:t>——————————————————————————————————————————————————————————————————————</w:t>
      </w:r>
    </w:p>
    <w:p>
      <w:pPr>
        <w:spacing w:before="160" w:after="80" w:line="240" w:lineRule="auto"/>
      </w:pPr>
      <w:r>
        <w:rPr>
          <w:b/>
        </w:rPr>
        <w:t xml:space="preserve">[651] </w:t>
      </w:r>
      <w:hyperlink r:id="rId1060">
        <w:r>
          <w:rPr>
            <w:color w:val="1155CC"/>
            <w:u w:val="single"/>
          </w:rPr>
          <w:t>Author Correction: Inactivation of cytidine triphosphate synthase 1 prevents fatal auto-immunity in mice</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[652] </w:t>
      </w:r>
      <w:hyperlink r:id="rId1061">
        <w:r>
          <w:rPr>
            <w:color w:val="1155CC"/>
            <w:u w:val="single"/>
          </w:rPr>
          <w:t>Quantum electrodynamics of photonic time crystals</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Photonic time crystals host a variety of intriguing phenomena, from wave amplification and mixing to exotic band structures, all stemming from the time-periodic modulation of optical properties. While these features have been well described classically, their quantum manifestation when coupled to an atomic electric dipole has remained elusive. Here, we introduce a quantum electrodynamical model of photonic time crystals that reveals a deeper connection between classical and quantum pictures: the classical momentum gap arises from a localization-delocalization quantum phase transition in a Floquet-photonic synthetic lattice. Leveraging an effective Hamiltonian perspective, we pinpoint the critical momenta and highlight how classical exponential field growth manifests itself as wave-packet acceleration in the quantum synthetic space. Remarkably, when a two-level atom is embedded in such a photonic time crystal, its Rabi oscillations undergo irreversible decay to a half-and-half mixed state—a previously unobserved phenomenon driven by photonic delocalization within the momentum gap, even with just a single frequency mode. Our findings establish photonic time crystals as versatile platforms for studying nonequilibrium quantum photonics and suggest new avenues for controlling light matter interactions through time domain engineering.</w:t>
      </w:r>
    </w:p>
    <w:p>
      <w:pPr>
        <w:spacing w:before="120" w:after="120"/>
      </w:pPr>
      <w:r>
        <w:rPr>
          <w:sz w:val="18"/>
        </w:rPr>
        <w:t>——————————————————————————————————————————————————————————————————————</w:t>
      </w:r>
    </w:p>
    <w:p>
      <w:pPr>
        <w:spacing w:before="160" w:after="80" w:line="240" w:lineRule="auto"/>
      </w:pPr>
      <w:r>
        <w:rPr>
          <w:b/>
        </w:rPr>
        <w:t xml:space="preserve">[653] </w:t>
      </w:r>
      <w:hyperlink r:id="rId1062">
        <w:r>
          <w:rPr>
            <w:color w:val="1155CC"/>
            <w:u w:val="single"/>
          </w:rPr>
          <w:t>SPLiCR-seq: A CRISPR-Based Screening Platform for RNA splicing Identifies Novel Regulators of IRE1α-XBP1 Signaling Under ER Stress</w:t>
        </w:r>
      </w:hyperlink>
    </w:p>
    <w:p>
      <w:pPr>
        <w:spacing w:before="0" w:after="120" w:line="240" w:lineRule="auto"/>
      </w:pPr>
      <w:r>
        <w:rPr>
          <w:b/>
        </w:rPr>
        <w:t xml:space="preserve">Source: </w:t>
      </w:r>
      <w:r>
        <w:t>Nature Communications</w:t>
      </w:r>
      <w:r>
        <w:t xml:space="preserve">    </w:t>
      </w:r>
      <w:r>
        <w:rPr>
          <w:b/>
        </w:rPr>
        <w:t xml:space="preserve">Pub date: </w:t>
      </w:r>
      <w:r>
        <w:t>2025-12-19 00:00:00+00:00</w:t>
      </w:r>
    </w:p>
    <w:p>
      <w:pPr>
        <w:spacing w:before="0" w:after="120"/>
      </w:pPr>
      <w:r>
        <w:rPr>
          <w:b/>
        </w:rPr>
        <w:t xml:space="preserve">Notes: </w:t>
      </w:r>
      <w:r>
        <w:t>abstract_source=nature_html</w:t>
      </w:r>
    </w:p>
    <w:p>
      <w:pPr>
        <w:spacing w:before="0" w:after="200" w:lineRule="auto" w:line="276"/>
      </w:pPr>
      <w:r>
        <w:rPr>
          <w:b/>
        </w:rPr>
        <w:t xml:space="preserve">Abstract: </w:t>
      </w:r>
      <w:r>
        <w:t>RNA splicing is fundamental to cellular function, yet systematic investigation of its complex regulation has been limited by existing methods. Here, we present SPLiCR-seq (SPLicing regulator identification through CRISPR screening), a high-throughput CRISPR screening platform that enables direct measurement of RNA splicing outcomes for pooled genetic perturbations, overcoming limitations of traditional fluorescence-based approaches. Applying SPLiCR-seq to investigate XBP1 splicing during the unfolded protein response (UPR), we conduct targeted and genome-wide screens across diverse cellular contexts, revealing both common and cell-type specific regulators. Notably, we identify GADD34 (PPP1R15A) as a novel modulator of IRE1α-XBP1 signaling, demonstrating that it directly interacts with IRE1α and functions independently of its canonical role in eIF2α dephosphorylation. Pharmacological inhibition of GADD34 using Sephin1 effectively suppressed XBP1 splicing and alleviated CAR-T cell exhaustion in an ex vivo model, leading to enhanced tumor-killing capacity across multiple cancer models. This work not only establishes a powerful new tool for systematically studying RNA splicing regulation but also uncovers a promising therapeutic strategy for improving CAR-T cell immunotherapy through modulation of the IRE1α-XBP1 pathway.</w:t>
      </w:r>
    </w:p>
    <w:p>
      <w:pPr>
        <w:spacing w:before="120" w:after="120"/>
      </w:pPr>
      <w:r>
        <w:rPr>
          <w:sz w:val="18"/>
        </w:rPr>
        <w:t>——————————————————————————————————————————————————————————————————————</w:t>
      </w:r>
    </w:p>
    <w:p>
      <w:pPr>
        <w:spacing w:before="160" w:after="80" w:line="240" w:lineRule="auto"/>
      </w:pPr>
      <w:r>
        <w:rPr>
          <w:b/>
        </w:rPr>
        <w:t xml:space="preserve">[654] </w:t>
      </w:r>
      <w:hyperlink r:id="rId1063">
        <w:r>
          <w:rPr>
            <w:color w:val="1155CC"/>
            <w:u w:val="single"/>
          </w:rPr>
          <w:t>Beyond big data in quantum chemistry</w:t>
        </w:r>
      </w:hyperlink>
    </w:p>
    <w:p>
      <w:pPr>
        <w:spacing w:before="0" w:after="120" w:line="240" w:lineRule="auto"/>
      </w:pPr>
      <w:r>
        <w:rPr>
          <w:b/>
        </w:rPr>
        <w:t xml:space="preserve">Source: </w:t>
      </w:r>
      <w:r>
        <w:t>Nature Chemical Engineering</w:t>
      </w:r>
      <w:r>
        <w:t xml:space="preserve">    </w:t>
      </w:r>
      <w:r>
        <w:rPr>
          <w:b/>
        </w:rPr>
        <w:t xml:space="preserve">Pub date: </w:t>
      </w:r>
      <w:r>
        <w:t>2025-12-19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[655] </w:t>
      </w:r>
      <w:hyperlink r:id="rId1064">
        <w:r>
          <w:rPr>
            <w:color w:val="1155CC"/>
            <w:u w:val="single"/>
          </w:rPr>
          <w:t>Versatile and Selective Biomolecule Pulldown with Combinatorial DNA‐Crosslinked Polymers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05:25:32+00:00</w:t>
      </w:r>
      <w:r>
        <w:t xml:space="preserve">    </w:t>
      </w:r>
      <w:r>
        <w:rPr>
          <w:b/>
        </w:rPr>
        <w:t xml:space="preserve">DOI: </w:t>
      </w:r>
      <w:hyperlink r:id="rId1065">
        <w:r>
          <w:rPr>
            <w:color w:val="1155CC"/>
            <w:u w:val="single"/>
          </w:rPr>
          <w:t>10.1002/anie.202517600</w:t>
        </w:r>
      </w:hyperlink>
    </w:p>
    <w:p>
      <w:pPr>
        <w:spacing w:before="0" w:after="120"/>
      </w:pPr>
      <w:r>
        <w:rPr>
          <w:b/>
        </w:rPr>
        <w:t xml:space="preserve">Notes: </w:t>
      </w:r>
      <w:r>
        <w:t>abstract_source=crossref</w:t>
      </w:r>
    </w:p>
    <w:p>
      <w:pPr>
        <w:spacing w:before="0" w:after="200" w:lineRule="auto" w:line="276"/>
      </w:pPr>
      <w:r>
        <w:rPr>
          <w:b/>
        </w:rPr>
        <w:t xml:space="preserve">Abstract: </w:t>
      </w:r>
      <w:r>
        <w:t>Current methods for sequence‐selective biomolecule isolation suffer from high cost, off‐target effects, and limited flexibility. Here, we introduce</w:t>
      </w:r>
      <w:r>
        <w:t xml:space="preserve"> </w:t>
      </w:r>
      <w:r>
        <w:t>LASSO</w:t>
      </w:r>
      <w:r>
        <w:t xml:space="preserve"> </w:t>
      </w:r>
      <w:r>
        <w:t>(cross</w:t>
      </w:r>
      <w:r>
        <w:t xml:space="preserve"> </w:t>
      </w:r>
      <w:r>
        <w:t>L</w:t>
      </w:r>
      <w:r>
        <w:t xml:space="preserve"> </w:t>
      </w:r>
      <w:r>
        <w:t>ink‐</w:t>
      </w:r>
      <w:r>
        <w:t xml:space="preserve"> </w:t>
      </w:r>
      <w:r>
        <w:t>A</w:t>
      </w:r>
      <w:r>
        <w:t xml:space="preserve"> </w:t>
      </w:r>
      <w:r>
        <w:t>ssisted</w:t>
      </w:r>
      <w:r>
        <w:t xml:space="preserve"> </w:t>
      </w:r>
      <w:r>
        <w:t>S</w:t>
      </w:r>
      <w:r>
        <w:t xml:space="preserve"> </w:t>
      </w:r>
      <w:r>
        <w:t>equence‐</w:t>
      </w:r>
      <w:r>
        <w:t xml:space="preserve"> </w:t>
      </w:r>
      <w:r>
        <w:t>S</w:t>
      </w:r>
      <w:r>
        <w:t xml:space="preserve"> </w:t>
      </w:r>
      <w:r>
        <w:t>elective is</w:t>
      </w:r>
      <w:r>
        <w:t xml:space="preserve"> </w:t>
      </w:r>
      <w:r>
        <w:t>O</w:t>
      </w:r>
      <w:r>
        <w:t xml:space="preserve"> </w:t>
      </w:r>
      <w:r>
        <w:t>lation), a versatile platform using programmable polymer phase separation to capture biomolecules under native conditions. LASSO relies on</w:t>
      </w:r>
      <w:r>
        <w:t xml:space="preserve"> </w:t>
      </w:r>
      <w:r>
        <w:t>combinatorial crosslinker libraries</w:t>
      </w:r>
      <w:r>
        <w:t xml:space="preserve"> </w:t>
      </w:r>
      <w:r>
        <w:t>—diverse mixtures of DNA strands that collectively trigger the formation of highly swollen polymer agglomerates with near‐zero background binding. We demonstrate &amp;gt;80% pulldown efficiency for diverse targets, including DNA, SARS‐CoV‐2 RNA, and human thrombin. LASSO provides 8–20x higher binding capacity (4 nmol mg</w:t>
      </w:r>
      <w:r>
        <w:t xml:space="preserve"> </w:t>
      </w:r>
      <w:r>
        <w:t>−1</w:t>
      </w:r>
      <w:r>
        <w:t xml:space="preserve"> </w:t>
      </w:r>
      <w:r>
        <w:t>polymer) than commercial microbeads. In RNA‐seq workflows, LASSO depleted ribosomal RNA with 86% efficiency, while yielding up to 7x fewer off‐target outliers versus state‐of‐the‐art magnetic beads and enzyme‐based methods. Thrombin was captured via switchable aptamers with 90% efficiency, and a gentle release mechanism allowed the subsequent isolation of 98% enzymatically active proteins from the polymer. LASSO's cost‐effectiveness ($0.96/sample versus $46–$51 for commercial kits), long‐term stability (7 + years), simple usage, and modularity position it to advance diagnostics, transcriptomics, and bionanotechnology workflows.</w:t>
      </w:r>
    </w:p>
    <w:p>
      <w:pPr>
        <w:spacing w:before="120" w:after="120"/>
      </w:pPr>
      <w:r>
        <w:rPr>
          <w:sz w:val="18"/>
        </w:rPr>
        <w:t>——————————————————————————————————————————————————————————————————————</w:t>
      </w:r>
    </w:p>
    <w:p>
      <w:pPr>
        <w:spacing w:before="160" w:after="80" w:line="240" w:lineRule="auto"/>
      </w:pPr>
      <w:r>
        <w:rPr>
          <w:b/>
        </w:rPr>
        <w:t xml:space="preserve">[656] </w:t>
      </w:r>
      <w:hyperlink r:id="rId1066">
        <w:r>
          <w:rPr>
            <w:color w:val="1155CC"/>
            <w:u w:val="single"/>
          </w:rPr>
          <w:t>Pd/Cu Single Atom Alloys for Selective Alcohol Dehydrogenation: From Single Crystalline to Nanostructured Model 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05:26:01+00:00</w:t>
      </w:r>
      <w:r>
        <w:t xml:space="preserve">    </w:t>
      </w:r>
      <w:r>
        <w:rPr>
          <w:b/>
        </w:rPr>
        <w:t xml:space="preserve">DOI: </w:t>
      </w:r>
      <w:hyperlink r:id="rId1067">
        <w:r>
          <w:rPr>
            <w:color w:val="1155CC"/>
            <w:u w:val="single"/>
          </w:rPr>
          <w:t>10.1002/anie.202521885</w:t>
        </w:r>
      </w:hyperlink>
    </w:p>
    <w:p>
      <w:pPr>
        <w:spacing w:before="0" w:after="120"/>
      </w:pPr>
      <w:r>
        <w:rPr>
          <w:b/>
        </w:rPr>
        <w:t xml:space="preserve">Notes: </w:t>
      </w:r>
      <w:r>
        <w:t>abstract_source=crossref</w:t>
      </w:r>
    </w:p>
    <w:p>
      <w:pPr>
        <w:spacing w:before="0" w:after="200" w:lineRule="auto" w:line="276"/>
      </w:pPr>
      <w:r>
        <w:rPr>
          <w:b/>
        </w:rPr>
        <w:t xml:space="preserve">Abstract: </w:t>
      </w:r>
      <w:r>
        <w:t>Heterogeneous catalysts based on Single Atom Alloys (SAA) play a significant role in numerous technical processes. The fundamental working principles of these systems, however, remain poorly understood, especially the aspects related to the nanoscopic nature of bimetallic particles and the associated structure‐reactivity relationships. In this study, we developed for the first time well‐defined SAA catalysts consisting of Pd atomically dispersed in Cu nanoparticles prepared under ultra‐high vacuum (UHV) conditions on model Al</w:t>
      </w:r>
      <w:r>
        <w:rPr>
          <w:vertAlign w:val="subscript"/>
        </w:rPr>
        <w:t>2</w:t>
      </w:r>
      <w:r>
        <w:t>O</w:t>
      </w:r>
      <w:r>
        <w:rPr>
          <w:vertAlign w:val="subscript"/>
        </w:rPr>
        <w:t>3</w:t>
      </w:r>
      <w:r>
        <w:t>/NiAl(110) support. Employing a unique combination of surface sensitive techniques – scanning tunneling microscopy (STM), infrared reflection absorption spectroscopy (IRAS), molecular beams – and density functional theory (DFT) calculations, we performed detailed structural characterization of these systems at the microscopic level. We demonstrate that Pd disperses atomically in Cu nanoparticles and becomes partly negatively charged. Importantly, these Pd/Cu nanostructured systems show an outstanding catalytic performance in selective dehydrogenation of butanol and exhibit 100% selectivity toward butanal over a broad range of Pd loadings – the property that cannot be reproduced employing simplified single crystalline Pd/Cu(111) counterparts. The developed approach for preparation and characterization of these nanostructured SAA‐catalysts lays a foundation for further fundamental‐level catalytic studies on this important class of materials and their rational design for practical applications.</w:t>
      </w:r>
    </w:p>
    <w:p>
      <w:pPr>
        <w:spacing w:before="120" w:after="120"/>
      </w:pPr>
      <w:r>
        <w:rPr>
          <w:sz w:val="18"/>
        </w:rPr>
        <w:t>——————————————————————————————————————————————————————————————————————</w:t>
      </w:r>
    </w:p>
    <w:p>
      <w:pPr>
        <w:spacing w:before="160" w:after="80" w:line="240" w:lineRule="auto"/>
      </w:pPr>
      <w:r>
        <w:rPr>
          <w:b/>
        </w:rPr>
        <w:t xml:space="preserve">[657] </w:t>
      </w:r>
      <w:hyperlink r:id="rId1068">
        <w:r>
          <w:rPr>
            <w:color w:val="1155CC"/>
            <w:u w:val="single"/>
          </w:rPr>
          <w:t>Accessing Molecular Complexity from Methane and Other Gaseous Alkanes via Photocatalytic Cascade Cyclization</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05:27:19+00:00</w:t>
      </w:r>
      <w:r>
        <w:t xml:space="preserve">    </w:t>
      </w:r>
      <w:r>
        <w:rPr>
          <w:b/>
        </w:rPr>
        <w:t xml:space="preserve">DOI: </w:t>
      </w:r>
      <w:hyperlink r:id="rId1069">
        <w:r>
          <w:rPr>
            <w:color w:val="1155CC"/>
            <w:u w:val="single"/>
          </w:rPr>
          <w:t>10.1002/anie.202525713</w:t>
        </w:r>
      </w:hyperlink>
    </w:p>
    <w:p>
      <w:pPr>
        <w:spacing w:before="0" w:after="120"/>
      </w:pPr>
      <w:r>
        <w:rPr>
          <w:b/>
        </w:rPr>
        <w:t xml:space="preserve">Notes: </w:t>
      </w:r>
      <w:r>
        <w:t>abstract_source=crossref</w:t>
      </w:r>
    </w:p>
    <w:p>
      <w:pPr>
        <w:spacing w:before="0" w:after="200" w:lineRule="auto" w:line="276"/>
      </w:pPr>
      <w:r>
        <w:rPr>
          <w:b/>
        </w:rPr>
        <w:t xml:space="preserve">Abstract: </w:t>
      </w:r>
      <w:r>
        <w:t>The direct transformation of simple and abundant feedstocks into structurally complex molecules remains a central challenge in modern organic synthesis. Herein, we report a method for the oxidative cascade cyclization of</w:t>
      </w:r>
      <w:r>
        <w:t xml:space="preserve"> </w:t>
      </w:r>
      <w:r>
        <w:t>N</w:t>
      </w:r>
      <w:r>
        <w:t xml:space="preserve"> </w:t>
      </w:r>
      <w:r>
        <w:t>‐aryl and</w:t>
      </w:r>
      <w:r>
        <w:t xml:space="preserve"> </w:t>
      </w:r>
      <w:r>
        <w:t>N</w:t>
      </w:r>
      <w:r>
        <w:t xml:space="preserve"> </w:t>
      </w:r>
      <w:r>
        <w:t>‐benzoyl acrylamide derivatives, promoted by methane and other gaseous alkanes. This transformation is enabled by a readily available iron catalyst in combination with</w:t>
      </w:r>
      <w:r>
        <w:t xml:space="preserve"> </w:t>
      </w:r>
      <w:r>
        <w:t>N</w:t>
      </w:r>
      <w:r>
        <w:t xml:space="preserve"> </w:t>
      </w:r>
      <w:r>
        <w:t>‐fluorobenzenesulfonimide (NFSI) as the oxidant, proceeding under mild conditions to afford a diverse array of</w:t>
      </w:r>
      <w:r>
        <w:t xml:space="preserve"> </w:t>
      </w:r>
      <w:r>
        <w:t>N</w:t>
      </w:r>
      <w:r>
        <w:t xml:space="preserve"> </w:t>
      </w:r>
      <w:r>
        <w:t>‐heterocyclic frameworks in high yields. Late‐stage functionalization studies highlight the utility of methane in the synthesis of biologically relevant scaffolds. Moreover, the Fe/NFSI system facilitates a radical sampling regime that enables the selective functionalization of less reactive primary C─H bonds. Overall, this work establishes a sustainable and versatile platform for constructing molecular complexity directly from gaseous alkanes.</w:t>
      </w:r>
    </w:p>
    <w:p>
      <w:pPr>
        <w:spacing w:before="120" w:after="120"/>
      </w:pPr>
      <w:r>
        <w:rPr>
          <w:sz w:val="18"/>
        </w:rPr>
        <w:t>——————————————————————————————————————————————————————————————————————</w:t>
      </w:r>
    </w:p>
    <w:p>
      <w:pPr>
        <w:spacing w:before="160" w:after="80" w:line="240" w:lineRule="auto"/>
      </w:pPr>
      <w:r>
        <w:rPr>
          <w:b/>
        </w:rPr>
        <w:t xml:space="preserve">[658] </w:t>
      </w:r>
      <w:hyperlink r:id="rId1070">
        <w:r>
          <w:rPr>
            <w:color w:val="1155CC"/>
            <w:u w:val="single"/>
          </w:rPr>
          <w:t>Unlocking the Secrets of Divergent Sodium Storage Performances in Sb and Bi Anodes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05:36:52+00:00</w:t>
      </w:r>
      <w:r>
        <w:t xml:space="preserve">    </w:t>
      </w:r>
      <w:r>
        <w:rPr>
          <w:b/>
        </w:rPr>
        <w:t xml:space="preserve">DOI: </w:t>
      </w:r>
      <w:hyperlink r:id="rId1071">
        <w:r>
          <w:rPr>
            <w:color w:val="1155CC"/>
            <w:u w:val="single"/>
          </w:rPr>
          <w:t>10.1002/anie.202519594</w:t>
        </w:r>
      </w:hyperlink>
    </w:p>
    <w:p>
      <w:pPr>
        <w:spacing w:before="0" w:after="120"/>
      </w:pPr>
      <w:r>
        <w:rPr>
          <w:b/>
        </w:rPr>
        <w:t xml:space="preserve">Notes: </w:t>
      </w:r>
      <w:r>
        <w:t>abstract_source=crossref</w:t>
      </w:r>
    </w:p>
    <w:p>
      <w:pPr>
        <w:spacing w:before="0" w:after="200" w:lineRule="auto" w:line="276"/>
      </w:pPr>
      <w:r>
        <w:rPr>
          <w:b/>
        </w:rPr>
        <w:t xml:space="preserve">Abstract: </w:t>
      </w:r>
      <w:r>
        <w:t>Alloy‐type anode materials have garnered significant interest for sodium‐ion batteries (SIBs) due to their high theoretical capacity. However, the underlying mechanisms affecting their rate capability and cycling stability remain inadequately elucidated. In this study, we systematically compare the electrochemical performance of Sb and Bi anodes, which belong to group VA and exhibit analogous sodium alloy composition. The results reveal that the marked performance disparity arises from a “blockade effect” of Na</w:t>
      </w:r>
      <w:r>
        <w:t xml:space="preserve"> </w:t>
      </w:r>
      <w:r>
        <w:t>+</w:t>
      </w:r>
      <w:r>
        <w:t xml:space="preserve"> </w:t>
      </w:r>
      <w:r>
        <w:t>within the Sb alloy intermediate phase, which impedes the phase transformation kinetics. This not only deteriorates rate capability but also induces structural degradation during cycling. In contrast, the Bi anode undergoes a sequential phase transition that enables rapid Na</w:t>
      </w:r>
      <w:r>
        <w:t xml:space="preserve"> </w:t>
      </w:r>
      <w:r>
        <w:t>+</w:t>
      </w:r>
      <w:r>
        <w:t xml:space="preserve"> </w:t>
      </w:r>
      <w:r>
        <w:t>diffusion and promotes the formation of a thin and uniform solid‐electrolyte interphase (SEI). As a result, the Bi anode delivers a high capacity of 325.1 mAh g</w:t>
      </w:r>
      <w:r>
        <w:t xml:space="preserve"> </w:t>
      </w:r>
      <w:r>
        <w:t>−1</w:t>
      </w:r>
      <w:r>
        <w:t xml:space="preserve"> </w:t>
      </w:r>
      <w:r>
        <w:t>even at an ultrahigh current rate of 155.8C (1C = 385 mA g</w:t>
      </w:r>
      <w:r>
        <w:t xml:space="preserve"> </w:t>
      </w:r>
      <w:r>
        <w:t>−1</w:t>
      </w:r>
      <w:r>
        <w:t xml:space="preserve"> </w:t>
      </w:r>
      <w:r>
        <w:t>), and maintains a specific capacity of 323 mAh g</w:t>
      </w:r>
      <w:r>
        <w:t xml:space="preserve"> </w:t>
      </w:r>
      <w:r>
        <w:t>−1</w:t>
      </w:r>
      <w:r>
        <w:t xml:space="preserve"> </w:t>
      </w:r>
      <w:r>
        <w:t>(88% retention) after 2500 cycles at 2 A g</w:t>
      </w:r>
      <w:r>
        <w:t xml:space="preserve"> </w:t>
      </w:r>
      <w:r>
        <w:t>−1</w:t>
      </w:r>
      <w:r>
        <w:t xml:space="preserve"> </w:t>
      </w:r>
      <w:r>
        <w:t>, significantly outperforming the Sb anode. The phase transition mechanism uncovered in this work provides valuable insights for the rational design of advanced alloy‐based anodes for alkali metal ion batteries.</w:t>
      </w:r>
    </w:p>
    <w:p>
      <w:pPr>
        <w:spacing w:before="120" w:after="120"/>
      </w:pPr>
      <w:r>
        <w:rPr>
          <w:sz w:val="18"/>
        </w:rPr>
        <w:t>——————————————————————————————————————————————————————————————————————</w:t>
      </w:r>
    </w:p>
    <w:p>
      <w:pPr>
        <w:spacing w:before="160" w:after="80" w:line="240" w:lineRule="auto"/>
      </w:pPr>
      <w:r>
        <w:rPr>
          <w:b/>
        </w:rPr>
        <w:t xml:space="preserve">[659] </w:t>
      </w:r>
      <w:hyperlink r:id="rId1072">
        <w:r>
          <w:rPr>
            <w:color w:val="1155CC"/>
            <w:u w:val="single"/>
          </w:rPr>
          <w:t>Boosting CO2 Photoreduction via Ligand‐Engineered Single‐Atom Cobalt Sites in Covalent Organic Frameworks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05:37:23+00:00</w:t>
      </w:r>
      <w:r>
        <w:t xml:space="preserve">    </w:t>
      </w:r>
      <w:r>
        <w:rPr>
          <w:b/>
        </w:rPr>
        <w:t xml:space="preserve">DOI: </w:t>
      </w:r>
      <w:hyperlink r:id="rId1073">
        <w:r>
          <w:rPr>
            <w:color w:val="1155CC"/>
            <w:u w:val="single"/>
          </w:rPr>
          <w:t>10.1002/anie.202517289</w:t>
        </w:r>
      </w:hyperlink>
    </w:p>
    <w:p>
      <w:pPr>
        <w:spacing w:before="0" w:after="120"/>
      </w:pPr>
      <w:r>
        <w:rPr>
          <w:b/>
        </w:rPr>
        <w:t xml:space="preserve">Notes: </w:t>
      </w:r>
      <w:r>
        <w:t>abstract_source=crossref</w:t>
      </w:r>
    </w:p>
    <w:p>
      <w:pPr>
        <w:spacing w:before="0" w:after="200" w:lineRule="auto" w:line="276"/>
      </w:pPr>
      <w:r>
        <w:rPr>
          <w:b/>
        </w:rPr>
        <w:t xml:space="preserve">Abstract: </w:t>
      </w:r>
      <w:r>
        <w:t>The microenvironment of single‐atom active sites plays a pivotal role in determining the activity and selectivity of the CO</w:t>
      </w:r>
      <w:r>
        <w:rPr>
          <w:vertAlign w:val="subscript"/>
        </w:rPr>
        <w:t>2</w:t>
      </w:r>
      <w:r>
        <w:t>reduction reaction (CO</w:t>
      </w:r>
      <w:r>
        <w:rPr>
          <w:vertAlign w:val="subscript"/>
        </w:rPr>
        <w:t>2</w:t>
      </w:r>
      <w:r>
        <w:t>RR). Herein, we report a highly efficient single‐atom catalyst, Co‐DABT‐COF, featuring Co(II)‐bithiazole N motifs that achieve exceptional CO</w:t>
      </w:r>
      <w:r>
        <w:rPr>
          <w:vertAlign w:val="subscript"/>
        </w:rPr>
        <w:t>2</w:t>
      </w:r>
      <w:r>
        <w:t>photoreduction performance (16.4 mmol g</w:t>
      </w:r>
      <w:r>
        <w:t xml:space="preserve"> </w:t>
      </w:r>
      <w:r>
        <w:t>−1</w:t>
      </w:r>
      <w:r>
        <w:t xml:space="preserve"> </w:t>
      </w:r>
      <w:r>
        <w:t>h</w:t>
      </w:r>
      <w:r>
        <w:t xml:space="preserve"> </w:t>
      </w:r>
      <w:r>
        <w:t>−1</w:t>
      </w:r>
      <w:r>
        <w:t xml:space="preserve"> </w:t>
      </w:r>
      <w:r>
        <w:t>, 96% selectivity) under visible light irradiation in the presence of a photosensitizer and a sacrificial agent. Through isoreticular design maintaining identical Co‐N</w:t>
      </w:r>
      <w:r>
        <w:rPr>
          <w:vertAlign w:val="subscript"/>
        </w:rPr>
        <w:t>2</w:t>
      </w:r>
      <w:r>
        <w:t>O</w:t>
      </w:r>
      <w:r>
        <w:rPr>
          <w:vertAlign w:val="subscript"/>
        </w:rPr>
        <w:t>2</w:t>
      </w:r>
      <w:r>
        <w:t>primary coordination, Co‐DABT‐COF exhibits 2.8‐fold higher activity than its bipyridine analogue Co‐Bpy‐COF with Co(II)‐bipyridine N motifs (5.8 mmol g</w:t>
      </w:r>
      <w:r>
        <w:t xml:space="preserve"> </w:t>
      </w:r>
      <w:r>
        <w:t>−1</w:t>
      </w:r>
      <w:r>
        <w:t xml:space="preserve"> </w:t>
      </w:r>
      <w:r>
        <w:t>h</w:t>
      </w:r>
      <w:r>
        <w:t xml:space="preserve"> </w:t>
      </w:r>
      <w:r>
        <w:t>−1</w:t>
      </w:r>
      <w:r>
        <w:t xml:space="preserve"> </w:t>
      </w:r>
      <w:r>
        <w:t>). Systematic characterization reveals the 2,2′‐bithiazole ligand significantly enhances charge transfer efficiency and reduces the activation energy barrier for *COOH intermediate formation (0.79 eV versus 1.14 eV). Bader charge analysis demonstrates stronger electron donation from Co sites to CO</w:t>
      </w:r>
      <w:r>
        <w:rPr>
          <w:vertAlign w:val="subscript"/>
        </w:rPr>
        <w:t>2</w:t>
      </w:r>
      <w:r>
        <w:t>(0.63 e for Co‐DABT‐COF versus 0.58 e for Co‐Bpy‐COF), facilitating CO</w:t>
      </w:r>
      <w:r>
        <w:rPr>
          <w:vertAlign w:val="subscript"/>
        </w:rPr>
        <w:t>2</w:t>
      </w:r>
      <w:r>
        <w:t>activation. This work demonstrates a ligand‐engineering strategy for precisely tuning the electronic structure of single‐atom active sites to achieve efficient CO</w:t>
      </w:r>
      <w:r>
        <w:rPr>
          <w:vertAlign w:val="subscript"/>
        </w:rPr>
        <w:t>2</w:t>
      </w:r>
      <w:r>
        <w:t>conversion.</w:t>
      </w:r>
    </w:p>
    <w:p>
      <w:pPr>
        <w:spacing w:before="120" w:after="120"/>
      </w:pPr>
      <w:r>
        <w:rPr>
          <w:sz w:val="18"/>
        </w:rPr>
        <w:t>——————————————————————————————————————————————————————————————————————</w:t>
      </w:r>
    </w:p>
    <w:p>
      <w:pPr>
        <w:spacing w:before="160" w:after="80" w:line="240" w:lineRule="auto"/>
      </w:pPr>
      <w:r>
        <w:rPr>
          <w:b/>
        </w:rPr>
        <w:t xml:space="preserve">[660] </w:t>
      </w:r>
      <w:hyperlink r:id="rId1074">
        <w:r>
          <w:rPr>
            <w:color w:val="1155CC"/>
            <w:u w:val="single"/>
          </w:rPr>
          <w:t>Geneticability of Live‐Cell Site‐Specific Synthesis of Quantum Dots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05:37:53+00:00</w:t>
      </w:r>
      <w:r>
        <w:t xml:space="preserve">    </w:t>
      </w:r>
      <w:r>
        <w:rPr>
          <w:b/>
        </w:rPr>
        <w:t xml:space="preserve">DOI: </w:t>
      </w:r>
      <w:hyperlink r:id="rId1075">
        <w:r>
          <w:rPr>
            <w:color w:val="1155CC"/>
            <w:u w:val="single"/>
          </w:rPr>
          <w:t>10.1002/anie.202519974</w:t>
        </w:r>
      </w:hyperlink>
    </w:p>
    <w:p>
      <w:pPr>
        <w:spacing w:before="0" w:after="120"/>
      </w:pPr>
      <w:r>
        <w:rPr>
          <w:b/>
        </w:rPr>
        <w:t xml:space="preserve">Notes: </w:t>
      </w:r>
      <w:r>
        <w:t>abstract_source=crossref</w:t>
      </w:r>
    </w:p>
    <w:p>
      <w:pPr>
        <w:spacing w:before="0" w:after="200" w:lineRule="auto" w:line="276"/>
      </w:pPr>
      <w:r>
        <w:rPr>
          <w:b/>
        </w:rPr>
        <w:t xml:space="preserve">Abstract: </w:t>
      </w:r>
      <w:r>
        <w:t>Molecular‐scale integration of non‐natural functional components into living systems for precise manipulation, monitoring, and enhancement of organisms remains a great challenge. Here, we achieved the geneticable synthesis of functional inorganic nanomaterials with molecular‐level spatial precision within live mammalian cells. By genetically encoding a cysteine‐rich protein tag named 1DFS, and tuning its intracellular inherent metabolic pathways, organic molecules can be precisely synergized with inorganic molecules at a specific site of the protein of interest within live cells to grow a single inorganic semiconductor nanocrystal‐specifically quantum dot (QD). This, in turn, endows the protein with unique fluorescent functions for precise and stable protein labeling even after multiple cell passages. This approach is flexible and universal, and QD can not only integrate into the specific protein in live cells but also synchronously grow on the delicate viral nucleoprotein (NP) during the natural replication and assembly of virions in the host cells. The labeled NPs then accurately assemble into viral ribonucleoproteins deep inside virions, resulting in fluorescent virions with full infectivity that exceeds capabilities of conventional genetic manipulation. This work provides a programmable platform for geneticable growth of inorganic nanomaterials at specific molecular sites, opening a new frontier in precise inorganic‐enabled synthetic biology.</w:t>
      </w:r>
    </w:p>
    <w:p>
      <w:pPr>
        <w:spacing w:before="120" w:after="120"/>
      </w:pPr>
      <w:r>
        <w:rPr>
          <w:sz w:val="18"/>
        </w:rPr>
        <w:t>——————————————————————————————————————————————————————————————————————</w:t>
      </w:r>
    </w:p>
    <w:p>
      <w:pPr>
        <w:spacing w:before="160" w:after="80" w:line="240" w:lineRule="auto"/>
      </w:pPr>
      <w:r>
        <w:rPr>
          <w:b/>
        </w:rPr>
        <w:t xml:space="preserve">[661] </w:t>
      </w:r>
      <w:hyperlink r:id="rId1076">
        <w:r>
          <w:rPr>
            <w:color w:val="1155CC"/>
            <w:u w:val="single"/>
          </w:rPr>
          <w:t>Pulse‐Constructed Cuδ+/CuOx Reduces the C─Cl Dipole Moment to Enable Complete Deuterodechlorination of Trichloroacetic Acid</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05:37:58+00:00</w:t>
      </w:r>
      <w:r>
        <w:t xml:space="preserve">    </w:t>
      </w:r>
      <w:r>
        <w:rPr>
          <w:b/>
        </w:rPr>
        <w:t xml:space="preserve">DOI: </w:t>
      </w:r>
      <w:hyperlink r:id="rId1077">
        <w:r>
          <w:rPr>
            <w:color w:val="1155CC"/>
            <w:u w:val="single"/>
          </w:rPr>
          <w:t>10.1002/anie.202522820</w:t>
        </w:r>
      </w:hyperlink>
    </w:p>
    <w:p>
      <w:pPr>
        <w:spacing w:before="0" w:after="120"/>
      </w:pPr>
      <w:r>
        <w:rPr>
          <w:b/>
        </w:rPr>
        <w:t xml:space="preserve">Notes: </w:t>
      </w:r>
      <w:r>
        <w:t>abstract_source=crossref</w:t>
      </w:r>
    </w:p>
    <w:p>
      <w:pPr>
        <w:spacing w:before="0" w:after="200" w:lineRule="auto" w:line="276"/>
      </w:pPr>
      <w:r>
        <w:rPr>
          <w:b/>
        </w:rPr>
        <w:t xml:space="preserve">Abstract: </w:t>
      </w:r>
      <w:r>
        <w:t>Electrocatalytic deuterodechlorination of trichloroacetic acid with D</w:t>
      </w:r>
      <w:r>
        <w:rPr>
          <w:vertAlign w:val="subscript"/>
        </w:rPr>
        <w:t>2</w:t>
      </w:r>
      <w:r>
        <w:t>O provides a high single‐pass deuterium ratio avenue for the synthesis of acetic‐</w:t>
      </w:r>
      <w:r>
        <w:t xml:space="preserve"> </w:t>
      </w:r>
      <w:r>
        <w:t>d</w:t>
      </w:r>
      <w:r>
        <w:rPr>
          <w:vertAlign w:val="subscript"/>
        </w:rPr>
        <w:t>3</w:t>
      </w:r>
      <w:r>
        <w:t>acid at room temperature. However, increasing C─Cl dipole moments via stepwise dechlorination, and gradual active site deactivation make active and stable complete dechlorination highly challenging. Here, metastable Cu</w:t>
      </w:r>
      <w:r>
        <w:t xml:space="preserve"> </w:t>
      </w:r>
      <w:r>
        <w:t>δ+</w:t>
      </w:r>
      <w:r>
        <w:t xml:space="preserve"> </w:t>
      </w:r>
      <w:r>
        <w:t>/CuO</w:t>
      </w:r>
      <w:r>
        <w:t xml:space="preserve"> </w:t>
      </w:r>
      <w:r>
        <w:t>x</w:t>
      </w:r>
      <w:r>
        <w:t xml:space="preserve"> </w:t>
      </w:r>
      <w:r>
        <w:t>dual sites are constructed in situ and maintained under pulsed electrolysis, enabling 70 h of stable electrosynthesis of acetic‐</w:t>
      </w:r>
      <w:r>
        <w:t xml:space="preserve"> </w:t>
      </w:r>
      <w:r>
        <w:t>d</w:t>
      </w:r>
      <w:r>
        <w:rPr>
          <w:vertAlign w:val="subscript"/>
        </w:rPr>
        <w:t>3</w:t>
      </w:r>
      <w:r>
        <w:t>acid with a 97% deuterium ratio. Surface copper oxides are formed in situ and then convert to Cu</w:t>
      </w:r>
      <w:r>
        <w:t xml:space="preserve"> </w:t>
      </w:r>
      <w:r>
        <w:t>δ+</w:t>
      </w:r>
      <w:r>
        <w:t xml:space="preserve"> </w:t>
      </w:r>
      <w:r>
        <w:t>/CuO</w:t>
      </w:r>
      <w:r>
        <w:t xml:space="preserve"> </w:t>
      </w:r>
      <w:r>
        <w:t>x</w:t>
      </w:r>
      <w:r>
        <w:t xml:space="preserve"> </w:t>
      </w:r>
      <w:r>
        <w:t>when the oxidation and reduction potentials are intermittently applied, which enhances C─Cl adsorption to promote electron transfer to Cl atoms and attracts ─COOH to increase the electronegativity of the C atom of C─Cl, remarkably reducing the C─Cl dipole moment and promoting complete dechlorination. The fast electrosynthesis of 20 g of CD</w:t>
      </w:r>
      <w:r>
        <w:rPr>
          <w:vertAlign w:val="subscript"/>
        </w:rPr>
        <w:t>3</w:t>
      </w:r>
      <w:r>
        <w:t>COOH with applications in the deuterium labeling of drugs and DNA bases and markedly increased yields in the hydrogenation/deuteration of other chlorides and bromides demonstrate the methodology's potential.</w:t>
      </w:r>
    </w:p>
    <w:p>
      <w:pPr>
        <w:spacing w:before="120" w:after="120"/>
      </w:pPr>
      <w:r>
        <w:rPr>
          <w:sz w:val="18"/>
        </w:rPr>
        <w:t>——————————————————————————————————————————————————————————————————————</w:t>
      </w:r>
    </w:p>
    <w:p>
      <w:pPr>
        <w:spacing w:before="160" w:after="80" w:line="240" w:lineRule="auto"/>
      </w:pPr>
      <w:r>
        <w:rPr>
          <w:b/>
        </w:rPr>
        <w:t xml:space="preserve">[662] </w:t>
      </w:r>
      <w:hyperlink r:id="rId1078">
        <w:r>
          <w:rPr>
            <w:color w:val="1155CC"/>
            <w:u w:val="single"/>
          </w:rPr>
          <w:t>Pyroglutamate PTMs as Bioorthogonal Reactive Handles: Ru/Ni Photoredox Coupling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05:40:14+00:00</w:t>
      </w:r>
      <w:r>
        <w:t xml:space="preserve">    </w:t>
      </w:r>
      <w:r>
        <w:rPr>
          <w:b/>
        </w:rPr>
        <w:t xml:space="preserve">DOI: </w:t>
      </w:r>
      <w:hyperlink r:id="rId1079">
        <w:r>
          <w:rPr>
            <w:color w:val="1155CC"/>
            <w:u w:val="single"/>
          </w:rPr>
          <w:t>10.1002/anie.202523879</w:t>
        </w:r>
      </w:hyperlink>
    </w:p>
    <w:p>
      <w:pPr>
        <w:spacing w:before="0" w:after="120"/>
      </w:pPr>
      <w:r>
        <w:rPr>
          <w:b/>
        </w:rPr>
        <w:t xml:space="preserve">Notes: </w:t>
      </w:r>
      <w:r>
        <w:t>abstract_source=crossref</w:t>
      </w:r>
    </w:p>
    <w:p>
      <w:pPr>
        <w:spacing w:before="0" w:after="200" w:lineRule="auto" w:line="276"/>
      </w:pPr>
      <w:r>
        <w:rPr>
          <w:b/>
        </w:rPr>
        <w:t xml:space="preserve">Abstract: </w:t>
      </w:r>
      <w:r>
        <w:t>Post‐translational modifications (PTMs) play essential roles in living systems. However, the biological roles of some PTMs, such as N‐terminal pyroglutamate, are poorly understood due to a dearth of chemical and/or biological tools to label, quantify, or identify pyroglutamate residues. In this report, we describe a photoredox catalysis process that enables direct pyroglutamate N–H arylation in peptides and proteins, using (hetero)aryl bromide reagents. The reactivity demonstrates the potential for multi‐point binding to recognize peptide backbone structures for exquisitely chemoselective modifications in complex polyfunctional environments. The results provide the first chemical tool to modify pyroglutamate residues within complex polypeptides in biocompatible aqueous environments.</w:t>
      </w:r>
    </w:p>
    <w:p>
      <w:pPr>
        <w:spacing w:before="120" w:after="120"/>
      </w:pPr>
      <w:r>
        <w:rPr>
          <w:sz w:val="18"/>
        </w:rPr>
        <w:t>——————————————————————————————————————————————————————————————————————</w:t>
      </w:r>
    </w:p>
    <w:p>
      <w:pPr>
        <w:spacing w:before="160" w:after="80" w:line="240" w:lineRule="auto"/>
      </w:pPr>
      <w:r>
        <w:rPr>
          <w:b/>
        </w:rPr>
        <w:t xml:space="preserve">[663] </w:t>
      </w:r>
      <w:hyperlink r:id="rId1080">
        <w:r>
          <w:rPr>
            <w:color w:val="1155CC"/>
            <w:u w:val="single"/>
          </w:rPr>
          <w:t>Practical Synthesis of Allylic Heteroaromatic Amines via Pd‐Catalyzed Oxidative Amination of Olefins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05:40:44+00:00</w:t>
      </w:r>
      <w:r>
        <w:t xml:space="preserve">    </w:t>
      </w:r>
      <w:r>
        <w:rPr>
          <w:b/>
        </w:rPr>
        <w:t xml:space="preserve">DOI: </w:t>
      </w:r>
      <w:hyperlink r:id="rId1081">
        <w:r>
          <w:rPr>
            <w:color w:val="1155CC"/>
            <w:u w:val="single"/>
          </w:rPr>
          <w:t>10.1002/anie.202520265</w:t>
        </w:r>
      </w:hyperlink>
    </w:p>
    <w:p>
      <w:pPr>
        <w:spacing w:before="0" w:after="120"/>
      </w:pPr>
      <w:r>
        <w:rPr>
          <w:b/>
        </w:rPr>
        <w:t xml:space="preserve">Notes: </w:t>
      </w:r>
      <w:r>
        <w:t>abstract_source=crossref</w:t>
      </w:r>
    </w:p>
    <w:p>
      <w:pPr>
        <w:spacing w:before="0" w:after="200" w:lineRule="auto" w:line="276"/>
      </w:pPr>
      <w:r>
        <w:rPr>
          <w:b/>
        </w:rPr>
        <w:t xml:space="preserve">Abstract: </w:t>
      </w:r>
      <w:r>
        <w:t>Heteroaryl amines are prone to over coordination in the transition metal‐catalyzed olefin oxidation reaction system, which hinders the smooth catalytic reaction. Herein, we report a general method for the direct C─N coupling between inactive olefins and primary and secondary heterocyclic aromatic amines under palladium catalysis, which is an important transition that has not yet been revealed. By employing commercially available palladium catalysts, quinone oxidants, and inexpensive monodentate phosphine ligands, the oxidative amination of diverse heteroaryl amines proceeds smoothly, delivering a broad range of allyl heteroaryl amines with excellent regio‐ and stereoselectivity. Notably, this strategy enables the late‐stage modification of challenging biologically relevant molecules such as adenine and adenosine, further highlighting the practicality and synthetic utility of this reaction.</w:t>
      </w:r>
    </w:p>
    <w:p>
      <w:pPr>
        <w:spacing w:before="120" w:after="120"/>
      </w:pPr>
      <w:r>
        <w:rPr>
          <w:sz w:val="18"/>
        </w:rPr>
        <w:t>——————————————————————————————————————————————————————————————————————</w:t>
      </w:r>
    </w:p>
    <w:p>
      <w:pPr>
        <w:spacing w:before="160" w:after="80" w:line="240" w:lineRule="auto"/>
      </w:pPr>
      <w:r>
        <w:rPr>
          <w:b/>
        </w:rPr>
        <w:t xml:space="preserve">[664] </w:t>
      </w:r>
      <w:hyperlink r:id="rId1082">
        <w:r>
          <w:rPr>
            <w:color w:val="1155CC"/>
            <w:u w:val="single"/>
          </w:rPr>
          <w:t>Continuous Coupling Mechanism for High Rate Electrosynthesis of Urea on Sulfur‐Coordinated Adjacent Copper Sites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05:41:09+00:00</w:t>
      </w:r>
      <w:r>
        <w:t xml:space="preserve">    </w:t>
      </w:r>
      <w:r>
        <w:rPr>
          <w:b/>
        </w:rPr>
        <w:t xml:space="preserve">DOI: </w:t>
      </w:r>
      <w:hyperlink r:id="rId1083">
        <w:r>
          <w:rPr>
            <w:color w:val="1155CC"/>
            <w:u w:val="single"/>
          </w:rPr>
          <w:t>10.1002/anie.202521363</w:t>
        </w:r>
      </w:hyperlink>
    </w:p>
    <w:p>
      <w:pPr>
        <w:spacing w:before="0" w:after="120"/>
      </w:pPr>
      <w:r>
        <w:rPr>
          <w:b/>
        </w:rPr>
        <w:t xml:space="preserve">Notes: </w:t>
      </w:r>
      <w:r>
        <w:t>abstract_source=crossref</w:t>
      </w:r>
    </w:p>
    <w:p>
      <w:pPr>
        <w:spacing w:before="0" w:after="200" w:lineRule="auto" w:line="276"/>
      </w:pPr>
      <w:r>
        <w:rPr>
          <w:b/>
        </w:rPr>
        <w:t xml:space="preserve">Abstract: </w:t>
      </w:r>
      <w:r>
        <w:t>The co‐electrolysis of nitrate (NO</w:t>
      </w:r>
      <w:r>
        <w:rPr>
          <w:vertAlign w:val="subscript"/>
        </w:rPr>
        <w:t>3</w:t>
      </w:r>
      <w:r>
        <w:t>−</w:t>
      </w:r>
      <w:r>
        <w:t>) and carbon dioxide (CO</w:t>
      </w:r>
      <w:r>
        <w:rPr>
          <w:vertAlign w:val="subscript"/>
        </w:rPr>
        <w:t>2</w:t>
      </w:r>
      <w:r>
        <w:t>) to synthesize urea can satisfy the comprehensive needs of carbon footprint closure, waste valorization, and sustainable urea production. However, designing efficient electrocatalysts to promote the electrocatalytic C─N coupling process and achieve efficient urea production remains a challenge. Here, we design a copper (Cu)‐based coordination polymer catalyst, which can achieve the dual function of promoting C─N coupling and protonation through sulfur (S)‐coordinated adjacent Cu sites. Through the unique Continuous Coupling Mechanism (CCM) of low Gibbs free energy of reaction intermediates (*CO</w:t>
      </w:r>
      <w:r>
        <w:rPr>
          <w:vertAlign w:val="subscript"/>
        </w:rPr>
        <w:t>2</w:t>
      </w:r>
      <w:r>
        <w:t>+ *NO to *CO</w:t>
      </w:r>
      <w:r>
        <w:rPr>
          <w:vertAlign w:val="subscript"/>
        </w:rPr>
        <w:t>2</w:t>
      </w:r>
      <w:r>
        <w:t>NO to *ONCO</w:t>
      </w:r>
      <w:r>
        <w:rPr>
          <w:vertAlign w:val="subscript"/>
        </w:rPr>
        <w:t>2</w:t>
      </w:r>
      <w:r>
        <w:t>NO), the resulting catalyst achieved ultra‐high Faradaic efficiency (FE) (84.9 ± 3.1%) and production rate (0.34 ± 0.012 mol h</w:t>
      </w:r>
      <w:r>
        <w:t xml:space="preserve"> </w:t>
      </w:r>
      <w:r>
        <w:t>−1</w:t>
      </w:r>
      <w:r>
        <w:t xml:space="preserve"> </w:t>
      </w:r>
      <w:r>
        <w:t>g</w:t>
      </w:r>
      <w:r>
        <w:t xml:space="preserve"> </w:t>
      </w:r>
      <w:r>
        <w:t>−1</w:t>
      </w:r>
      <w:r>
        <w:t xml:space="preserve"> </w:t>
      </w:r>
      <w:r>
        <w:t>). Moreover, the FE and production rate of urea did not change noticeably during at least 90 cycles of testing.</w:t>
      </w:r>
    </w:p>
    <w:p>
      <w:pPr>
        <w:spacing w:before="120" w:after="120"/>
      </w:pPr>
      <w:r>
        <w:rPr>
          <w:sz w:val="18"/>
        </w:rPr>
        <w:t>——————————————————————————————————————————————————————————————————————</w:t>
      </w:r>
    </w:p>
    <w:p>
      <w:pPr>
        <w:spacing w:before="160" w:after="80" w:line="240" w:lineRule="auto"/>
      </w:pPr>
      <w:r>
        <w:rPr>
          <w:b/>
        </w:rPr>
        <w:t xml:space="preserve">[665] </w:t>
      </w:r>
      <w:hyperlink r:id="rId1084">
        <w:r>
          <w:rPr>
            <w:color w:val="1155CC"/>
            <w:u w:val="single"/>
          </w:rPr>
          <w:t>Dual‐Function Antibacterial and Antibiofilm Agent Based on a Confinement‐Activated Fluorescent System in Water</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05:42:28+00:00</w:t>
      </w:r>
      <w:r>
        <w:t xml:space="preserve">    </w:t>
      </w:r>
      <w:r>
        <w:rPr>
          <w:b/>
        </w:rPr>
        <w:t xml:space="preserve">DOI: </w:t>
      </w:r>
      <w:hyperlink r:id="rId1085">
        <w:r>
          <w:rPr>
            <w:color w:val="1155CC"/>
            <w:u w:val="single"/>
          </w:rPr>
          <w:t>10.1002/anie.202521285</w:t>
        </w:r>
      </w:hyperlink>
    </w:p>
    <w:p>
      <w:pPr>
        <w:spacing w:before="0" w:after="120"/>
      </w:pPr>
      <w:r>
        <w:rPr>
          <w:b/>
        </w:rPr>
        <w:t xml:space="preserve">Notes: </w:t>
      </w:r>
      <w:r>
        <w:t>abstract_source=crossref</w:t>
      </w:r>
    </w:p>
    <w:p>
      <w:pPr>
        <w:spacing w:before="0" w:after="200" w:lineRule="auto" w:line="276"/>
      </w:pPr>
      <w:r>
        <w:rPr>
          <w:b/>
        </w:rPr>
        <w:t xml:space="preserve">Abstract: </w:t>
      </w:r>
      <w:r>
        <w:t>The influence of host–guest interactions on the physical behavior of encapsulated species represents a compelling area of study. Research in this domain has predominantly centered on how these interactions affect catalytic activity and the photoluminescence properties of confined guest molecules. In contrast, their potential impact on antibacterial and antibiofilm activity has been rare. In this report, we present antibacterial and antibiofilm activity of a Pd</w:t>
      </w:r>
      <w:r>
        <w:rPr>
          <w:vertAlign w:val="subscript"/>
        </w:rPr>
        <w:t>8</w:t>
      </w:r>
      <w:r>
        <w:t>low‐symmetric molecular barrel (</w:t>
      </w:r>
      <w:r>
        <w:t xml:space="preserve"> </w:t>
      </w:r>
      <w:r>
        <w:t>LSMB</w:t>
      </w:r>
      <w:r>
        <w:t xml:space="preserve"> </w:t>
      </w:r>
      <w:r>
        <w:t>) based host–guest system (</w:t>
      </w:r>
      <w:r>
        <w:t xml:space="preserve"> </w:t>
      </w:r>
      <w:r>
        <w:t>TPH⊂LSMB</w:t>
      </w:r>
      <w:r>
        <w:t xml:space="preserve"> </w:t>
      </w:r>
      <w:r>
        <w:t>) in water. The new low‐symmetric ligand (</w:t>
      </w:r>
      <w:r>
        <w:t xml:space="preserve"> </w:t>
      </w:r>
      <w:r>
        <w:t>L</w:t>
      </w:r>
      <w:r>
        <w:t xml:space="preserve"> </w:t>
      </w:r>
      <w:r>
        <w:t>) upon self‐assembly with a</w:t>
      </w:r>
      <w:r>
        <w:t xml:space="preserve"> </w:t>
      </w:r>
      <w:r>
        <w:t>cis‐</w:t>
      </w:r>
      <w:r>
        <w:t xml:space="preserve"> </w:t>
      </w:r>
      <w:r>
        <w:t>Pd(II) acceptor generated a tetrafacial low‐symmetrical barrel (</w:t>
      </w:r>
      <w:r>
        <w:t xml:space="preserve"> </w:t>
      </w:r>
      <w:r>
        <w:t>LSMB</w:t>
      </w:r>
      <w:r>
        <w:t xml:space="preserve"> </w:t>
      </w:r>
      <w:r>
        <w:t>). Encapsulation of a guest</w:t>
      </w:r>
      <w:r>
        <w:t xml:space="preserve"> </w:t>
      </w:r>
      <w:r>
        <w:t>TPH</w:t>
      </w:r>
      <w:r>
        <w:t xml:space="preserve"> </w:t>
      </w:r>
      <w:r>
        <w:t>[1,4‐bis(2,2‐diphenylvinyl)benzene], which is otherwise non‐emissive in dilute solution, by</w:t>
      </w:r>
      <w:r>
        <w:t xml:space="preserve"> </w:t>
      </w:r>
      <w:r>
        <w:t>LSMB</w:t>
      </w:r>
      <w:r>
        <w:t xml:space="preserve"> </w:t>
      </w:r>
      <w:r>
        <w:t>resulted in a remarkable increase in its emission intensity even in very dilute aqueous conditions. The host–guest complex (</w:t>
      </w:r>
      <w:r>
        <w:t xml:space="preserve"> </w:t>
      </w:r>
      <w:r>
        <w:t>TPH⊂LSMB)</w:t>
      </w:r>
      <w:r>
        <w:t xml:space="preserve"> </w:t>
      </w:r>
      <w:r>
        <w:t>shows better antibacterial and antibiofilm activity compared to the host (</w:t>
      </w:r>
      <w:r>
        <w:t xml:space="preserve"> </w:t>
      </w:r>
      <w:r>
        <w:t>LSMB</w:t>
      </w:r>
      <w:r>
        <w:t xml:space="preserve"> </w:t>
      </w:r>
      <w:r>
        <w:t>). More interestingly,</w:t>
      </w:r>
      <w:r>
        <w:t xml:space="preserve"> </w:t>
      </w:r>
      <w:r>
        <w:t>TPH⊂LSMB</w:t>
      </w:r>
      <w:r>
        <w:t xml:space="preserve"> </w:t>
      </w:r>
      <w:r>
        <w:t>shows better antibacterial and antibiofilm activity against Gram‐negative bacterial strains as compared to Gram‐positive strains. This selectivity against Gram‐negative strains provides a critical advancement in the rational design of supramolecular antibacterial and antibiofilm agents. The findings provide valuable insights for the development of next‐generation, light‐independent therapeutic systems specifically tailored to overcome the inherent challenges posed by Gram‐negative pathogens.</w:t>
      </w:r>
    </w:p>
    <w:p>
      <w:pPr>
        <w:spacing w:before="120" w:after="120"/>
      </w:pPr>
      <w:r>
        <w:rPr>
          <w:sz w:val="18"/>
        </w:rPr>
        <w:t>——————————————————————————————————————————————————————————————————————</w:t>
      </w:r>
    </w:p>
    <w:p>
      <w:pPr>
        <w:spacing w:before="160" w:after="80" w:line="240" w:lineRule="auto"/>
      </w:pPr>
      <w:r>
        <w:rPr>
          <w:b/>
        </w:rPr>
        <w:t xml:space="preserve">[666] </w:t>
      </w:r>
      <w:hyperlink r:id="rId1086">
        <w:r>
          <w:rPr>
            <w:color w:val="1155CC"/>
            <w:u w:val="single"/>
          </w:rPr>
          <w:t>Digital Decoding of Multicomponent Protein Systems via Nanocavity‐Confined Single‐Molecule Raman Fingerprinting</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05:43:52+00:00</w:t>
      </w:r>
      <w:r>
        <w:t xml:space="preserve">    </w:t>
      </w:r>
      <w:r>
        <w:rPr>
          <w:b/>
        </w:rPr>
        <w:t xml:space="preserve">DOI: </w:t>
      </w:r>
      <w:hyperlink r:id="rId1087">
        <w:r>
          <w:rPr>
            <w:color w:val="1155CC"/>
            <w:u w:val="single"/>
          </w:rPr>
          <w:t>10.1002/anie.202522371</w:t>
        </w:r>
      </w:hyperlink>
    </w:p>
    <w:p>
      <w:pPr>
        <w:spacing w:before="0" w:after="120"/>
      </w:pPr>
      <w:r>
        <w:rPr>
          <w:b/>
        </w:rPr>
        <w:t xml:space="preserve">Notes: </w:t>
      </w:r>
      <w:r>
        <w:t>abstract_source=crossref</w:t>
      </w:r>
    </w:p>
    <w:p>
      <w:pPr>
        <w:spacing w:before="0" w:after="200" w:lineRule="auto" w:line="276"/>
      </w:pPr>
      <w:r>
        <w:rPr>
          <w:b/>
        </w:rPr>
        <w:t xml:space="preserve">Abstract: </w:t>
      </w:r>
      <w:r>
        <w:t>The ability to identify individual protein species within multicomponent systems remains a major challenge, yet is essential for next‐generation molecular diagnostics and proteomic analysis. Here, we present a single‐molecule Raman fingerprinting strategy for automatic digital decoding of protein compositions in complex systems. A dual‐amplified, interface‐coupled plasmonic nanocavity architecture synergistically integrates gap‐mode coupling with surface plasmon resonance, generating ultralow‐volume, highly enhanced hotspots that reproducibly confine and isolate single proteins, enabling acquisition of intrinsic Raman spectra free from spectral overlap. Using this platform, we achieve high‐throughput hyperspectral Raman fingerprinting of seven representative proteins. A customized machine learning algorithm trained on single‐molecule Raman datasets enables automatic identification and spatial mapping of individual protein species, yielding quantitative and addressable decoding maps. This broadly applicable strategy establishes an intelligent, data‐driven framework for multiplexed protein analysis under ambient conditions, with far‐reaching implications for molecular diagnostics, biosensing, and mechanistic studies of protein function.</w:t>
      </w:r>
    </w:p>
    <w:p>
      <w:pPr>
        <w:spacing w:before="120" w:after="120"/>
      </w:pPr>
      <w:r>
        <w:rPr>
          <w:sz w:val="18"/>
        </w:rPr>
        <w:t>——————————————————————————————————————————————————————————————————————</w:t>
      </w:r>
    </w:p>
    <w:p>
      <w:pPr>
        <w:spacing w:before="160" w:after="80" w:line="240" w:lineRule="auto"/>
      </w:pPr>
      <w:r>
        <w:rPr>
          <w:b/>
        </w:rPr>
        <w:t xml:space="preserve">[667] </w:t>
      </w:r>
      <w:hyperlink r:id="rId1088">
        <w:r>
          <w:rPr>
            <w:color w:val="1155CC"/>
            <w:u w:val="single"/>
          </w:rPr>
          <w:t>Macrocyclic Molecular Glues for the 14‐3‐3/ChREBP Interaction: Affinity and Cooperativity in an Inverse Relationship</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05:44:25+00:00</w:t>
      </w:r>
      <w:r>
        <w:t xml:space="preserve">    </w:t>
      </w:r>
      <w:r>
        <w:rPr>
          <w:b/>
        </w:rPr>
        <w:t xml:space="preserve">DOI: </w:t>
      </w:r>
      <w:hyperlink r:id="rId1089">
        <w:r>
          <w:rPr>
            <w:color w:val="1155CC"/>
            <w:u w:val="single"/>
          </w:rPr>
          <w:t>10.1002/anie.202521678</w:t>
        </w:r>
      </w:hyperlink>
    </w:p>
    <w:p>
      <w:pPr>
        <w:spacing w:before="0" w:after="120"/>
      </w:pPr>
      <w:r>
        <w:rPr>
          <w:b/>
        </w:rPr>
        <w:t xml:space="preserve">Notes: </w:t>
      </w:r>
      <w:r>
        <w:t>abstract_source=crossref</w:t>
      </w:r>
    </w:p>
    <w:p>
      <w:pPr>
        <w:spacing w:before="0" w:after="200" w:lineRule="auto" w:line="276"/>
      </w:pPr>
      <w:r>
        <w:rPr>
          <w:b/>
        </w:rPr>
        <w:t xml:space="preserve">Abstract: </w:t>
      </w:r>
      <w:r>
        <w:t>Molecular glues (MGs) stabilize protein–protein interactions (PPIs) by simultaneously binding two or more proteins at their composite interface. Macrocycles present attractive properties as MGs, including large contact surfaces to address the often flat and undefined composite PPI interfaces, but their structure‐based design has remained intangible. We have designed peptidomimetic macrocycles capable of enhancing the PPI between 14‐3‐3 and the carbohydrate response element binding protein (ChREBP), a regulatory transcription factor. Biophysical characterization of these MGs revealed the importance of optimized linker length, displaying a reduced entropic cost compared to the linear counterparts, while preserving key contacts with 14‐3‐3. Binding assays demonstrated that the macrocycles selectively and cooperatively stabilized the 14‐3‐3/ChREBP complex, with an intriguing inverse relationship between intrinsic binding affinity to 14‐3‐3 and cooperativity in PPI stabilization. Ternary co‐crystal structures of the macrocycles binding at the composite 14‐3‐3/ChREBP interface provided a molecular rationale for the affinity and cooperativity differences. Overall, this study highlights structural, kinetic, and thermodynamic features that guide effective macrocyclic MG design and brings forward the crucial interplay of affinity and cooperativity in stabilizing PPIs.</w:t>
      </w:r>
    </w:p>
    <w:p>
      <w:pPr>
        <w:spacing w:before="120" w:after="120"/>
      </w:pPr>
      <w:r>
        <w:rPr>
          <w:sz w:val="18"/>
        </w:rPr>
        <w:t>——————————————————————————————————————————————————————————————————————</w:t>
      </w:r>
    </w:p>
    <w:p>
      <w:pPr>
        <w:spacing w:before="160" w:after="80" w:line="240" w:lineRule="auto"/>
      </w:pPr>
      <w:r>
        <w:rPr>
          <w:b/>
        </w:rPr>
        <w:t xml:space="preserve">[668] </w:t>
      </w:r>
      <w:hyperlink r:id="rId1090">
        <w:r>
          <w:rPr>
            <w:color w:val="1155CC"/>
            <w:u w:val="single"/>
          </w:rPr>
          <w:t>Unraveling the Role of Molecular Flexibility in Enhancing Pyridine Based Defect Passivation for Efficient and Stable Perovskite Solar Cells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05:45:16+00:00</w:t>
      </w:r>
      <w:r>
        <w:t xml:space="preserve">    </w:t>
      </w:r>
      <w:r>
        <w:rPr>
          <w:b/>
        </w:rPr>
        <w:t xml:space="preserve">DOI: </w:t>
      </w:r>
      <w:hyperlink r:id="rId1091">
        <w:r>
          <w:rPr>
            <w:color w:val="1155CC"/>
            <w:u w:val="single"/>
          </w:rPr>
          <w:t>10.1002/anie.202524079</w:t>
        </w:r>
      </w:hyperlink>
    </w:p>
    <w:p>
      <w:pPr>
        <w:spacing w:before="0" w:after="120"/>
      </w:pPr>
      <w:r>
        <w:rPr>
          <w:b/>
        </w:rPr>
        <w:t xml:space="preserve">Notes: </w:t>
      </w:r>
      <w:r>
        <w:t>abstract_source=crossref</w:t>
      </w:r>
    </w:p>
    <w:p>
      <w:pPr>
        <w:spacing w:before="0" w:after="200" w:lineRule="auto" w:line="276"/>
      </w:pPr>
      <w:r>
        <w:rPr>
          <w:b/>
        </w:rPr>
        <w:t xml:space="preserve">Abstract: </w:t>
      </w:r>
      <w:r>
        <w:t>Molecular modulation of the perovskite/C</w:t>
      </w:r>
      <w:r>
        <w:rPr>
          <w:vertAlign w:val="subscript"/>
        </w:rPr>
        <w:t>60</w:t>
      </w:r>
      <w:r>
        <w:t>interface to reduce defect density plays a decisive role in achieving high‐efficiency and stable inverted perovskite solar cells. However, the impact of substituent flexibility on passivation performance remains insufficiently understood. Here, two structurally analogous pyridine‐based molecules with distinct central substituents 1, 2‐bis(4‐pyridyl) ethane (2PYET) featuring a flexible alkyl chain and 1, 4‐di(4‐pyridyl) benzene (2PYBEN) possessing a rigid phenyl core are designed to elucidate the role of molecular flexibility in perovskite surface passivation. Our study reveals that the flexible central substituent significantly enhances the electron cloud density of the pyridine groups, thereby improving their passivation capability, while simultaneously suppressing molecular aggregation and promoting better interfacial contact. As a result, devices modified with 2PYET achieved a champion power conversion efficiency of 26.03% for 0.09 cm</w:t>
      </w:r>
      <w:r>
        <w:rPr>
          <w:vertAlign w:val="subscript"/>
        </w:rPr>
        <w:t>2</w:t>
      </w:r>
      <w:r>
        <w:t>devices and 24.45% for 1.0 cm</w:t>
      </w:r>
      <w:r>
        <w:rPr>
          <w:vertAlign w:val="subscript"/>
        </w:rPr>
        <w:t>2</w:t>
      </w:r>
      <w:r>
        <w:t>devices.</w:t>
      </w:r>
    </w:p>
    <w:p>
      <w:pPr>
        <w:spacing w:before="120" w:after="120"/>
      </w:pPr>
      <w:r>
        <w:rPr>
          <w:sz w:val="18"/>
        </w:rPr>
        <w:t>——————————————————————————————————————————————————————————————————————</w:t>
      </w:r>
    </w:p>
    <w:p>
      <w:pPr>
        <w:spacing w:before="160" w:after="80" w:line="240" w:lineRule="auto"/>
      </w:pPr>
      <w:r>
        <w:rPr>
          <w:b/>
        </w:rPr>
        <w:t xml:space="preserve">[669] </w:t>
      </w:r>
      <w:hyperlink r:id="rId1092">
        <w:r>
          <w:rPr>
            <w:color w:val="1155CC"/>
            <w:u w:val="single"/>
          </w:rPr>
          <w:t>Chiral Gadolinium Halides with Narrow Ultraviolet B Circularly Polarized Luminescence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05:45:18+00:00</w:t>
      </w:r>
      <w:r>
        <w:t xml:space="preserve">    </w:t>
      </w:r>
      <w:r>
        <w:rPr>
          <w:b/>
        </w:rPr>
        <w:t xml:space="preserve">DOI: </w:t>
      </w:r>
      <w:hyperlink r:id="rId1093">
        <w:r>
          <w:rPr>
            <w:color w:val="1155CC"/>
            <w:u w:val="single"/>
          </w:rPr>
          <w:t>10.1002/anie.202516078</w:t>
        </w:r>
      </w:hyperlink>
    </w:p>
    <w:p>
      <w:pPr>
        <w:spacing w:before="0" w:after="120"/>
      </w:pPr>
      <w:r>
        <w:rPr>
          <w:b/>
        </w:rPr>
        <w:t xml:space="preserve">Notes: </w:t>
      </w:r>
      <w:r>
        <w:t>abstract_source=crossref</w:t>
      </w:r>
    </w:p>
    <w:p>
      <w:pPr>
        <w:spacing w:before="0" w:after="200" w:lineRule="auto" w:line="276"/>
      </w:pPr>
      <w:r>
        <w:rPr>
          <w:b/>
        </w:rPr>
        <w:t xml:space="preserve">Abstract: </w:t>
      </w:r>
      <w:r>
        <w:t>Circularly polarized luminescence (CPL) in the ultraviolet B (UVB) region holds great potential applications in asymmetric catalysis, enantioselective polymerization, and polarization‐based optical anticounterfeiting and information encryption. However, to date, the CPL materials in the UVB region remain unexplored. In this study, the first chiral gadolinium‐based organic–inorganic hybrid metal halides, (</w:t>
      </w:r>
      <w:r>
        <w:t xml:space="preserve"> </w:t>
      </w:r>
      <w:r>
        <w:t>R</w:t>
      </w:r>
      <w:r>
        <w:t xml:space="preserve"> </w:t>
      </w:r>
      <w:r>
        <w:t>/</w:t>
      </w:r>
      <w:r>
        <w:t>S</w:t>
      </w:r>
      <w:r>
        <w:t xml:space="preserve"> </w:t>
      </w:r>
      <w:r>
        <w:t>‐C</w:t>
      </w:r>
      <w:r>
        <w:rPr>
          <w:vertAlign w:val="subscript"/>
        </w:rPr>
        <w:t>3</w:t>
      </w:r>
      <w:r>
        <w:t>H</w:t>
      </w:r>
      <w:r>
        <w:rPr>
          <w:vertAlign w:val="subscript"/>
        </w:rPr>
        <w:t>7</w:t>
      </w:r>
      <w:r>
        <w:t>NF</w:t>
      </w:r>
      <w:r>
        <w:rPr>
          <w:vertAlign w:val="subscript"/>
        </w:rPr>
        <w:t>3</w:t>
      </w:r>
      <w:r>
        <w:t>)</w:t>
      </w:r>
      <w:r>
        <w:rPr>
          <w:vertAlign w:val="subscript"/>
        </w:rPr>
        <w:t>3</w:t>
      </w:r>
      <w:r>
        <w:t>GdCl</w:t>
      </w:r>
      <w:r>
        <w:rPr>
          <w:vertAlign w:val="subscript"/>
        </w:rPr>
        <w:t>6</w:t>
      </w:r>
      <w:r>
        <w:t>(</w:t>
      </w:r>
      <w:r>
        <w:t xml:space="preserve"> </w:t>
      </w:r>
      <w:r>
        <w:t>R</w:t>
      </w:r>
      <w:r>
        <w:t xml:space="preserve"> </w:t>
      </w:r>
      <w:r>
        <w:t>/</w:t>
      </w:r>
      <w:r>
        <w:t xml:space="preserve"> </w:t>
      </w:r>
      <w:r>
        <w:t>S</w:t>
      </w:r>
      <w:r>
        <w:t xml:space="preserve"> </w:t>
      </w:r>
      <w:r>
        <w:t>‐</w:t>
      </w:r>
      <w:r>
        <w:t xml:space="preserve"> </w:t>
      </w:r>
      <w:r>
        <w:t>3F</w:t>
      </w:r>
      <w:r>
        <w:t xml:space="preserve"> </w:t>
      </w:r>
      <w:r>
        <w:t>‐</w:t>
      </w:r>
      <w:r>
        <w:t xml:space="preserve"> </w:t>
      </w:r>
      <w:r>
        <w:t>Gd</w:t>
      </w:r>
      <w:r>
        <w:t xml:space="preserve"> </w:t>
      </w:r>
      <w:r>
        <w:t>), were constructed, which exhibit efficient CPL in the UVB region. Owing to the unique 4</w:t>
      </w:r>
      <w:r>
        <w:t xml:space="preserve"> </w:t>
      </w:r>
      <w:r>
        <w:t>f</w:t>
      </w:r>
      <w:r>
        <w:t xml:space="preserve"> </w:t>
      </w:r>
      <w:r>
        <w:t>‐4</w:t>
      </w:r>
      <w:r>
        <w:t xml:space="preserve"> </w:t>
      </w:r>
      <w:r>
        <w:t>f</w:t>
      </w:r>
      <w:r>
        <w:t xml:space="preserve"> </w:t>
      </w:r>
      <w:r>
        <w:t>transition of Gd</w:t>
      </w:r>
      <w:r>
        <w:t xml:space="preserve"> </w:t>
      </w:r>
      <w:r>
        <w:t>3+</w:t>
      </w:r>
      <w:r>
        <w:t xml:space="preserve"> </w:t>
      </w:r>
      <w:r>
        <w:t>ions,</w:t>
      </w:r>
      <w:r>
        <w:t xml:space="preserve"> </w:t>
      </w:r>
      <w:r>
        <w:t>R</w:t>
      </w:r>
      <w:r>
        <w:t xml:space="preserve"> </w:t>
      </w:r>
      <w:r>
        <w:t>/</w:t>
      </w:r>
      <w:r>
        <w:t xml:space="preserve"> </w:t>
      </w:r>
      <w:r>
        <w:t>S</w:t>
      </w:r>
      <w:r>
        <w:t xml:space="preserve"> </w:t>
      </w:r>
      <w:r>
        <w:t>‐</w:t>
      </w:r>
      <w:r>
        <w:t xml:space="preserve"> </w:t>
      </w:r>
      <w:r>
        <w:t>3F</w:t>
      </w:r>
      <w:r>
        <w:t xml:space="preserve"> </w:t>
      </w:r>
      <w:r>
        <w:t>‐</w:t>
      </w:r>
      <w:r>
        <w:t xml:space="preserve"> </w:t>
      </w:r>
      <w:r>
        <w:t>Gd</w:t>
      </w:r>
      <w:r>
        <w:t xml:space="preserve"> </w:t>
      </w:r>
      <w:r>
        <w:t>shows a high photoluminescent quantum yield of 18%, a narrow full width at half maximum (∼3 nm) and a ultralong photoluminescence lifetime (∼6.6 ms). Additionally, their CPL can be further tuned by applying the external magnetic field. Then the light‐emitting diode (LED) chips coated with</w:t>
      </w:r>
      <w:r>
        <w:t xml:space="preserve"> </w:t>
      </w:r>
      <w:r>
        <w:t>R</w:t>
      </w:r>
      <w:r>
        <w:t xml:space="preserve"> </w:t>
      </w:r>
      <w:r>
        <w:t>‐ or</w:t>
      </w:r>
      <w:r>
        <w:t xml:space="preserve"> </w:t>
      </w:r>
      <w:r>
        <w:t>S</w:t>
      </w:r>
      <w:r>
        <w:t xml:space="preserve"> </w:t>
      </w:r>
      <w:r>
        <w:t>‐</w:t>
      </w:r>
      <w:r>
        <w:t xml:space="preserve"> </w:t>
      </w:r>
      <w:r>
        <w:t>3F</w:t>
      </w:r>
      <w:r>
        <w:t xml:space="preserve"> </w:t>
      </w:r>
      <w:r>
        <w:t>‐</w:t>
      </w:r>
      <w:r>
        <w:t xml:space="preserve"> </w:t>
      </w:r>
      <w:r>
        <w:t>Gd</w:t>
      </w:r>
      <w:r>
        <w:t xml:space="preserve"> </w:t>
      </w:r>
      <w:r>
        <w:t>were also fabricated, which exhibit high dissymmetry factor of + 9.1 × 10</w:t>
      </w:r>
      <w:r>
        <w:t xml:space="preserve"> </w:t>
      </w:r>
      <w:r>
        <w:t>−3</w:t>
      </w:r>
      <w:r>
        <w:t xml:space="preserve"> </w:t>
      </w:r>
      <w:r>
        <w:t>and −8.2 × 10</w:t>
      </w:r>
      <w:r>
        <w:t xml:space="preserve"> </w:t>
      </w:r>
      <w:r>
        <w:t>−3</w:t>
      </w:r>
      <w:r>
        <w:t xml:space="preserve"> </w:t>
      </w:r>
      <w:r>
        <w:t>, further demonstrate their potential as circularly polarized light source in the UVB region. Our work offers a novel strategy for designing the chiral luminescent materials with efficient CPL response in the UVB region and broadens the family of chiral organic–inorganic hybrid rare‐earth halides.</w:t>
      </w:r>
    </w:p>
    <w:p>
      <w:pPr>
        <w:spacing w:before="120" w:after="120"/>
      </w:pPr>
      <w:r>
        <w:rPr>
          <w:sz w:val="18"/>
        </w:rPr>
        <w:t>——————————————————————————————————————————————————————————————————————</w:t>
      </w:r>
    </w:p>
    <w:p>
      <w:pPr>
        <w:spacing w:before="160" w:after="80" w:line="240" w:lineRule="auto"/>
      </w:pPr>
      <w:r>
        <w:rPr>
          <w:b/>
        </w:rPr>
        <w:t xml:space="preserve">[670] </w:t>
      </w:r>
      <w:hyperlink r:id="rId1094">
        <w:r>
          <w:rPr>
            <w:color w:val="1155CC"/>
            <w:u w:val="single"/>
          </w:rPr>
          <w:t>Operando Tracking of Hydrazine Intermediate Reveals the Gerischer–Marcus Pathway for Ammonia Electrooxidation on Oxygen‐Deficient CuO</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05:47:18+00:00</w:t>
      </w:r>
      <w:r>
        <w:t xml:space="preserve">    </w:t>
      </w:r>
      <w:r>
        <w:rPr>
          <w:b/>
        </w:rPr>
        <w:t xml:space="preserve">DOI: </w:t>
      </w:r>
      <w:hyperlink r:id="rId1095">
        <w:r>
          <w:rPr>
            <w:color w:val="1155CC"/>
            <w:u w:val="single"/>
          </w:rPr>
          <w:t>10.1002/anie.202524377</w:t>
        </w:r>
      </w:hyperlink>
    </w:p>
    <w:p>
      <w:pPr>
        <w:spacing w:before="0" w:after="120"/>
      </w:pPr>
      <w:r>
        <w:rPr>
          <w:b/>
        </w:rPr>
        <w:t xml:space="preserve">Notes: </w:t>
      </w:r>
      <w:r>
        <w:t>abstract_source=crossref</w:t>
      </w:r>
    </w:p>
    <w:p>
      <w:pPr>
        <w:spacing w:before="0" w:after="200" w:lineRule="auto" w:line="276"/>
      </w:pPr>
      <w:r>
        <w:rPr>
          <w:b/>
        </w:rPr>
        <w:t xml:space="preserve">Abstract: </w:t>
      </w:r>
      <w:r>
        <w:t>The ammonia electrooxidation reaction (AOR) represents a pivotal process for sustainable energy technologies, yet its mechanism on non‐precious metal catalysts remains ambiguous, primarily due to the elusive nature of key reaction intermediates. Specifically, the role of oxygen vacancies (Ov) in steering the AOR pathway is not well understood. Herein, we directly captured the hydrazine (N</w:t>
      </w:r>
      <w:r>
        <w:rPr>
          <w:vertAlign w:val="subscript"/>
        </w:rPr>
        <w:t>2</w:t>
      </w:r>
      <w:r>
        <w:t>H</w:t>
      </w:r>
      <w:r>
        <w:rPr>
          <w:vertAlign w:val="subscript"/>
        </w:rPr>
        <w:t>4</w:t>
      </w:r>
      <w:r>
        <w:t>) intermediate, which unequivocally confirms the operation of the Gerischer–Marcus (G–M) pathway on oxygen‐deficient copper oxide (CuO). This breakthrough was enabled by an aggregation‐induced emission electrochemiluminescence (AIE‐ECL) probe, which allows quantitative, real‐time detection of N</w:t>
      </w:r>
      <w:r>
        <w:rPr>
          <w:vertAlign w:val="subscript"/>
        </w:rPr>
        <w:t>2</w:t>
      </w:r>
      <w:r>
        <w:t>H</w:t>
      </w:r>
      <w:r>
        <w:rPr>
          <w:vertAlign w:val="subscript"/>
        </w:rPr>
        <w:t>4</w:t>
      </w:r>
      <w:r>
        <w:t>with ultrahigh sensitivity (0.163 nM). The direct visualization of probe consumption via fluorescence microscopy imaging provided orthogonal validation. Combined with in situ spectroscopy and DFT calculations, we establish that oxygen vacancies (Ov) act as a “steering wheel” to preferentially stabilize N</w:t>
      </w:r>
      <w:r>
        <w:rPr>
          <w:vertAlign w:val="subscript"/>
        </w:rPr>
        <w:t>2</w:t>
      </w:r>
      <w:r>
        <w:t>H</w:t>
      </w:r>
      <w:r>
        <w:rPr>
          <w:vertAlign w:val="subscript"/>
        </w:rPr>
        <w:t>4</w:t>
      </w:r>
      <w:r>
        <w:t>and channel the reaction preferentially along the G–M route. A direct correlation between Ov concentration and N</w:t>
      </w:r>
      <w:r>
        <w:rPr>
          <w:vertAlign w:val="subscript"/>
        </w:rPr>
        <w:t>2</w:t>
      </w:r>
      <w:r>
        <w:t>H</w:t>
      </w:r>
      <w:r>
        <w:rPr>
          <w:vertAlign w:val="subscript"/>
        </w:rPr>
        <w:t>4</w:t>
      </w:r>
      <w:r>
        <w:t>accumulation is demonstrated, linking atomic‐scale defect structure to macroscopic catalytic performance. This work not only presents a paradigm for probing elusive electrocatalytic intermediates but also delivers a fundamental principle for influencing reaction pathways through defect engineering.</w:t>
      </w:r>
    </w:p>
    <w:p>
      <w:pPr>
        <w:spacing w:before="120" w:after="120"/>
      </w:pPr>
      <w:r>
        <w:rPr>
          <w:sz w:val="18"/>
        </w:rPr>
        <w:t>——————————————————————————————————————————————————————————————————————</w:t>
      </w:r>
    </w:p>
    <w:p>
      <w:pPr>
        <w:spacing w:before="160" w:after="80" w:line="240" w:lineRule="auto"/>
      </w:pPr>
      <w:r>
        <w:rPr>
          <w:b/>
        </w:rPr>
        <w:t xml:space="preserve">[671] </w:t>
      </w:r>
      <w:hyperlink r:id="rId1096">
        <w:r>
          <w:rPr>
            <w:color w:val="1155CC"/>
            <w:u w:val="single"/>
          </w:rPr>
          <w:t>Photoinduced Ring‐Opening Polymerization of N‐Carboxyanhydrides for the Preparation of Cross‐Linked Polypeptide Gels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05:50:05+00:00</w:t>
      </w:r>
      <w:r>
        <w:t xml:space="preserve">    </w:t>
      </w:r>
      <w:r>
        <w:rPr>
          <w:b/>
        </w:rPr>
        <w:t xml:space="preserve">DOI: </w:t>
      </w:r>
      <w:hyperlink r:id="rId1097">
        <w:r>
          <w:rPr>
            <w:color w:val="1155CC"/>
            <w:u w:val="single"/>
          </w:rPr>
          <w:t>10.1002/anie.202521891</w:t>
        </w:r>
      </w:hyperlink>
    </w:p>
    <w:p>
      <w:pPr>
        <w:spacing w:before="0" w:after="120"/>
      </w:pPr>
      <w:r>
        <w:rPr>
          <w:b/>
        </w:rPr>
        <w:t xml:space="preserve">Notes: </w:t>
      </w:r>
      <w:r>
        <w:t>abstract_source=crossref</w:t>
      </w:r>
    </w:p>
    <w:p>
      <w:pPr>
        <w:spacing w:before="0" w:after="200" w:lineRule="auto" w:line="276"/>
      </w:pPr>
      <w:r>
        <w:rPr>
          <w:b/>
        </w:rPr>
        <w:t xml:space="preserve">Abstract: </w:t>
      </w:r>
      <w:r>
        <w:t>Using light to activate chemical reactions is a powerful approach that allows spatiotemporal control over physicochemical transformations, commonly used in the polymerization and solidification of reactive liquids. Here, we employ a photochemical approach for ring‐opening polymerization (ROP) of α‐amino acid</w:t>
      </w:r>
      <w:r>
        <w:t xml:space="preserve"> </w:t>
      </w:r>
      <w:r>
        <w:t>N</w:t>
      </w:r>
      <w:r>
        <w:t xml:space="preserve"> </w:t>
      </w:r>
      <w:r>
        <w:t>‐carboxyanhydride (NCA) monomers to prepare covalently cross‐linked synthetic polypeptide gels using light. We apply 2‐nitrobenzyl carbamate as a photocaged amine (base), where the switch in its activity after illumination is a key factor in controlling ROP. The released dibutylamine, as a basic species, can deprotonate the NCA and thereby initiate polymerization. We investigate the effects of 2‐nitrobenzyl dibutyl carbamate on γ‐benzyl‐</w:t>
      </w:r>
      <w:r>
        <w:t xml:space="preserve"> </w:t>
      </w:r>
      <w:r>
        <w:t>l</w:t>
      </w:r>
      <w:r>
        <w:t xml:space="preserve"> </w:t>
      </w:r>
      <w:r>
        <w:t>‐glutamate NCA polymerization and apply this approach to prepare covalently cross‐linked polypeptide gels. We demonstrate excellent 2D spatiotemporal control over gelation, further enhanced by the use of an acid inhibitor that prevents overcuring caused by diffusion of active species from the illuminated region. The development of photoinduced polymerization and cross‐linking of NCAs offers significant advantages in polypeptide synthesis and holds great potential for further applications in additive manufacturing.</w:t>
      </w:r>
    </w:p>
    <w:p>
      <w:pPr>
        <w:spacing w:before="120" w:after="120"/>
      </w:pPr>
      <w:r>
        <w:rPr>
          <w:sz w:val="18"/>
        </w:rPr>
        <w:t>——————————————————————————————————————————————————————————————————————</w:t>
      </w:r>
    </w:p>
    <w:p>
      <w:pPr>
        <w:spacing w:before="160" w:after="80" w:line="240" w:lineRule="auto"/>
      </w:pPr>
      <w:r>
        <w:rPr>
          <w:b/>
        </w:rPr>
        <w:t xml:space="preserve">[672] </w:t>
      </w:r>
      <w:hyperlink r:id="rId1098">
        <w:r>
          <w:rPr>
            <w:color w:val="1155CC"/>
            <w:u w:val="single"/>
          </w:rPr>
          <w:t>Circularly Polarized Luminescence with Large Dissymmetry Factor over 10−1 Based on Flexible Point‐Chirality via Programming at Molecular Level</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05:51:28+00:00</w:t>
      </w:r>
      <w:r>
        <w:t xml:space="preserve">    </w:t>
      </w:r>
      <w:r>
        <w:rPr>
          <w:b/>
        </w:rPr>
        <w:t xml:space="preserve">DOI: </w:t>
      </w:r>
      <w:hyperlink r:id="rId1099">
        <w:r>
          <w:rPr>
            <w:color w:val="1155CC"/>
            <w:u w:val="single"/>
          </w:rPr>
          <w:t>10.1002/anie.202523152</w:t>
        </w:r>
      </w:hyperlink>
    </w:p>
    <w:p>
      <w:pPr>
        <w:spacing w:before="0" w:after="120"/>
      </w:pPr>
      <w:r>
        <w:rPr>
          <w:b/>
        </w:rPr>
        <w:t xml:space="preserve">Notes: </w:t>
      </w:r>
      <w:r>
        <w:t>abstract_source=crossref</w:t>
      </w:r>
    </w:p>
    <w:p>
      <w:pPr>
        <w:spacing w:before="0" w:after="200" w:lineRule="auto" w:line="276"/>
      </w:pPr>
      <w:r>
        <w:rPr>
          <w:b/>
        </w:rPr>
        <w:t xml:space="preserve">Abstract: </w:t>
      </w:r>
      <w:r>
        <w:t>In this work, we report a series of small Spirocyclic Chiral Fluorophores (SCFs) with donor‐acceptor type small‐</w:t>
      </w:r>
      <w:r>
        <w:t xml:space="preserve"> </w:t>
      </w:r>
      <w:r>
        <w:t>π</w:t>
      </w:r>
      <w:r>
        <w:t xml:space="preserve"> </w:t>
      </w:r>
      <w:r>
        <w:t>emitters. These SCFs induce mimic</w:t>
      </w:r>
      <w:r>
        <w:t xml:space="preserve"> </w:t>
      </w:r>
      <w:r>
        <w:t>α</w:t>
      </w:r>
      <w:r>
        <w:t xml:space="preserve"> </w:t>
      </w:r>
      <w:r>
        <w:t>‐helix supramolecular packing modes via adjustments at the molecular level (e.g., hydrogen bonding sites, positions of fused rings). This approach not only enhances circularly polarized luminescence (CPL) with the luminescence dissymmetry factor (</w:t>
      </w:r>
      <w:r>
        <w:t xml:space="preserve"> </w:t>
      </w:r>
      <w:r>
        <w:t>g</w:t>
      </w:r>
      <w:r>
        <w:t xml:space="preserve"> </w:t>
      </w:r>
      <w:r>
        <w:t>lum</w:t>
      </w:r>
      <w:r>
        <w:t xml:space="preserve"> </w:t>
      </w:r>
      <w:r>
        <w:t>) up to 0.18 in assembled materials but also enables inversion of the chiral signal. Moreover, unlike most CPL materials with a single point‐chiral center that are CPL‐silent at the molecular state, the spirocyclic configuration can enhance efficient point‐chirality transfer to the fluorophores owing to the self‐rigidified skeleton, consequently enable efficient CPL with the</w:t>
      </w:r>
      <w:r>
        <w:t xml:space="preserve"> </w:t>
      </w:r>
      <w:r>
        <w:t>g</w:t>
      </w:r>
      <w:r>
        <w:t xml:space="preserve"> </w:t>
      </w:r>
      <w:r>
        <w:t>l</w:t>
      </w:r>
      <w:r>
        <w:t xml:space="preserve"> </w:t>
      </w:r>
      <w:r>
        <w:t>um</w:t>
      </w:r>
      <w:r>
        <w:t xml:space="preserve"> </w:t>
      </w:r>
      <w:r>
        <w:t>in the order of 10</w:t>
      </w:r>
      <w:r>
        <w:t xml:space="preserve"> </w:t>
      </w:r>
      <w:r>
        <w:t>−3</w:t>
      </w:r>
      <w:r>
        <w:t xml:space="preserve"> </w:t>
      </w:r>
      <w:r>
        <w:t>even in the molecular solutions. The mechanistic insights are revealed by experimental investigation including the femtosecond transient absorption (fs‐TA) spectroscopy and single‐crystal analysis, as well as DFT calculation. This study opens new avenues for developing organic CPL materials with large</w:t>
      </w:r>
      <w:r>
        <w:t xml:space="preserve"> </w:t>
      </w:r>
      <w:r>
        <w:t>g</w:t>
      </w:r>
      <w:r>
        <w:t xml:space="preserve"> </w:t>
      </w:r>
      <w:r>
        <w:t>values based on low‐molecular‐weight flexible point‐chiral fluorophores, offering great potential for future applications in biotechnology and circularly polarized organic light‐emitting diodes (CP‐OLEDs).</w:t>
      </w:r>
    </w:p>
    <w:p>
      <w:pPr>
        <w:spacing w:before="120" w:after="120"/>
      </w:pPr>
      <w:r>
        <w:rPr>
          <w:sz w:val="18"/>
        </w:rPr>
        <w:t>——————————————————————————————————————————————————————————————————————</w:t>
      </w:r>
    </w:p>
    <w:p>
      <w:pPr>
        <w:spacing w:before="160" w:after="80" w:line="240" w:lineRule="auto"/>
      </w:pPr>
      <w:r>
        <w:rPr>
          <w:b/>
        </w:rPr>
        <w:t xml:space="preserve">[673] </w:t>
      </w:r>
      <w:hyperlink r:id="rId1100">
        <w:r>
          <w:rPr>
            <w:color w:val="1155CC"/>
            <w:u w:val="single"/>
          </w:rPr>
          <w:t>Covalent Adaptable Networks with Mobile Cross‐linking Points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05:53:41+00:00</w:t>
      </w:r>
      <w:r>
        <w:t xml:space="preserve">    </w:t>
      </w:r>
      <w:r>
        <w:rPr>
          <w:b/>
        </w:rPr>
        <w:t xml:space="preserve">DOI: </w:t>
      </w:r>
      <w:hyperlink r:id="rId1101">
        <w:r>
          <w:rPr>
            <w:color w:val="1155CC"/>
            <w:u w:val="single"/>
          </w:rPr>
          <w:t>10.1002/anie.202519906</w:t>
        </w:r>
      </w:hyperlink>
    </w:p>
    <w:p>
      <w:pPr>
        <w:spacing w:before="0" w:after="120"/>
      </w:pPr>
      <w:r>
        <w:rPr>
          <w:b/>
        </w:rPr>
        <w:t xml:space="preserve">Notes: </w:t>
      </w:r>
      <w:r>
        <w:t>abstract_source=crossref</w:t>
      </w:r>
    </w:p>
    <w:p>
      <w:pPr>
        <w:spacing w:before="0" w:after="200" w:lineRule="auto" w:line="276"/>
      </w:pPr>
      <w:r>
        <w:rPr>
          <w:b/>
        </w:rPr>
        <w:t xml:space="preserve">Abstract: </w:t>
      </w:r>
      <w:r>
        <w:t>Covalent adaptable networks (CANs) have garnered increasing attention for their potential in sustainable materials. However, their material properties remain limited by interrelated challenges, particularly the need to ensure ease of processing while maintaining excellent mechanical performance. Herein, we report a class of polyrotaxane‐based CANs (</w:t>
      </w:r>
      <w:r>
        <w:t xml:space="preserve"> </w:t>
      </w:r>
      <w:r>
        <w:t>PR</w:t>
      </w:r>
      <w:r>
        <w:t xml:space="preserve"> </w:t>
      </w:r>
      <w:r>
        <w:t>CANs) in which an axle containing dynamic boronic ester bonds is mechanically interlocked with two polymer chains, forming mobile dynamic cross‐linking points. The mobile dynamic covalent bond cross‐linking points simultaneously improve the mechanical performance of CANs while reducing the processing temperature. Under applied force, sliding occurs at both ends of the cross‐linking points, creating an efficient pathway for energy dissipation. The representative</w:t>
      </w:r>
      <w:r>
        <w:t xml:space="preserve"> </w:t>
      </w:r>
      <w:r>
        <w:t>PR</w:t>
      </w:r>
      <w:r>
        <w:t xml:space="preserve"> </w:t>
      </w:r>
      <w:r>
        <w:t>CAN exhibits enhanced mechanical performance, showing twice the elongation at break (1160 % versus 570 %) and tensile strength (11.0 versus 4.6 MPa), and over four times the toughness (43.7 versus 10.1 MJ m</w:t>
      </w:r>
      <w:r>
        <w:t xml:space="preserve"> </w:t>
      </w:r>
      <w:r>
        <w:t>−3</w:t>
      </w:r>
      <w:r>
        <w:t xml:space="preserve"> </w:t>
      </w:r>
      <w:r>
        <w:t>) relative to the control with fixed dynamic covalent bond cross‐linking points. At high temperatures, the mobility of the cross‐linking points enhances the reaction probability for dynamic covalent bonds, thereby effectively reducing the processing temperature of CANs. The representative</w:t>
      </w:r>
      <w:r>
        <w:t xml:space="preserve"> </w:t>
      </w:r>
      <w:r>
        <w:t>PR</w:t>
      </w:r>
      <w:r>
        <w:t xml:space="preserve"> </w:t>
      </w:r>
      <w:r>
        <w:t>CAN can be processed at 110 °C for 10 min, whereas the control sample requires 140 °C for 30 min to reach a comparable reprocessing level.</w:t>
      </w:r>
    </w:p>
    <w:p>
      <w:pPr>
        <w:spacing w:before="120" w:after="120"/>
      </w:pPr>
      <w:r>
        <w:rPr>
          <w:sz w:val="18"/>
        </w:rPr>
        <w:t>——————————————————————————————————————————————————————————————————————</w:t>
      </w:r>
    </w:p>
    <w:p>
      <w:pPr>
        <w:spacing w:before="160" w:after="80" w:line="240" w:lineRule="auto"/>
      </w:pPr>
      <w:r>
        <w:rPr>
          <w:b/>
        </w:rPr>
        <w:t xml:space="preserve">[674] </w:t>
      </w:r>
      <w:hyperlink r:id="rId1102">
        <w:r>
          <w:rPr>
            <w:color w:val="1155CC"/>
            <w:u w:val="single"/>
          </w:rPr>
          <w:t>Hierarchical Fluorinated Polymer Separator Design Mitigating Bilateral Ionic Crosstalk in Aqueous Batteries</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2025-12-19 05:54:35+00:00</w:t>
      </w:r>
      <w:r>
        <w:t xml:space="preserve">    </w:t>
      </w:r>
      <w:r>
        <w:rPr>
          <w:b/>
        </w:rPr>
        <w:t xml:space="preserve">DOI: </w:t>
      </w:r>
      <w:hyperlink r:id="rId1103">
        <w:r>
          <w:rPr>
            <w:color w:val="1155CC"/>
            <w:u w:val="single"/>
          </w:rPr>
          <w:t>10.1002/aenm.202505800</w:t>
        </w:r>
      </w:hyperlink>
    </w:p>
    <w:p>
      <w:pPr>
        <w:spacing w:before="0" w:after="120"/>
      </w:pPr>
      <w:r>
        <w:rPr>
          <w:b/>
        </w:rPr>
        <w:t xml:space="preserve">Notes: </w:t>
      </w:r>
      <w:r>
        <w:t>abstract_source=crossref</w:t>
      </w:r>
    </w:p>
    <w:p>
      <w:pPr>
        <w:spacing w:before="0" w:after="200" w:lineRule="auto" w:line="276"/>
      </w:pPr>
      <w:r>
        <w:rPr>
          <w:b/>
        </w:rPr>
        <w:t xml:space="preserve">Abstract: </w:t>
      </w:r>
      <w:r>
        <w:t>Aqueous Zn//MnO</w:t>
      </w:r>
      <w:r>
        <w:rPr>
          <w:vertAlign w:val="subscript"/>
        </w:rPr>
        <w:t>2</w:t>
      </w:r>
      <w:r>
        <w:t>batteries hold significant promise for safe and cost‐effective large‐scale energy storage, yet their practical deployment is hindered by rapid performance degradation. Here, we identify bilateral ionic crosstalk, a previously overlooked failure mechanism driven by active ion, as a root cause of electrode degradation. We demonstrate that excess Zn</w:t>
      </w:r>
      <w:r>
        <w:t xml:space="preserve"> </w:t>
      </w:r>
      <w:r>
        <w:t>2+</w:t>
      </w:r>
      <w:r>
        <w:t xml:space="preserve"> </w:t>
      </w:r>
      <w:r>
        <w:t>migrating from the anode induces irreversible phase transitions at the MnO</w:t>
      </w:r>
      <w:r>
        <w:rPr>
          <w:vertAlign w:val="subscript"/>
        </w:rPr>
        <w:t>2</w:t>
      </w:r>
      <w:r>
        <w:t>cathode, forming electrochemically inert Zn</w:t>
      </w:r>
      <w:r>
        <w:t xml:space="preserve"> </w:t>
      </w:r>
      <w:r>
        <w:t>x</w:t>
      </w:r>
      <w:r>
        <w:t xml:space="preserve"> </w:t>
      </w:r>
      <w:r>
        <w:t>(MnO</w:t>
      </w:r>
      <w:r>
        <w:rPr>
          <w:vertAlign w:val="subscript"/>
        </w:rPr>
        <w:t>2</w:t>
      </w:r>
      <w:r>
        <w:t>)</w:t>
      </w:r>
      <w:r>
        <w:t xml:space="preserve"> </w:t>
      </w:r>
      <w:r>
        <w:t>y</w:t>
      </w:r>
      <w:r>
        <w:t xml:space="preserve"> </w:t>
      </w:r>
      <w:r>
        <w:t>phase (ZMO sclerosis). Concurrently, dissolved Mn</w:t>
      </w:r>
      <w:r>
        <w:t xml:space="preserve"> </w:t>
      </w:r>
      <w:r>
        <w:t>2+</w:t>
      </w:r>
      <w:r>
        <w:t xml:space="preserve"> </w:t>
      </w:r>
      <w:r>
        <w:t>from the cathode exacerbates corrosion and dendrite growth on the Zn anode. To mitigate this crosstalk, we design a hierarchical fluorinated polymer separator (HFPS). Such HFPS enables selective cation coordination and guides ion transport, achieving simultaneous regulation of Zn</w:t>
      </w:r>
      <w:r>
        <w:t xml:space="preserve"> </w:t>
      </w:r>
      <w:r>
        <w:t>2+</w:t>
      </w:r>
      <w:r>
        <w:t xml:space="preserve"> </w:t>
      </w:r>
      <w:r>
        <w:t>and Mn</w:t>
      </w:r>
      <w:r>
        <w:t xml:space="preserve"> </w:t>
      </w:r>
      <w:r>
        <w:t>2+</w:t>
      </w:r>
      <w:r>
        <w:t xml:space="preserve"> </w:t>
      </w:r>
      <w:r>
        <w:t>fluxes. This targeted regulation effectively mitigates ionic crosstalk and stabilizes both electrodes. Batteries employing the HFPS exhibit exceptional cycling stability, retaining 97% capacity after 1,000 cycles at 0.5 A g</w:t>
      </w:r>
      <w:r>
        <w:t xml:space="preserve"> </w:t>
      </w:r>
      <w:r>
        <w:t>−1</w:t>
      </w:r>
      <w:r>
        <w:t xml:space="preserve"> </w:t>
      </w:r>
      <w:r>
        <w:t>with stable operation exceeding 500 h. This performance represents a 54% lifespan enhancement over state‐of‐the‐art aqueous counterparts. Our work provides a fundamental mechanistic understanding of active‐ion‐induced failure and establishes ion flux regulation as a universal design strategy for durable aqueous zinc‐ion batteries.</w:t>
      </w:r>
    </w:p>
    <w:p>
      <w:pPr>
        <w:spacing w:before="120" w:after="120"/>
      </w:pPr>
      <w:r>
        <w:rPr>
          <w:sz w:val="18"/>
        </w:rPr>
        <w:t>——————————————————————————————————————————————————————————————————————</w:t>
      </w:r>
    </w:p>
    <w:p>
      <w:pPr>
        <w:spacing w:before="160" w:after="80" w:line="240" w:lineRule="auto"/>
      </w:pPr>
      <w:r>
        <w:rPr>
          <w:b/>
        </w:rPr>
        <w:t xml:space="preserve">[675] </w:t>
      </w:r>
      <w:hyperlink r:id="rId1104">
        <w:r>
          <w:rPr>
            <w:color w:val="1155CC"/>
            <w:u w:val="single"/>
          </w:rPr>
          <w:t>Neutral theory of cooperative dynamics</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05">
        <w:r>
          <w:rPr>
            <w:color w:val="1155CC"/>
            <w:u w:val="single"/>
          </w:rPr>
          <w:t>10.1073/pnas.2515423122</w:t>
        </w:r>
      </w:hyperlink>
    </w:p>
    <w:p>
      <w:pPr>
        <w:spacing w:before="0" w:after="120"/>
      </w:pPr>
      <w:r>
        <w:rPr>
          <w:b/>
        </w:rPr>
        <w:t xml:space="preserve">Notes: </w:t>
      </w:r>
      <w:r>
        <w:t>abstract_source=crossref</w:t>
      </w:r>
    </w:p>
    <w:p>
      <w:pPr>
        <w:spacing w:before="0" w:after="200" w:lineRule="auto" w:line="276"/>
      </w:pPr>
      <w:r>
        <w:rPr>
          <w:b/>
        </w:rPr>
        <w:t xml:space="preserve">Abstract: </w:t>
      </w:r>
      <w:r>
        <w:t>Mutualistic interactions are widespread in nature, from plant communities and microbiomes to human organizations. Along with competition for resources, cooperative interactions shape biodiversity and contribute to the robustness of complex ecosystems. We present a stochastic neutral theory of cooperator species. Our model shares with the classic neutral theory of biodiversity the assumption that all species are equivalent, but crucially differs in requiring cooperation between species for replication. With low migration, our model displays a bimodal species-abundance distribution, with a high-abundance mode associated with a core of cooperating species. This core is responsible for maintaining a diverse pool of long-lived species, which are present even at very small migration rates. We derive analytical expressions of the steady-state species abundance distribution, as well as scaling laws for diversity, number of species, and residence times. With high migration, our model recovers the results of classic neutral theory. We briefly discuss implications of our analysis for research on the microbiome, synthetic biology, and the origin of life.</w:t>
      </w:r>
    </w:p>
    <w:p>
      <w:pPr>
        <w:spacing w:before="120" w:after="120"/>
      </w:pPr>
      <w:r>
        <w:rPr>
          <w:sz w:val="18"/>
        </w:rPr>
        <w:t>——————————————————————————————————————————————————————————————————————</w:t>
      </w:r>
    </w:p>
    <w:p>
      <w:pPr>
        <w:spacing w:before="160" w:after="80" w:line="240" w:lineRule="auto"/>
      </w:pPr>
      <w:r>
        <w:rPr>
          <w:b/>
        </w:rPr>
        <w:t xml:space="preserve">[676] </w:t>
      </w:r>
      <w:hyperlink r:id="rId1106">
        <w:r>
          <w:rPr>
            <w:color w:val="1155CC"/>
            <w:u w:val="single"/>
          </w:rPr>
          <w:t>Erratum for the Research Article “Transcriptomic landscape of mammalian ventral pallidum at single-cell resolution” by L. Yang et al.</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07">
        <w:r>
          <w:rPr>
            <w:color w:val="1155CC"/>
            <w:u w:val="single"/>
          </w:rPr>
          <w:t>10.1126/sciadv.aee2295</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[677] </w:t>
      </w:r>
      <w:hyperlink r:id="rId1108">
        <w:r>
          <w:rPr>
            <w:color w:val="1155CC"/>
            <w:u w:val="single"/>
          </w:rPr>
          <w:t>CRISPRa-mediated disentanglement of the Dux-MERVL axis in the 2C-like state, totipotency, and cell death</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09">
        <w:r>
          <w:rPr>
            <w:color w:val="1155CC"/>
            <w:u w:val="single"/>
          </w:rPr>
          <w:t>10.1126/sciadv.adu9092</w:t>
        </w:r>
      </w:hyperlink>
    </w:p>
    <w:p>
      <w:pPr>
        <w:spacing w:before="0" w:after="120"/>
      </w:pPr>
      <w:r>
        <w:rPr>
          <w:b/>
        </w:rPr>
        <w:t xml:space="preserve">Notes: </w:t>
      </w:r>
      <w:r>
        <w:t>abstract_source=crossref</w:t>
      </w:r>
    </w:p>
    <w:p>
      <w:pPr>
        <w:spacing w:before="0" w:after="200" w:lineRule="auto" w:line="276"/>
      </w:pPr>
      <w:r>
        <w:rPr>
          <w:b/>
        </w:rPr>
        <w:t xml:space="preserve">Abstract: </w:t>
      </w:r>
      <w:r>
        <w:t>Transposable elements (TEs) are powerful cis-regulatory drivers of gene expression, particularly during early development when many TEs become de-repressed. MERVL elements are transiently up-regulated in mouse totipotent two-cell (2C) embryos during major zygotic genome activation (ZGA) and 2C-like cells in vitro. One of the most powerful activators of MERVL is the pioneer transcription factor, Dux. However, apparent differences lie in the requirement for Dux versus MERVL activation in embryos. Moreover, sustained Dux activation causes cell toxicity, which may or may not be linked to MERVL. Using a CRISPR activation system, we unpick the relative role of Dux and MERVL in ZGA, totipotent-like characteristics, and cell toxicity. We find that MERVL activation drives a portion of the Dux-dependent transcriptome, sufficient for expanded fate potential, but not other totipotency features. Conversely, Dux-induced pathology is independent of MERVL activation and involves the proapoptotic factor, Noxa. Our study highlights the complexity of the Dux-MERVL transcriptional network and uncovers a previously unknown player in Dux-driven pathology.</w:t>
      </w:r>
    </w:p>
    <w:p>
      <w:pPr>
        <w:spacing w:before="120" w:after="120"/>
      </w:pPr>
      <w:r>
        <w:rPr>
          <w:sz w:val="18"/>
        </w:rPr>
        <w:t>——————————————————————————————————————————————————————————————————————</w:t>
      </w:r>
    </w:p>
    <w:p>
      <w:pPr>
        <w:spacing w:before="160" w:after="80" w:line="240" w:lineRule="auto"/>
      </w:pPr>
      <w:r>
        <w:rPr>
          <w:b/>
        </w:rPr>
        <w:t xml:space="preserve">[678] </w:t>
      </w:r>
      <w:hyperlink r:id="rId1110">
        <w:r>
          <w:rPr>
            <w:color w:val="1155CC"/>
            <w:u w:val="single"/>
          </w:rPr>
          <w:t>Florigen and cytokinin signaling antagonistically regulate FLOWERING LOCUS T-LIKE1 to drive a florigen relay that facilitates inflorescence development in rice</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11">
        <w:r>
          <w:rPr>
            <w:color w:val="1155CC"/>
            <w:u w:val="single"/>
          </w:rPr>
          <w:t>10.1126/sciadv.adv1424</w:t>
        </w:r>
      </w:hyperlink>
    </w:p>
    <w:p>
      <w:pPr>
        <w:spacing w:before="0" w:after="120"/>
      </w:pPr>
      <w:r>
        <w:rPr>
          <w:b/>
        </w:rPr>
        <w:t xml:space="preserve">Notes: </w:t>
      </w:r>
      <w:r>
        <w:t>abstract_source=crossref</w:t>
      </w:r>
    </w:p>
    <w:p>
      <w:pPr>
        <w:spacing w:before="0" w:after="200" w:lineRule="auto" w:line="276"/>
      </w:pPr>
      <w:r>
        <w:rPr>
          <w:b/>
        </w:rPr>
        <w:t xml:space="preserve">Abstract: </w:t>
      </w:r>
      <w:r>
        <w:t>Plant reproductive development involves a series of transitions, with the shoot apical meristem (SAM) transitioning into the inflorescence meristem (IM) and then the floral meristem (FM). In rice (</w:t>
      </w:r>
      <w:r>
        <w:t xml:space="preserve"> </w:t>
      </w:r>
      <w:r>
        <w:t>Oryza sativa</w:t>
      </w:r>
      <w:r>
        <w:t xml:space="preserve"> </w:t>
      </w:r>
      <w:r>
        <w:t>), the florigens Heading date 3a (Hd3a) and RICE FLOWERING LOCUS T1 play central roles in these transitions. The plant hormones auxin and cytokinin shape the morphologies associated with each transition, but little is known about the factors that integrate florigen function with phytohormone signaling during these transitions. Here, we show that in rice, Hd3a activates the transcription of</w:t>
      </w:r>
      <w:r>
        <w:t xml:space="preserve"> </w:t>
      </w:r>
      <w:r>
        <w:t>FT-LIKE1</w:t>
      </w:r>
      <w:r>
        <w:t xml:space="preserve"> </w:t>
      </w:r>
      <w:r>
        <w:t>(</w:t>
      </w:r>
      <w:r>
        <w:t xml:space="preserve"> </w:t>
      </w:r>
      <w:r>
        <w:t>OsFTL1</w:t>
      </w:r>
      <w:r>
        <w:t xml:space="preserve"> </w:t>
      </w:r>
      <w:r>
        <w:t>), which encodes a mobile FT-like protein that promotes the transition from the IM to the FM, whereas cytokinin signaling suppresses its transcription. We performed single-cell resolution three-dimensional imaging to elucidate the spatiotemporal distribution of Hd3a, cytokinin, and auxin signaling during the SAM-to-IM and IM-to-FM transitions, finding that Hd3a accumulation and cytokinin signaling occupy opposite domains in the IM. Hd3a accumulated at the center of the meristem and activated the</w:t>
      </w:r>
      <w:r>
        <w:t xml:space="preserve"> </w:t>
      </w:r>
      <w:r>
        <w:t>OsFTL1</w:t>
      </w:r>
      <w:r>
        <w:t xml:space="preserve"> </w:t>
      </w:r>
      <w:r>
        <w:t>promoter, while OsFTL1 was present throughout the IM, suggesting that a “florigen relay” consisting of Hd3a from the leaves moves to the SAM and induces</w:t>
      </w:r>
      <w:r>
        <w:t xml:space="preserve"> </w:t>
      </w:r>
      <w:r>
        <w:t>OsFTL1</w:t>
      </w:r>
      <w:r>
        <w:t xml:space="preserve"> </w:t>
      </w:r>
      <w:r>
        <w:t>expression within the SAM. We propose an antagonistic mechanism mediated by Hd3a and cytokinin that modulates the abundance of OsFTL1 and thus regulates reproductive development in rice.</w:t>
      </w:r>
    </w:p>
    <w:p>
      <w:pPr>
        <w:spacing w:before="120" w:after="120"/>
      </w:pPr>
      <w:r>
        <w:rPr>
          <w:sz w:val="18"/>
        </w:rPr>
        <w:t>——————————————————————————————————————————————————————————————————————</w:t>
      </w:r>
    </w:p>
    <w:p>
      <w:pPr>
        <w:spacing w:before="160" w:after="80" w:line="240" w:lineRule="auto"/>
      </w:pPr>
      <w:r>
        <w:rPr>
          <w:b/>
        </w:rPr>
        <w:t xml:space="preserve">[679] </w:t>
      </w:r>
      <w:hyperlink r:id="rId1112">
        <w:r>
          <w:rPr>
            <w:color w:val="1155CC"/>
            <w:u w:val="single"/>
          </w:rPr>
          <w:t>Band pattern formation of erythrocytes in density gradients is due to competing aggregation and net buoyancy</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13">
        <w:r>
          <w:rPr>
            <w:color w:val="1155CC"/>
            <w:u w:val="single"/>
          </w:rPr>
          <w:t>10.1073/pnas.2515704122</w:t>
        </w:r>
      </w:hyperlink>
    </w:p>
    <w:p>
      <w:pPr>
        <w:spacing w:before="0" w:after="120"/>
      </w:pPr>
      <w:r>
        <w:rPr>
          <w:b/>
        </w:rPr>
        <w:t xml:space="preserve">Notes: </w:t>
      </w:r>
      <w:r>
        <w:t>abstract_source=crossref</w:t>
      </w:r>
    </w:p>
    <w:p>
      <w:pPr>
        <w:spacing w:before="0" w:after="200" w:lineRule="auto" w:line="276"/>
      </w:pPr>
      <w:r>
        <w:rPr>
          <w:b/>
        </w:rPr>
        <w:t xml:space="preserve">Abstract: </w:t>
      </w:r>
      <w:r>
        <w:t>Centrifugation of biological matter in density gradient solutions is a standard method for separating cell types or components. It is also used to separate red blood cells (RBCs) by age, as they lose water and become denser over their lifespan. When the density gradient is prepared with Percoll, discrete bands of RBCs are systematically observed along the gradient, despite the continuous density distribution of RBCs. Early studies suggested that cell aggregation might influence spatial distribution, but it remains debated whether a continuous density population can form discrete bands. We developed a continuity equation incorporating cell aggregation to describe the macroscopic evolution of RBC volume fraction in a density gradient, considering a continuous RBC density distribution. Numerical solutions demonstrate that the competition between net buoyancy and aggregation is sufficient to create band patterns. Our model reproduces the temporal evolution observed in experiments, but also predicts several types of bifurcation-like behaviors for the steady-state patterns in constant gradients, depending on RBC volume fraction and aggregation energy. This demonstrates that the competition between RBC aggregation and net buoyancy is a mechanism driving pattern formation.</w:t>
      </w:r>
    </w:p>
    <w:p>
      <w:pPr>
        <w:spacing w:before="120" w:after="120"/>
      </w:pPr>
      <w:r>
        <w:rPr>
          <w:sz w:val="18"/>
        </w:rPr>
        <w:t>——————————————————————————————————————————————————————————————————————</w:t>
      </w:r>
    </w:p>
    <w:p>
      <w:pPr>
        <w:spacing w:before="160" w:after="80" w:line="240" w:lineRule="auto"/>
      </w:pPr>
      <w:r>
        <w:rPr>
          <w:b/>
        </w:rPr>
        <w:t xml:space="preserve">[680] </w:t>
      </w:r>
      <w:hyperlink r:id="rId1114">
        <w:r>
          <w:rPr>
            <w:color w:val="1155CC"/>
            <w:u w:val="single"/>
          </w:rPr>
          <w:t>Locomotion-dependent use of geometric and body cues in humans mapping 3D space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15">
        <w:r>
          <w:rPr>
            <w:color w:val="1155CC"/>
            <w:u w:val="single"/>
          </w:rPr>
          <w:t>10.1073/pnas.2505613122</w:t>
        </w:r>
      </w:hyperlink>
    </w:p>
    <w:p>
      <w:pPr>
        <w:spacing w:before="0" w:after="120"/>
      </w:pPr>
      <w:r>
        <w:rPr>
          <w:b/>
        </w:rPr>
        <w:t xml:space="preserve">Notes: </w:t>
      </w:r>
      <w:r>
        <w:t>abstract_source=crossref</w:t>
      </w:r>
    </w:p>
    <w:p>
      <w:pPr>
        <w:spacing w:before="0" w:after="200" w:lineRule="auto" w:line="276"/>
      </w:pPr>
      <w:r>
        <w:rPr>
          <w:b/>
        </w:rPr>
        <w:t xml:space="preserve">Abstract: </w:t>
      </w:r>
      <w:r>
        <w:t>The ability to represent locations across multiple dimensions of space is a core function of cognitive maps. While the influence of boundary-dependent environmental geometry on spatial representations has been extensively studied in 2D spaces, less is known about the role of boundaries for volumetric spatial memory. Research in humans and other animals has demonstrated distinct processing of the vertical and horizontal spatial dimensions, likely related to species-specific modes of locomotion. Here, we investigate whether different locomotion modes, flying and walking, affect the use of vertical boundaries, leading to possibly distinct volumetric representations. In a Virtual Reality experiment, human participants memorized objects within a symmetric 3D enclosure, and then were asked to replace them in either the familiar or geometrically deformed environments. We found that the flying group exhibited lower vertical than horizontal spatial memory precision, whereas the walking group showed the opposite pattern, an effect related to using their body axis as a vertical “ruler”. Within deformed environments, object replacements in the flying group followed the predictions from a 3D-extended boundary-vector-cell-like computational model of spatial mapping that treated all boundaries equally, whereas those in the walking condition favored a modified model that prioritized the ground boundary. Our findings suggest that gravity-related movement constraints promote different utilization of geometric and body-related cues, resulting in flexible representations of volumetric space.</w:t>
      </w:r>
    </w:p>
    <w:p>
      <w:pPr>
        <w:spacing w:before="120" w:after="120"/>
      </w:pPr>
      <w:r>
        <w:rPr>
          <w:sz w:val="18"/>
        </w:rPr>
        <w:t>——————————————————————————————————————————————————————————————————————</w:t>
      </w:r>
    </w:p>
    <w:p>
      <w:pPr>
        <w:spacing w:before="160" w:after="80" w:line="240" w:lineRule="auto"/>
      </w:pPr>
      <w:r>
        <w:rPr>
          <w:b/>
        </w:rPr>
        <w:t xml:space="preserve">[681] </w:t>
      </w:r>
      <w:hyperlink r:id="rId1116">
        <w:r>
          <w:rPr>
            <w:color w:val="1155CC"/>
            <w:u w:val="single"/>
          </w:rPr>
          <w:t>Growth hormone is required for hippocampal engram cell maturation</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17">
        <w:r>
          <w:rPr>
            <w:color w:val="1155CC"/>
            <w:u w:val="single"/>
          </w:rPr>
          <w:t>10.1126/sciadv.aec7836</w:t>
        </w:r>
      </w:hyperlink>
    </w:p>
    <w:p>
      <w:pPr>
        <w:spacing w:before="0" w:after="120"/>
      </w:pPr>
      <w:r>
        <w:rPr>
          <w:b/>
        </w:rPr>
        <w:t xml:space="preserve">Notes: </w:t>
      </w:r>
      <w:r>
        <w:t>abstract_source=crossref</w:t>
      </w:r>
    </w:p>
    <w:p>
      <w:pPr>
        <w:spacing w:before="0" w:after="200" w:lineRule="auto" w:line="276"/>
      </w:pPr>
      <w:r>
        <w:rPr>
          <w:b/>
        </w:rPr>
        <w:t xml:space="preserve">Abstract: </w:t>
      </w:r>
      <w:r>
        <w:t>Memory is stored in specialized cells known as engram cells, but the molecular mechanisms underlying this process remain unclear. We discovered that the initial translation leading to growth hormone (GH) synthesis in engram cells is required for their maturation in the mouse dentate gyrus. Time-course experiments with a translation inhibitor suggested that the key molecule is immediately translated during learning. We identified GH as the crucial factor, specifically translated within the first few minutes of consolidation in engram cells. Blocking GH activity with a dominant-negative (G118R) mutation blocked engram maturation, whereas facilitating activity-dependent GH uptake alleviated engram maturation deficits caused by translation inhibition. Together, our findings propose GH as a key mediator of hippocampal engram cell maturation.</w:t>
      </w:r>
    </w:p>
    <w:p>
      <w:pPr>
        <w:spacing w:before="120" w:after="120"/>
      </w:pPr>
      <w:r>
        <w:rPr>
          <w:sz w:val="18"/>
        </w:rPr>
        <w:t>——————————————————————————————————————————————————————————————————————</w:t>
      </w:r>
    </w:p>
    <w:p>
      <w:pPr>
        <w:spacing w:before="160" w:after="80" w:line="240" w:lineRule="auto"/>
      </w:pPr>
      <w:r>
        <w:rPr>
          <w:b/>
        </w:rPr>
        <w:t xml:space="preserve">[682] </w:t>
      </w:r>
      <w:hyperlink r:id="rId1118">
        <w:r>
          <w:rPr>
            <w:color w:val="1155CC"/>
            <w:u w:val="single"/>
          </w:rPr>
          <w:t>Correction for Huang et al., Impulsivity is a stable, measurable, and predictive psychological trait</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19">
        <w:r>
          <w:rPr>
            <w:color w:val="1155CC"/>
            <w:u w:val="single"/>
          </w:rPr>
          <w:t>10.1073/pnas.2534317122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[683] </w:t>
      </w:r>
      <w:hyperlink r:id="rId1120">
        <w:r>
          <w:rPr>
            <w:color w:val="1155CC"/>
            <w:u w:val="single"/>
          </w:rPr>
          <w:t>Multicellular force coordination constructs microchannel networks for barrier-free metastasis across extracellular matrix</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21">
        <w:r>
          <w:rPr>
            <w:color w:val="1155CC"/>
            <w:u w:val="single"/>
          </w:rPr>
          <w:t>10.1126/sciadv.adz4291</w:t>
        </w:r>
      </w:hyperlink>
    </w:p>
    <w:p>
      <w:pPr>
        <w:spacing w:before="0" w:after="120"/>
      </w:pPr>
      <w:r>
        <w:rPr>
          <w:b/>
        </w:rPr>
        <w:t xml:space="preserve">Notes: </w:t>
      </w:r>
      <w:r>
        <w:t>abstract_source=crossref</w:t>
      </w:r>
    </w:p>
    <w:p>
      <w:pPr>
        <w:spacing w:before="0" w:after="200" w:lineRule="auto" w:line="276"/>
      </w:pPr>
      <w:r>
        <w:rPr>
          <w:b/>
        </w:rPr>
        <w:t xml:space="preserve">Abstract: </w:t>
      </w:r>
      <w:r>
        <w:t>The extracellular matrix (ECM) acts as a primary physical barrier to cancer metastasis. While individual cancer cells can remodel ECM to create microchannel-like paths of least resistance, this cell-centric view overlooks the coordinated dynamics of multicellular communication. Here, we reveal that cancer cells collaboratively reprogram ECM to construct interconnected microchannel networks functioning as “superhighways” for barrier-free metastasis. Combining live-cell imaging, atomic force microscopy, and optical tweezers, we decode that the indispensable step in microchannel network construction is organized cross-convergence of adjacent channels. The convergence is precisely directed by mechanical bridges composed of aligned collagen bundles between adjacent channels, which transmit orientation cues to induce multicellular force coordination. Integrating single-cell sequencing and off-lattice agent-based model, we identify mechanically responsive leader cells enriched for integrin-RhoA/YAP signaling and matrix metalloproteinase 14, which sense bridge cues and initiate cross-convergence. Collectively, our findings unveil a self-organized metastatic network and its mechanobiological mechanisms, offering a previously unidentified framework and potential therapeutic insights for cancer metastasis.</w:t>
      </w:r>
    </w:p>
    <w:p>
      <w:pPr>
        <w:spacing w:before="120" w:after="120"/>
      </w:pPr>
      <w:r>
        <w:rPr>
          <w:sz w:val="18"/>
        </w:rPr>
        <w:t>——————————————————————————————————————————————————————————————————————</w:t>
      </w:r>
    </w:p>
    <w:p>
      <w:pPr>
        <w:spacing w:before="160" w:after="80" w:line="240" w:lineRule="auto"/>
      </w:pPr>
      <w:r>
        <w:rPr>
          <w:b/>
        </w:rPr>
        <w:t xml:space="preserve">[684] </w:t>
      </w:r>
      <w:hyperlink r:id="rId1122">
        <w:r>
          <w:rPr>
            <w:color w:val="1155CC"/>
            <w:u w:val="single"/>
          </w:rPr>
          <w:t>Gazing into the flames: A guide to assessing the impacts of climate change on landscape fire</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23">
        <w:r>
          <w:rPr>
            <w:color w:val="1155CC"/>
            <w:u w:val="single"/>
          </w:rPr>
          <w:t>10.1126/sciadv.adz2429</w:t>
        </w:r>
      </w:hyperlink>
    </w:p>
    <w:p>
      <w:pPr>
        <w:spacing w:before="0" w:after="120"/>
      </w:pPr>
      <w:r>
        <w:rPr>
          <w:b/>
        </w:rPr>
        <w:t xml:space="preserve">Notes: </w:t>
      </w:r>
      <w:r>
        <w:t>abstract_source=crossref</w:t>
      </w:r>
    </w:p>
    <w:p>
      <w:pPr>
        <w:spacing w:before="0" w:after="200" w:lineRule="auto" w:line="276"/>
      </w:pPr>
      <w:r>
        <w:rPr>
          <w:b/>
        </w:rPr>
        <w:t xml:space="preserve">Abstract: </w:t>
      </w:r>
      <w:r>
        <w:t>Widespread impacts of landscape fire on ecosystems, societies, and the climate system itself have heightened the need to understand the potential future trajectory of fire under continued climate change. However, the complexity of fire makes climate change impact assessment challenging. The climate system influences fire in many ways, including through vegetation, fuel dryness, fire weather, and ignition. Furthermore, fire’s impacts are highly diverse, spanning threats to human and ecological values and beneficial ecosystem and cultural services. Here, we discuss the art and science of projecting climate change impacts on landscape fire. This not only includes how fire, its drivers, and its impacts are modeled, but critically it also includes how projections of the climate system are developed. By raising and discussing these issues, we aim to foster the development of more robust and useful fire projections, help interpret existing assessments, and support society in charting a course toward a sustainable fire future.</w:t>
      </w:r>
    </w:p>
    <w:p>
      <w:pPr>
        <w:spacing w:before="120" w:after="120"/>
      </w:pPr>
      <w:r>
        <w:rPr>
          <w:sz w:val="18"/>
        </w:rPr>
        <w:t>——————————————————————————————————————————————————————————————————————</w:t>
      </w:r>
    </w:p>
    <w:p>
      <w:pPr>
        <w:spacing w:before="160" w:after="80" w:line="240" w:lineRule="auto"/>
      </w:pPr>
      <w:r>
        <w:rPr>
          <w:b/>
        </w:rPr>
        <w:t xml:space="preserve">[685] </w:t>
      </w:r>
      <w:hyperlink r:id="rId1124">
        <w:r>
          <w:rPr>
            <w:color w:val="1155CC"/>
            <w:u w:val="single"/>
          </w:rPr>
          <w:t>Dynamic control of molecular transport MXene transistor membranes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25">
        <w:r>
          <w:rPr>
            <w:color w:val="1155CC"/>
            <w:u w:val="single"/>
          </w:rPr>
          <w:t>10.1126/sciadv.adx6361</w:t>
        </w:r>
      </w:hyperlink>
    </w:p>
    <w:p>
      <w:pPr>
        <w:spacing w:before="0" w:after="120"/>
      </w:pPr>
      <w:r>
        <w:rPr>
          <w:b/>
        </w:rPr>
        <w:t xml:space="preserve">Notes: </w:t>
      </w:r>
      <w:r>
        <w:t>abstract_source=crossref</w:t>
      </w:r>
    </w:p>
    <w:p>
      <w:pPr>
        <w:spacing w:before="0" w:after="200" w:lineRule="auto" w:line="276"/>
      </w:pPr>
      <w:r>
        <w:rPr>
          <w:b/>
        </w:rPr>
        <w:t xml:space="preserve">Abstract: </w:t>
      </w:r>
      <w:r>
        <w:t>Controlled spatial confinement and surface properties of lamellar 2D nanomaterial membranes could enhance many precision separation processes. Traditionally, researchers view channel dimensions, surface properties, and permeation rates of these membranes as intrinsic properties that cannot be modulated in operando. We report that gate voltage applied to the conducting laminar MXene membrane can modulate the permeation rate of ions and neutral solutes, as well as its effective size rejection. In operando wide-angle x-ray scattering measurements reveal that these changes are not driven by electrically induced variations in the</w:t>
      </w:r>
      <w:r>
        <w:t xml:space="preserve"> </w:t>
      </w:r>
      <w:r>
        <w:t>d</w:t>
      </w:r>
      <w:r>
        <w:t xml:space="preserve"> </w:t>
      </w:r>
      <w:r>
        <w:t>spacing of the MXene layers. Instead, experimental data and continuum electrokinetic modeling reveal that ion transport through the MXene channels is primarily affected by Donnan equilibrium at the membrane-solution interface. We also report a strong increase in the permeation rates through the membrane under a low-frequency ac voltage gating regime that we attribute to diffusioosmotic flow oscillations induced in the membrane. Overall, MXene “transistor” membranes provide a previously unidentified approach to dynamic control of molecular separations.</w:t>
      </w:r>
    </w:p>
    <w:p>
      <w:pPr>
        <w:spacing w:before="120" w:after="120"/>
      </w:pPr>
      <w:r>
        <w:rPr>
          <w:sz w:val="18"/>
        </w:rPr>
        <w:t>——————————————————————————————————————————————————————————————————————</w:t>
      </w:r>
    </w:p>
    <w:p>
      <w:pPr>
        <w:spacing w:before="160" w:after="80" w:line="240" w:lineRule="auto"/>
      </w:pPr>
      <w:r>
        <w:rPr>
          <w:b/>
        </w:rPr>
        <w:t xml:space="preserve">[686] </w:t>
      </w:r>
      <w:hyperlink r:id="rId1126">
        <w:r>
          <w:rPr>
            <w:color w:val="1155CC"/>
            <w:u w:val="single"/>
          </w:rPr>
          <w:t>Anyon delocalization transitions out of a disordered fractional quantum anomalous Hall insulator</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27">
        <w:r>
          <w:rPr>
            <w:color w:val="1155CC"/>
            <w:u w:val="single"/>
          </w:rPr>
          <w:t>10.1073/pnas.2520608122</w:t>
        </w:r>
      </w:hyperlink>
    </w:p>
    <w:p>
      <w:pPr>
        <w:spacing w:before="0" w:after="120"/>
      </w:pPr>
      <w:r>
        <w:rPr>
          <w:b/>
        </w:rPr>
        <w:t xml:space="preserve">Notes: </w:t>
      </w:r>
      <w:r>
        <w:t>abstract_source=crossref</w:t>
      </w:r>
    </w:p>
    <w:p>
      <w:pPr>
        <w:spacing w:before="0" w:after="200" w:lineRule="auto" w:line="276"/>
      </w:pPr>
      <w:r>
        <w:rPr>
          <w:b/>
        </w:rPr>
        <w:t xml:space="preserve">Abstract: </w:t>
      </w:r>
      <w:r>
        <w:t>Motivated by the experimental discovery of the fractional quantum anomalous Hall effect, we develop a theory of doping-induced transitions out of the</w:t>
      </w:r>
      <w:r>
        <w:t xml:space="preserve"> </w:t>
      </w:r>
      <w:r>
        <w:t>ν</w:t>
      </w:r>
      <w:r>
        <w:t xml:space="preserve"> </w:t>
      </w:r>
      <w:r>
        <w:t>=</w:t>
      </w:r>
      <w:r>
        <w:rPr>
          <w:vertAlign w:val="subscript"/>
        </w:rPr>
        <w:t>2</w:t>
      </w:r>
      <w:r>
        <w:t>/</w:t>
      </w:r>
      <w:r>
        <w:rPr>
          <w:vertAlign w:val="subscript"/>
        </w:rPr>
        <w:t>3</w:t>
      </w:r>
      <w:r>
        <w:t xml:space="preserve"> </w:t>
      </w:r>
      <w:r>
        <w:t>lattice Jain state in the presence of quenched disorder. We show that disorder strongly affects the evolution into the conducting phases described in our previous work. The delocalization of charge</w:t>
      </w:r>
      <w:r>
        <w:t xml:space="preserve"> </w:t>
      </w:r>
      <w:r>
        <w:rPr>
          <w:vertAlign w:val="subscript"/>
        </w:rPr>
        <w:t>2</w:t>
      </w:r>
      <w:r>
        <w:t>/</w:t>
      </w:r>
      <w:r>
        <w:rPr>
          <w:vertAlign w:val="subscript"/>
        </w:rPr>
        <w:t>3</w:t>
      </w:r>
      <w:r>
        <w:t xml:space="preserve"> </w:t>
      </w:r>
      <w:r>
        <w:t>anyons leads to a chiral superconductor through a direct second-order transition for a smooth random potential with long-wavelength modulations. The longitudinal resistance has a universal peak at the associated quantum critical point. Close to the transition, we show that the superconducting ground state is an “Anomalous Vortex Glass” stabilized in the absence of an external magnetic field. For short-wavelength disorder, this transition generically splits into three distinct ones with intermediate insulating topological phases. If instead, the charge</w:t>
      </w:r>
      <w:r>
        <w:t xml:space="preserve"> </w:t>
      </w:r>
      <w:r>
        <w:rPr>
          <w:vertAlign w:val="subscript"/>
        </w:rPr>
        <w:t>1</w:t>
      </w:r>
      <w:r>
        <w:t>/</w:t>
      </w:r>
      <w:r>
        <w:rPr>
          <w:vertAlign w:val="subscript"/>
        </w:rPr>
        <w:t>3</w:t>
      </w:r>
      <w:r>
        <w:t xml:space="preserve"> </w:t>
      </w:r>
      <w:r>
        <w:t>anyon delocalizes, then at low doping the resulting phase is a Reentrant Integer Quantum Hall state with</w:t>
      </w:r>
      <w:r>
        <w:t xml:space="preserve"> </w:t>
      </w:r>
      <w:r>
        <w:t>ρ</w:t>
      </w:r>
      <w:r>
        <w:t xml:space="preserve"> </w:t>
      </w:r>
      <w:r>
        <w:t>xy</w:t>
      </w:r>
      <w:r>
        <w:t xml:space="preserve"> </w:t>
      </w:r>
      <w:r>
        <w:t>=</w:t>
      </w:r>
      <w:r>
        <w:t xml:space="preserve"> </w:t>
      </w:r>
      <w:r>
        <w:t>h</w:t>
      </w:r>
      <w:r>
        <w:t xml:space="preserve"> </w:t>
      </w:r>
      <w:r>
        <w:t>/</w:t>
      </w:r>
      <w:r>
        <w:t xml:space="preserve"> </w:t>
      </w:r>
      <w:r>
        <w:t>e</w:t>
      </w:r>
      <w:r>
        <w:rPr>
          <w:vertAlign w:val="subscript"/>
        </w:rPr>
        <w:t>2</w:t>
      </w:r>
      <w:r>
        <w:t xml:space="preserve"> </w:t>
      </w:r>
      <w:r>
        <w:t>. At higher doping this undergoes a second transition to a Fermi liquid metal. We show that this framework provides a plausible explanation for the complex phase diagram recently observed in twisted MoTe</w:t>
      </w:r>
      <w:r>
        <w:rPr>
          <w:vertAlign w:val="subscript"/>
        </w:rPr>
        <w:t>2</w:t>
      </w:r>
      <w:r>
        <w:t>near</w:t>
      </w:r>
      <w:r>
        <w:t xml:space="preserve"> </w:t>
      </w:r>
      <w:r>
        <w:t>ν</w:t>
      </w:r>
      <w:r>
        <w:t xml:space="preserve"> </w:t>
      </w:r>
      <w:r>
        <w:t>=</w:t>
      </w:r>
      <w:r>
        <w:rPr>
          <w:vertAlign w:val="subscript"/>
        </w:rPr>
        <w:t>2</w:t>
      </w:r>
      <w:r>
        <w:t>/</w:t>
      </w:r>
      <w:r>
        <w:rPr>
          <w:vertAlign w:val="subscript"/>
        </w:rPr>
        <w:t>3</w:t>
      </w:r>
      <w:r>
        <w:t xml:space="preserve"> </w:t>
      </w:r>
      <w:r>
        <w:t>and discuss future experiments that can test our theory in more detail.</w:t>
      </w:r>
    </w:p>
    <w:p>
      <w:pPr>
        <w:spacing w:before="120" w:after="120"/>
      </w:pPr>
      <w:r>
        <w:rPr>
          <w:sz w:val="18"/>
        </w:rPr>
        <w:t>——————————————————————————————————————————————————————————————————————</w:t>
      </w:r>
    </w:p>
    <w:p>
      <w:pPr>
        <w:spacing w:before="160" w:after="80" w:line="240" w:lineRule="auto"/>
      </w:pPr>
      <w:r>
        <w:rPr>
          <w:b/>
        </w:rPr>
        <w:t xml:space="preserve">[687] </w:t>
      </w:r>
      <w:hyperlink r:id="rId1128">
        <w:r>
          <w:rPr>
            <w:color w:val="1155CC"/>
            <w:u w:val="single"/>
          </w:rPr>
          <w:t>Topoisomerase III-beta protects from immune dysregulation and tumorigenesis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29">
        <w:r>
          <w:rPr>
            <w:color w:val="1155CC"/>
            <w:u w:val="single"/>
          </w:rPr>
          <w:t>10.1126/sciadv.ady7028</w:t>
        </w:r>
      </w:hyperlink>
    </w:p>
    <w:p>
      <w:pPr>
        <w:spacing w:before="0" w:after="120"/>
      </w:pPr>
      <w:r>
        <w:rPr>
          <w:b/>
        </w:rPr>
        <w:t xml:space="preserve">Notes: </w:t>
      </w:r>
      <w:r>
        <w:t>abstract_source=crossref</w:t>
      </w:r>
    </w:p>
    <w:p>
      <w:pPr>
        <w:spacing w:before="0" w:after="200" w:lineRule="auto" w:line="276"/>
      </w:pPr>
      <w:r>
        <w:rPr>
          <w:b/>
        </w:rPr>
        <w:t xml:space="preserve">Abstract: </w:t>
      </w:r>
      <w:r>
        <w:t>Topoisomerase III-beta (Top3b) reduces nucleic acid torsional stress and intertwining generated during RNA and DNA metabolism while protecting the genome from pathological R-loops, which otherwise result in DNA breakage and genome instability. By studying</w:t>
      </w:r>
      <w:r>
        <w:t xml:space="preserve"> </w:t>
      </w:r>
      <w:r>
        <w:t>Top3b</w:t>
      </w:r>
      <w:r>
        <w:t xml:space="preserve"> </w:t>
      </w:r>
      <w:r>
        <w:t>knockout mice (</w:t>
      </w:r>
      <w:r>
        <w:t xml:space="preserve"> </w:t>
      </w:r>
      <w:r>
        <w:t>Top3b</w:t>
      </w:r>
      <w:r>
        <w:t xml:space="preserve"> </w:t>
      </w:r>
      <w:r>
        <w:t>-KO), we find that the loss of Top3b accelerates the development of spontaneous atypical lymphoid hyperplasia and lymphomas arising in spleens and lymph nodes, organs with prominent Top3b expression. Aging</w:t>
      </w:r>
      <w:r>
        <w:t xml:space="preserve"> </w:t>
      </w:r>
      <w:r>
        <w:t>Top3b</w:t>
      </w:r>
      <w:r>
        <w:t xml:space="preserve"> </w:t>
      </w:r>
      <w:r>
        <w:t>-KO mice also display splenomegaly and systemic immune alterations including neutrophilia and lymphopenia consistent with chronic inflammation. At the molecular level, Top3b deficiency causes genome-wide R-loop accumulation in splenocytes as measured by CUT&amp;amp;Tag sequencing. Increased R-loops are associated with genomic breaks and activation of immune signaling pathways including innate and adaptive immune cell signaling, IL-4 signaling, FAK signaling, and cGAS-STING. In addition, knocking-out</w:t>
      </w:r>
      <w:r>
        <w:t xml:space="preserve"> </w:t>
      </w:r>
      <w:r>
        <w:t>Top3b</w:t>
      </w:r>
      <w:r>
        <w:t xml:space="preserve"> </w:t>
      </w:r>
      <w:r>
        <w:t>promotes the rapid development of syngeneic EL4 T cell lymphomas. In conclusion, our work implies that Top3b protects from lymphoma, tumorigenesis, and immune dysregulations.</w:t>
      </w:r>
    </w:p>
    <w:p>
      <w:pPr>
        <w:spacing w:before="120" w:after="120"/>
      </w:pPr>
      <w:r>
        <w:rPr>
          <w:sz w:val="18"/>
        </w:rPr>
        <w:t>——————————————————————————————————————————————————————————————————————</w:t>
      </w:r>
    </w:p>
    <w:p>
      <w:pPr>
        <w:spacing w:before="160" w:after="80" w:line="240" w:lineRule="auto"/>
      </w:pPr>
      <w:r>
        <w:rPr>
          <w:b/>
        </w:rPr>
        <w:t xml:space="preserve">[688] </w:t>
      </w:r>
      <w:hyperlink r:id="rId1130">
        <w:r>
          <w:rPr>
            <w:color w:val="1155CC"/>
            <w:u w:val="single"/>
          </w:rPr>
          <w:t>Structural basis of VLCFA chain-length determination by the KCS6-CER2 complex in plants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31">
        <w:r>
          <w:rPr>
            <w:color w:val="1155CC"/>
            <w:u w:val="single"/>
          </w:rPr>
          <w:t>10.1126/sciadv.adz9463</w:t>
        </w:r>
      </w:hyperlink>
    </w:p>
    <w:p>
      <w:pPr>
        <w:spacing w:before="0" w:after="120"/>
      </w:pPr>
      <w:r>
        <w:rPr>
          <w:b/>
        </w:rPr>
        <w:t xml:space="preserve">Notes: </w:t>
      </w:r>
      <w:r>
        <w:t>abstract_source=crossref</w:t>
      </w:r>
    </w:p>
    <w:p>
      <w:pPr>
        <w:spacing w:before="0" w:after="200" w:lineRule="auto" w:line="276"/>
      </w:pPr>
      <w:r>
        <w:rPr>
          <w:b/>
        </w:rPr>
        <w:t xml:space="preserve">Abstract: </w:t>
      </w:r>
      <w:r>
        <w:t>Very-long-chain fatty acids (VLCFAs) govern plant adaptation and development in a chain length–dependent manner. The elongation of VLCFAs is mediated by 3-ketoacyl–coenzyme A synthase (KCS) and ECERIFERUM2 (CER2) family protein cofactors, but the structural basis and mechanistic principles underlying chain-length determination remain elusive. Here, we report cryo–electron microscopy structures of citrus KCS6-CER2 and KCS6–CER2-like1 complexes, unveiling a kinked elongation tunnel whose hydrophobicity and volume determine VLCFA chain length. KCS6 functions as a catalytic module elongating VLCFAs up to chain length of 28 carbons (C28). CER2 family proteins further extend the tunnel formed by the KCS6 subunit, thus elongating VLCFAs to chain lengths longer than C28. These findings provide a plant-specific structural framework for VLCFA chain-length modulation and lay a foundation for engineering VLCFA biosynthesis for the improvement of crop resilience and VLCFA industrial value.</w:t>
      </w:r>
    </w:p>
    <w:p>
      <w:pPr>
        <w:spacing w:before="120" w:after="120"/>
      </w:pPr>
      <w:r>
        <w:rPr>
          <w:sz w:val="18"/>
        </w:rPr>
        <w:t>——————————————————————————————————————————————————————————————————————</w:t>
      </w:r>
    </w:p>
    <w:p>
      <w:pPr>
        <w:spacing w:before="160" w:after="80" w:line="240" w:lineRule="auto"/>
      </w:pPr>
      <w:r>
        <w:rPr>
          <w:b/>
        </w:rPr>
        <w:t xml:space="preserve">[689] </w:t>
      </w:r>
      <w:hyperlink r:id="rId1132">
        <w:r>
          <w:rPr>
            <w:color w:val="1155CC"/>
            <w:u w:val="single"/>
          </w:rPr>
          <w:t>Does humidity matter? Prenatal heat and child health in South Asia</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33">
        <w:r>
          <w:rPr>
            <w:color w:val="1155CC"/>
            <w:u w:val="single"/>
          </w:rPr>
          <w:t>10.1126/sciadv.adx3010</w:t>
        </w:r>
      </w:hyperlink>
    </w:p>
    <w:p>
      <w:pPr>
        <w:spacing w:before="0" w:after="120"/>
      </w:pPr>
      <w:r>
        <w:rPr>
          <w:b/>
        </w:rPr>
        <w:t xml:space="preserve">Notes: </w:t>
      </w:r>
      <w:r>
        <w:t>abstract_source=crossref</w:t>
      </w:r>
    </w:p>
    <w:p>
      <w:pPr>
        <w:spacing w:before="0" w:after="200" w:lineRule="auto" w:line="276"/>
      </w:pPr>
      <w:r>
        <w:rPr>
          <w:b/>
        </w:rPr>
        <w:t xml:space="preserve">Abstract: </w:t>
      </w:r>
      <w:r>
        <w:t>Heat extremes pose substantial health risks during pregnancy and early childhood. High humidity exacerbates heat strain, but its long-term effects on health remain poorly understood. We compare the effect of prenatal exposure to extreme humid heat versus heat alone on child growth in South Asia, where high rates of child stunting meet rapidly accelerating hot-humid extremes. After adjusting for sociodemographic, seasonal, and spatial confounders, we use within-community variation in children’s ages to isolate the impact of prenatal exposures. We find that hot-humid exposures are much more detrimental to health than hot temperatures alone, with the potential to increase stunting in South Asia by over 3 million children by 2050. These findings underscore the importance of accounting for humidity when estimating and localizing climate change impacts.</w:t>
      </w:r>
    </w:p>
    <w:p>
      <w:pPr>
        <w:spacing w:before="120" w:after="120"/>
      </w:pPr>
      <w:r>
        <w:rPr>
          <w:sz w:val="18"/>
        </w:rPr>
        <w:t>——————————————————————————————————————————————————————————————————————</w:t>
      </w:r>
    </w:p>
    <w:p>
      <w:pPr>
        <w:spacing w:before="160" w:after="80" w:line="240" w:lineRule="auto"/>
      </w:pPr>
      <w:r>
        <w:rPr>
          <w:b/>
        </w:rPr>
        <w:t xml:space="preserve">[690] </w:t>
      </w:r>
      <w:hyperlink r:id="rId1134">
        <w:r>
          <w:rPr>
            <w:color w:val="1155CC"/>
            <w:u w:val="single"/>
          </w:rPr>
          <w:t>Interleukin-2 is a potent latency reversal agent in people with treated HIV-1</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35">
        <w:r>
          <w:rPr>
            <w:color w:val="1155CC"/>
            <w:u w:val="single"/>
          </w:rPr>
          <w:t>10.1126/sciadv.aea4268</w:t>
        </w:r>
      </w:hyperlink>
    </w:p>
    <w:p>
      <w:pPr>
        <w:spacing w:before="0" w:after="120"/>
      </w:pPr>
      <w:r>
        <w:rPr>
          <w:b/>
        </w:rPr>
        <w:t xml:space="preserve">Notes: </w:t>
      </w:r>
      <w:r>
        <w:t>abstract_source=crossref</w:t>
      </w:r>
    </w:p>
    <w:p>
      <w:pPr>
        <w:spacing w:before="0" w:after="200" w:lineRule="auto" w:line="276"/>
      </w:pPr>
      <w:r>
        <w:rPr>
          <w:b/>
        </w:rPr>
        <w:t xml:space="preserve">Abstract: </w:t>
      </w:r>
      <w:r>
        <w:t>Eliciting HIV-1 expression from latently infected CD4</w:t>
      </w:r>
      <w:r>
        <w:t xml:space="preserve"> </w:t>
      </w:r>
      <w:r>
        <w:t>+</w:t>
      </w:r>
      <w:r>
        <w:t xml:space="preserve"> </w:t>
      </w:r>
      <w:r>
        <w:t>T cells allows these rare reservoir cells to become targets of the immune system and may also result in death of reservoir cells via virus-induced cytopathy. We asked whether administration of recombinant interleukin-2 (rIL-2) to people with HIV-1 (PWH) on antiretroviral therapy (ART) would induce HIV-1 replication and activate cellular immunity. Nine men with ART-suppressed HIV-1 completed a single 4-day cycle of rIL-2 administration. Plasma HIV-1 RNA levels rose from &amp;lt;20 copies per milliliter at entry to a mean of 301 copies per milliliter at day 7 (an average increase of 0.82 log</w:t>
      </w:r>
      <w:r>
        <w:rPr>
          <w:vertAlign w:val="subscript"/>
        </w:rPr>
        <w:t>10</w:t>
      </w:r>
      <w:r>
        <w:t>;</w:t>
      </w:r>
      <w:r>
        <w:t xml:space="preserve"> </w:t>
      </w:r>
      <w:r>
        <w:t>P</w:t>
      </w:r>
      <w:r>
        <w:t xml:space="preserve"> </w:t>
      </w:r>
      <w:r>
        <w:t>= 0.008). In addition, we observed robust natural killer and T cell activation, with a modest increase in regulatory T cell–like cells. Thus, rIL-2 appears to be one of the most potent latency-reversing agents tested in PWH on ART.</w:t>
      </w:r>
    </w:p>
    <w:p>
      <w:pPr>
        <w:spacing w:before="120" w:after="120"/>
      </w:pPr>
      <w:r>
        <w:rPr>
          <w:sz w:val="18"/>
        </w:rPr>
        <w:t>——————————————————————————————————————————————————————————————————————</w:t>
      </w:r>
    </w:p>
    <w:p>
      <w:pPr>
        <w:spacing w:before="160" w:after="80" w:line="240" w:lineRule="auto"/>
      </w:pPr>
      <w:r>
        <w:rPr>
          <w:b/>
        </w:rPr>
        <w:t xml:space="preserve">[691] </w:t>
      </w:r>
      <w:hyperlink r:id="rId1136">
        <w:r>
          <w:rPr>
            <w:color w:val="1155CC"/>
            <w:u w:val="single"/>
          </w:rPr>
          <w:t>VNUT-mediated ATP release suppresses T helper 1 (TH1) cell differentiation via the P2X7R-JNK-FOXO3a-Eomes signaling cascade</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37">
        <w:r>
          <w:rPr>
            <w:color w:val="1155CC"/>
            <w:u w:val="single"/>
          </w:rPr>
          <w:t>10.1126/sciadv.adz7600</w:t>
        </w:r>
      </w:hyperlink>
    </w:p>
    <w:p>
      <w:pPr>
        <w:spacing w:before="0" w:after="120"/>
      </w:pPr>
      <w:r>
        <w:rPr>
          <w:b/>
        </w:rPr>
        <w:t xml:space="preserve">Notes: </w:t>
      </w:r>
      <w:r>
        <w:t>abstract_source=crossref</w:t>
      </w:r>
    </w:p>
    <w:p>
      <w:pPr>
        <w:spacing w:before="0" w:after="200" w:lineRule="auto" w:line="276"/>
      </w:pPr>
      <w:r>
        <w:rPr>
          <w:b/>
        </w:rPr>
        <w:t xml:space="preserve">Abstract: </w:t>
      </w:r>
      <w:r>
        <w:t>Extracellular ATP (eATP), a well-recognized danger signal and immune activator, is implicated in the activation, differentiation, and function of T cells, directly or indirectly. Yet, how T cells release ATP themselves and its effects remain poorly investigated. Here, we found vesicular nucleotide transporter (VNUT), critical for vesicular ATP storage/release, is highly expressed in T</w:t>
      </w:r>
      <w:r>
        <w:t xml:space="preserve"> </w:t>
      </w:r>
      <w:r>
        <w:t>H</w:t>
      </w:r>
      <w:r>
        <w:t xml:space="preserve"> </w:t>
      </w:r>
      <w:r>
        <w:t>1 cells and selectively restricts their differentiation and effector functions. Mechanistically, VNUT facilitates lysosomal ATP import and its extracellular release upon T cell receptor engagement. This eATP then activates the purinergic receptor P2X7R and downstream SRC kinase, triggering a signaling cascade involving heightened Ca</w:t>
      </w:r>
      <w:r>
        <w:t xml:space="preserve"> </w:t>
      </w:r>
      <w:r>
        <w:t>2+</w:t>
      </w:r>
      <w:r>
        <w:t xml:space="preserve"> </w:t>
      </w:r>
      <w:r>
        <w:t>influx and hyperphosphorylation of JNK and FOXO3a, which ultimately impairs Eomes-directed IFN-γ production in T</w:t>
      </w:r>
      <w:r>
        <w:t xml:space="preserve"> </w:t>
      </w:r>
      <w:r>
        <w:t>H</w:t>
      </w:r>
      <w:r>
        <w:t xml:space="preserve"> </w:t>
      </w:r>
      <w:r>
        <w:t>1 cells. Genetic/pharmacological of VNUT inhibition significantly potentiates T</w:t>
      </w:r>
      <w:r>
        <w:t xml:space="preserve"> </w:t>
      </w:r>
      <w:r>
        <w:t>H</w:t>
      </w:r>
      <w:r>
        <w:t xml:space="preserve"> </w:t>
      </w:r>
      <w:r>
        <w:t>1 effector functions against</w:t>
      </w:r>
      <w:r>
        <w:t xml:space="preserve"> </w:t>
      </w:r>
      <w:r>
        <w:t>Listeria</w:t>
      </w:r>
      <w:r>
        <w:t xml:space="preserve"> </w:t>
      </w:r>
      <w:r>
        <w:t>infection and transplanted tumors. These findings identify VNUT as a critical checkpoint in limiting T</w:t>
      </w:r>
      <w:r>
        <w:t xml:space="preserve"> </w:t>
      </w:r>
      <w:r>
        <w:t>H</w:t>
      </w:r>
      <w:r>
        <w:t xml:space="preserve"> </w:t>
      </w:r>
      <w:r>
        <w:t>1 immunity, coupling vesicular ATP transport to transcriptional control via the P2X7R-JNK-FOXO3a-Eomes axis, offering a target for treating infection and cancer.</w:t>
      </w:r>
    </w:p>
    <w:p>
      <w:pPr>
        <w:spacing w:before="120" w:after="120"/>
      </w:pPr>
      <w:r>
        <w:rPr>
          <w:sz w:val="18"/>
        </w:rPr>
        <w:t>——————————————————————————————————————————————————————————————————————</w:t>
      </w:r>
    </w:p>
    <w:p>
      <w:pPr>
        <w:spacing w:before="160" w:after="80" w:line="240" w:lineRule="auto"/>
      </w:pPr>
      <w:r>
        <w:rPr>
          <w:b/>
        </w:rPr>
        <w:t xml:space="preserve">[692] </w:t>
      </w:r>
      <w:hyperlink r:id="rId1138">
        <w:r>
          <w:rPr>
            <w:color w:val="1155CC"/>
            <w:u w:val="single"/>
          </w:rPr>
          <w:t>High-speed X-ray tomography for 4D imaging</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39">
        <w:r>
          <w:rPr>
            <w:color w:val="1155CC"/>
            <w:u w:val="single"/>
          </w:rPr>
          <w:t>10.1073/pnas.2521089122</w:t>
        </w:r>
      </w:hyperlink>
    </w:p>
    <w:p>
      <w:pPr>
        <w:spacing w:before="0" w:after="120"/>
      </w:pPr>
      <w:r>
        <w:rPr>
          <w:b/>
        </w:rPr>
        <w:t xml:space="preserve">Notes: </w:t>
      </w:r>
      <w:r>
        <w:t>abstract_source=crossref</w:t>
      </w:r>
    </w:p>
    <w:p>
      <w:pPr>
        <w:spacing w:before="0" w:after="200" w:lineRule="auto" w:line="276"/>
      </w:pPr>
      <w:r>
        <w:rPr>
          <w:b/>
        </w:rPr>
        <w:t xml:space="preserve">Abstract: </w:t>
      </w:r>
      <w:r>
        <w:t>Capturing high-rate spatiotemporal deformation of materials in three dimensions (3D) remains a significant challenge with current X-ray imaging techniques. We present a methodology that combines advances in neural rendering techniques with volume correlation methods to accurately reconstruct complex, high-rate 3D spatiotemporal structural evolutions. The fidelity and versatility of the method, which requires no pretraining, are demonstrated for a diverse set of intricate 3D-printed microarchitected solids. Using laboratory-based X-ray tomography, we capture the 3D growth of a high-rate crush band on a timescale of less than 100 ms. By broadening this idea to a stereo X-ray concept, we eliminate the need to rotate the image object, thereby extending the technique to significantly faster timescales. Our neural rendering framework opens possibilities for 3D observations of viscoelastic responses of biological materials to 3D investigations of numerous poorly understood dynamic processes, such as the runaway failure of batteries, all using laboratory X-ray systems.</w:t>
      </w:r>
    </w:p>
    <w:p>
      <w:pPr>
        <w:spacing w:before="120" w:after="120"/>
      </w:pPr>
      <w:r>
        <w:rPr>
          <w:sz w:val="18"/>
        </w:rPr>
        <w:t>——————————————————————————————————————————————————————————————————————</w:t>
      </w:r>
    </w:p>
    <w:p>
      <w:pPr>
        <w:spacing w:before="160" w:after="80" w:line="240" w:lineRule="auto"/>
      </w:pPr>
      <w:r>
        <w:rPr>
          <w:b/>
        </w:rPr>
        <w:t xml:space="preserve">[693] </w:t>
      </w:r>
      <w:hyperlink r:id="rId1140">
        <w:r>
          <w:rPr>
            <w:color w:val="1155CC"/>
            <w:u w:val="single"/>
          </w:rPr>
          <w:t>MAP4K1 and MAP4K2 regulate ABA-induced and Ca2+-mediated stomatal closure in Arabidopsis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41">
        <w:r>
          <w:rPr>
            <w:color w:val="1155CC"/>
            <w:u w:val="single"/>
          </w:rPr>
          <w:t>10.1126/sciadv.adt4916</w:t>
        </w:r>
      </w:hyperlink>
    </w:p>
    <w:p>
      <w:pPr>
        <w:spacing w:before="0" w:after="120"/>
      </w:pPr>
      <w:r>
        <w:rPr>
          <w:b/>
        </w:rPr>
        <w:t xml:space="preserve">Notes: </w:t>
      </w:r>
      <w:r>
        <w:t>abstract_source=crossref</w:t>
      </w:r>
    </w:p>
    <w:p>
      <w:pPr>
        <w:spacing w:before="0" w:after="200" w:lineRule="auto" w:line="276"/>
      </w:pPr>
      <w:r>
        <w:rPr>
          <w:b/>
        </w:rPr>
        <w:t xml:space="preserve">Abstract: </w:t>
      </w:r>
      <w:r>
        <w:t>Abscisic acid (ABA)–induced stomatal closure limits water loss from plants under drought stress. To investigate the signaling pathways involved in ABA-induced stomatal closure, we performed a phosphoproteomic analysis of ABA-treated</w:t>
      </w:r>
      <w:r>
        <w:t xml:space="preserve"> </w:t>
      </w:r>
      <w:r>
        <w:t>Arabidopsis</w:t>
      </w:r>
      <w:r>
        <w:t xml:space="preserve"> </w:t>
      </w:r>
      <w:r>
        <w:t>guard cell protoplasts (GCPs). We found that ABA-responsive phosphorylation of MITOGEN-ACTIVATED PROTEIN 4 KINASE 1 (MAP4K1) was significantly down-regulated in SnRK2-disrupted mutants. Subsequent biochemical assays showed that Ser</w:t>
      </w:r>
      <w:r>
        <w:rPr>
          <w:vertAlign w:val="subscript"/>
        </w:rPr>
        <w:t>479</w:t>
      </w:r>
      <w:r>
        <w:t>of MAP4K1 is directly phosphorylated by SRK2E/OST1, a central ABA kinase. Mutational analyses of MAP4K1 and MAP4K2 revealed that both kinases positively regulate ABA-induced stomatal closure and that Ser</w:t>
      </w:r>
      <w:r>
        <w:rPr>
          <w:vertAlign w:val="subscript"/>
        </w:rPr>
        <w:t>479</w:t>
      </w:r>
      <w:r>
        <w:t>of MAP4K1 is required for this phenotype. In</w:t>
      </w:r>
      <w:r>
        <w:t xml:space="preserve"> </w:t>
      </w:r>
      <w:r>
        <w:t>map4k1map4k2</w:t>
      </w:r>
      <w:r>
        <w:t xml:space="preserve"> </w:t>
      </w:r>
      <w:r>
        <w:t>double mutants, stomatal closure was induced by applying exogenous Ca</w:t>
      </w:r>
      <w:r>
        <w:t xml:space="preserve"> </w:t>
      </w:r>
      <w:r>
        <w:t>2+</w:t>
      </w:r>
      <w:r>
        <w:t xml:space="preserve"> </w:t>
      </w:r>
      <w:r>
        <w:t>but not H</w:t>
      </w:r>
      <w:r>
        <w:rPr>
          <w:vertAlign w:val="subscript"/>
        </w:rPr>
        <w:t>2</w:t>
      </w:r>
      <w:r>
        <w:t>O</w:t>
      </w:r>
      <w:r>
        <w:rPr>
          <w:vertAlign w:val="subscript"/>
        </w:rPr>
        <w:t>2</w:t>
      </w:r>
      <w:r>
        <w:t>. Electrophysiological experiments showed that MAP4K1/2 is required for ABA-dependent activation of Ca</w:t>
      </w:r>
      <w:r>
        <w:t xml:space="preserve"> </w:t>
      </w:r>
      <w:r>
        <w:t>2+</w:t>
      </w:r>
      <w:r>
        <w:t xml:space="preserve"> </w:t>
      </w:r>
      <w:r>
        <w:t>-permeable channels in GCPs. Together, our results indicate that SnRK2 and MAP4K function as a signaling module to regulate the Ca</w:t>
      </w:r>
      <w:r>
        <w:t xml:space="preserve"> </w:t>
      </w:r>
      <w:r>
        <w:t>2+</w:t>
      </w:r>
      <w:r>
        <w:t xml:space="preserve"> </w:t>
      </w:r>
      <w:r>
        <w:t>-mediated pathway in ABA-induced stomatal closure.</w:t>
      </w:r>
    </w:p>
    <w:p>
      <w:pPr>
        <w:spacing w:before="120" w:after="120"/>
      </w:pPr>
      <w:r>
        <w:rPr>
          <w:sz w:val="18"/>
        </w:rPr>
        <w:t>——————————————————————————————————————————————————————————————————————</w:t>
      </w:r>
    </w:p>
    <w:p>
      <w:pPr>
        <w:spacing w:before="160" w:after="80" w:line="240" w:lineRule="auto"/>
      </w:pPr>
      <w:r>
        <w:rPr>
          <w:b/>
        </w:rPr>
        <w:t xml:space="preserve">[694] </w:t>
      </w:r>
      <w:hyperlink r:id="rId1142">
        <w:r>
          <w:rPr>
            <w:color w:val="1155CC"/>
            <w:u w:val="single"/>
          </w:rPr>
          <w:t>Observing momentum conservation at temporal interfaces in synthetic frequency dimension</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43">
        <w:r>
          <w:rPr>
            <w:color w:val="1155CC"/>
            <w:u w:val="single"/>
          </w:rPr>
          <w:t>10.1126/sciadv.adz5445</w:t>
        </w:r>
      </w:hyperlink>
    </w:p>
    <w:p>
      <w:pPr>
        <w:spacing w:before="0" w:after="120"/>
      </w:pPr>
      <w:r>
        <w:rPr>
          <w:b/>
        </w:rPr>
        <w:t xml:space="preserve">Notes: </w:t>
      </w:r>
      <w:r>
        <w:t>abstract_source=crossref</w:t>
      </w:r>
    </w:p>
    <w:p>
      <w:pPr>
        <w:spacing w:before="0" w:after="200" w:lineRule="auto" w:line="276"/>
      </w:pPr>
      <w:r>
        <w:rPr>
          <w:b/>
        </w:rPr>
        <w:t xml:space="preserve">Abstract: </w:t>
      </w:r>
      <w:r>
        <w:t>Electromagnetic wave dynamics at the temporal interface (TI), defined as the abrupt change of material properties in time, is fundamentally different from the counterpart at the spatial interface. The cornerstone for understanding the temporal scattering process for waves links to the momentum conservation for the state projections on the energy bands at the TI. Here, we experimentally construct various TIs in synthetic frequency dimension and study temporal scattering processes over the whole band. Different temporal operation scenarios are studied, including band shifting, band unfolding/folding, and also band variation in a two-dimensional case. We develop the spectral tomography method to retrieve wave function distributions after wave scatterings at different TIs and then demonstrate the momentum conservation over the whole band. Our work provides a flexible experimental platform for realizing TIs in the optical frequency range and studying the fundamental temporal scattering processes for photons.</w:t>
      </w:r>
    </w:p>
    <w:p>
      <w:pPr>
        <w:spacing w:before="120" w:after="120"/>
      </w:pPr>
      <w:r>
        <w:rPr>
          <w:sz w:val="18"/>
        </w:rPr>
        <w:t>——————————————————————————————————————————————————————————————————————</w:t>
      </w:r>
    </w:p>
    <w:p>
      <w:pPr>
        <w:spacing w:before="160" w:after="80" w:line="240" w:lineRule="auto"/>
      </w:pPr>
      <w:r>
        <w:rPr>
          <w:b/>
        </w:rPr>
        <w:t xml:space="preserve">[695] </w:t>
      </w:r>
      <w:hyperlink r:id="rId1144">
        <w:r>
          <w:rPr>
            <w:color w:val="1155CC"/>
            <w:u w:val="single"/>
          </w:rPr>
          <w:t>Structural insights into nonpeptide antagonist inhibition of somatostatin receptor subtype 5</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45">
        <w:r>
          <w:rPr>
            <w:color w:val="1155CC"/>
            <w:u w:val="single"/>
          </w:rPr>
          <w:t>10.1073/pnas.2522515122</w:t>
        </w:r>
      </w:hyperlink>
    </w:p>
    <w:p>
      <w:pPr>
        <w:spacing w:before="0" w:after="120"/>
      </w:pPr>
      <w:r>
        <w:rPr>
          <w:b/>
        </w:rPr>
        <w:t xml:space="preserve">Notes: </w:t>
      </w:r>
      <w:r>
        <w:t>abstract_source=crossref</w:t>
      </w:r>
    </w:p>
    <w:p>
      <w:pPr>
        <w:spacing w:before="0" w:after="200" w:lineRule="auto" w:line="276"/>
      </w:pPr>
      <w:r>
        <w:rPr>
          <w:b/>
        </w:rPr>
        <w:t xml:space="preserve">Abstract: </w:t>
      </w:r>
      <w:r>
        <w:t>The somatostatin receptor subtype 5 (SSTR5) is a critical pharmacological target involved in neuroendocrine signaling, metabolic regulation, and tumorigenesis. Despite its therapeutic potential, the structural mechanisms underlying SSTR5 inhibition by nonpeptide antagonists remain largely unresolved. In this study, we present high-resolution cryoelectron microscopy structures of human SSTR5 in complex with two selective small-molecule antagonists, antagonist 1 and S5A1, revealing the receptor’s inactive conformation. Both antagonists induce a unique remodeling of extracellular loop 2, which adopts a capping architecture that sterically occludes the orthosteric site, thus preventing agonist access and stabilizing receptor inactivation. Structural analyses and functional experiments elucidate how distinct molecular moieties of the antagonists differentially contribute to inhibitory efficacy, and subtype selectivity. Furthermore, we delineate rational avenues for molecular optimization to enhance therapeutic index and mitigate off-target liabilities. These findings, complementing our previous agonist-bound structures, establish a comprehensive structural foundation for developing improved nonpeptidic SSTR5 antagonists with potential therapeutic applications for type 2 diabetes and related endocrine disorders.</w:t>
      </w:r>
    </w:p>
    <w:p>
      <w:pPr>
        <w:spacing w:before="120" w:after="120"/>
      </w:pPr>
      <w:r>
        <w:rPr>
          <w:sz w:val="18"/>
        </w:rPr>
        <w:t>——————————————————————————————————————————————————————————————————————</w:t>
      </w:r>
    </w:p>
    <w:p>
      <w:pPr>
        <w:spacing w:before="160" w:after="80" w:line="240" w:lineRule="auto"/>
      </w:pPr>
      <w:r>
        <w:rPr>
          <w:b/>
        </w:rPr>
        <w:t xml:space="preserve">[696] </w:t>
      </w:r>
      <w:hyperlink r:id="rId1146">
        <w:r>
          <w:rPr>
            <w:color w:val="1155CC"/>
            <w:u w:val="single"/>
          </w:rPr>
          <w:t>Integrating theory and empirical patterns: Fish body size distributions, life history traits, and environmental flows in streams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47">
        <w:r>
          <w:rPr>
            <w:color w:val="1155CC"/>
            <w:u w:val="single"/>
          </w:rPr>
          <w:t>10.1126/sciadv.adu4026</w:t>
        </w:r>
      </w:hyperlink>
    </w:p>
    <w:p>
      <w:pPr>
        <w:spacing w:before="0" w:after="120"/>
      </w:pPr>
      <w:r>
        <w:rPr>
          <w:b/>
        </w:rPr>
        <w:t xml:space="preserve">Notes: </w:t>
      </w:r>
      <w:r>
        <w:t>abstract_source=crossref</w:t>
      </w:r>
    </w:p>
    <w:p>
      <w:pPr>
        <w:spacing w:before="0" w:after="200" w:lineRule="auto" w:line="276"/>
      </w:pPr>
      <w:r>
        <w:rPr>
          <w:b/>
        </w:rPr>
        <w:t xml:space="preserve">Abstract: </w:t>
      </w:r>
      <w:r>
        <w:t>Individual size distributions (ISDs) are prominent in ecological research and may support resource managers with ecosystem-scale objectives. We use a database of individual size measurements for US stream fishes to test for direct and indirect effects of traits, flow regimes, and land use on the interspecific ISD exponent. Path analysis indicates that traits have strong, direct effects on ISD. Flow and land use effects on the exponent are largely indirectly mediated by their influences on species traits. ISD exponents increase (abundances of larger-bodied individuals increase, relative to smaller-bodied) when environments favor higher trophic levels, warmer thermal tolerances, and periodic life histories. Alternatively, ISD exponents decrease in systems that favor opportunistic life histories. Our flexible modeling framework that includes direct and indirect effects of traits, flow regimes, and land use on ISD could be expanded to incorporate additional variables that interact with flow (e.g., temperature and physical habitat) to assess of effects of multiple stressors on aquatic ecosystem functioning.</w:t>
      </w:r>
    </w:p>
    <w:p>
      <w:pPr>
        <w:spacing w:before="120" w:after="120"/>
      </w:pPr>
      <w:r>
        <w:rPr>
          <w:sz w:val="18"/>
        </w:rPr>
        <w:t>——————————————————————————————————————————————————————————————————————</w:t>
      </w:r>
    </w:p>
    <w:p>
      <w:pPr>
        <w:spacing w:before="160" w:after="80" w:line="240" w:lineRule="auto"/>
      </w:pPr>
      <w:r>
        <w:rPr>
          <w:b/>
        </w:rPr>
        <w:t xml:space="preserve">[697] </w:t>
      </w:r>
      <w:hyperlink r:id="rId1148">
        <w:r>
          <w:rPr>
            <w:color w:val="1155CC"/>
            <w:u w:val="single"/>
          </w:rPr>
          <w:t>Correction for Michael et al., A cascade of structural rearrangements positions peptide release factor 2 for polypeptide hydrolysis on the ribosome</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49">
        <w:r>
          <w:rPr>
            <w:color w:val="1155CC"/>
            <w:u w:val="single"/>
          </w:rPr>
          <w:t>10.1073/pnas.2534338122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[698] </w:t>
      </w:r>
      <w:hyperlink r:id="rId1150">
        <w:r>
          <w:rPr>
            <w:color w:val="1155CC"/>
            <w:u w:val="single"/>
          </w:rPr>
          <w:t>Natural variants of AGL80.5 and FPA.3 contribute to bud break timing in poplar by controlling auxin biosynthesis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51">
        <w:r>
          <w:rPr>
            <w:color w:val="1155CC"/>
            <w:u w:val="single"/>
          </w:rPr>
          <w:t>10.1126/sciadv.adz6824</w:t>
        </w:r>
      </w:hyperlink>
    </w:p>
    <w:p>
      <w:pPr>
        <w:spacing w:before="0" w:after="120"/>
      </w:pPr>
      <w:r>
        <w:rPr>
          <w:b/>
        </w:rPr>
        <w:t xml:space="preserve">Notes: </w:t>
      </w:r>
      <w:r>
        <w:t>abstract_source=crossref</w:t>
      </w:r>
    </w:p>
    <w:p>
      <w:pPr>
        <w:spacing w:before="0" w:after="200" w:lineRule="auto" w:line="276"/>
      </w:pPr>
      <w:r>
        <w:rPr>
          <w:b/>
        </w:rPr>
        <w:t xml:space="preserve">Abstract: </w:t>
      </w:r>
      <w:r>
        <w:t>The molecular mechanisms governing phenological characteristics and local adaptation in woody perennials remain largely unexplored. Here, we identified that</w:t>
      </w:r>
      <w:r>
        <w:t xml:space="preserve"> </w:t>
      </w:r>
      <w:r>
        <w:t>AGAMOUS-LIKE 80</w:t>
      </w:r>
      <w:r>
        <w:t xml:space="preserve"> </w:t>
      </w:r>
      <w:r>
        <w:t>(</w:t>
      </w:r>
      <w:r>
        <w:t xml:space="preserve"> </w:t>
      </w:r>
      <w:r>
        <w:t>PtoAGL80.5</w:t>
      </w:r>
      <w:r>
        <w:t xml:space="preserve"> </w:t>
      </w:r>
      <w:r>
        <w:t>) and</w:t>
      </w:r>
      <w:r>
        <w:t xml:space="preserve"> </w:t>
      </w:r>
      <w:r>
        <w:t>FLOWERING TIME CONTROL PROTEIN FPA</w:t>
      </w:r>
      <w:r>
        <w:t xml:space="preserve"> </w:t>
      </w:r>
      <w:r>
        <w:t>(</w:t>
      </w:r>
      <w:r>
        <w:t xml:space="preserve"> </w:t>
      </w:r>
      <w:r>
        <w:t>PtoFPA.3</w:t>
      </w:r>
      <w:r>
        <w:t xml:space="preserve"> </w:t>
      </w:r>
      <w:r>
        <w:t>) were simultaneously associated with photoperiod factors and bud break (BB) timing in</w:t>
      </w:r>
      <w:r>
        <w:t xml:space="preserve"> </w:t>
      </w:r>
      <w:r>
        <w:t>Populus tomentosa</w:t>
      </w:r>
      <w:r>
        <w:t xml:space="preserve"> </w:t>
      </w:r>
      <w:r>
        <w:t>. Transgenic experiments in growth chamber and two latitudinal field trials confirmed their positive roles in promoting BB. Both are activated by the canonical phenological regulator</w:t>
      </w:r>
      <w:r>
        <w:t xml:space="preserve"> </w:t>
      </w:r>
      <w:r>
        <w:t>SUPPRESSOR OF OVEREXPRESSION OF CO 1</w:t>
      </w:r>
      <w:r>
        <w:t xml:space="preserve"> </w:t>
      </w:r>
      <w:r>
        <w:t>, which, in turn, up-regulates the auxin biosynthesis gene</w:t>
      </w:r>
      <w:r>
        <w:t xml:space="preserve"> </w:t>
      </w:r>
      <w:r>
        <w:t>TRYPTOPHAN AMINOTRANSFERASE–RELATED</w:t>
      </w:r>
      <w:r>
        <w:t xml:space="preserve"> </w:t>
      </w:r>
      <w:r>
        <w:t>(</w:t>
      </w:r>
      <w:r>
        <w:t xml:space="preserve"> </w:t>
      </w:r>
      <w:r>
        <w:t>PtoTAR2.1</w:t>
      </w:r>
      <w:r>
        <w:t xml:space="preserve"> </w:t>
      </w:r>
      <w:r>
        <w:t>), accelerating BB via auxin pathway. As superior haplotypes, PtoFPA.3</w:t>
      </w:r>
      <w:r>
        <w:t xml:space="preserve"> </w:t>
      </w:r>
      <w:r>
        <w:t>HAP1</w:t>
      </w:r>
      <w:r>
        <w:t xml:space="preserve"> </w:t>
      </w:r>
      <w:r>
        <w:t>binds</w:t>
      </w:r>
      <w:r>
        <w:t xml:space="preserve"> </w:t>
      </w:r>
      <w:r>
        <w:t>PtoAGL80.5</w:t>
      </w:r>
      <w:r>
        <w:t xml:space="preserve"> </w:t>
      </w:r>
      <w:r>
        <w:t>HAP1</w:t>
      </w:r>
      <w:r>
        <w:t xml:space="preserve"> </w:t>
      </w:r>
      <w:r>
        <w:t>messenger RNA to elevate protein, up-regulating</w:t>
      </w:r>
      <w:r>
        <w:t xml:space="preserve"> </w:t>
      </w:r>
      <w:r>
        <w:t>PtoTAR2.1</w:t>
      </w:r>
      <w:r>
        <w:t xml:space="preserve"> </w:t>
      </w:r>
      <w:r>
        <w:t>and increasing indole-3-acetic acid accumulation. Under future climate scenarios, frequencies of</w:t>
      </w:r>
      <w:r>
        <w:t xml:space="preserve"> </w:t>
      </w:r>
      <w:r>
        <w:t>PtoFPA.3</w:t>
      </w:r>
      <w:r>
        <w:t xml:space="preserve"> </w:t>
      </w:r>
      <w:r>
        <w:t>HAP1</w:t>
      </w:r>
      <w:r>
        <w:t xml:space="preserve"> </w:t>
      </w:r>
      <w:r>
        <w:t>and</w:t>
      </w:r>
      <w:r>
        <w:t xml:space="preserve"> </w:t>
      </w:r>
      <w:r>
        <w:t>PtoAGL80.5</w:t>
      </w:r>
      <w:r>
        <w:t xml:space="preserve"> </w:t>
      </w:r>
      <w:r>
        <w:t>HAP1</w:t>
      </w:r>
      <w:r>
        <w:t xml:space="preserve"> </w:t>
      </w:r>
      <w:r>
        <w:t>are predicted to decline, narrowing BB variance across populations. This genetic regulatory network governing BB timing via the auxin pathway in perennial plants provides insights for molecular design breeding and ecological conservation amid climate change.</w:t>
      </w:r>
    </w:p>
    <w:p>
      <w:pPr>
        <w:spacing w:before="120" w:after="120"/>
      </w:pPr>
      <w:r>
        <w:rPr>
          <w:sz w:val="18"/>
        </w:rPr>
        <w:t>——————————————————————————————————————————————————————————————————————</w:t>
      </w:r>
    </w:p>
    <w:p>
      <w:pPr>
        <w:spacing w:before="160" w:after="80" w:line="240" w:lineRule="auto"/>
      </w:pPr>
      <w:r>
        <w:rPr>
          <w:b/>
        </w:rPr>
        <w:t xml:space="preserve">[699] </w:t>
      </w:r>
      <w:hyperlink r:id="rId1152">
        <w:r>
          <w:rPr>
            <w:color w:val="1155CC"/>
            <w:u w:val="single"/>
          </w:rPr>
          <w:t>Phosphorylation of shiftless is important for inhibiting the programmed −1 ribosomal frameshift</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53">
        <w:r>
          <w:rPr>
            <w:color w:val="1155CC"/>
            <w:u w:val="single"/>
          </w:rPr>
          <w:t>10.1126/sciadv.adw7471</w:t>
        </w:r>
      </w:hyperlink>
    </w:p>
    <w:p>
      <w:pPr>
        <w:spacing w:before="0" w:after="120"/>
      </w:pPr>
      <w:r>
        <w:rPr>
          <w:b/>
        </w:rPr>
        <w:t xml:space="preserve">Notes: </w:t>
      </w:r>
      <w:r>
        <w:t>abstract_source=crossref</w:t>
      </w:r>
    </w:p>
    <w:p>
      <w:pPr>
        <w:spacing w:before="0" w:after="200" w:lineRule="auto" w:line="276"/>
      </w:pPr>
      <w:r>
        <w:rPr>
          <w:b/>
        </w:rPr>
        <w:t xml:space="preserve">Abstract: </w:t>
      </w:r>
      <w:r>
        <w:t>Shiftless (SFL) is a broad-spectrum inhibitor of programmed −1 ribosomal frameshift (−1 PRF) and exhibits various antiviral activities. Here, we characterized human SFL structurally and biochemically. The 2.0-angstrom resolution crystal structure of SFL reveals a boat-like module comprising an N-terminal helical bundle and three zinc fingers at the C terminus. A hyperphosphorylation loop (HPL) buried between the helical bundle and the zinc finger 1 harbors four phosphorylated residues (p-S249, p-T250 p-T253, and p-S256), which are important to protein folding. SFL forms monomers in solution and binds the HIV-1 −1 PRF sequence with nanomolar affinity (</w:t>
      </w:r>
      <w:r>
        <w:t xml:space="preserve"> </w:t>
      </w:r>
      <w:r>
        <w:t>K</w:t>
      </w:r>
      <w:r>
        <w:t xml:space="preserve"> </w:t>
      </w:r>
      <w:r>
        <w:t>D</w:t>
      </w:r>
      <w:r>
        <w:t xml:space="preserve"> </w:t>
      </w:r>
      <w:r>
        <w:t>= 5.7 nanomolar). Disruption of HPL phosphorylation decreased the RNA binding affinity and undermined the SFL-mediated −1 PRF inhibition of various viruses. Proximity-dependent biotinylation identified three cellular Ser/Thr kinases—EEF2K, NEK9, and PBK—that phosphorylate SFL in cells. These findings shed light on the mechanisms underlying −1 PRF regulation by SFL and provide insights into the role of SFL in virus inhibition.</w:t>
      </w:r>
    </w:p>
    <w:p>
      <w:pPr>
        <w:spacing w:before="120" w:after="120"/>
      </w:pPr>
      <w:r>
        <w:rPr>
          <w:sz w:val="18"/>
        </w:rPr>
        <w:t>——————————————————————————————————————————————————————————————————————</w:t>
      </w:r>
    </w:p>
    <w:p>
      <w:pPr>
        <w:spacing w:before="160" w:after="80" w:line="240" w:lineRule="auto"/>
      </w:pPr>
      <w:r>
        <w:rPr>
          <w:b/>
        </w:rPr>
        <w:t xml:space="preserve">[700] </w:t>
      </w:r>
      <w:hyperlink r:id="rId1154">
        <w:r>
          <w:rPr>
            <w:color w:val="1155CC"/>
            <w:u w:val="single"/>
          </w:rPr>
          <w:t>Designing functional magnetic cloaks for real-world geometries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55">
        <w:r>
          <w:rPr>
            <w:color w:val="1155CC"/>
            <w:u w:val="single"/>
          </w:rPr>
          <w:t>10.1126/sciadv.aea2468</w:t>
        </w:r>
      </w:hyperlink>
    </w:p>
    <w:p>
      <w:pPr>
        <w:spacing w:before="0" w:after="120"/>
      </w:pPr>
      <w:r>
        <w:rPr>
          <w:b/>
        </w:rPr>
        <w:t xml:space="preserve">Notes: </w:t>
      </w:r>
      <w:r>
        <w:t>abstract_source=crossref</w:t>
      </w:r>
    </w:p>
    <w:p>
      <w:pPr>
        <w:spacing w:before="0" w:after="200" w:lineRule="auto" w:line="276"/>
      </w:pPr>
      <w:r>
        <w:rPr>
          <w:b/>
        </w:rPr>
        <w:t xml:space="preserve">Abstract: </w:t>
      </w:r>
      <w:r>
        <w:t>Magnetic cloaking enables objects to become undetectable to external magnetic fields while leaving those fields unperturbed. Existing demonstrations rely on idealized cylindrical or spherical shapes, limiting their practical relevance. Here, we introduce a physics-based optimization framework that designs magnetic cloaks for arbitrarily shaped structures by directly solving Maxwell’s equations under spatial material constraints. Our method produces continuous, spatially varying permeability profiles that preserve field uniformity around complex geometries, including faceted and multi-lobed configurations. Using material parameters drawn from commercially available superconductors, we demonstrate low-distortion cloaking performance with permeability values within manufacturable ranges. This approach establishes a route to customizable magnetic shields for real-world components and lays the groundwork for future applications in extreme magnetic environments, such as fusion energy systems and precision instrumentation.</w:t>
      </w:r>
    </w:p>
    <w:p>
      <w:pPr>
        <w:spacing w:before="120" w:after="120"/>
      </w:pPr>
      <w:r>
        <w:rPr>
          <w:sz w:val="18"/>
        </w:rPr>
        <w:t>——————————————————————————————————————————————————————————————————————</w:t>
      </w:r>
    </w:p>
    <w:p>
      <w:pPr>
        <w:spacing w:before="160" w:after="80" w:line="240" w:lineRule="auto"/>
      </w:pPr>
      <w:r>
        <w:rPr>
          <w:b/>
        </w:rPr>
        <w:t xml:space="preserve">[701] </w:t>
      </w:r>
      <w:hyperlink r:id="rId1156">
        <w:r>
          <w:rPr>
            <w:color w:val="1155CC"/>
            <w:u w:val="single"/>
          </w:rPr>
          <w:t>Asymmetries-induced nonlinear dynamic behaviors enable versatile modulation strategy for insect-scale robotics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57">
        <w:r>
          <w:rPr>
            <w:color w:val="1155CC"/>
            <w:u w:val="single"/>
          </w:rPr>
          <w:t>10.1126/sciadv.adx7406</w:t>
        </w:r>
      </w:hyperlink>
    </w:p>
    <w:p>
      <w:pPr>
        <w:spacing w:before="0" w:after="120"/>
      </w:pPr>
      <w:r>
        <w:rPr>
          <w:b/>
        </w:rPr>
        <w:t xml:space="preserve">Notes: </w:t>
      </w:r>
      <w:r>
        <w:t>abstract_source=crossref</w:t>
      </w:r>
    </w:p>
    <w:p>
      <w:pPr>
        <w:spacing w:before="0" w:after="200" w:lineRule="auto" w:line="276"/>
      </w:pPr>
      <w:r>
        <w:rPr>
          <w:b/>
        </w:rPr>
        <w:t xml:space="preserve">Abstract: </w:t>
      </w:r>
      <w:r>
        <w:t>Developing versatile insect-scale robots that can handle various unstructured scenarios with a simple design remains a critical challenge. Here, we introduce a single electromagnetic actuator-driven insect-scale robot, developed by integrating geometric and mass asymmetries into a deformable hexagonal frame. This asymmetric configuration induces nonlinear dynamic behaviors in the robot, allowing it to perform a variety of complex actions (e.g., forward and backward locomotion, active flipping, and lateral movement) and respond to challenging scenarios (e.g., granular media and safe landing) through posture transitions. To facilitate the behavior modulation and design optimization of the proposed insect-scale robot, a nonlinear dynamic model is established to map the relationship between motion behaviors and input parameters. Last, an untethered prototype that can work in outdoor environments is constructed to further demonstrate the practical applications.</w:t>
      </w:r>
    </w:p>
    <w:p>
      <w:pPr>
        <w:spacing w:before="120" w:after="120"/>
      </w:pPr>
      <w:r>
        <w:rPr>
          <w:sz w:val="18"/>
        </w:rPr>
        <w:t>——————————————————————————————————————————————————————————————————————</w:t>
      </w:r>
    </w:p>
    <w:p>
      <w:pPr>
        <w:spacing w:before="160" w:after="80" w:line="240" w:lineRule="auto"/>
      </w:pPr>
      <w:r>
        <w:rPr>
          <w:b/>
        </w:rPr>
        <w:t xml:space="preserve">[702] </w:t>
      </w:r>
      <w:hyperlink r:id="rId1158">
        <w:r>
          <w:rPr>
            <w:color w:val="1155CC"/>
            <w:u w:val="single"/>
          </w:rPr>
          <w:t>EGFR activation requires cholesterol interaction at the inner leaflet of the plasma membrane</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59">
        <w:r>
          <w:rPr>
            <w:color w:val="1155CC"/>
            <w:u w:val="single"/>
          </w:rPr>
          <w:t>10.1126/sciadv.adx2398</w:t>
        </w:r>
      </w:hyperlink>
    </w:p>
    <w:p>
      <w:pPr>
        <w:spacing w:before="0" w:after="120"/>
      </w:pPr>
      <w:r>
        <w:rPr>
          <w:b/>
        </w:rPr>
        <w:t xml:space="preserve">Notes: </w:t>
      </w:r>
      <w:r>
        <w:t>abstract_source=crossref</w:t>
      </w:r>
    </w:p>
    <w:p>
      <w:pPr>
        <w:spacing w:before="0" w:after="200" w:lineRule="auto" w:line="276"/>
      </w:pPr>
      <w:r>
        <w:rPr>
          <w:b/>
        </w:rPr>
        <w:t xml:space="preserve">Abstract: </w:t>
      </w:r>
      <w:r>
        <w:t>Signal transduction by the human epidermal growth factor receptor (EGFR) is modulated by its ligands as well as by the various compounds on the plasma membrane (PM), including cholesterol. Here, using single-molecule coimmunoimmobilization, we found that cholesterol in the inner leaflet of PM plays an essential role in ligand-dependent EGFR activation. This was done by direct and quantitative examination of the interaction between EGFR and cholesterol on the PM of a living cell. Structural analysis using molecular dynamics simulations and nuclear magnetic resonance spectroscopy further revealed that cholesterol in the inner leaflet is critically important for the transition of the dimeric transmembrane domain (TMD) of the receptor to the active conformation. We also identified the specific pattern of residues Ile</w:t>
      </w:r>
      <w:r>
        <w:rPr>
          <w:vertAlign w:val="subscript"/>
        </w:rPr>
        <w:t>640</w:t>
      </w:r>
      <w:r>
        <w:t>-Gly</w:t>
      </w:r>
      <w:r>
        <w:rPr>
          <w:vertAlign w:val="subscript"/>
        </w:rPr>
        <w:t>641</w:t>
      </w:r>
      <w:r>
        <w:t>-Leu</w:t>
      </w:r>
      <w:r>
        <w:rPr>
          <w:vertAlign w:val="subscript"/>
        </w:rPr>
        <w:t>642</w:t>
      </w:r>
      <w:r>
        <w:t>of EGFR TMD regulating inner leaflet cholesterol binding and ligand-activated EGFR by screening via site-directed mutagenesis. Our results indicate that cholesterol in the inner leaflet of PM is a key checkpoint of EGFR activation triggered by EGF.</w:t>
      </w:r>
    </w:p>
    <w:p>
      <w:pPr>
        <w:spacing w:before="120" w:after="120"/>
      </w:pPr>
      <w:r>
        <w:rPr>
          <w:sz w:val="18"/>
        </w:rPr>
        <w:t>——————————————————————————————————————————————————————————————————————</w:t>
      </w:r>
    </w:p>
    <w:p>
      <w:pPr>
        <w:spacing w:before="160" w:after="80" w:line="240" w:lineRule="auto"/>
      </w:pPr>
      <w:r>
        <w:rPr>
          <w:b/>
        </w:rPr>
        <w:t xml:space="preserve">[703] </w:t>
      </w:r>
      <w:hyperlink r:id="rId1160">
        <w:r>
          <w:rPr>
            <w:color w:val="1155CC"/>
            <w:u w:val="single"/>
          </w:rPr>
          <w:t>Mechanism of cotranslational modification of histones H2A and H4 by MetAP1 and NatD</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61">
        <w:r>
          <w:rPr>
            <w:color w:val="1155CC"/>
            <w:u w:val="single"/>
          </w:rPr>
          <w:t>10.1126/sciadv.aeb1017</w:t>
        </w:r>
      </w:hyperlink>
    </w:p>
    <w:p>
      <w:pPr>
        <w:spacing w:before="0" w:after="120"/>
      </w:pPr>
      <w:r>
        <w:rPr>
          <w:b/>
        </w:rPr>
        <w:t xml:space="preserve">Notes: </w:t>
      </w:r>
      <w:r>
        <w:t>abstract_source=crossref</w:t>
      </w:r>
    </w:p>
    <w:p>
      <w:pPr>
        <w:spacing w:before="0" w:after="200" w:lineRule="auto" w:line="276"/>
      </w:pPr>
      <w:r>
        <w:rPr>
          <w:b/>
        </w:rPr>
        <w:t xml:space="preserve">Abstract: </w:t>
      </w:r>
      <w:r>
        <w:t>The replication-dependent histones H2A and H4 are among the most highly expressed proteins in eukaryotes during the S phase to ensure packaging of replicated chromosomes. Nearly all newly synthesized H2A and H4 are N-terminally acetylated by N-terminal acetyltransferase D (NatD) following excision of the initiator methionine by methionine aminopeptidases (MetAPs). These modifications influence chromatin function, but how they occur cotranslationally on these exceptionally abundant and small proteins was not understood. Here, we show that the nascent polypeptide-associated complex controls the cotranslational modification of histones H2A and H4 by recruiting NatD and the upstream enzyme MetAP1 to ribosomes. MetAP1 and NatD cooperate on the ribosome to create a confined environment for the efficient sequential modification of the nascent histone chain. Our work provides a mechanistic model for the early steps of histone maturation.</w:t>
      </w:r>
    </w:p>
    <w:p>
      <w:pPr>
        <w:spacing w:before="120" w:after="120"/>
      </w:pPr>
      <w:r>
        <w:rPr>
          <w:sz w:val="18"/>
        </w:rPr>
        <w:t>——————————————————————————————————————————————————————————————————————</w:t>
      </w:r>
    </w:p>
    <w:p>
      <w:pPr>
        <w:spacing w:before="160" w:after="80" w:line="240" w:lineRule="auto"/>
      </w:pPr>
      <w:r>
        <w:rPr>
          <w:b/>
        </w:rPr>
        <w:t xml:space="preserve">[704] </w:t>
      </w:r>
      <w:hyperlink r:id="rId1162">
        <w:r>
          <w:rPr>
            <w:color w:val="1155CC"/>
            <w:u w:val="single"/>
          </w:rPr>
          <w:t>Vertical covalent organic framework interlayer channels enable ultraselective molecular separations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63">
        <w:r>
          <w:rPr>
            <w:color w:val="1155CC"/>
            <w:u w:val="single"/>
          </w:rPr>
          <w:t>10.1126/sciadv.aeb0929</w:t>
        </w:r>
      </w:hyperlink>
    </w:p>
    <w:p>
      <w:pPr>
        <w:spacing w:before="0" w:after="120"/>
      </w:pPr>
      <w:r>
        <w:rPr>
          <w:b/>
        </w:rPr>
        <w:t xml:space="preserve">Notes: </w:t>
      </w:r>
      <w:r>
        <w:t>abstract_source=crossref</w:t>
      </w:r>
    </w:p>
    <w:p>
      <w:pPr>
        <w:spacing w:before="0" w:after="200" w:lineRule="auto" w:line="276"/>
      </w:pPr>
      <w:r>
        <w:rPr>
          <w:b/>
        </w:rPr>
        <w:t xml:space="preserve">Abstract: </w:t>
      </w:r>
      <w:r>
        <w:t>This work addresses the long-standing challenge of insufficient permselectivity in two-dimensional (2D) covalent organic framework (COF) membranes by developing a generalizable and potentially scalable self-templating interfacial assembly method to synthesize vertically aligned 2D COF polycrystalline nanofilms. Experiments and molecular simulations reveal that molecular amphiphilicity-driven spontaneous confinement and directional alignment of framework-building units at the organic/aqueous interface instigate the vertical growth of COF monolayers. The superior sieving ability of sub–4 angstrom interlayer nanochannels enables vertically aligned COF membranes to efficiently intercept salt ions, electrically neutral small molecules, and hazardous chemicals, outperforming conventional COF membranes. The implemented strategy can be extended to other building blocks and framework topologies, opening up avenues for fine-tuning the pore structure of 2D COF membranes.</w:t>
      </w:r>
    </w:p>
    <w:p>
      <w:pPr>
        <w:spacing w:before="120" w:after="120"/>
      </w:pPr>
      <w:r>
        <w:rPr>
          <w:sz w:val="18"/>
        </w:rPr>
        <w:t>——————————————————————————————————————————————————————————————————————</w:t>
      </w:r>
    </w:p>
    <w:p>
      <w:pPr>
        <w:spacing w:before="160" w:after="80" w:line="240" w:lineRule="auto"/>
      </w:pPr>
      <w:r>
        <w:rPr>
          <w:b/>
        </w:rPr>
        <w:t xml:space="preserve">[705] </w:t>
      </w:r>
      <w:hyperlink r:id="rId1164">
        <w:r>
          <w:rPr>
            <w:color w:val="1155CC"/>
            <w:u w:val="single"/>
          </w:rPr>
          <w:t>The evolution of cheaper workers facilitated larger societies and accelerated diversification in ants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65">
        <w:r>
          <w:rPr>
            <w:color w:val="1155CC"/>
            <w:u w:val="single"/>
          </w:rPr>
          <w:t>10.1126/sciadv.adx8068</w:t>
        </w:r>
      </w:hyperlink>
    </w:p>
    <w:p>
      <w:pPr>
        <w:spacing w:before="0" w:after="120"/>
      </w:pPr>
      <w:r>
        <w:rPr>
          <w:b/>
        </w:rPr>
        <w:t xml:space="preserve">Notes: </w:t>
      </w:r>
      <w:r>
        <w:t>abstract_source=crossref</w:t>
      </w:r>
    </w:p>
    <w:p>
      <w:pPr>
        <w:spacing w:before="0" w:after="200" w:lineRule="auto" w:line="276"/>
      </w:pPr>
      <w:r>
        <w:rPr>
          <w:b/>
        </w:rPr>
        <w:t xml:space="preserve">Abstract: </w:t>
      </w:r>
      <w:r>
        <w:t>Trade-offs between quantity and quality are common in the organization and evolution of biological, technological, and economic systems. In social insects, shifts from solitary organisms to complex societies bring this dilemma to the colony scale: producing fewer robust units or many cheaper ones. We investigate how cuticle investment, a major nutritional cost, shaped the evolution of ant societies and diversification. Using a computer vision approach on three-dimensional x-ray microtomography scans of 880 specimens from 507 species, we show that larger colonies were facilitated by reducing exoskeleton investment rather than miniaturizing workers. Reduced cuticle investment was associated with accelerated diversification rates in ants, whereas other candidates—colony size and worker size—did not correlate with diversification. Diet and climate had measurable but secondary effects on cuticle investment. Our results support a hypothesis whereby evolving cheaper but more numerous units through reduced investment in structural tissues was a strategic trend in the evolution and diversification of complex insect societies.</w:t>
      </w:r>
    </w:p>
    <w:p>
      <w:pPr>
        <w:spacing w:before="120" w:after="120"/>
      </w:pPr>
      <w:r>
        <w:rPr>
          <w:sz w:val="18"/>
        </w:rPr>
        <w:t>——————————————————————————————————————————————————————————————————————</w:t>
      </w:r>
    </w:p>
    <w:p>
      <w:pPr>
        <w:spacing w:before="160" w:after="80" w:line="240" w:lineRule="auto"/>
      </w:pPr>
      <w:r>
        <w:rPr>
          <w:b/>
        </w:rPr>
        <w:t xml:space="preserve">[706] </w:t>
      </w:r>
      <w:hyperlink r:id="rId1166">
        <w:r>
          <w:rPr>
            <w:color w:val="1155CC"/>
            <w:u w:val="single"/>
          </w:rPr>
          <w:t>ATM interaction with GRP94 modulates oncogenic receptor expression and signaling and microglial activation</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67">
        <w:r>
          <w:rPr>
            <w:color w:val="1155CC"/>
            <w:u w:val="single"/>
          </w:rPr>
          <w:t>10.1073/pnas.2518589122</w:t>
        </w:r>
      </w:hyperlink>
    </w:p>
    <w:p>
      <w:pPr>
        <w:spacing w:before="0" w:after="120"/>
      </w:pPr>
      <w:r>
        <w:rPr>
          <w:b/>
        </w:rPr>
        <w:t xml:space="preserve">Notes: </w:t>
      </w:r>
      <w:r>
        <w:t>abstract_source=crossref</w:t>
      </w:r>
    </w:p>
    <w:p>
      <w:pPr>
        <w:spacing w:before="0" w:after="200" w:lineRule="auto" w:line="276"/>
      </w:pPr>
      <w:r>
        <w:rPr>
          <w:b/>
        </w:rPr>
        <w:t xml:space="preserve">Abstract: </w:t>
      </w:r>
      <w:r>
        <w:t>Ataxia-telangiectasia (A-T), caused by biallelic mutations in the ATM gene, leads to multiple disease phenotypes, including cerebellar neurodegeneration, radiosensitivity, cancer predisposition, immunodeficiency, insulin resistance, and pulmonary inflammation. ATM plays a central role in regulating cellular responses to DNA breakage [M. B. Kastan, J. Bartek,</w:t>
      </w:r>
      <w:r>
        <w:t xml:space="preserve"> </w:t>
      </w:r>
      <w:r>
        <w:t>Nature</w:t>
      </w:r>
      <w:r>
        <w:rPr>
          <w:vertAlign w:val="subscript"/>
        </w:rPr>
        <w:t>432</w:t>
      </w:r>
      <w:r>
        <w:t>, 316–323 (2004)], but several cellular and physiologic abnormalities associated with ATM dysfunction suggest the possibility of noncanonical roles for ATM as well. Herein, we identified the HSP90 paralogue, GRP94, as an ATM interactor/substrate and found that ATM influences</w:t>
      </w:r>
      <w:r>
        <w:t xml:space="preserve"> </w:t>
      </w:r>
      <w:r>
        <w:t>N-</w:t>
      </w:r>
      <w:r>
        <w:t>glycosylation of GRP94 and its subsequent activation/translocation to the plasma membrane, where it serves as a scaffold protein and stabilizer for several membrane proteins, including receptor tyrosine kinases (RTKs), such as EGFR and IGF1-R. In selected cell types, ATM loss/inhibition resulted in increased cell surface expression of RTKs and overactivation of RTK pathways, alterations that were rescued by specific inhibition of cell surface GRP94. This ATM/GRP94 pathway also regulated the activation of microglial cells, manifest as increased cytokine production and phagocytosis activity associated with ATM loss/inhibition and reversal of that activation with GRP94 inhibition. These results identified GRP94 as an ATM interactor and apparent substrate and demonstrated specific critical regulatory roles for ATM outside of DNA damage signaling. These insights provide potential explanations for several of the phenotypes associated with ATM dysfunction and potential opportunities for novel approaches to blunt clinical symptoms in A-T, and also suggest that other neurodegenerative and inflammatory disorders might benefit from selective inhibition of cell surface GRP94.</w:t>
      </w:r>
    </w:p>
    <w:p>
      <w:pPr>
        <w:spacing w:before="120" w:after="120"/>
      </w:pPr>
      <w:r>
        <w:rPr>
          <w:sz w:val="18"/>
        </w:rPr>
        <w:t>——————————————————————————————————————————————————————————————————————</w:t>
      </w:r>
    </w:p>
    <w:p>
      <w:pPr>
        <w:spacing w:before="160" w:after="80" w:line="240" w:lineRule="auto"/>
      </w:pPr>
      <w:r>
        <w:rPr>
          <w:b/>
        </w:rPr>
        <w:t xml:space="preserve">[707] </w:t>
      </w:r>
      <w:hyperlink r:id="rId1168">
        <w:r>
          <w:rPr>
            <w:color w:val="1155CC"/>
            <w:u w:val="single"/>
          </w:rPr>
          <w:t>Correction for AbuHammad et al., Regulation of PRMT5–MDM4 axis is critical in the response to CDK4/6 inhibitors in melanoma</w:t>
        </w:r>
      </w:hyperlink>
    </w:p>
    <w:p>
      <w:pPr>
        <w:spacing w:before="0" w:after="120" w:line="240" w:lineRule="auto"/>
      </w:pPr>
      <w:r>
        <w:rPr>
          <w:b/>
        </w:rPr>
        <w:t xml:space="preserve">Source: </w:t>
      </w:r>
      <w:r>
        <w:t>Proceedings of the National Academy of Sciences: Keyword search for query</w:t>
      </w:r>
      <w:r>
        <w:t xml:space="preserve">    </w:t>
      </w:r>
      <w:r>
        <w:rPr>
          <w:b/>
        </w:rPr>
        <w:t xml:space="preserve">Pub date: </w:t>
      </w:r>
      <w:r>
        <w:t>2025-12-19 08:00:00+00:00</w:t>
      </w:r>
      <w:r>
        <w:t xml:space="preserve">    </w:t>
      </w:r>
      <w:r>
        <w:rPr>
          <w:b/>
        </w:rPr>
        <w:t xml:space="preserve">DOI: </w:t>
      </w:r>
      <w:hyperlink r:id="rId1169">
        <w:r>
          <w:rPr>
            <w:color w:val="1155CC"/>
            <w:u w:val="single"/>
          </w:rPr>
          <w:t>10.1073/pnas.2533731122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[708] </w:t>
      </w:r>
      <w:hyperlink r:id="rId1170">
        <w:r>
          <w:rPr>
            <w:color w:val="1155CC"/>
            <w:u w:val="single"/>
          </w:rPr>
          <w:t>Photoredox-controlled chemo-divergent, regio-, and stereoselective difunctionalization of olefins via switchable SO2 reintegration</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71">
        <w:r>
          <w:rPr>
            <w:color w:val="1155CC"/>
            <w:u w:val="single"/>
          </w:rPr>
          <w:t>10.1126/sciadv.aeb0206</w:t>
        </w:r>
      </w:hyperlink>
    </w:p>
    <w:p>
      <w:pPr>
        <w:spacing w:before="0" w:after="120"/>
      </w:pPr>
      <w:r>
        <w:rPr>
          <w:b/>
        </w:rPr>
        <w:t xml:space="preserve">Notes: </w:t>
      </w:r>
      <w:r>
        <w:t>abstract_source=crossref</w:t>
      </w:r>
    </w:p>
    <w:p>
      <w:pPr>
        <w:spacing w:before="0" w:after="200" w:lineRule="auto" w:line="276"/>
      </w:pPr>
      <w:r>
        <w:rPr>
          <w:b/>
        </w:rPr>
        <w:t xml:space="preserve">Abstract: </w:t>
      </w:r>
      <w:r>
        <w:t>While radical difunctionalization offers substantial potential for molecular diversification, existing methodologies predominantly focus on styrenes and activated alkenes, leaving fundamental light olefins (e.g., ethylene and propylene) largely unexplored. Moreover, achieving stereoselective transformations of light olefins remains a formidable challenge. Here, we present a visible-light–mediated photoredox-catalyzed chemo-divergent and regioselective radical difluoromethylation/polyfluoroarylsulfonylation and difluoromethylation/polyfluoroarylation of structurally diverse alkenes through switchable sulfur dioxide reintegration. The method demonstrates broad applicability across styrenes, unactivated alkenes, and gaseous ethylene/propylene substrates. The photocatalyst functions as a switch, and Sodium difluoromethanesulfinate (CF</w:t>
      </w:r>
      <w:r>
        <w:rPr>
          <w:vertAlign w:val="subscript"/>
        </w:rPr>
        <w:t>2</w:t>
      </w:r>
      <w:r>
        <w:t>HSO</w:t>
      </w:r>
      <w:r>
        <w:rPr>
          <w:vertAlign w:val="subscript"/>
        </w:rPr>
        <w:t>2</w:t>
      </w:r>
      <w:r>
        <w:t>Na) acts as a bifunctional reagent, enabling controllable divergence radical conversion via radical-polar crossover pathways. Notably, chiral alcohol–derived polyfluoroarenes efficiently induce stereoselectivity control in the coupling of alkyl radicals with sulfur dioxide via dynamic kinetic resolution. Density functional theory calculations indicate noncovalent interaction between alkyl/aryl groups and polyfluorocarbons plays critical roles for the ultralong-distance (&amp;gt;9 atoms) stereochemical induction. The key to achieving chemo-divergent and stereocontrolled transformations lies in the precise sorting of a dynamic intermediate pool containing alkyl radicals, sulfonyl radicals, and anions.</w:t>
      </w:r>
    </w:p>
    <w:p>
      <w:pPr>
        <w:spacing w:before="120" w:after="120"/>
      </w:pPr>
      <w:r>
        <w:rPr>
          <w:sz w:val="18"/>
        </w:rPr>
        <w:t>——————————————————————————————————————————————————————————————————————</w:t>
      </w:r>
    </w:p>
    <w:p>
      <w:pPr>
        <w:spacing w:before="160" w:after="80" w:line="240" w:lineRule="auto"/>
      </w:pPr>
      <w:r>
        <w:rPr>
          <w:b/>
        </w:rPr>
        <w:t xml:space="preserve">[709] </w:t>
      </w:r>
      <w:hyperlink r:id="rId1172">
        <w:r>
          <w:rPr>
            <w:color w:val="1155CC"/>
            <w:u w:val="single"/>
          </w:rPr>
          <w:t>Artifact-free ultralow-temperature DNP-enhanced NMR of molecular assemblies at natural isotopic abundance</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73">
        <w:r>
          <w:rPr>
            <w:color w:val="1155CC"/>
            <w:u w:val="single"/>
          </w:rPr>
          <w:t>10.1126/sciadv.aeb0337</w:t>
        </w:r>
      </w:hyperlink>
    </w:p>
    <w:p>
      <w:pPr>
        <w:spacing w:before="0" w:after="120"/>
      </w:pPr>
      <w:r>
        <w:rPr>
          <w:b/>
        </w:rPr>
        <w:t xml:space="preserve">Notes: </w:t>
      </w:r>
      <w:r>
        <w:t>abstract_source=crossref</w:t>
      </w:r>
    </w:p>
    <w:p>
      <w:pPr>
        <w:spacing w:before="0" w:after="200" w:lineRule="auto" w:line="276"/>
      </w:pPr>
      <w:r>
        <w:rPr>
          <w:b/>
        </w:rPr>
        <w:t xml:space="preserve">Abstract: </w:t>
      </w:r>
      <w:r>
        <w:t>Magic-angle spinning dynamic nuclear polarization (MAS-DNP) has greatly increased solid-state NMR sensitivity, enabling multidimensional correlation experiments (e.g.,</w:t>
      </w:r>
      <w:r>
        <w:rPr>
          <w:vertAlign w:val="subscript"/>
        </w:rPr>
        <w:t>13</w:t>
      </w:r>
      <w:r>
        <w:t>C–</w:t>
      </w:r>
      <w:r>
        <w:rPr>
          <w:vertAlign w:val="subscript"/>
        </w:rPr>
        <w:t>13</w:t>
      </w:r>
      <w:r>
        <w:t>C and</w:t>
      </w:r>
      <w:r>
        <w:rPr>
          <w:vertAlign w:val="subscript"/>
        </w:rPr>
        <w:t>13</w:t>
      </w:r>
      <w:r>
        <w:t>C–</w:t>
      </w:r>
      <w:r>
        <w:rPr>
          <w:vertAlign w:val="subscript"/>
        </w:rPr>
        <w:t>15</w:t>
      </w:r>
      <w:r>
        <w:t>N) at natural isotopic abundance. Yet, these experiments often suffer from</w:t>
      </w:r>
      <w:r>
        <w:t xml:space="preserve"> </w:t>
      </w:r>
      <w:r>
        <w:t>t</w:t>
      </w:r>
      <w:r>
        <w:rPr>
          <w:vertAlign w:val="subscript"/>
        </w:rPr>
        <w:t>1</w:t>
      </w:r>
      <w:r>
        <w:t>-noise, an artifact that obscures weak cross-peaks, especially in natural abundance samples. Here, we present a method to suppress</w:t>
      </w:r>
      <w:r>
        <w:t xml:space="preserve"> </w:t>
      </w:r>
      <w:r>
        <w:t>t</w:t>
      </w:r>
      <w:r>
        <w:rPr>
          <w:vertAlign w:val="subscript"/>
        </w:rPr>
        <w:t>1</w:t>
      </w:r>
      <w:r>
        <w:t>-noise in</w:t>
      </w:r>
      <w:r>
        <w:rPr>
          <w:vertAlign w:val="subscript"/>
        </w:rPr>
        <w:t>13</w:t>
      </w:r>
      <w:r>
        <w:t>C–</w:t>
      </w:r>
      <w:r>
        <w:rPr>
          <w:vertAlign w:val="subscript"/>
        </w:rPr>
        <w:t>13</w:t>
      </w:r>
      <w:r>
        <w:t>C double-quantum–single-quantum (DQ-SQ) spectra by converting DQ coherences into longitudinal two-spin order (</w:t>
      </w:r>
      <w:r>
        <w:t xml:space="preserve"> </w:t>
      </w:r>
      <w:r>
        <w:t>zz</w:t>
      </w:r>
      <w:r>
        <w:t xml:space="preserve"> </w:t>
      </w:r>
      <w:r>
        <w:t>-terms), enabling selective removal of uncoupled</w:t>
      </w:r>
      <w:r>
        <w:rPr>
          <w:vertAlign w:val="subscript"/>
        </w:rPr>
        <w:t>13</w:t>
      </w:r>
      <w:r>
        <w:t>C magnetization. This</w:t>
      </w:r>
      <w:r>
        <w:t xml:space="preserve"> </w:t>
      </w:r>
      <w:r>
        <w:t>zz</w:t>
      </w:r>
      <w:r>
        <w:t xml:space="preserve"> </w:t>
      </w:r>
      <w:r>
        <w:t>-filter, compatible with both</w:t>
      </w:r>
      <w:r>
        <w:t xml:space="preserve"> </w:t>
      </w:r>
      <w:r>
        <w:t>J</w:t>
      </w:r>
      <w:r>
        <w:t xml:space="preserve"> </w:t>
      </w:r>
      <w:r>
        <w:t>- and dipolar-based sequences, markedly improves the spectral quality on both commercial (100 K) and custom-built helium-spinning (30 K) MAS-DNP setups. Up to a fivefold increase in signal-to-noise ratio in the indirect dimension allows detection of previously hidden long-range correlations, including intermolecular contacts. This method yields the first artifact-free</w:t>
      </w:r>
      <w:r>
        <w:rPr>
          <w:vertAlign w:val="subscript"/>
        </w:rPr>
        <w:t>13</w:t>
      </w:r>
      <w:r>
        <w:t>C–</w:t>
      </w:r>
      <w:r>
        <w:rPr>
          <w:vertAlign w:val="subscript"/>
        </w:rPr>
        <w:t>13</w:t>
      </w:r>
      <w:r>
        <w:t>C DQ-SQ spectrum at 30 K, expanding the analytical reach of MAS-DNP NMR for characterizing molecular assemblies at natural abundance.</w:t>
      </w:r>
    </w:p>
    <w:p>
      <w:pPr>
        <w:spacing w:before="120" w:after="120"/>
      </w:pPr>
      <w:r>
        <w:rPr>
          <w:sz w:val="18"/>
        </w:rPr>
        <w:t>——————————————————————————————————————————————————————————————————————</w:t>
      </w:r>
    </w:p>
    <w:p>
      <w:pPr>
        <w:spacing w:before="160" w:after="80" w:line="240" w:lineRule="auto"/>
      </w:pPr>
      <w:r>
        <w:rPr>
          <w:b/>
        </w:rPr>
        <w:t xml:space="preserve">[710] </w:t>
      </w:r>
      <w:hyperlink r:id="rId1174">
        <w:r>
          <w:rPr>
            <w:color w:val="1155CC"/>
            <w:u w:val="single"/>
          </w:rPr>
          <w:t>Cell wall–derived mechanical signals control cell growth and division during root development</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75">
        <w:r>
          <w:rPr>
            <w:color w:val="1155CC"/>
            <w:u w:val="single"/>
          </w:rPr>
          <w:t>10.1126/sciadv.aea8647</w:t>
        </w:r>
      </w:hyperlink>
    </w:p>
    <w:p>
      <w:pPr>
        <w:spacing w:before="0" w:after="120"/>
      </w:pPr>
      <w:r>
        <w:rPr>
          <w:b/>
        </w:rPr>
        <w:t xml:space="preserve">Notes: </w:t>
      </w:r>
      <w:r>
        <w:t>abstract_source=crossref</w:t>
      </w:r>
    </w:p>
    <w:p>
      <w:pPr>
        <w:spacing w:before="0" w:after="200" w:lineRule="auto" w:line="276"/>
      </w:pPr>
      <w:r>
        <w:rPr>
          <w:b/>
        </w:rPr>
        <w:t xml:space="preserve">Abstract: </w:t>
      </w:r>
      <w:r>
        <w:t>Organogenesis emerges from the interplay between genetic and physical interactions within a growing cellular system. While numerous studies have explored how genetic and molecular networks regulate cell activity, the impact of physical interactions and the resulting mechanical constraints on organ development remains poorly understood. In this study, we combine extensive genetic analysis, live imaging, and mechanical measurements with spatiotemporal computational modeling to show that, in the</w:t>
      </w:r>
      <w:r>
        <w:t xml:space="preserve"> </w:t>
      </w:r>
      <w:r>
        <w:t>Arabidopsis</w:t>
      </w:r>
      <w:r>
        <w:t xml:space="preserve"> </w:t>
      </w:r>
      <w:r>
        <w:t>root, changes in the mechanical properties of elongating cell walls influence growth and division rate of neighboring meristematic cells, thereby shaping root development. We propose that the cell wall serves as a crucial source of both autonomous and nonautonomous mechanical signals, providing a compelling example of how mechanical forces contribute to organ growth and development.</w:t>
      </w:r>
    </w:p>
    <w:p>
      <w:pPr>
        <w:spacing w:before="120" w:after="120"/>
      </w:pPr>
      <w:r>
        <w:rPr>
          <w:sz w:val="18"/>
        </w:rPr>
        <w:t>——————————————————————————————————————————————————————————————————————</w:t>
      </w:r>
    </w:p>
    <w:p>
      <w:pPr>
        <w:spacing w:before="160" w:after="80" w:line="240" w:lineRule="auto"/>
      </w:pPr>
      <w:r>
        <w:rPr>
          <w:b/>
        </w:rPr>
        <w:t xml:space="preserve">[711] </w:t>
      </w:r>
      <w:hyperlink r:id="rId1176">
        <w:r>
          <w:rPr>
            <w:color w:val="1155CC"/>
            <w:u w:val="single"/>
          </w:rPr>
          <w:t>A poxvirus model reveals general correlates of antigen presentation and immunogenicity for viral CD8+ T cell epitopes</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77">
        <w:r>
          <w:rPr>
            <w:color w:val="1155CC"/>
            <w:u w:val="single"/>
          </w:rPr>
          <w:t>10.1126/sciadv.aea8105</w:t>
        </w:r>
      </w:hyperlink>
    </w:p>
    <w:p>
      <w:pPr>
        <w:spacing w:before="0" w:after="120"/>
      </w:pPr>
      <w:r>
        <w:rPr>
          <w:b/>
        </w:rPr>
        <w:t xml:space="preserve">Notes: </w:t>
      </w:r>
      <w:r>
        <w:t>abstract_source=crossref</w:t>
      </w:r>
    </w:p>
    <w:p>
      <w:pPr>
        <w:spacing w:before="0" w:after="200" w:lineRule="auto" w:line="276"/>
      </w:pPr>
      <w:r>
        <w:rPr>
          <w:b/>
        </w:rPr>
        <w:t xml:space="preserve">Abstract: </w:t>
      </w:r>
      <w:r>
        <w:t>CD8</w:t>
      </w:r>
      <w:r>
        <w:t xml:space="preserve"> </w:t>
      </w:r>
      <w:r>
        <w:t>+</w:t>
      </w:r>
      <w:r>
        <w:t xml:space="preserve"> </w:t>
      </w:r>
      <w:r>
        <w:t>T cells are essential effectors in antiviral immunity that kill infected cells displaying viral peptide epitopes on major histocompatibility complex class I (MHC I). The pathways underpinning antigen presentation on MHC I are well known, but we lack a quantitative understanding of the relationships between source proteins and presented epitopes and how these relate to immunogenicity. We used mass spectrometry to interrogate vaccinia virus infection to reveal that up to 90% of epitopes were presented as fast as their source proteins were translated, but that protein amounts failed to correlate with epitope levels. Unexpectedly, epitope levels on infected cells also failed to correlate with immunogenicity. However, by extending our analysis to produce the first measurements of viral epitope levels from infected mice, we found a significant but moderate correlation with immunogenicity. These data provide empirical evidence for and against several associations that to date have been assumed or are not well resolved.</w:t>
      </w:r>
    </w:p>
    <w:p>
      <w:pPr>
        <w:spacing w:before="120" w:after="120"/>
      </w:pPr>
      <w:r>
        <w:rPr>
          <w:sz w:val="18"/>
        </w:rPr>
        <w:t>——————————————————————————————————————————————————————————————————————</w:t>
      </w:r>
    </w:p>
    <w:p>
      <w:pPr>
        <w:spacing w:before="160" w:after="80" w:line="240" w:lineRule="auto"/>
      </w:pPr>
      <w:r>
        <w:rPr>
          <w:b/>
        </w:rPr>
        <w:t xml:space="preserve">[712] </w:t>
      </w:r>
      <w:hyperlink r:id="rId1178">
        <w:r>
          <w:rPr>
            <w:color w:val="1155CC"/>
            <w:u w:val="single"/>
          </w:rPr>
          <w:t>Advances in machine learning–enhanced microfluidic cell sorting</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79">
        <w:r>
          <w:rPr>
            <w:color w:val="1155CC"/>
            <w:u w:val="single"/>
          </w:rPr>
          <w:t>10.1126/sciadv.aea6007</w:t>
        </w:r>
      </w:hyperlink>
    </w:p>
    <w:p>
      <w:pPr>
        <w:spacing w:before="0" w:after="120"/>
      </w:pPr>
      <w:r>
        <w:rPr>
          <w:b/>
        </w:rPr>
        <w:t xml:space="preserve">Notes: </w:t>
      </w:r>
      <w:r>
        <w:t>abstract_source=crossref</w:t>
      </w:r>
    </w:p>
    <w:p>
      <w:pPr>
        <w:spacing w:before="0" w:after="200" w:lineRule="auto" w:line="276"/>
      </w:pPr>
      <w:r>
        <w:rPr>
          <w:b/>
        </w:rPr>
        <w:t xml:space="preserve">Abstract: </w:t>
      </w:r>
      <w:r>
        <w:t>Cell sorting, essential for diagnostics and early intervention, has evolved from conventional methods to sophisticated microfluidic approaches. These miniaturized systems leverage precise hydrodynamic control, facilitating major advances in tumor cell isolation, single-cell analysis, and biomarker detection. However, the vast imaging data generated by these microfluidic techniques necessitate advanced computational methods. Machine learning, particularly computer vision and deep learning, now offers transformative capabilities for automated feature extraction, pattern recognition, and real-time classification, enhancing sorting accuracy, accelerating diagnostics, and informing clinical decisions. This review synthesizes the convergence of microfluidics and machine intelligence, examining their synergistic roles in flow-field optimization, cellular classification, and error correction. While highlighting breakthroughs in diagnostic sensitivity and analytical throughput, we critically address challenges including model generalizability and hardware-software integration. Last, we provide an outlook on multimodal data fusion and the development of on-chip intelligent systems, proposing a roadmap for advancing precision medicine through embedded, adaptive biosensing platforms.</w:t>
      </w:r>
    </w:p>
    <w:p>
      <w:pPr>
        <w:spacing w:before="120" w:after="120"/>
      </w:pPr>
      <w:r>
        <w:rPr>
          <w:sz w:val="18"/>
        </w:rPr>
        <w:t>——————————————————————————————————————————————————————————————————————</w:t>
      </w:r>
    </w:p>
    <w:p>
      <w:pPr>
        <w:spacing w:before="160" w:after="80" w:line="240" w:lineRule="auto"/>
      </w:pPr>
      <w:r>
        <w:rPr>
          <w:b/>
        </w:rPr>
        <w:t xml:space="preserve">[713] </w:t>
      </w:r>
      <w:hyperlink r:id="rId1180">
        <w:r>
          <w:rPr>
            <w:color w:val="1155CC"/>
            <w:u w:val="single"/>
          </w:rPr>
          <w:t>Architecture and energy transfer of coccolithophore photosystem I with a huge light-harvesting antenna system</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81">
        <w:r>
          <w:rPr>
            <w:color w:val="1155CC"/>
            <w:u w:val="single"/>
          </w:rPr>
          <w:t>10.1126/sciadv.aea4965</w:t>
        </w:r>
      </w:hyperlink>
    </w:p>
    <w:p>
      <w:pPr>
        <w:spacing w:before="0" w:after="120"/>
      </w:pPr>
      <w:r>
        <w:rPr>
          <w:b/>
        </w:rPr>
        <w:t xml:space="preserve">Notes: </w:t>
      </w:r>
      <w:r>
        <w:t>abstract_source=crossref</w:t>
      </w:r>
    </w:p>
    <w:p>
      <w:pPr>
        <w:spacing w:before="0" w:after="200" w:lineRule="auto" w:line="276"/>
      </w:pPr>
      <w:r>
        <w:rPr>
          <w:b/>
        </w:rPr>
        <w:t xml:space="preserve">Abstract: </w:t>
      </w:r>
      <w:r>
        <w:t>Coccolithophores play important roles in global biogeochemical cycles and climate change and are characterized by their cell surfaces covered with calcium carbonate coccoliths. Their capacity to thrive in dynamic marine ecosystems is underpinned by efficient photosynthetic adaptation. Here, we elucidated the structure of a photosystem I-light-harvesting complex I (PSI-LHCI) supercomplex from coccolithophore</w:t>
      </w:r>
      <w:r>
        <w:t xml:space="preserve"> </w:t>
      </w:r>
      <w:r>
        <w:t>Emiliania huxleyi</w:t>
      </w:r>
      <w:r>
        <w:t xml:space="preserve"> </w:t>
      </w:r>
      <w:r>
        <w:t>by cryo–electron microscopy, ultrafast spectroscopy, and computational simulations. The PSI core is encircled by 35 LHCIs that are organized in six layers with repetitive, fiber-like arrangements, forming a giant PSI-LHCI supercomplex. Increased levels of chlorophylls c and carotenoids in LHCIs enhance the absorption of blue/green light. Time-resolved spectral analysis and computational simulations both revealed that the large number of pigments forms an extensive pigment network, ensuring efficient energy transfer from peripheral LHCIs to the PSI core. Our study provides insights into the assembly and energy transfer of coccolithophore PSI-LHCI and delineates the evolutionary variation of red-lineage PSI-LHCIs.</w:t>
      </w:r>
    </w:p>
    <w:p>
      <w:pPr>
        <w:spacing w:before="120" w:after="120"/>
      </w:pPr>
      <w:r>
        <w:rPr>
          <w:sz w:val="18"/>
        </w:rPr>
        <w:t>——————————————————————————————————————————————————————————————————————</w:t>
      </w:r>
    </w:p>
    <w:p>
      <w:pPr>
        <w:spacing w:before="160" w:after="80" w:line="240" w:lineRule="auto"/>
      </w:pPr>
      <w:r>
        <w:rPr>
          <w:b/>
        </w:rPr>
        <w:t xml:space="preserve">[714] </w:t>
      </w:r>
      <w:hyperlink r:id="rId1182">
        <w:r>
          <w:rPr>
            <w:color w:val="1155CC"/>
            <w:u w:val="single"/>
          </w:rPr>
          <w:t>Unconventional CD8+ T cell surveillance of cytomegalovirus via Qa-1/HLA-E–restricted epitope recognition</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83">
        <w:r>
          <w:rPr>
            <w:color w:val="1155CC"/>
            <w:u w:val="single"/>
          </w:rPr>
          <w:t>10.1126/sciadv.aea8707</w:t>
        </w:r>
      </w:hyperlink>
    </w:p>
    <w:p>
      <w:pPr>
        <w:spacing w:before="0" w:after="120"/>
      </w:pPr>
      <w:r>
        <w:rPr>
          <w:b/>
        </w:rPr>
        <w:t xml:space="preserve">Notes: </w:t>
      </w:r>
      <w:r>
        <w:t>abstract_source=crossref</w:t>
      </w:r>
    </w:p>
    <w:p>
      <w:pPr>
        <w:spacing w:before="0" w:after="200" w:lineRule="auto" w:line="276"/>
      </w:pPr>
      <w:r>
        <w:rPr>
          <w:b/>
        </w:rPr>
        <w:t xml:space="preserve">Abstract: </w:t>
      </w:r>
      <w:r>
        <w:t>Nonclassical CD8</w:t>
      </w:r>
      <w:r>
        <w:t xml:space="preserve"> </w:t>
      </w:r>
      <w:r>
        <w:t>+</w:t>
      </w:r>
      <w:r>
        <w:t xml:space="preserve"> </w:t>
      </w:r>
      <w:r>
        <w:t>T cells can compensate for classical CD8</w:t>
      </w:r>
      <w:r>
        <w:t xml:space="preserve"> </w:t>
      </w:r>
      <w:r>
        <w:t>+</w:t>
      </w:r>
      <w:r>
        <w:t xml:space="preserve"> </w:t>
      </w:r>
      <w:r>
        <w:t>T cell effector responses during murine cytomegalovirus (MCMV) infection. Through a combination of motif-based discovery, predictive algorithms, AlphaFold3 structural modeling, and biological assays, we identified multiple MCMV and human cytomegalovirus (HCMV) peptides that bind to Qa-1 and HLA-E, respectively. In the mouse system, we demonstrated that these virally encoded antigens stimulate Qa-1–restricted CD8</w:t>
      </w:r>
      <w:r>
        <w:t xml:space="preserve"> </w:t>
      </w:r>
      <w:r>
        <w:t>+</w:t>
      </w:r>
      <w:r>
        <w:t xml:space="preserve"> </w:t>
      </w:r>
      <w:r>
        <w:t>T cells ex vivo, which can be tracked using MCMV peptide–loaded Qa-1 tetramers. Adoptive transfer of predominantly Qa-1 tetramer</w:t>
      </w:r>
      <w:r>
        <w:t xml:space="preserve"> </w:t>
      </w:r>
      <w:r>
        <w:t>+</w:t>
      </w:r>
      <w:r>
        <w:t xml:space="preserve"> </w:t>
      </w:r>
      <w:r>
        <w:t>CD8</w:t>
      </w:r>
      <w:r>
        <w:t xml:space="preserve"> </w:t>
      </w:r>
      <w:r>
        <w:t>+</w:t>
      </w:r>
      <w:r>
        <w:t xml:space="preserve"> </w:t>
      </w:r>
      <w:r>
        <w:t>T cells into RAG-1–deficient mice protects them from mortality, underscoring the critical role of these cells in host defense. Single-cell RNA (scRNA)/TotalSeq and single-cell T cell receptor sequencing (scTCR-seq) reveal the expansion of unique TCR αβ clonotypes, indicating convergent antigen specificity. Together, our findings uncover a conserved and functionally important nonclassical CD8</w:t>
      </w:r>
      <w:r>
        <w:t xml:space="preserve"> </w:t>
      </w:r>
      <w:r>
        <w:t>+</w:t>
      </w:r>
      <w:r>
        <w:t xml:space="preserve"> </w:t>
      </w:r>
      <w:r>
        <w:t>T cell axis mediated by Qa-1/HLA-E modulating adaptive immunity independent of classical major histocompatibility complex class I (MHC-I) pathways and present previously unidentified opportunities for vaccine development.</w:t>
      </w:r>
    </w:p>
    <w:p>
      <w:pPr>
        <w:spacing w:before="120" w:after="120"/>
      </w:pPr>
      <w:r>
        <w:rPr>
          <w:sz w:val="18"/>
        </w:rPr>
        <w:t>——————————————————————————————————————————————————————————————————————</w:t>
      </w:r>
    </w:p>
    <w:p>
      <w:pPr>
        <w:spacing w:before="160" w:after="80" w:line="240" w:lineRule="auto"/>
      </w:pPr>
      <w:r>
        <w:rPr>
          <w:b/>
        </w:rPr>
        <w:t xml:space="preserve">[715] </w:t>
      </w:r>
      <w:hyperlink r:id="rId1184">
        <w:r>
          <w:rPr>
            <w:color w:val="1155CC"/>
            <w:u w:val="single"/>
          </w:rPr>
          <w:t>The asynchronous rise of Northern Hemisphere alpine floras reveals general responses of biotic assembly to orogeny and climate change</w:t>
        </w:r>
      </w:hyperlink>
    </w:p>
    <w:p>
      <w:pPr>
        <w:spacing w:before="0" w:after="120" w:line="240" w:lineRule="auto"/>
      </w:pPr>
      <w:r>
        <w:rPr>
          <w:b/>
        </w:rPr>
        <w:t xml:space="preserve">Source: </w:t>
      </w:r>
      <w:r>
        <w:t>AAAS: Science Advances: Table of Contents</w:t>
      </w:r>
      <w:r>
        <w:t xml:space="preserve">    </w:t>
      </w:r>
      <w:r>
        <w:rPr>
          <w:b/>
        </w:rPr>
        <w:t xml:space="preserve">Pub date: </w:t>
      </w:r>
      <w:r>
        <w:t>2025-12-19 08:00:00+00:00</w:t>
      </w:r>
      <w:r>
        <w:t xml:space="preserve">    </w:t>
      </w:r>
      <w:r>
        <w:rPr>
          <w:b/>
        </w:rPr>
        <w:t xml:space="preserve">DOI: </w:t>
      </w:r>
      <w:hyperlink r:id="rId1185">
        <w:r>
          <w:rPr>
            <w:color w:val="1155CC"/>
            <w:u w:val="single"/>
          </w:rPr>
          <w:t>10.1126/sciadv.adz1888</w:t>
        </w:r>
      </w:hyperlink>
    </w:p>
    <w:p>
      <w:pPr>
        <w:spacing w:before="0" w:after="120"/>
      </w:pPr>
      <w:r>
        <w:rPr>
          <w:b/>
        </w:rPr>
        <w:t xml:space="preserve">Notes: </w:t>
      </w:r>
      <w:r>
        <w:t>abstract_source=crossref</w:t>
      </w:r>
    </w:p>
    <w:p>
      <w:pPr>
        <w:spacing w:before="0" w:after="200" w:lineRule="auto" w:line="276"/>
      </w:pPr>
      <w:r>
        <w:rPr>
          <w:b/>
        </w:rPr>
        <w:t xml:space="preserve">Abstract: </w:t>
      </w:r>
      <w:r>
        <w:t>Understanding how biotic assembly processes responded to past geoclimatic changes is key to explaining the origins of mountain biodiversity and the causes of regional disparities in species richness. Here, we jointly reconstructed geographic ranges and biome-niche evolution for 34 diverse plant clades across five major Northern Hemisphere mountain systems and quantified how late Neogene cooling increased arctic-alpine habitat connections across regions. We reveal that, while alpine floras originated asynchronously and were assembled through distinct evolutionary processes over the past 30 million years, general biological responses to orogeny and environmental change are apparent. Across regions, in situ diversification was consistently elevated during heightened phases of tectonic activity. Over the past 5 million years, enhanced arctic-alpine connectivity facilitated biotic interchange and positioned the boreal-arctic region as a major biogeographic crossroads linking Eurasia and North America.</w:t>
      </w:r>
    </w:p>
    <w:p>
      <w:pPr>
        <w:spacing w:before="120" w:after="120"/>
      </w:pPr>
      <w:r>
        <w:rPr>
          <w:sz w:val="18"/>
        </w:rPr>
        <w:t>——————————————————————————————————————————————————————————————————————</w:t>
      </w:r>
    </w:p>
    <w:p>
      <w:pPr>
        <w:spacing w:before="160" w:after="80" w:line="240" w:lineRule="auto"/>
      </w:pPr>
      <w:r>
        <w:rPr>
          <w:b/>
        </w:rPr>
        <w:t xml:space="preserve">[716] </w:t>
      </w:r>
      <w:hyperlink r:id="rId1186">
        <w:r>
          <w:rPr>
            <w:color w:val="1155CC"/>
            <w:u w:val="single"/>
          </w:rPr>
          <w:t>Chemistry in Transformation: A European Moment</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08:58:43+00:00</w:t>
      </w:r>
      <w:r>
        <w:t xml:space="preserve">    </w:t>
      </w:r>
      <w:r>
        <w:rPr>
          <w:b/>
        </w:rPr>
        <w:t xml:space="preserve">DOI: </w:t>
      </w:r>
      <w:hyperlink r:id="rId1187">
        <w:r>
          <w:rPr>
            <w:color w:val="1155CC"/>
            <w:u w:val="single"/>
          </w:rPr>
          <w:t>10.1002/anie.202526116</w:t>
        </w:r>
      </w:hyperlink>
    </w:p>
    <w:p>
      <w:pPr>
        <w:spacing w:before="0" w:after="120"/>
      </w:pPr>
      <w:r>
        <w:rPr>
          <w:b/>
        </w:rPr>
        <w:t xml:space="preserve">Notes: </w:t>
      </w:r>
      <w:r>
        <w:t>abstract_source=crossref</w:t>
      </w:r>
    </w:p>
    <w:p>
      <w:pPr>
        <w:spacing w:before="0" w:after="200" w:lineRule="auto" w:line="276"/>
      </w:pPr>
      <w:r>
        <w:rPr>
          <w:b/>
        </w:rPr>
        <w:t xml:space="preserve">Abstract: </w:t>
      </w:r>
      <w:r>
        <w:t>Chemistry stands at a pivotal juncture, facing unprecedented expectations to decarbonize, enable circularity, and sustain essential sectors, while remaining globally competitive. Europe embodies these pressures acutely. Although the region excels in frontier research, structural disadvantages such as high energy and feedstock costs, fragmented regulation, slow permitting, and constrained capital limit its capacity to translate scientific leadership into industrial success. The energy crisis of 2022 exposed long‐standing vulnerabilities, triggering capacity closures in foundational value chains such as ammonia and olefins and accelerating the erosion of Europe`s market share. Yet chemistry`s transformation is driven not only by economic asymmetry, but by deeper shifts: the urgency of decarbonization, the need for molecular circularity, and the integration of digital technologies into discovery and manufacturing. Breakthroughs in electrification, advanced catalysts, CO</w:t>
      </w:r>
      <w:r>
        <w:rPr>
          <w:vertAlign w:val="subscript"/>
        </w:rPr>
        <w:t>2</w:t>
      </w:r>
      <w:r>
        <w:t>conversion, self‐driving laboratories, and AI‐enabled synthesis offer pathways to both competitiveness and sustainability, but their impact depends on coordinated infrastructure, stable policy, and risk‐tolerant finance. Crucially, this moment also demands responsibility and resilience: chemistry must be circular by design, transparent in its data, and robust enough to withstand shocks, diversify feedstocks, and scale technologies reliably. Europe`s leadership will hinge on embedding these principles into how chemistry is imagined, taught, and deployed.</w:t>
      </w:r>
    </w:p>
    <w:p>
      <w:pPr>
        <w:spacing w:before="120" w:after="120"/>
      </w:pPr>
      <w:r>
        <w:rPr>
          <w:sz w:val="18"/>
        </w:rPr>
        <w:t>——————————————————————————————————————————————————————————————————————</w:t>
      </w:r>
    </w:p>
    <w:p>
      <w:pPr>
        <w:spacing w:before="160" w:after="80" w:line="240" w:lineRule="auto"/>
      </w:pPr>
      <w:r>
        <w:rPr>
          <w:b/>
        </w:rPr>
        <w:t xml:space="preserve">[717] </w:t>
      </w:r>
      <w:hyperlink r:id="rId1188">
        <w:r>
          <w:rPr>
            <w:color w:val="1155CC"/>
            <w:u w:val="single"/>
          </w:rPr>
          <w:t>Twisted Tin‐Chloride Perovskite Single‐Crystal Heterostructures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09:00:42+00:00</w:t>
      </w:r>
      <w:r>
        <w:t xml:space="preserve">    </w:t>
      </w:r>
      <w:r>
        <w:rPr>
          <w:b/>
        </w:rPr>
        <w:t xml:space="preserve">DOI: </w:t>
      </w:r>
      <w:hyperlink r:id="rId1189">
        <w:r>
          <w:rPr>
            <w:color w:val="1155CC"/>
            <w:u w:val="single"/>
          </w:rPr>
          <w:t>10.1002/anie.202520140</w:t>
        </w:r>
      </w:hyperlink>
    </w:p>
    <w:p>
      <w:pPr>
        <w:spacing w:before="0" w:after="120"/>
      </w:pPr>
      <w:r>
        <w:rPr>
          <w:b/>
        </w:rPr>
        <w:t xml:space="preserve">Notes: </w:t>
      </w:r>
      <w:r>
        <w:t>abstract_source=crossref</w:t>
      </w:r>
    </w:p>
    <w:p>
      <w:pPr>
        <w:spacing w:before="0" w:after="200" w:lineRule="auto" w:line="276"/>
      </w:pPr>
      <w:r>
        <w:rPr>
          <w:b/>
        </w:rPr>
        <w:t xml:space="preserve">Abstract: </w:t>
      </w:r>
      <w:r>
        <w:t>Self‐assembly affords simpler synthetic routes to heterostructures compared with manual layer‐by‐layer stacking, yet controlling interlayer twist angles in a bulk solid remains an outstanding challenge. We report two new single‐crystal heterostructures: (Sn</w:t>
      </w:r>
      <w:r>
        <w:rPr>
          <w:vertAlign w:val="subscript"/>
        </w:rPr>
        <w:t>2</w:t>
      </w:r>
      <w:r>
        <w:t>Cl</w:t>
      </w:r>
      <w:r>
        <w:rPr>
          <w:vertAlign w:val="subscript"/>
        </w:rPr>
        <w:t>2</w:t>
      </w:r>
      <w:r>
        <w:t>)(CYS)</w:t>
      </w:r>
      <w:r>
        <w:rPr>
          <w:vertAlign w:val="subscript"/>
        </w:rPr>
        <w:t>2</w:t>
      </w:r>
      <w:r>
        <w:t>SnCl</w:t>
      </w:r>
      <w:r>
        <w:rPr>
          <w:vertAlign w:val="subscript"/>
        </w:rPr>
        <w:t>4</w:t>
      </w:r>
      <w:r>
        <w:t>(CYS =</w:t>
      </w:r>
      <w:r>
        <w:t xml:space="preserve"> </w:t>
      </w:r>
      <w:r>
        <w:t>+</w:t>
      </w:r>
      <w:r>
        <w:t xml:space="preserve"> </w:t>
      </w:r>
      <w:r>
        <w:t>NH</w:t>
      </w:r>
      <w:r>
        <w:rPr>
          <w:vertAlign w:val="subscript"/>
        </w:rPr>
        <w:t>3</w:t>
      </w:r>
      <w:r>
        <w:t>(CH</w:t>
      </w:r>
      <w:r>
        <w:rPr>
          <w:vertAlign w:val="subscript"/>
        </w:rPr>
        <w:t>2</w:t>
      </w:r>
      <w:r>
        <w:t>)</w:t>
      </w:r>
      <w:r>
        <w:rPr>
          <w:vertAlign w:val="subscript"/>
        </w:rPr>
        <w:t>2</w:t>
      </w:r>
      <w:r>
        <w:t>S</w:t>
      </w:r>
      <w:r>
        <w:t xml:space="preserve"> </w:t>
      </w:r>
      <w:r>
        <w:t>–</w:t>
      </w:r>
      <w:r>
        <w:t xml:space="preserve"> </w:t>
      </w:r>
      <w:r>
        <w:t>;</w:t>
      </w:r>
      <w:r>
        <w:t xml:space="preserve"> </w:t>
      </w:r>
      <w:r>
        <w:t>Sn_CYS</w:t>
      </w:r>
      <w:r>
        <w:t xml:space="preserve"> </w:t>
      </w:r>
      <w:r>
        <w:t>) and (Sn</w:t>
      </w:r>
      <w:r>
        <w:rPr>
          <w:vertAlign w:val="subscript"/>
        </w:rPr>
        <w:t>2</w:t>
      </w:r>
      <w:r>
        <w:t>Cl</w:t>
      </w:r>
      <w:r>
        <w:rPr>
          <w:vertAlign w:val="subscript"/>
        </w:rPr>
        <w:t>2</w:t>
      </w:r>
      <w:r>
        <w:t>)(SeCYS)</w:t>
      </w:r>
      <w:r>
        <w:rPr>
          <w:vertAlign w:val="subscript"/>
        </w:rPr>
        <w:t>2</w:t>
      </w:r>
      <w:r>
        <w:t>SnCl</w:t>
      </w:r>
      <w:r>
        <w:rPr>
          <w:vertAlign w:val="subscript"/>
        </w:rPr>
        <w:t>4</w:t>
      </w:r>
      <w:r>
        <w:t>(SeCYS =</w:t>
      </w:r>
      <w:r>
        <w:t xml:space="preserve"> </w:t>
      </w:r>
      <w:r>
        <w:t>+</w:t>
      </w:r>
      <w:r>
        <w:t xml:space="preserve"> </w:t>
      </w:r>
      <w:r>
        <w:t>NH</w:t>
      </w:r>
      <w:r>
        <w:rPr>
          <w:vertAlign w:val="subscript"/>
        </w:rPr>
        <w:t>3</w:t>
      </w:r>
      <w:r>
        <w:t>(CH</w:t>
      </w:r>
      <w:r>
        <w:rPr>
          <w:vertAlign w:val="subscript"/>
        </w:rPr>
        <w:t>2</w:t>
      </w:r>
      <w:r>
        <w:t>)</w:t>
      </w:r>
      <w:r>
        <w:rPr>
          <w:vertAlign w:val="subscript"/>
        </w:rPr>
        <w:t>2</w:t>
      </w:r>
      <w:r>
        <w:t>Se</w:t>
      </w:r>
      <w:r>
        <w:t xml:space="preserve"> </w:t>
      </w:r>
      <w:r>
        <w:t>–</w:t>
      </w:r>
      <w:r>
        <w:t xml:space="preserve"> </w:t>
      </w:r>
      <w:r>
        <w:t>;</w:t>
      </w:r>
      <w:r>
        <w:t xml:space="preserve"> </w:t>
      </w:r>
      <w:r>
        <w:t>Sn_SeCYS</w:t>
      </w:r>
      <w:r>
        <w:t xml:space="preserve"> </w:t>
      </w:r>
      <w:r>
        <w:t>) synthesized in solution, with alternating perovskite and intergrowth layers. Notably, compared to the recently reported lead analog, (Pb</w:t>
      </w:r>
      <w:r>
        <w:rPr>
          <w:vertAlign w:val="subscript"/>
        </w:rPr>
        <w:t>2</w:t>
      </w:r>
      <w:r>
        <w:t>Cl</w:t>
      </w:r>
      <w:r>
        <w:rPr>
          <w:vertAlign w:val="subscript"/>
        </w:rPr>
        <w:t>2</w:t>
      </w:r>
      <w:r>
        <w:t>)(CYS)</w:t>
      </w:r>
      <w:r>
        <w:rPr>
          <w:vertAlign w:val="subscript"/>
        </w:rPr>
        <w:t>2</w:t>
      </w:r>
      <w:r>
        <w:t>PbCl</w:t>
      </w:r>
      <w:r>
        <w:rPr>
          <w:vertAlign w:val="subscript"/>
        </w:rPr>
        <w:t>4</w:t>
      </w:r>
      <w:r>
        <w:t>(</w:t>
      </w:r>
      <w:r>
        <w:t xml:space="preserve"> </w:t>
      </w:r>
      <w:r>
        <w:t>Pb_CYS</w:t>
      </w:r>
      <w:r>
        <w:t xml:space="preserve"> </w:t>
      </w:r>
      <w:r>
        <w:t>), the tin heterostructures feature a twist between the perovskite and intergrowth layers. We trace this twist to local distortions at the Sn centers, which change the interfacial lattice‐matching requirements compared to those of the Pb analog. Electronic band structure calculations show that the striking differences in the relative energies of perovskite‐ and intergrowth‐derived bands in</w:t>
      </w:r>
      <w:r>
        <w:t xml:space="preserve"> </w:t>
      </w:r>
      <w:r>
        <w:t>Sn_CYS</w:t>
      </w:r>
      <w:r>
        <w:t xml:space="preserve"> </w:t>
      </w:r>
      <w:r>
        <w:t>and</w:t>
      </w:r>
      <w:r>
        <w:t xml:space="preserve"> </w:t>
      </w:r>
      <w:r>
        <w:t>Pb_CYS</w:t>
      </w:r>
      <w:r>
        <w:t xml:space="preserve"> </w:t>
      </w:r>
      <w:r>
        <w:t>arise from structural and not compositional differences. The structural anisotropy of</w:t>
      </w:r>
      <w:r>
        <w:t xml:space="preserve"> </w:t>
      </w:r>
      <w:r>
        <w:t>Sn_CYS</w:t>
      </w:r>
      <w:r>
        <w:t xml:space="preserve"> </w:t>
      </w:r>
      <w:r>
        <w:t>is also reflected in a large in‐plane photoluminescence linear anisotropy ratio. Interfacial strain further affords differential incorporation of Pb into the perovskite and intergrowth layers of the Sn heterostructures, resulting in redshifted optical absorption onsets. Thus, we posit that local structural distortions may be exploited to manipulate the twist angle and interfacial strain in bulk heterostructures, providing a new handle for tuning the band alignments of bulk quantum‐well electronic structures.</w:t>
      </w:r>
    </w:p>
    <w:p>
      <w:pPr>
        <w:spacing w:before="120" w:after="120"/>
      </w:pPr>
      <w:r>
        <w:rPr>
          <w:sz w:val="18"/>
        </w:rPr>
        <w:t>——————————————————————————————————————————————————————————————————————</w:t>
      </w:r>
    </w:p>
    <w:p>
      <w:pPr>
        <w:spacing w:before="160" w:after="80" w:line="240" w:lineRule="auto"/>
      </w:pPr>
      <w:r>
        <w:rPr>
          <w:b/>
        </w:rPr>
        <w:t xml:space="preserve">[718] </w:t>
      </w:r>
      <w:hyperlink r:id="rId1190">
        <w:r>
          <w:rPr>
            <w:color w:val="1155CC"/>
            <w:u w:val="single"/>
          </w:rPr>
          <w:t>Ultralow‐Temperature Redispersion of Platinum Nanoparticle Catalysts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09:35:08+00:00</w:t>
      </w:r>
      <w:r>
        <w:t xml:space="preserve">    </w:t>
      </w:r>
      <w:r>
        <w:rPr>
          <w:b/>
        </w:rPr>
        <w:t xml:space="preserve">DOI: </w:t>
      </w:r>
      <w:hyperlink r:id="rId1191">
        <w:r>
          <w:rPr>
            <w:color w:val="1155CC"/>
            <w:u w:val="single"/>
          </w:rPr>
          <w:t>10.1002/anie.202519662</w:t>
        </w:r>
      </w:hyperlink>
    </w:p>
    <w:p>
      <w:pPr>
        <w:spacing w:before="0" w:after="120"/>
      </w:pPr>
      <w:r>
        <w:rPr>
          <w:b/>
        </w:rPr>
        <w:t xml:space="preserve">Notes: </w:t>
      </w:r>
      <w:r>
        <w:t>abstract_source=crossref</w:t>
      </w:r>
    </w:p>
    <w:p>
      <w:pPr>
        <w:spacing w:before="0" w:after="200" w:lineRule="auto" w:line="276"/>
      </w:pPr>
      <w:r>
        <w:rPr>
          <w:b/>
        </w:rPr>
        <w:t xml:space="preserve">Abstract: </w:t>
      </w:r>
      <w:r>
        <w:t>Sintering is one of the major causes of catalyst deactivation, which requires redispersion to restore catalytic activity. However, conventional redispersion methods often require harsh high‐temperature conditions or introduce contaminants, both of which can degrade catalyst integrity and limit their practical applicability. Here, a novel redispersion method that achieves highly dispersed Pt/CeO</w:t>
      </w:r>
      <w:r>
        <w:rPr>
          <w:vertAlign w:val="subscript"/>
        </w:rPr>
        <w:t>2</w:t>
      </w:r>
      <w:r>
        <w:t>via NO treatment at an exceptionally low temperature of 200 °C, is visualized by in situ transmission electron microscopy (TEM) and confirmed by density functional theory (DFT). Interestingly, NO, although a milder oxidant compared to O</w:t>
      </w:r>
      <w:r>
        <w:rPr>
          <w:vertAlign w:val="subscript"/>
        </w:rPr>
        <w:t>2</w:t>
      </w:r>
      <w:r>
        <w:t>, promotes more effective Pt redispersion on the CeO</w:t>
      </w:r>
      <w:r>
        <w:rPr>
          <w:vertAlign w:val="subscript"/>
        </w:rPr>
        <w:t>2</w:t>
      </w:r>
      <w:r>
        <w:t>(100) surface. This behavior is governed by the kinetic behaviors of the Pt species formed under different oxidative atmospheres. Under NO, two‐coordinated Pt atoms are formed, each bonded to two surface oxygen atoms. These species exhibit high mobility across the surface, enabling efficient redispersion at low temperatures. In contrast, exposure to O</w:t>
      </w:r>
      <w:r>
        <w:rPr>
          <w:vertAlign w:val="subscript"/>
        </w:rPr>
        <w:t>2</w:t>
      </w:r>
      <w:r>
        <w:t>leads to the formation of four‐coordinated Pt atoms bonded to four surface oxygen atoms, which significantly restricts surface diffusion and inhibits redispersion under the same temperatures. This ultralow‐temperature redispersion mechanism is not limited to Pt/CeO</w:t>
      </w:r>
      <w:r>
        <w:rPr>
          <w:vertAlign w:val="subscript"/>
        </w:rPr>
        <w:t>2</w:t>
      </w:r>
      <w:r>
        <w:t>, but can also be extended to other catalyst systems, offering an energy‐efficient and halogen‐free alternative to conventional redispersion techniques.</w:t>
      </w:r>
    </w:p>
    <w:p>
      <w:pPr>
        <w:spacing w:before="120" w:after="120"/>
      </w:pPr>
      <w:r>
        <w:rPr>
          <w:sz w:val="18"/>
        </w:rPr>
        <w:t>——————————————————————————————————————————————————————————————————————</w:t>
      </w:r>
    </w:p>
    <w:p>
      <w:pPr>
        <w:spacing w:before="160" w:after="80" w:line="240" w:lineRule="auto"/>
      </w:pPr>
      <w:r>
        <w:rPr>
          <w:b/>
        </w:rPr>
        <w:t xml:space="preserve">[719] </w:t>
      </w:r>
      <w:hyperlink r:id="rId1192">
        <w:r>
          <w:rPr>
            <w:color w:val="1155CC"/>
            <w:u w:val="single"/>
          </w:rPr>
          <w:t>Atomic‐Layered Platinum‐Based Intermetallic with Phosphorus Pillar Nanoengineering Enables pH‐Universal Hydrogen Oxidation Catalysis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09:45:32+00:00</w:t>
      </w:r>
      <w:r>
        <w:t xml:space="preserve">    </w:t>
      </w:r>
      <w:r>
        <w:rPr>
          <w:b/>
        </w:rPr>
        <w:t xml:space="preserve">DOI: </w:t>
      </w:r>
      <w:hyperlink r:id="rId1193">
        <w:r>
          <w:rPr>
            <w:color w:val="1155CC"/>
            <w:u w:val="single"/>
          </w:rPr>
          <w:t>10.1002/anie.202515811</w:t>
        </w:r>
      </w:hyperlink>
    </w:p>
    <w:p>
      <w:pPr>
        <w:spacing w:before="0" w:after="120"/>
      </w:pPr>
      <w:r>
        <w:rPr>
          <w:b/>
        </w:rPr>
        <w:t xml:space="preserve">Notes: </w:t>
      </w:r>
      <w:r>
        <w:t>abstract_source=crossref</w:t>
      </w:r>
    </w:p>
    <w:p>
      <w:pPr>
        <w:spacing w:before="0" w:after="200" w:lineRule="auto" w:line="276"/>
      </w:pPr>
      <w:r>
        <w:rPr>
          <w:b/>
        </w:rPr>
        <w:t xml:space="preserve">Abstract: </w:t>
      </w:r>
      <w:r>
        <w:t>Layered materials boost hydrogen energy catalytic efficiency by expanding electrochemically surface area and elevating the intrinsic site activity. However, synthesizing atomically layered platinum intermetallic catalysts remains challenging due to platinum’s bulk crystallization tendency. Herein, we first prepare Pt</w:t>
      </w:r>
      <w:r>
        <w:rPr>
          <w:vertAlign w:val="subscript"/>
        </w:rPr>
        <w:t>5</w:t>
      </w:r>
      <w:r>
        <w:t>GaP and Pt</w:t>
      </w:r>
      <w:r>
        <w:rPr>
          <w:vertAlign w:val="subscript"/>
        </w:rPr>
        <w:t>5</w:t>
      </w:r>
      <w:r>
        <w:t>InP nanoparticles with self‐supported interlayer tunnels via pillar nanoengineering, featuring Pt</w:t>
      </w:r>
      <w:r>
        <w:rPr>
          <w:vertAlign w:val="subscript"/>
        </w:rPr>
        <w:t>5</w:t>
      </w:r>
      <w:r>
        <w:t>X (X = Ga/In) tri‐layers alternating with “P pillars”. The pillar effect enables selective H</w:t>
      </w:r>
      <w:r>
        <w:rPr>
          <w:vertAlign w:val="subscript"/>
        </w:rPr>
        <w:t>2</w:t>
      </w:r>
      <w:r>
        <w:t>transport while blocking CO, endowing superior full‐pH HOR activity and CO tolerance vs. commercial Pt/C. Pt</w:t>
      </w:r>
      <w:r>
        <w:rPr>
          <w:vertAlign w:val="subscript"/>
        </w:rPr>
        <w:t>5</w:t>
      </w:r>
      <w:r>
        <w:t>InP exhibits 13.9‐ and 11.5‐fold higher mass activity than Pt/C at pH = 1 and 13 (50 mV overpotential) with exceptional CO resistance. This novel layered compound and generalizable strategy pave the way for atomic‐scale platinum‐based catalysts, offering a tunnel size‐dependent CO‐tolerant approach and expanding small‐molecule catalysis applicability.</w:t>
      </w:r>
    </w:p>
    <w:p>
      <w:pPr>
        <w:spacing w:before="120" w:after="120"/>
      </w:pPr>
      <w:r>
        <w:rPr>
          <w:sz w:val="18"/>
        </w:rPr>
        <w:t>——————————————————————————————————————————————————————————————————————</w:t>
      </w:r>
    </w:p>
    <w:p>
      <w:pPr>
        <w:spacing w:before="160" w:after="80" w:line="240" w:lineRule="auto"/>
      </w:pPr>
      <w:r>
        <w:rPr>
          <w:b/>
        </w:rPr>
        <w:t xml:space="preserve">[720] </w:t>
      </w:r>
      <w:hyperlink r:id="rId1194">
        <w:r>
          <w:rPr>
            <w:color w:val="1155CC"/>
            <w:u w:val="single"/>
          </w:rPr>
          <w:t>An Injectable and Modular NO‐Adaptive Delivery System for Modulating Regenerative Microenvironment in Long‐Segment Nerve Injury</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09:47:19+00:00</w:t>
      </w:r>
      <w:r>
        <w:t xml:space="preserve">    </w:t>
      </w:r>
      <w:r>
        <w:rPr>
          <w:b/>
        </w:rPr>
        <w:t xml:space="preserve">DOI: </w:t>
      </w:r>
      <w:hyperlink r:id="rId1195">
        <w:r>
          <w:rPr>
            <w:color w:val="1155CC"/>
            <w:u w:val="single"/>
          </w:rPr>
          <w:t>10.1002/adma.202510948</w:t>
        </w:r>
      </w:hyperlink>
    </w:p>
    <w:p>
      <w:pPr>
        <w:spacing w:before="0" w:after="120"/>
      </w:pPr>
      <w:r>
        <w:rPr>
          <w:b/>
        </w:rPr>
        <w:t xml:space="preserve">Notes: </w:t>
      </w:r>
      <w:r>
        <w:t>abstract_source=crossref</w:t>
      </w:r>
    </w:p>
    <w:p>
      <w:pPr>
        <w:spacing w:before="0" w:after="200" w:lineRule="auto" w:line="276"/>
      </w:pPr>
      <w:r>
        <w:rPr>
          <w:b/>
        </w:rPr>
        <w:t xml:space="preserve">Abstract: </w:t>
      </w:r>
      <w:r>
        <w:t>Repairing long‐segment peripheral nerve injuries remains a significant clinical challenge, hindered by oxidative stress, inflammation, insufficient revascularization, and limited axonal regeneration speeds. This study addresses these barriers by reconstructing the nerve regeneration microenvironment, enhancing cell migration, and accelerating axonal growth. An integrated regenerative microenvironment combining chemical signals, micro/nano structures, and electrical stimulation is developed. Specifically, nitric oxide (NO), a versatile signaling molecule, is dynamically released using sustained and responsive‐release strategies to regulate oxidative stress and inflammation effectively. Furthermore, a gelatin–lipoic acid–seleno‐lipoic acid (Gel‐LA‐SA) microgel‐based hydrogel is designed, forming interconnected macroporous scaffolds that significantly enhance cell infiltration and growth compared to traditional hydrogels. Additionally, a non‐invasive electroactive conduit is constructed to provide external electrical stimulation, promoting nerve cell migration and nerve growth factor secretion. Together, these elements guide axonal regeneration, support rapid revascularization, and enhance nutrient supply. By integrating NO signaling, advanced hydrogel scaffolds, and electrical stimulation, this multifunctional conduit effectively addresses the critical barriers to regenerating nerves across extensive defect sites, offering a promising approach for repairing long‐segment peripheral nerve injuries and providing insights into broader applications for neurological disease treatment and tissue regeneration.</w:t>
      </w:r>
    </w:p>
    <w:p>
      <w:pPr>
        <w:spacing w:before="120" w:after="120"/>
      </w:pPr>
      <w:r>
        <w:rPr>
          <w:sz w:val="18"/>
        </w:rPr>
        <w:t>——————————————————————————————————————————————————————————————————————</w:t>
      </w:r>
    </w:p>
    <w:p>
      <w:pPr>
        <w:spacing w:before="160" w:after="80" w:line="240" w:lineRule="auto"/>
      </w:pPr>
      <w:r>
        <w:rPr>
          <w:b/>
        </w:rPr>
        <w:t xml:space="preserve">[721] </w:t>
      </w:r>
      <w:hyperlink r:id="rId1196">
        <w:r>
          <w:rPr>
            <w:color w:val="1155CC"/>
            <w:u w:val="single"/>
          </w:rPr>
          <w:t>A Fluorine‐Free Chaotropic Electrolyte Promoting Zinc Peroxide Chemistry for Non‐Alkaline Zinc–Air Batteries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09:47:43+00:00</w:t>
      </w:r>
      <w:r>
        <w:t xml:space="preserve">    </w:t>
      </w:r>
      <w:r>
        <w:rPr>
          <w:b/>
        </w:rPr>
        <w:t xml:space="preserve">DOI: </w:t>
      </w:r>
      <w:hyperlink r:id="rId1197">
        <w:r>
          <w:rPr>
            <w:color w:val="1155CC"/>
            <w:u w:val="single"/>
          </w:rPr>
          <w:t>10.1002/anie.202522708</w:t>
        </w:r>
      </w:hyperlink>
    </w:p>
    <w:p>
      <w:pPr>
        <w:spacing w:before="0" w:after="120"/>
      </w:pPr>
      <w:r>
        <w:rPr>
          <w:b/>
        </w:rPr>
        <w:t xml:space="preserve">Notes: </w:t>
      </w:r>
      <w:r>
        <w:t>abstract_source=crossref</w:t>
      </w:r>
    </w:p>
    <w:p>
      <w:pPr>
        <w:spacing w:before="0" w:after="200" w:lineRule="auto" w:line="276"/>
      </w:pPr>
      <w:r>
        <w:rPr>
          <w:b/>
        </w:rPr>
        <w:t xml:space="preserve">Abstract: </w:t>
      </w:r>
      <w:r>
        <w:t>Rechargeable non‐alkaline zinc–air batteries (ZABs) based on highly reversible zinc peroxide chemistry offer high energy density and superior stability under ambient air. However, the unique chemistry is closely related to the inner Helmholtz layer facilitated by the triflate anions, which has not been reported in other dilute fluorine‐free electrolytes. There is still a lack of selection criteria for anions and benchmarking two‐electron oxygen reduction reaction (2e</w:t>
      </w:r>
      <w:r>
        <w:t xml:space="preserve"> </w:t>
      </w:r>
      <w:r>
        <w:t>−</w:t>
      </w:r>
      <w:r>
        <w:t>ORR) selectivity. Herein, the Hofmeister series was introduced to depict the hydrophobicity of anions. Integrated spectroscopic and electrochemical analyses demonstrate that chaotropic anions promote 2e</w:t>
      </w:r>
      <w:r>
        <w:t xml:space="preserve"> </w:t>
      </w:r>
      <w:r>
        <w:t>−</w:t>
      </w:r>
      <w:r>
        <w:t>ORR selectivity by disrupting the hydrogen‐bond network and decreasing interfacial water at the electrode–electrolyte interface. As proof of concept, a fluorine‐free chaotropic electrolyte, zinc perchlorate (Zn(ClO</w:t>
      </w:r>
      <w:r>
        <w:rPr>
          <w:vertAlign w:val="subscript"/>
        </w:rPr>
        <w:t>4</w:t>
      </w:r>
      <w:r>
        <w:t>)</w:t>
      </w:r>
      <w:r>
        <w:rPr>
          <w:vertAlign w:val="subscript"/>
        </w:rPr>
        <w:t>2</w:t>
      </w:r>
      <w:r>
        <w:t>), is proposed to enable efficient zinc peroxide chemistry for ZABs without requiring specialized cell configuration. The ZABs using Zn(ClO</w:t>
      </w:r>
      <w:r>
        <w:rPr>
          <w:vertAlign w:val="subscript"/>
        </w:rPr>
        <w:t>4</w:t>
      </w:r>
      <w:r>
        <w:t>)</w:t>
      </w:r>
      <w:r>
        <w:rPr>
          <w:vertAlign w:val="subscript"/>
        </w:rPr>
        <w:t>2</w:t>
      </w:r>
      <w:r>
        <w:t>electrolyte not only exhibit improved reaction kinetics and higher energy efficiency but also reduced cost compared to fluorine‐containing counterparts. This study provides new insights into electrolyte design strategies for developing low‐cost and durable ZABs based on zinc peroxide chemistry.</w:t>
      </w:r>
    </w:p>
    <w:p>
      <w:pPr>
        <w:spacing w:before="120" w:after="120"/>
      </w:pPr>
      <w:r>
        <w:rPr>
          <w:sz w:val="18"/>
        </w:rPr>
        <w:t>——————————————————————————————————————————————————————————————————————</w:t>
      </w:r>
    </w:p>
    <w:p>
      <w:pPr>
        <w:spacing w:before="160" w:after="80" w:line="240" w:lineRule="auto"/>
      </w:pPr>
      <w:r>
        <w:rPr>
          <w:b/>
        </w:rPr>
        <w:t xml:space="preserve">[722] </w:t>
      </w:r>
      <w:hyperlink r:id="rId1198">
        <w:r>
          <w:rPr>
            <w:color w:val="1155CC"/>
            <w:u w:val="single"/>
          </w:rPr>
          <w:t>Programmable Multicolor Room‐Temperature Phosphorescence Hydrogels via the Synergy of Freeze‐Soaking and Salting‐Out</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09:48:45+00:00</w:t>
      </w:r>
      <w:r>
        <w:t xml:space="preserve">    </w:t>
      </w:r>
      <w:r>
        <w:rPr>
          <w:b/>
        </w:rPr>
        <w:t xml:space="preserve">DOI: </w:t>
      </w:r>
      <w:hyperlink r:id="rId1199">
        <w:r>
          <w:rPr>
            <w:color w:val="1155CC"/>
            <w:u w:val="single"/>
          </w:rPr>
          <w:t>10.1002/adma.202518652</w:t>
        </w:r>
      </w:hyperlink>
    </w:p>
    <w:p>
      <w:pPr>
        <w:spacing w:before="0" w:after="120"/>
      </w:pPr>
      <w:r>
        <w:rPr>
          <w:b/>
        </w:rPr>
        <w:t xml:space="preserve">Notes: </w:t>
      </w:r>
      <w:r>
        <w:t>abstract_source=crossref</w:t>
      </w:r>
    </w:p>
    <w:p>
      <w:pPr>
        <w:spacing w:before="0" w:after="200" w:lineRule="auto" w:line="276"/>
      </w:pPr>
      <w:r>
        <w:rPr>
          <w:b/>
        </w:rPr>
        <w:t xml:space="preserve">Abstract: </w:t>
      </w:r>
      <w:r>
        <w:t>Room temperature phosphorescence (RTP) is rarely achieved in hydrogel systems, as water severely quenches their emission. Achieving multicolor RTP in hydrogels is even more challenging, despite its high potential in cutting‐edge applications such as advanced anti‐counterfeiting and camouflaging skins. Here, a universal strategy is presented to fabricate multicolor RTP hydrogels through the cascading freeze‐soaking and salting‐out process (F‐S method). This method induces in situ polymer assembly around the phosphors, providing effective confinement and protection against quenching. As a result, RTP hydrogel (RTPgel) with strong phosphorescence (lifetime &amp;gt; 200 ms and afterglow &amp;gt;10 s), high water content (71 %), and excellent flexibility (stretchability &amp;gt; 3000%) is achieved in a modal system composed of polycyclic aromatic boronic acids (PABAs)‐grafted polyvinyl alcohol (PVA). Since chain aggregation strongly correlates with the kosmotropic nature of the salt solution, the phosphorescence properties, including lifetime and intensity, are feasibly tunable by re‐soaking the hydrogels in solution with different types of salts or concentrations, enabling programmable spatiotemporal emission patterns. Such a method is universal, adaptable for various luminophores and polymer matrices, allowing customizable emission colors across a wide spectrum. Moreover, it is compatible with scalable, high‐precision fabrication techniques such as fiber spinning, direct ink writing (DIW), and digital light processing (DLP) 3D printing.</w:t>
      </w:r>
    </w:p>
    <w:p>
      <w:pPr>
        <w:spacing w:before="120" w:after="120"/>
      </w:pPr>
      <w:r>
        <w:rPr>
          <w:sz w:val="18"/>
        </w:rPr>
        <w:t>——————————————————————————————————————————————————————————————————————</w:t>
      </w:r>
    </w:p>
    <w:p>
      <w:pPr>
        <w:spacing w:before="160" w:after="80" w:line="240" w:lineRule="auto"/>
      </w:pPr>
      <w:r>
        <w:rPr>
          <w:b/>
        </w:rPr>
        <w:t xml:space="preserve">[723] </w:t>
      </w:r>
      <w:hyperlink r:id="rId1200">
        <w:r>
          <w:rPr>
            <w:color w:val="1155CC"/>
            <w:u w:val="single"/>
          </w:rPr>
          <w:t>Entropy‐Mediated Gradient Oxygenophilic Architecture on High‐Entropy Alloy for Dynamic Spillover and Bifunctional Hydrogen Electrocatalysis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09:49:47+00:00</w:t>
      </w:r>
      <w:r>
        <w:t xml:space="preserve">    </w:t>
      </w:r>
      <w:r>
        <w:rPr>
          <w:b/>
        </w:rPr>
        <w:t xml:space="preserve">DOI: </w:t>
      </w:r>
      <w:hyperlink r:id="rId1201">
        <w:r>
          <w:rPr>
            <w:color w:val="1155CC"/>
            <w:u w:val="single"/>
          </w:rPr>
          <w:t>10.1002/adma.202517450</w:t>
        </w:r>
      </w:hyperlink>
    </w:p>
    <w:p>
      <w:pPr>
        <w:spacing w:before="0" w:after="120"/>
      </w:pPr>
      <w:r>
        <w:rPr>
          <w:b/>
        </w:rPr>
        <w:t xml:space="preserve">Notes: </w:t>
      </w:r>
      <w:r>
        <w:t>abstract_source=crossref</w:t>
      </w:r>
    </w:p>
    <w:p>
      <w:pPr>
        <w:spacing w:before="0" w:after="200" w:lineRule="auto" w:line="276"/>
      </w:pPr>
      <w:r>
        <w:rPr>
          <w:b/>
        </w:rPr>
        <w:t xml:space="preserve">Abstract: </w:t>
      </w:r>
      <w:r>
        <w:t>Breaking scaling relations and overcoming kinetic limitations in multistep hydrogen electrocatalysis remains a fundamental challenge. In this work, we designed and synthesized a high‐entropy alloy catalyst comprising Ir, Ru, Mo, W, and Cu supported on nitrogen‐doped carbon spheres. This unique structure creates active sites with a quasi‐continuous distribution of binding energies for H* and OH* intermediates. Density functional theory (DFT) calculations confirm that the random spatial arrangement of sites enables low‐energy‐barrier spillover pathways for H* and OH* (χ</w:t>
      </w:r>
      <w:r>
        <w:t xml:space="preserve"> </w:t>
      </w:r>
      <w:r>
        <w:t>H*</w:t>
      </w:r>
      <w:r>
        <w:t xml:space="preserve"> </w:t>
      </w:r>
      <w:r>
        <w:t>max</w:t>
      </w:r>
      <w:r>
        <w:t xml:space="preserve"> </w:t>
      </w:r>
      <w:r>
        <w:t>= 0.27 eV; χ</w:t>
      </w:r>
      <w:r>
        <w:t xml:space="preserve"> </w:t>
      </w:r>
      <w:r>
        <w:t>OH*</w:t>
      </w:r>
      <w:r>
        <w:t xml:space="preserve"> </w:t>
      </w:r>
      <w:r>
        <w:t>max</w:t>
      </w:r>
      <w:r>
        <w:t xml:space="preserve"> </w:t>
      </w:r>
      <w:r>
        <w:t>= 0.61 eV), while continuous d‐orbital coupling facilitates efficient electron transfer. This design enables each elementary step of hydrogen oxidation and evolution reactions (HOR/HER) to be directed to a site with favorable energetics. As a result, it exhibits exceptional bifunctional performance with a HOR mass activity of 8.83 A mg</w:t>
      </w:r>
      <w:r>
        <w:t xml:space="preserve"> </w:t>
      </w:r>
      <w:r>
        <w:t>−1</w:t>
      </w:r>
      <w:r>
        <w:t xml:space="preserve"> </w:t>
      </w:r>
      <w:r>
        <w:t>and an HER overpotential of only 11 mV at 10 mA cm</w:t>
      </w:r>
      <w:r>
        <w:t xml:space="preserve"> </w:t>
      </w:r>
      <w:r>
        <w:t>−2</w:t>
      </w:r>
      <w:r>
        <w:t xml:space="preserve"> </w:t>
      </w:r>
      <w:r>
        <w:t>, significantly outperforming commercial Pt/C</w:t>
      </w:r>
      <w:r>
        <w:t xml:space="preserve"> </w:t>
      </w:r>
      <w:r>
        <w:t>com</w:t>
      </w:r>
      <w:r>
        <w:t xml:space="preserve"> </w:t>
      </w:r>
      <w:r>
        <w:t>and previously reported catalysts. Operando spectroscopy and DFT analyses reveal that the gradient energy landscape promotes dynamic intermediate spillover, preventing site blocking and enhancing reaction kinetics. This work establishes a universal design strategy develop high‐performance electrocatalysts that transcend conventional Sabatier principle limitations.</w:t>
      </w:r>
    </w:p>
    <w:p>
      <w:pPr>
        <w:spacing w:before="120" w:after="120"/>
      </w:pPr>
      <w:r>
        <w:rPr>
          <w:sz w:val="18"/>
        </w:rPr>
        <w:t>——————————————————————————————————————————————————————————————————————</w:t>
      </w:r>
    </w:p>
    <w:p>
      <w:pPr>
        <w:spacing w:before="160" w:after="80" w:line="240" w:lineRule="auto"/>
      </w:pPr>
      <w:r>
        <w:rPr>
          <w:b/>
        </w:rPr>
        <w:t xml:space="preserve">[724] </w:t>
      </w:r>
      <w:hyperlink r:id="rId1202">
        <w:r>
          <w:rPr>
            <w:color w:val="1155CC"/>
            <w:u w:val="single"/>
          </w:rPr>
          <w:t>Solar Energy Storage in Polyoxometalate for On‐Demand Hydrogen Transportation and Evolution</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09:53:08+00:00</w:t>
      </w:r>
      <w:r>
        <w:t xml:space="preserve">    </w:t>
      </w:r>
      <w:r>
        <w:rPr>
          <w:b/>
        </w:rPr>
        <w:t xml:space="preserve">DOI: </w:t>
      </w:r>
      <w:hyperlink r:id="rId1203">
        <w:r>
          <w:rPr>
            <w:color w:val="1155CC"/>
            <w:u w:val="single"/>
          </w:rPr>
          <w:t>10.1002/adma.202519875</w:t>
        </w:r>
      </w:hyperlink>
    </w:p>
    <w:p>
      <w:pPr>
        <w:spacing w:before="0" w:after="120"/>
      </w:pPr>
      <w:r>
        <w:rPr>
          <w:b/>
        </w:rPr>
        <w:t xml:space="preserve">Notes: </w:t>
      </w:r>
      <w:r>
        <w:t>abstract_source=crossref</w:t>
      </w:r>
    </w:p>
    <w:p>
      <w:pPr>
        <w:spacing w:before="0" w:after="200" w:lineRule="auto" w:line="276"/>
      </w:pPr>
      <w:r>
        <w:rPr>
          <w:b/>
        </w:rPr>
        <w:t xml:space="preserve">Abstract: </w:t>
      </w:r>
      <w:r>
        <w:t>Widespread application of solar‐driven hydrogen production is hindered by critical limitations: the inherent safety risks of high‐pressure H</w:t>
      </w:r>
      <w:r>
        <w:rPr>
          <w:vertAlign w:val="subscript"/>
        </w:rPr>
        <w:t>2</w:t>
      </w:r>
      <w:r>
        <w:t>storage/transport, and the intermittent nature of solar energy. To address these challenges, we develop a solar energy storage and on‐demand hydrogen production system by synergistically integrating commercial polyoxometalate (NH</w:t>
      </w:r>
      <w:r>
        <w:rPr>
          <w:vertAlign w:val="subscript"/>
        </w:rPr>
        <w:t>4</w:t>
      </w:r>
      <w:r>
        <w:t>)</w:t>
      </w:r>
      <w:r>
        <w:rPr>
          <w:vertAlign w:val="subscript"/>
        </w:rPr>
        <w:t>6</w:t>
      </w:r>
      <w:r>
        <w:t>H</w:t>
      </w:r>
      <w:r>
        <w:rPr>
          <w:vertAlign w:val="subscript"/>
        </w:rPr>
        <w:t>2</w:t>
      </w:r>
      <w:r>
        <w:t>W</w:t>
      </w:r>
      <w:r>
        <w:rPr>
          <w:vertAlign w:val="subscript"/>
        </w:rPr>
        <w:t>12</w:t>
      </w:r>
      <w:r>
        <w:t>O</w:t>
      </w:r>
      <w:r>
        <w:rPr>
          <w:vertAlign w:val="subscript"/>
        </w:rPr>
        <w:t>40</w:t>
      </w:r>
      <w:r>
        <w:t>(W</w:t>
      </w:r>
      <w:r>
        <w:rPr>
          <w:vertAlign w:val="subscript"/>
        </w:rPr>
        <w:t>12</w:t>
      </w:r>
      <w:r>
        <w:t>) with graphitic carbon nitride (g‐C</w:t>
      </w:r>
      <w:r>
        <w:rPr>
          <w:vertAlign w:val="subscript"/>
        </w:rPr>
        <w:t>3</w:t>
      </w:r>
      <w:r>
        <w:t>N</w:t>
      </w:r>
      <w:r>
        <w:rPr>
          <w:vertAlign w:val="subscript"/>
        </w:rPr>
        <w:t>4</w:t>
      </w:r>
      <w:r>
        <w:t>). This system demonstrates remarkable efficiency in storing solar energy as electrons within W</w:t>
      </w:r>
      <w:r>
        <w:rPr>
          <w:vertAlign w:val="subscript"/>
        </w:rPr>
        <w:t>12</w:t>
      </w:r>
      <w:r>
        <w:t>during illumination. These stored electrons can be released on demand in the dark through Pt/C activation to produce H</w:t>
      </w:r>
      <w:r>
        <w:rPr>
          <w:vertAlign w:val="subscript"/>
        </w:rPr>
        <w:t>2</w:t>
      </w:r>
      <w:r>
        <w:t>, achieving a highly efficient hydrogen evolution rate of 3220 µmol g</w:t>
      </w:r>
      <w:r>
        <w:t xml:space="preserve"> </w:t>
      </w:r>
      <w:r>
        <w:t>−1</w:t>
      </w:r>
      <w:r>
        <w:t xml:space="preserve"> </w:t>
      </w:r>
      <w:r>
        <w:t>h</w:t>
      </w:r>
      <w:r>
        <w:t xml:space="preserve"> </w:t>
      </w:r>
      <w:r>
        <w:t>−1</w:t>
      </w:r>
      <w:r>
        <w:t xml:space="preserve"> </w:t>
      </w:r>
      <w:r>
        <w:t>under dark photocatalytic conditions. Notably, the system maintains robust performance under real‐world conditions, delivering an outdoor hydrogen evolution rate of 954 µmol g</w:t>
      </w:r>
      <w:r>
        <w:t xml:space="preserve"> </w:t>
      </w:r>
      <w:r>
        <w:t>−1</w:t>
      </w:r>
      <w:r>
        <w:t xml:space="preserve"> </w:t>
      </w:r>
      <w:r>
        <w:t>h</w:t>
      </w:r>
      <w:r>
        <w:t xml:space="preserve"> </w:t>
      </w:r>
      <w:r>
        <w:t>−1</w:t>
      </w:r>
      <w:r>
        <w:t xml:space="preserve"> </w:t>
      </w:r>
      <w:r>
        <w:t>under natural sunlight irradiation. Detailed analysis reveals an optimized electron storage‐release pathway, facilitated by the favorable alignment between the reduction potential of W</w:t>
      </w:r>
      <w:r>
        <w:rPr>
          <w:vertAlign w:val="subscript"/>
        </w:rPr>
        <w:t>12</w:t>
      </w:r>
      <w:r>
        <w:t>and the band structure of g‐C</w:t>
      </w:r>
      <w:r>
        <w:rPr>
          <w:vertAlign w:val="subscript"/>
        </w:rPr>
        <w:t>3</w:t>
      </w:r>
      <w:r>
        <w:t>N</w:t>
      </w:r>
      <w:r>
        <w:rPr>
          <w:vertAlign w:val="subscript"/>
        </w:rPr>
        <w:t>4</w:t>
      </w:r>
      <w:r>
        <w:t>, as well as the electrostatic self‐assembly driven by oppositely charged g‐C</w:t>
      </w:r>
      <w:r>
        <w:rPr>
          <w:vertAlign w:val="subscript"/>
        </w:rPr>
        <w:t>3</w:t>
      </w:r>
      <w:r>
        <w:t>N</w:t>
      </w:r>
      <w:r>
        <w:rPr>
          <w:vertAlign w:val="subscript"/>
        </w:rPr>
        <w:t>4</w:t>
      </w:r>
      <w:r>
        <w:t>and W</w:t>
      </w:r>
      <w:r>
        <w:rPr>
          <w:vertAlign w:val="subscript"/>
        </w:rPr>
        <w:t>12</w:t>
      </w:r>
      <w:r>
        <w:t>. In this system, solar energy is facilely stored as stabilized electrons within the POM‐semiconductor suspension, which can then be efficiently transported to light‐deficient environments and controllably released for on‐demand hydrogen evolution.</w:t>
      </w:r>
    </w:p>
    <w:p>
      <w:pPr>
        <w:spacing w:before="120" w:after="120"/>
      </w:pPr>
      <w:r>
        <w:rPr>
          <w:sz w:val="18"/>
        </w:rPr>
        <w:t>——————————————————————————————————————————————————————————————————————</w:t>
      </w:r>
    </w:p>
    <w:p>
      <w:pPr>
        <w:spacing w:before="160" w:after="80" w:line="240" w:lineRule="auto"/>
      </w:pPr>
      <w:r>
        <w:rPr>
          <w:b/>
        </w:rPr>
        <w:t xml:space="preserve">[725] </w:t>
      </w:r>
      <w:hyperlink r:id="rId1204">
        <w:r>
          <w:rPr>
            <w:color w:val="1155CC"/>
            <w:u w:val="single"/>
          </w:rPr>
          <w:t>Reconfigurable Multi‐Stimuli Responsive Smart Phosphorescent Polymer Composites with Time‐Dependent and Wavelength‐Dependent Phosphorescence Color Evolution</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09:53:48+00:00</w:t>
      </w:r>
      <w:r>
        <w:t xml:space="preserve">    </w:t>
      </w:r>
      <w:r>
        <w:rPr>
          <w:b/>
        </w:rPr>
        <w:t xml:space="preserve">DOI: </w:t>
      </w:r>
      <w:hyperlink r:id="rId1205">
        <w:r>
          <w:rPr>
            <w:color w:val="1155CC"/>
            <w:u w:val="single"/>
          </w:rPr>
          <w:t>10.1002/adma.202512099</w:t>
        </w:r>
      </w:hyperlink>
    </w:p>
    <w:p>
      <w:pPr>
        <w:spacing w:before="0" w:after="120"/>
      </w:pPr>
      <w:r>
        <w:rPr>
          <w:b/>
        </w:rPr>
        <w:t xml:space="preserve">Notes: </w:t>
      </w:r>
      <w:r>
        <w:t>abstract_source=crossref</w:t>
      </w:r>
    </w:p>
    <w:p>
      <w:pPr>
        <w:spacing w:before="0" w:after="200" w:lineRule="auto" w:line="276"/>
      </w:pPr>
      <w:r>
        <w:rPr>
          <w:b/>
        </w:rPr>
        <w:t xml:space="preserve">Abstract: </w:t>
      </w:r>
      <w:r>
        <w:t>Developing smart systems based on phosphorescent materials that can control the time‐dependent phosphorescent color (TDPC) in response to external stimuli holds promise for advancing information encryption, but significant challenges remain. Herein, a facile strategy is proposed to construct smart phosphorescent polymer composites through immobilizing dual‐emission centers with distinct stimuli sensitivities within a soft‐rigid coupled hybrid matrix. The smart phosphorescent polymer composites show switchable phosphorescence between static phosphorescence and wavelength‐dependent dynamic TDPC, induced by multi‐stimuli (light, humidity, heat). The photoactivated phosphorescent composites transform from initial static monochromatic emission to dynamic multicolor TDPC through the synergistic effect of triplet oxygen depletion‐induced selective activation of the emission centers and the distinct decay rates of the dual‐emission centers. The evolution paths of TDPC also exhibit excitation‐dependence. Moreover, the photoactivated composites enable reversible switching between dynamic TDPC and monochromatic phosphorescence through water and thermal stimuli, due to the combined effects of water‐induced dissociation of the rigid hydrogen‐bonding network and differential quenching of the dual‐emission centers. The composites also exhibit recyclability and self‐healing capability. The processable smart phosphorescent polymer composites with good stability demonstrate outstanding potential in multi‐dimensional information encryption, opening up a new perspective for upgrading security technologies.</w:t>
      </w:r>
    </w:p>
    <w:p>
      <w:pPr>
        <w:spacing w:before="120" w:after="120"/>
      </w:pPr>
      <w:r>
        <w:rPr>
          <w:sz w:val="18"/>
        </w:rPr>
        <w:t>——————————————————————————————————————————————————————————————————————</w:t>
      </w:r>
    </w:p>
    <w:p>
      <w:pPr>
        <w:spacing w:before="160" w:after="80" w:line="240" w:lineRule="auto"/>
      </w:pPr>
      <w:r>
        <w:rPr>
          <w:b/>
        </w:rPr>
        <w:t xml:space="preserve">[726] </w:t>
      </w:r>
      <w:hyperlink r:id="rId1206">
        <w:r>
          <w:rPr>
            <w:color w:val="1155CC"/>
            <w:u w:val="single"/>
          </w:rPr>
          <w:t>High‐Performance NIR‐II Sn‐Based Perovskite LEDs Enabled by the Functionalization of Sulfaguanidine</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09:54:44+00:00</w:t>
      </w:r>
      <w:r>
        <w:t xml:space="preserve">    </w:t>
      </w:r>
      <w:r>
        <w:rPr>
          <w:b/>
        </w:rPr>
        <w:t xml:space="preserve">DOI: </w:t>
      </w:r>
      <w:hyperlink r:id="rId1207">
        <w:r>
          <w:rPr>
            <w:color w:val="1155CC"/>
            <w:u w:val="single"/>
          </w:rPr>
          <w:t>10.1002/adma.202516632</w:t>
        </w:r>
      </w:hyperlink>
    </w:p>
    <w:p>
      <w:pPr>
        <w:spacing w:before="0" w:after="120"/>
      </w:pPr>
      <w:r>
        <w:rPr>
          <w:b/>
        </w:rPr>
        <w:t xml:space="preserve">Notes: </w:t>
      </w:r>
      <w:r>
        <w:t>abstract_source=crossref</w:t>
      </w:r>
    </w:p>
    <w:p>
      <w:pPr>
        <w:spacing w:before="0" w:after="200" w:lineRule="auto" w:line="276"/>
      </w:pPr>
      <w:r>
        <w:rPr>
          <w:b/>
        </w:rPr>
        <w:t xml:space="preserve">Abstract: </w:t>
      </w:r>
      <w:r>
        <w:t>Eco‐friendly CsSnI</w:t>
      </w:r>
      <w:r>
        <w:rPr>
          <w:vertAlign w:val="subscript"/>
        </w:rPr>
        <w:t>3</w:t>
      </w:r>
      <w:r>
        <w:t>‐based perovskite light‐emitting diodes (PeLEDs) with the emission peak extending to the near‐infrared‐II (NIR‐II) region hold tremendous potential for applications in biological monitoring, night vision, and optical communications. However, the various defects caused by the instability of Sn</w:t>
      </w:r>
      <w:r>
        <w:t xml:space="preserve"> </w:t>
      </w:r>
      <w:r>
        <w:t>2+</w:t>
      </w:r>
      <w:r>
        <w:t xml:space="preserve"> </w:t>
      </w:r>
      <w:r>
        <w:t>within the CsSnI</w:t>
      </w:r>
      <w:r>
        <w:rPr>
          <w:vertAlign w:val="subscript"/>
        </w:rPr>
        <w:t>3</w:t>
      </w:r>
      <w:r>
        <w:t>film, and the non‐equilibrium carrier injection rate in the devices are the two major factors that limit the device performance. Here, we report high‐performance NIR‐II CsSnI</w:t>
      </w:r>
      <w:r>
        <w:rPr>
          <w:vertAlign w:val="subscript"/>
        </w:rPr>
        <w:t>3</w:t>
      </w:r>
      <w:r>
        <w:t>‐based PeLEDs achieved by employing functional sulfaguanidine (SG) molecules. Due to the strong S═O─Sn coordination bonds, NH</w:t>
      </w:r>
      <w:r>
        <w:rPr>
          <w:vertAlign w:val="subscript"/>
        </w:rPr>
        <w:t>2</w:t>
      </w:r>
      <w:r>
        <w:t>···I</w:t>
      </w:r>
      <w:r>
        <w:t xml:space="preserve"> </w:t>
      </w:r>
      <w:r>
        <w:t>−</w:t>
      </w:r>
      <w:r>
        <w:t>hydrogen bonds could be formed between CsSnI</w:t>
      </w:r>
      <w:r>
        <w:rPr>
          <w:vertAlign w:val="subscript"/>
        </w:rPr>
        <w:t>3</w:t>
      </w:r>
      <w:r>
        <w:t>and SG, which effectively eliminated various Sn(II)‐related defects in the CsSnI</w:t>
      </w:r>
      <w:r>
        <w:rPr>
          <w:vertAlign w:val="subscript"/>
        </w:rPr>
        <w:t>3</w:t>
      </w:r>
      <w:r>
        <w:t>film. Moreover, the SG molecules significantly improved the morphological uniformity and regulated the carrier injection balance, resulting in more balanced carrier injection that enhanced the effective radiation recombination rate. Consequently, the optimized CsSnI</w:t>
      </w:r>
      <w:r>
        <w:rPr>
          <w:vertAlign w:val="subscript"/>
        </w:rPr>
        <w:t>3</w:t>
      </w:r>
      <w:r>
        <w:t>‐SG PeLEDs achieved a breakthrough external quantum efficiency (EQE) of 8.1%, which is the highest efficiency reported for CsSnI</w:t>
      </w:r>
      <w:r>
        <w:rPr>
          <w:vertAlign w:val="subscript"/>
        </w:rPr>
        <w:t>3</w:t>
      </w:r>
      <w:r>
        <w:t>‐based PeLEDs to date.</w:t>
      </w:r>
    </w:p>
    <w:p>
      <w:pPr>
        <w:spacing w:before="120" w:after="120"/>
      </w:pPr>
      <w:r>
        <w:rPr>
          <w:sz w:val="18"/>
        </w:rPr>
        <w:t>——————————————————————————————————————————————————————————————————————</w:t>
      </w:r>
    </w:p>
    <w:p>
      <w:pPr>
        <w:spacing w:before="160" w:after="80" w:line="240" w:lineRule="auto"/>
      </w:pPr>
      <w:r>
        <w:rPr>
          <w:b/>
        </w:rPr>
        <w:t xml:space="preserve">[727] </w:t>
      </w:r>
      <w:hyperlink r:id="rId1208">
        <w:r>
          <w:rPr>
            <w:color w:val="1155CC"/>
            <w:u w:val="single"/>
          </w:rPr>
          <w:t>Photoswitchable Dual‐Color Fluorescence With Large Stokes Shift From Dye‐Encapsulated Metal‐Organic Framework for Dynamic Cellular Imaging</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09:55:49+00:00</w:t>
      </w:r>
      <w:r>
        <w:t xml:space="preserve">    </w:t>
      </w:r>
      <w:r>
        <w:rPr>
          <w:b/>
        </w:rPr>
        <w:t xml:space="preserve">DOI: </w:t>
      </w:r>
      <w:hyperlink r:id="rId1209">
        <w:r>
          <w:rPr>
            <w:color w:val="1155CC"/>
            <w:u w:val="single"/>
          </w:rPr>
          <w:t>10.1002/adma.202518371</w:t>
        </w:r>
      </w:hyperlink>
    </w:p>
    <w:p>
      <w:pPr>
        <w:spacing w:before="0" w:after="120"/>
      </w:pPr>
      <w:r>
        <w:rPr>
          <w:b/>
        </w:rPr>
        <w:t xml:space="preserve">Notes: </w:t>
      </w:r>
      <w:r>
        <w:t>abstract_source=crossref</w:t>
      </w:r>
    </w:p>
    <w:p>
      <w:pPr>
        <w:spacing w:before="0" w:after="200" w:lineRule="auto" w:line="276"/>
      </w:pPr>
      <w:r>
        <w:rPr>
          <w:b/>
        </w:rPr>
        <w:t xml:space="preserve">Abstract: </w:t>
      </w:r>
      <w:r>
        <w:t>Photoswitchable dual‐color fluorescent materials are highly valuable for applications in cellular imaging and super‐resolution microscopy. However, realizing these materials, especially broadening their Stokes shift remains a critical challenge. Herein, a novel strategy for achieving photoswitchable dual‐emission fluorescence with a large Stokes shift is proposed via a cascade energy transfer (ET) process in metal‐organic frameworks (MOFs). By incorporating the photoisomerizable molecule spiropyran as an ET intermediate, and two fluorescent dyes coumarin 153 (Cou153) and methylene blue (MB) within a MOF, rho‐ZMOF, the dual‐color dynamic luminescent material rho‐ZMOF⊃Cou153&amp;amp;SP&amp;amp;MB is achieved. When excited at 400 nm, rho‐ZMOF⊃Cou153&amp;amp;SP&amp;amp;MB exhibits coumarin‐centered green emission at 516 nm and methylene blue‐centered red fluorescence at 700 nm, with a maximum Stokes shift of 300 nm. More importantly, these dual‐color emissions can be reversibly switched on or off upon altering UV‐ and visible‐light irradiation because of the photoswitchable cascade energy transfer from coumarin 153 to methylene blue based on the photochromic transformation of spiropyran. As an example, the potential use of rho‐ZMOF⊃Cou153&amp;amp;SP&amp;amp;MB in high‐resolution and depth‐resolved bioimaging is demonstrated.</w:t>
      </w:r>
    </w:p>
    <w:p>
      <w:pPr>
        <w:spacing w:before="120" w:after="120"/>
      </w:pPr>
      <w:r>
        <w:rPr>
          <w:sz w:val="18"/>
        </w:rPr>
        <w:t>——————————————————————————————————————————————————————————————————————</w:t>
      </w:r>
    </w:p>
    <w:p>
      <w:pPr>
        <w:spacing w:before="160" w:after="80" w:line="240" w:lineRule="auto"/>
      </w:pPr>
      <w:r>
        <w:rPr>
          <w:b/>
        </w:rPr>
        <w:t xml:space="preserve">[728] </w:t>
      </w:r>
      <w:hyperlink r:id="rId1210">
        <w:r>
          <w:rPr>
            <w:color w:val="1155CC"/>
            <w:u w:val="single"/>
          </w:rPr>
          <w:t>Fundamentals, Status, and Prospects of Liquid Organic Electrolytes for High‐Energy Sodium‐Ion Batteries</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09:57:53+00:00</w:t>
      </w:r>
      <w:r>
        <w:t xml:space="preserve">    </w:t>
      </w:r>
      <w:r>
        <w:rPr>
          <w:b/>
        </w:rPr>
        <w:t xml:space="preserve">DOI: </w:t>
      </w:r>
      <w:hyperlink r:id="rId1211">
        <w:r>
          <w:rPr>
            <w:color w:val="1155CC"/>
            <w:u w:val="single"/>
          </w:rPr>
          <w:t>10.1002/adma.202519965</w:t>
        </w:r>
      </w:hyperlink>
    </w:p>
    <w:p>
      <w:pPr>
        <w:spacing w:before="0" w:after="120"/>
      </w:pPr>
      <w:r>
        <w:rPr>
          <w:b/>
        </w:rPr>
        <w:t xml:space="preserve">Notes: </w:t>
      </w:r>
      <w:r>
        <w:t>abstract_source=crossref</w:t>
      </w:r>
    </w:p>
    <w:p>
      <w:pPr>
        <w:spacing w:before="0" w:after="200" w:lineRule="auto" w:line="276"/>
      </w:pPr>
      <w:r>
        <w:rPr>
          <w:b/>
        </w:rPr>
        <w:t xml:space="preserve">Abstract: </w:t>
      </w:r>
      <w:r>
        <w:t>Sodium‐ion batteries (SIBs) have emerged as one of the most promising candidates among post‐Li‐ion batteries (LIBs) due to abundance and low cost of sodium resources. However, the commercialization of SIBs is hindered by their limited cell performance. Although great efforts have been made, it is still challenging to balance the trade‐off between energy density and cycle life while simultaneously meeting the requirements for practical applications, which are largely governed by the stability of the electrode/electrolyte interfaces. Therefore, it is crucial to design new electrolyte components or formulations to stabilize the interphases and thus the cycling stability for high‐energy and high‐capacity cathodes/anodes. In this review, based on a comprehensive comparison of the fundamental mechanisms between SIBs and LIBs, the challenges and governing principles for electrolyte design in SIBs are first introduced. The progress in electrolyte designs for various high‐energy cathodes is summarized according to their ion‐transport characteristics and the interphase formation. Electrolyte design strategies, particularly for the high‐capacity anodes, are also surveyed, together with effective electrolyte design strategies to fulfill the requirements under practical operating conditions. Finally, future perspectives on electrolyte development from the viewpoints of full cell‐level performance, cost, and feasibility are highlighted. This review aims to provide a roadmap for advancing electrolyte design toward practical SIBs competitive with LIBs.</w:t>
      </w:r>
    </w:p>
    <w:p>
      <w:pPr>
        <w:spacing w:before="120" w:after="120"/>
      </w:pPr>
      <w:r>
        <w:rPr>
          <w:sz w:val="18"/>
        </w:rPr>
        <w:t>——————————————————————————————————————————————————————————————————————</w:t>
      </w:r>
    </w:p>
    <w:p>
      <w:pPr>
        <w:spacing w:before="160" w:after="80" w:line="240" w:lineRule="auto"/>
      </w:pPr>
      <w:r>
        <w:rPr>
          <w:b/>
        </w:rPr>
        <w:t xml:space="preserve">[729] </w:t>
      </w:r>
      <w:hyperlink r:id="rId1212">
        <w:r>
          <w:rPr>
            <w:color w:val="1155CC"/>
            <w:u w:val="single"/>
          </w:rPr>
          <w:t>Operationally Stable Perovskite Solar Modules Enabled by MA‐Free Perovskite Crystallization and Passivation via Scalable Coating</w:t>
        </w:r>
      </w:hyperlink>
    </w:p>
    <w:p>
      <w:pPr>
        <w:spacing w:before="0" w:after="120" w:line="240" w:lineRule="auto"/>
      </w:pPr>
      <w:r>
        <w:rPr>
          <w:b/>
        </w:rPr>
        <w:t xml:space="preserve">Source: </w:t>
      </w:r>
      <w:r>
        <w:t>Wiley: Advanced Materials: Table of Contents</w:t>
      </w:r>
      <w:r>
        <w:t xml:space="preserve">    </w:t>
      </w:r>
      <w:r>
        <w:rPr>
          <w:b/>
        </w:rPr>
        <w:t xml:space="preserve">Pub date: </w:t>
      </w:r>
      <w:r>
        <w:t>2025-12-19 09:59:36+00:00</w:t>
      </w:r>
      <w:r>
        <w:t xml:space="preserve">    </w:t>
      </w:r>
      <w:r>
        <w:rPr>
          <w:b/>
        </w:rPr>
        <w:t xml:space="preserve">DOI: </w:t>
      </w:r>
      <w:hyperlink r:id="rId1213">
        <w:r>
          <w:rPr>
            <w:color w:val="1155CC"/>
            <w:u w:val="single"/>
          </w:rPr>
          <w:t>10.1002/adma.202519198</w:t>
        </w:r>
      </w:hyperlink>
    </w:p>
    <w:p>
      <w:pPr>
        <w:spacing w:before="0" w:after="120"/>
      </w:pPr>
      <w:r>
        <w:rPr>
          <w:b/>
        </w:rPr>
        <w:t xml:space="preserve">Notes: </w:t>
      </w:r>
      <w:r>
        <w:t>abstract_source=crossref</w:t>
      </w:r>
    </w:p>
    <w:p>
      <w:pPr>
        <w:spacing w:before="0" w:after="200" w:lineRule="auto" w:line="276"/>
      </w:pPr>
      <w:r>
        <w:rPr>
          <w:b/>
        </w:rPr>
        <w:t xml:space="preserve">Abstract: </w:t>
      </w:r>
      <w:r>
        <w:t>Perovskite solar modules (PSMs) must deliver not only high‐power conversion efficiency (PCE) but also long‐term operational stability to approach commercialization. Yet efficiency and stability are both compromised when translating laboratory spin‐coated perovskite solar cells (PSCs) into scalable PSMs, owing to mismatched crystallization dynamics, ineffective defect passivation, and compositional degradation. Here we resolve these challenges through a three‐pronged strategy. First, we deconstruct the compositional origins of operational stability, identifying MA (methylammonium)‐free Cs–FA (formamidinium) composition as intrinsically robust against continuous operation. Second, we tailor the phase‐transition and crystallization pathways of air‐processed scalable‐coating by controlled Br incorporation in CsPbX</w:t>
      </w:r>
      <w:r>
        <w:rPr>
          <w:vertAlign w:val="subscript"/>
        </w:rPr>
        <w:t>3</w:t>
      </w:r>
      <w:r>
        <w:t>, which reconciles precursor solubility, nucleation kinetics, and α‐phase stability, yielding dense and defect‐suppressed films. Finally, we analyze the root cause of scalable passivation inefficacy and developed cyclohexanecarboxamidinium (CHCA) as a blade‐coating‐compatible passivator enabling uniform and durable defect suppression. The optimized devices exhibited improved PCEs up to 26.1% (0.646 cm</w:t>
      </w:r>
      <w:r>
        <w:rPr>
          <w:vertAlign w:val="subscript"/>
        </w:rPr>
        <w:t>2</w:t>
      </w:r>
      <w:r>
        <w:t>) and 22.8% (20.8 cm</w:t>
      </w:r>
      <w:r>
        <w:rPr>
          <w:vertAlign w:val="subscript"/>
        </w:rPr>
        <w:t>2</w:t>
      </w:r>
      <w:r>
        <w:t>). Meanwhile, we documented exceptional operational stability with ∼3200 h T</w:t>
      </w:r>
      <w:r>
        <w:rPr>
          <w:vertAlign w:val="subscript"/>
        </w:rPr>
        <w:t>96</w:t>
      </w:r>
      <w:r>
        <w:t>for PSC and ∼2000 h T</w:t>
      </w:r>
      <w:r>
        <w:rPr>
          <w:vertAlign w:val="subscript"/>
        </w:rPr>
        <w:t>84</w:t>
      </w:r>
      <w:r>
        <w:t>for PSM. Our findings establish a mechanistic framework for achieving operationally stable perovskite solar modules under industrially relevant conditions.</w:t>
      </w:r>
    </w:p>
    <w:p>
      <w:pPr>
        <w:spacing w:before="120" w:after="120"/>
      </w:pPr>
      <w:r>
        <w:rPr>
          <w:sz w:val="18"/>
        </w:rPr>
        <w:t>——————————————————————————————————————————————————————————————————————</w:t>
      </w:r>
    </w:p>
    <w:p>
      <w:pPr>
        <w:spacing w:before="160" w:after="80" w:line="240" w:lineRule="auto"/>
      </w:pPr>
      <w:r>
        <w:rPr>
          <w:b/>
        </w:rPr>
        <w:t xml:space="preserve">[730] </w:t>
      </w:r>
      <w:hyperlink r:id="rId1214">
        <w:r>
          <w:rPr>
            <w:color w:val="1155CC"/>
            <w:u w:val="single"/>
          </w:rPr>
          <w:t>Semi‐Artificial Photosynthetic Machinery for Carbon Dioxide Capture and Conversion</w:t>
        </w:r>
      </w:hyperlink>
    </w:p>
    <w:p>
      <w:pPr>
        <w:spacing w:before="0" w:after="120" w:line="240" w:lineRule="auto"/>
      </w:pPr>
      <w:r>
        <w:rPr>
          <w:b/>
        </w:rPr>
        <w:t xml:space="preserve">Source: </w:t>
      </w:r>
      <w:r>
        <w:t>Wiley: Advanced Materials: Table of Contents</w:t>
      </w:r>
      <w:r>
        <w:t xml:space="preserve">    </w:t>
      </w:r>
      <w:r>
        <w:rPr>
          <w:b/>
        </w:rPr>
        <w:t xml:space="preserve">Pub date: </w:t>
      </w:r>
      <w:r>
        <w:t>2025-12-19 10:07:50+00:00</w:t>
      </w:r>
      <w:r>
        <w:t xml:space="preserve">    </w:t>
      </w:r>
      <w:r>
        <w:rPr>
          <w:b/>
        </w:rPr>
        <w:t xml:space="preserve">DOI: </w:t>
      </w:r>
      <w:hyperlink r:id="rId1215">
        <w:r>
          <w:rPr>
            <w:color w:val="1155CC"/>
            <w:u w:val="single"/>
          </w:rPr>
          <w:t>10.1002/adma.202521092</w:t>
        </w:r>
      </w:hyperlink>
    </w:p>
    <w:p>
      <w:pPr>
        <w:spacing w:before="0" w:after="120"/>
      </w:pPr>
      <w:r>
        <w:rPr>
          <w:b/>
        </w:rPr>
        <w:t xml:space="preserve">Notes: </w:t>
      </w:r>
      <w:r>
        <w:t>abstract_source=crossref</w:t>
      </w:r>
    </w:p>
    <w:p>
      <w:pPr>
        <w:spacing w:before="0" w:after="200" w:lineRule="auto" w:line="276"/>
      </w:pPr>
      <w:r>
        <w:rPr>
          <w:b/>
        </w:rPr>
        <w:t xml:space="preserve">Abstract: </w:t>
      </w:r>
      <w:r>
        <w:t>Producing value‐added chemicals directly from CO</w:t>
      </w:r>
      <w:r>
        <w:rPr>
          <w:vertAlign w:val="subscript"/>
        </w:rPr>
        <w:t>2</w:t>
      </w:r>
      <w:r>
        <w:t>powered by sunlight offers a sustainable approach to addressing both environmental and economic challenges. However, the inherent chemical stability of CO</w:t>
      </w:r>
      <w:r>
        <w:rPr>
          <w:vertAlign w:val="subscript"/>
        </w:rPr>
        <w:t>2</w:t>
      </w:r>
      <w:r>
        <w:t>poses a grand challenge in achieving highly active and selective CO</w:t>
      </w:r>
      <w:r>
        <w:rPr>
          <w:vertAlign w:val="subscript"/>
        </w:rPr>
        <w:t>2</w:t>
      </w:r>
      <w:r>
        <w:t>conversion. Herein, we develop a biohybrid semi‐artificial photosynthetic system that integrates carbonic anhydrase (CA) and a CuZn nanozyme photosensitizer with a dendritic polymer (PPA) for the sustainable transformation of CO</w:t>
      </w:r>
      <w:r>
        <w:rPr>
          <w:vertAlign w:val="subscript"/>
        </w:rPr>
        <w:t>2</w:t>
      </w:r>
      <w:r>
        <w:t>into dimethyl carbonate (DMC). The PPA‐wrapped CA/CuZn can capture CO</w:t>
      </w:r>
      <w:r>
        <w:rPr>
          <w:vertAlign w:val="subscript"/>
        </w:rPr>
        <w:t>2</w:t>
      </w:r>
      <w:r>
        <w:t>to form active intermediates. Through photo‐induced charge transfer under visible light illumination, the CA/CuZn@PPA system achieves 100% selectivity for DMC production at room temperature and low CO</w:t>
      </w:r>
      <w:r>
        <w:rPr>
          <w:vertAlign w:val="subscript"/>
        </w:rPr>
        <w:t>2</w:t>
      </w:r>
      <w:r>
        <w:t>pressure.</w:t>
      </w:r>
    </w:p>
    <w:p>
      <w:pPr>
        <w:spacing w:before="120" w:after="120"/>
      </w:pPr>
      <w:r>
        <w:rPr>
          <w:sz w:val="18"/>
        </w:rPr>
        <w:t>——————————————————————————————————————————————————————————————————————</w:t>
      </w:r>
    </w:p>
    <w:p>
      <w:pPr>
        <w:spacing w:before="160" w:after="80" w:line="240" w:lineRule="auto"/>
      </w:pPr>
      <w:r>
        <w:rPr>
          <w:b/>
        </w:rPr>
        <w:t xml:space="preserve">[731] </w:t>
      </w:r>
      <w:hyperlink r:id="rId1216">
        <w:r>
          <w:rPr>
            <w:color w:val="1155CC"/>
            <w:u w:val="single"/>
          </w:rPr>
          <w:t>Leveraging 3d‐4f Coordination: Molecular Quantum Spring‐Magnet Behavior in Axial Ni2Ln Complexes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11:40:48+00:00</w:t>
      </w:r>
      <w:r>
        <w:t xml:space="preserve">    </w:t>
      </w:r>
      <w:r>
        <w:rPr>
          <w:b/>
        </w:rPr>
        <w:t xml:space="preserve">DOI: </w:t>
      </w:r>
      <w:hyperlink r:id="rId1217">
        <w:r>
          <w:rPr>
            <w:color w:val="1155CC"/>
            <w:u w:val="single"/>
          </w:rPr>
          <w:t>10.1002/anie.202522076</w:t>
        </w:r>
      </w:hyperlink>
    </w:p>
    <w:p>
      <w:pPr>
        <w:spacing w:before="0" w:after="120"/>
      </w:pPr>
      <w:r>
        <w:rPr>
          <w:b/>
        </w:rPr>
        <w:t xml:space="preserve">Notes: </w:t>
      </w:r>
      <w:r>
        <w:t>abstract_source=crossref</w:t>
      </w:r>
    </w:p>
    <w:p>
      <w:pPr>
        <w:spacing w:before="0" w:after="200" w:lineRule="auto" w:line="276"/>
      </w:pPr>
      <w:r>
        <w:rPr>
          <w:b/>
        </w:rPr>
        <w:t xml:space="preserve">Abstract: </w:t>
      </w:r>
      <w:r>
        <w:t>We report heterotrimetallic 3d–4f complexes, mimicking classical exchange spring magnets at the molecular scale. The complexes feature a linear Ni···Ln···Ni core, where the lanthanide ion is sandwiched between two Ni</w:t>
      </w:r>
      <w:r>
        <w:t xml:space="preserve"> </w:t>
      </w:r>
      <w:r>
        <w:t>2+</w:t>
      </w:r>
      <w:r>
        <w:t xml:space="preserve"> </w:t>
      </w:r>
      <w:r>
        <w:t>centers coordinated by N</w:t>
      </w:r>
      <w:r>
        <w:rPr>
          <w:vertAlign w:val="subscript"/>
        </w:rPr>
        <w:t>3</w:t>
      </w:r>
      <w:r>
        <w:t>O</w:t>
      </w:r>
      <w:r>
        <w:rPr>
          <w:vertAlign w:val="subscript"/>
        </w:rPr>
        <w:t>3</w:t>
      </w:r>
      <w:r>
        <w:t>ligand environments. The complexes are isostructural, while CASSCF calculations reveal collinear anisotropy axes and favorable electronic configurations for magnetic bistability in selected systems. Magnetic characterization via DC, AC, and µSQUID magnetometry down to 30 mK demonstrates slow magnetic relaxation and open hysteresis loops exclusively in</w:t>
      </w:r>
      <w:r>
        <w:t xml:space="preserve"> </w:t>
      </w:r>
      <w:r>
        <w:t>Ni</w:t>
      </w:r>
      <w:r>
        <w:rPr>
          <w:vertAlign w:val="subscript"/>
        </w:rPr>
        <w:t>2</w:t>
      </w:r>
      <w:r>
        <w:t>Tb</w:t>
      </w:r>
      <w:r>
        <w:t xml:space="preserve"> </w:t>
      </w:r>
      <w:r>
        <w:t>,</w:t>
      </w:r>
      <w:r>
        <w:t xml:space="preserve"> </w:t>
      </w:r>
      <w:r>
        <w:t>Ni</w:t>
      </w:r>
      <w:r>
        <w:rPr>
          <w:vertAlign w:val="subscript"/>
        </w:rPr>
        <w:t>2</w:t>
      </w:r>
      <w:r>
        <w:t>Dy</w:t>
      </w:r>
      <w:r>
        <w:t xml:space="preserve"> </w:t>
      </w:r>
      <w:r>
        <w:t>, and</w:t>
      </w:r>
      <w:r>
        <w:t xml:space="preserve"> </w:t>
      </w:r>
      <w:r>
        <w:t>Ni</w:t>
      </w:r>
      <w:r>
        <w:rPr>
          <w:vertAlign w:val="subscript"/>
        </w:rPr>
        <w:t>2</w:t>
      </w:r>
      <w:r>
        <w:t>Ho</w:t>
      </w:r>
      <w:r>
        <w:t xml:space="preserve"> </w:t>
      </w:r>
      <w:r>
        <w:t>. These systems exhibit ferromagnetic 3d‐4f coupling, while their isolated or antiferromagnetically coupled analogs (</w:t>
      </w:r>
      <w:r>
        <w:t xml:space="preserve"> </w:t>
      </w:r>
      <w:r>
        <w:t>Ni</w:t>
      </w:r>
      <w:r>
        <w:rPr>
          <w:vertAlign w:val="subscript"/>
        </w:rPr>
        <w:t>2</w:t>
      </w:r>
      <w:r>
        <w:t>Y</w:t>
      </w:r>
      <w:r>
        <w:t xml:space="preserve"> </w:t>
      </w:r>
      <w:r>
        <w:t>,</w:t>
      </w:r>
      <w:r>
        <w:t xml:space="preserve"> </w:t>
      </w:r>
      <w:r>
        <w:t>Zn</w:t>
      </w:r>
      <w:r>
        <w:rPr>
          <w:vertAlign w:val="subscript"/>
        </w:rPr>
        <w:t>2</w:t>
      </w:r>
      <w:r>
        <w:t>Tb</w:t>
      </w:r>
      <w:r>
        <w:t xml:space="preserve"> </w:t>
      </w:r>
      <w:r>
        <w:t>/</w:t>
      </w:r>
      <w:r>
        <w:t>Dy</w:t>
      </w:r>
      <w:r>
        <w:t xml:space="preserve"> </w:t>
      </w:r>
      <w:r>
        <w:t>) and</w:t>
      </w:r>
      <w:r>
        <w:t xml:space="preserve"> </w:t>
      </w:r>
      <w:r>
        <w:t>Ni</w:t>
      </w:r>
      <w:r>
        <w:rPr>
          <w:vertAlign w:val="subscript"/>
        </w:rPr>
        <w:t>2</w:t>
      </w:r>
      <w:r>
        <w:t>Er</w:t>
      </w:r>
      <w:r>
        <w:t xml:space="preserve"> </w:t>
      </w:r>
      <w:r>
        <w:t>/</w:t>
      </w:r>
      <w:r>
        <w:t>Yb</w:t>
      </w:r>
      <w:r>
        <w:t xml:space="preserve"> </w:t>
      </w:r>
      <w:r>
        <w:t>counterparts show fast relaxation and closed loops. Analysis suggests that the Ni</w:t>
      </w:r>
      <w:r>
        <w:t xml:space="preserve"> </w:t>
      </w:r>
      <w:r>
        <w:t>2+</w:t>
      </w:r>
      <w:r>
        <w:t xml:space="preserve"> </w:t>
      </w:r>
      <w:r>
        <w:t>ions alone, with modest anisotropy, deviate from the expected “hard” magnetic behavior due to a broad zero‐field QTM, while the Ln</w:t>
      </w:r>
      <w:r>
        <w:t xml:space="preserve"> </w:t>
      </w:r>
      <w:r>
        <w:t>3+</w:t>
      </w:r>
      <w:r>
        <w:t xml:space="preserve"> </w:t>
      </w:r>
      <w:r>
        <w:t>ions alone serve as the “soft” phase with large magnetic moments and sharp zero‐field QTM. Nevertheless, when brought together, their coupling and alignment of the anisotropy axis enhances the magnetic performance with exchange‐bias features mimicking the macroscopic exchange spring magnets. We highlight an optimal utilization of 3d‐4f coordination in designing molecular magnets with tunable relaxation and bistability, advancing prospects for quantum information and nanoscale magnetic devices.</w:t>
      </w:r>
    </w:p>
    <w:p>
      <w:pPr>
        <w:spacing w:before="120" w:after="120"/>
      </w:pPr>
      <w:r>
        <w:rPr>
          <w:sz w:val="18"/>
        </w:rPr>
        <w:t>——————————————————————————————————————————————————————————————————————</w:t>
      </w:r>
    </w:p>
    <w:p>
      <w:pPr>
        <w:spacing w:before="160" w:after="80" w:line="240" w:lineRule="auto"/>
      </w:pPr>
      <w:r>
        <w:rPr>
          <w:b/>
        </w:rPr>
        <w:t xml:space="preserve">[732] </w:t>
      </w:r>
      <w:hyperlink r:id="rId1218">
        <w:r>
          <w:rPr>
            <w:color w:val="1155CC"/>
            <w:u w:val="single"/>
          </w:rPr>
          <w:t>Strongly Electron‐Accepting Lattice Oxygen of CeO2 for Highly Efficient Dimethyl Carbonate Synthesis from CO2 and Methanol</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2025-12-19 11:48:57+00:00</w:t>
      </w:r>
      <w:r>
        <w:t xml:space="preserve">    </w:t>
      </w:r>
      <w:r>
        <w:rPr>
          <w:b/>
        </w:rPr>
        <w:t xml:space="preserve">DOI: </w:t>
      </w:r>
      <w:hyperlink r:id="rId1219">
        <w:r>
          <w:rPr>
            <w:color w:val="1155CC"/>
            <w:u w:val="single"/>
          </w:rPr>
          <w:t>10.1002/anie.202523737</w:t>
        </w:r>
      </w:hyperlink>
    </w:p>
    <w:p>
      <w:pPr>
        <w:spacing w:before="0" w:after="120"/>
      </w:pPr>
      <w:r>
        <w:rPr>
          <w:b/>
        </w:rPr>
        <w:t xml:space="preserve">Notes: </w:t>
      </w:r>
      <w:r>
        <w:t>abstract_source=crossref</w:t>
      </w:r>
    </w:p>
    <w:p>
      <w:pPr>
        <w:spacing w:before="0" w:after="200" w:lineRule="auto" w:line="276"/>
      </w:pPr>
      <w:r>
        <w:rPr>
          <w:b/>
        </w:rPr>
        <w:t xml:space="preserve">Abstract: </w:t>
      </w:r>
      <w:r>
        <w:t>Converting CO</w:t>
      </w:r>
      <w:r>
        <w:rPr>
          <w:vertAlign w:val="subscript"/>
        </w:rPr>
        <w:t>2</w:t>
      </w:r>
      <w:r>
        <w:t>and green methanol to dimethyl carbonate (DMC) has both theoretical and practical value in carbon neutrality and MeOH upgrading, but its efficiency is far from the application requirement due to the thermodynamic non‐spontaneous process limitation and high kinetic barrier in CO</w:t>
      </w:r>
      <w:r>
        <w:rPr>
          <w:vertAlign w:val="subscript"/>
        </w:rPr>
        <w:t>2</w:t>
      </w:r>
      <w:r>
        <w:t>and methoxy coupling. Herein, the strongly electron‐accepting lattice oxygen was introduced onto CeO</w:t>
      </w:r>
      <w:r>
        <w:rPr>
          <w:vertAlign w:val="subscript"/>
        </w:rPr>
        <w:t>2</w:t>
      </w:r>
      <w:r>
        <w:t>via a hydroxylation‐induced Pt spontaneous redispersion strategy. The introduction of strongly electron‐accepting lattice oxygen enabled the highly reactive *CO intermediate formation, which triggered a novel thermodynamically favorable *CH</w:t>
      </w:r>
      <w:r>
        <w:rPr>
          <w:vertAlign w:val="subscript"/>
        </w:rPr>
        <w:t>3</w:t>
      </w:r>
      <w:r>
        <w:t>O–*CO coupling to DMC synthesis. In addition, the lattice oxygen modification also markedly regulated the electron distribution of catalyst, thereby optimizing the adsorption strength of CO</w:t>
      </w:r>
      <w:r>
        <w:rPr>
          <w:vertAlign w:val="subscript"/>
        </w:rPr>
        <w:t>2</w:t>
      </w:r>
      <w:r>
        <w:t>and methanol and thus reducing the entire reaction barrier of *CH</w:t>
      </w:r>
      <w:r>
        <w:rPr>
          <w:vertAlign w:val="subscript"/>
        </w:rPr>
        <w:t>3</w:t>
      </w:r>
      <w:r>
        <w:t>O–CO</w:t>
      </w:r>
      <w:r>
        <w:rPr>
          <w:vertAlign w:val="subscript"/>
        </w:rPr>
        <w:t>2</w:t>
      </w:r>
      <w:r>
        <w:t>coupling to DMC via a rate‐determining‐step shifting. Benefiting from these advantages, Pt</w:t>
      </w:r>
      <w:r>
        <w:rPr>
          <w:vertAlign w:val="subscript"/>
        </w:rPr>
        <w:t>1</w:t>
      </w:r>
      <w:r>
        <w:t>/CeO</w:t>
      </w:r>
      <w:r>
        <w:rPr>
          <w:vertAlign w:val="subscript"/>
        </w:rPr>
        <w:t>2</w:t>
      </w:r>
      <w:r>
        <w:t>–SO sample achieved a DMC yield of 62.1 mmol g</w:t>
      </w:r>
      <w:r>
        <w:t xml:space="preserve"> </w:t>
      </w:r>
      <w:r>
        <w:t>−1</w:t>
      </w:r>
      <w:r>
        <w:t xml:space="preserve"> </w:t>
      </w:r>
      <w:r>
        <w:t>—six‐fold higher than reported conventional catalyst under similar conditions. This work revealed the key role of strongly electron‐accepting lattice oxygen in the innovative DMC synthesis pathway, with potential applications in developing more efficient synthetic routes for methanol upgrading and CO</w:t>
      </w:r>
      <w:r>
        <w:rPr>
          <w:vertAlign w:val="subscript"/>
        </w:rPr>
        <w:t>2</w:t>
      </w:r>
      <w:r>
        <w:t>resource utilization.</w:t>
      </w:r>
    </w:p>
    <w:p>
      <w:pPr>
        <w:spacing w:before="120" w:after="120"/>
      </w:pPr>
      <w:r>
        <w:rPr>
          <w:sz w:val="18"/>
        </w:rPr>
        <w:t>——————————————————————————————————————————————————————————————————————</w:t>
      </w:r>
    </w:p>
    <w:p>
      <w:pPr>
        <w:spacing w:before="160" w:after="80" w:line="240" w:lineRule="auto"/>
      </w:pPr>
      <w:r>
        <w:rPr>
          <w:b/>
        </w:rPr>
        <w:t xml:space="preserve">[733] </w:t>
      </w:r>
      <w:hyperlink r:id="rId1220">
        <w:r>
          <w:rPr>
            <w:color w:val="1155CC"/>
            <w:u w:val="single"/>
          </w:rPr>
          <w:t>[ASAP] The Halogen Bond Chemistry in Zn–I Redox Flow Batteries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2025-12-19 11:52:56+00:00</w:t>
      </w:r>
      <w:r>
        <w:t xml:space="preserve">    </w:t>
      </w:r>
      <w:r>
        <w:rPr>
          <w:b/>
        </w:rPr>
        <w:t xml:space="preserve">DOI: </w:t>
      </w:r>
      <w:hyperlink r:id="rId1221">
        <w:r>
          <w:rPr>
            <w:color w:val="1155CC"/>
            <w:u w:val="single"/>
          </w:rPr>
          <w:t>10.1021/acsenergylett.5c03547</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[734] </w:t>
      </w:r>
      <w:hyperlink r:id="rId1222">
        <w:r>
          <w:rPr>
            <w:color w:val="1155CC"/>
            <w:u w:val="single"/>
          </w:rPr>
          <w:t>[ASAP] Nanopipette Electrochemistry</w:t>
        </w:r>
      </w:hyperlink>
    </w:p>
    <w:p>
      <w:pPr>
        <w:spacing w:before="0" w:after="120" w:line="240" w:lineRule="auto"/>
      </w:pPr>
      <w:r>
        <w:rPr>
          <w:b/>
        </w:rPr>
        <w:t xml:space="preserve">Source: </w:t>
      </w:r>
      <w:r>
        <w:t>Chemical Reviews: Latest Articles (ACS Publications)</w:t>
      </w:r>
      <w:r>
        <w:t xml:space="preserve">    </w:t>
      </w:r>
      <w:r>
        <w:rPr>
          <w:b/>
        </w:rPr>
        <w:t xml:space="preserve">Pub date: </w:t>
      </w:r>
      <w:r>
        <w:t>2025-12-19 12:44:21+00:00</w:t>
      </w:r>
      <w:r>
        <w:t xml:space="preserve">    </w:t>
      </w:r>
      <w:r>
        <w:rPr>
          <w:b/>
        </w:rPr>
        <w:t xml:space="preserve">DOI: </w:t>
      </w:r>
      <w:hyperlink r:id="rId1223">
        <w:r>
          <w:rPr>
            <w:color w:val="1155CC"/>
            <w:u w:val="single"/>
          </w:rPr>
          <w:t>10.1021/acs.chemrev.5c00454</w:t>
        </w:r>
      </w:hyperlink>
    </w:p>
    <w:p>
      <w:pPr>
        <w:spacing w:before="0" w:after="120"/>
      </w:pPr>
      <w:r>
        <w:rPr>
          <w:b/>
        </w:rPr>
        <w:t xml:space="preserve">Notes: </w:t>
      </w:r>
      <w:r>
        <w:t>abstract_source=pubmed</w:t>
      </w:r>
    </w:p>
    <w:p>
      <w:pPr>
        <w:spacing w:before="0" w:after="200" w:lineRule="auto" w:line="276"/>
      </w:pPr>
      <w:r>
        <w:rPr>
          <w:b/>
        </w:rPr>
        <w:t xml:space="preserve">Abstract: </w:t>
      </w:r>
      <w:r>
        <w:t>Nanopipette electrochemistry has emerged as a versatile platform for nanoscale analytical measurements, functional device fabrication, and biomimetic interface construction. The confined geometry at the nanopipette orifice can be a powerful tool for ultrasensitive measurement through analyzing the ionic current across the nanopore. Chemists can rationally engineer the surface properties of nanopipettes by modifying the glass orifice through physical deposition or chemical reactions, enabling dynamic tuning of ion transport based on the interaction between the analyte and the interface. Such interfacial modulation governs the ionic flux and provides insights into local molecular processes. We first discuss ion current rectification (ICR) sensing, which enables surface-state probing via asymmetric ionic flux. Facilitated by the development of low-noise, high-bandwidth instruments, label-free and high-throughput detection and characterization of nanoparticles, single molecules, and real-time biological interactions could be achieved through resistive-pulse sensing. Furthermore, we highlight the role of wireless nanopore electrodes (WNEs) in studying electron transfer processes at the single-entity level, including redox processes in molecules, nanomaterials, and cellular metabolism. Nanopipettes also offer precise spatial control for the bottom-up electrochemical construction of functional nanostructures. Looking ahead, the integration of nanopipette arrays, hybrid analytical techniques, and adaptive interfaces and nanopipette electrochemistry is expected to enable the development of intelligent ionic circuits, neuromorphic systems, and next-generation molecular-scale computing platforms.</w:t>
      </w:r>
    </w:p>
    <w:p>
      <w:pPr>
        <w:spacing w:before="120" w:after="120"/>
      </w:pPr>
      <w:r>
        <w:rPr>
          <w:sz w:val="18"/>
        </w:rPr>
        <w:t>——————————————————————————————————————————————————————————————————————</w:t>
      </w:r>
    </w:p>
    <w:p>
      <w:pPr>
        <w:spacing w:before="160" w:after="80" w:line="240" w:lineRule="auto"/>
      </w:pPr>
      <w:r>
        <w:rPr>
          <w:b/>
        </w:rPr>
        <w:t xml:space="preserve">[735] </w:t>
      </w:r>
      <w:hyperlink r:id="rId1224">
        <w:r>
          <w:rPr>
            <w:color w:val="1155CC"/>
            <w:u w:val="single"/>
          </w:rPr>
          <w:t>[ASAP] Asymmetric Catalytic Construction of 1,1-Diheteroquaternary Tetrahydro-β-carbolines Enables Collective Syntheses of Polycyclic Alkaloids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14:45:09+00:00</w:t>
      </w:r>
      <w:r>
        <w:t xml:space="preserve">    </w:t>
      </w:r>
      <w:r>
        <w:rPr>
          <w:b/>
        </w:rPr>
        <w:t xml:space="preserve">DOI: </w:t>
      </w:r>
      <w:hyperlink r:id="rId1225">
        <w:r>
          <w:rPr>
            <w:color w:val="1155CC"/>
            <w:u w:val="single"/>
          </w:rPr>
          <w:t>10.1021/jacs.5c16501</w:t>
        </w:r>
      </w:hyperlink>
    </w:p>
    <w:p>
      <w:pPr>
        <w:spacing w:before="0" w:after="120"/>
      </w:pPr>
      <w:r>
        <w:rPr>
          <w:b/>
        </w:rPr>
        <w:t xml:space="preserve">Notes: </w:t>
      </w:r>
      <w:r>
        <w:t>abstract_source=pubmed</w:t>
      </w:r>
    </w:p>
    <w:p>
      <w:pPr>
        <w:spacing w:before="0" w:after="200" w:lineRule="auto" w:line="276"/>
      </w:pPr>
      <w:r>
        <w:rPr>
          <w:b/>
        </w:rPr>
        <w:t xml:space="preserve">Abstract: </w:t>
      </w:r>
      <w:r>
        <w:t>1,1-Disubstituted THβCs with a C1 diheteroatom-bearing quaternary center represent a prevalent skeleton in natural products and pharmaceutical molecules. However, the catalytic asymmetric approach for this skeleton remains elusive. Herein, we developed an asymmetric catalytic annulation between dihydro-β-carbolines and enals for constructing chiral diheteroquaternary THβCs. With this method, we accomplished the gram-scale total synthesis of (+)-naucleamide E, which is the first case of synthesizing a THβC natural product with the C1 diheteroquaternary center by directly constructing the C1 chiral center in an asymmetric catalytic manner. This approach also enabled concise collective syntheses of tetracyclic alkaloids (-)-dihydrocorynantheol, (-)-dihydrocorynantheal, (-)-arboricine, and pentacyclic alkaloid (-)-yohimbane. Additionally, the obtained THβCs show excellent anti-IAV effects both in vitro and in vivo through targeting the virus NS1 protein. This work not only implicates the high potential of THβCs as overlooked compounds in the anti-influenza virus research field but also provides a promising strategy for next-generation anti-influenza drug discovery.</w:t>
      </w:r>
    </w:p>
    <w:p>
      <w:pPr>
        <w:spacing w:before="120" w:after="120"/>
      </w:pPr>
      <w:r>
        <w:rPr>
          <w:sz w:val="18"/>
        </w:rPr>
        <w:t>——————————————————————————————————————————————————————————————————————</w:t>
      </w:r>
    </w:p>
    <w:p>
      <w:pPr>
        <w:spacing w:before="160" w:after="80" w:line="240" w:lineRule="auto"/>
      </w:pPr>
      <w:r>
        <w:rPr>
          <w:b/>
        </w:rPr>
        <w:t xml:space="preserve">[736] </w:t>
      </w:r>
      <w:hyperlink r:id="rId1226">
        <w:r>
          <w:rPr>
            <w:color w:val="1155CC"/>
            <w:u w:val="single"/>
          </w:rPr>
          <w:t>[ASAP] From Mechanism to Energy Applications: Vibrationally Assisted Delayed Fluorescence in Doped Lead Halide Perovskite Nanocrystals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2025-12-19 14:46:54+00:00</w:t>
      </w:r>
      <w:r>
        <w:t xml:space="preserve">    </w:t>
      </w:r>
      <w:r>
        <w:rPr>
          <w:b/>
        </w:rPr>
        <w:t xml:space="preserve">DOI: </w:t>
      </w:r>
      <w:hyperlink r:id="rId1227">
        <w:r>
          <w:rPr>
            <w:color w:val="1155CC"/>
            <w:u w:val="single"/>
          </w:rPr>
          <w:t>10.1021/acsenergylett.5c03380</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[737] </w:t>
      </w:r>
      <w:hyperlink r:id="rId1228">
        <w:r>
          <w:rPr>
            <w:color w:val="1155CC"/>
            <w:u w:val="single"/>
          </w:rPr>
          <w:t>[ASAP] Ortho–Ortho Selective Oxidative Coupling of Phenols by Hydroxo Multicopper(II) Clusters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14:47:17+00:00</w:t>
      </w:r>
      <w:r>
        <w:t xml:space="preserve">    </w:t>
      </w:r>
      <w:r>
        <w:rPr>
          <w:b/>
        </w:rPr>
        <w:t xml:space="preserve">DOI: </w:t>
      </w:r>
      <w:hyperlink r:id="rId1229">
        <w:r>
          <w:rPr>
            <w:color w:val="1155CC"/>
            <w:u w:val="single"/>
          </w:rPr>
          <w:t>10.1021/jacs.5c10379</w:t>
        </w:r>
      </w:hyperlink>
    </w:p>
    <w:p>
      <w:pPr>
        <w:spacing w:before="0" w:after="120"/>
      </w:pPr>
      <w:r>
        <w:rPr>
          <w:b/>
        </w:rPr>
        <w:t xml:space="preserve">Notes: </w:t>
      </w:r>
      <w:r>
        <w:t>abstract_source=pubmed</w:t>
      </w:r>
    </w:p>
    <w:p>
      <w:pPr>
        <w:spacing w:before="0" w:after="200" w:lineRule="auto" w:line="276"/>
      </w:pPr>
      <w:r>
        <w:rPr>
          <w:b/>
        </w:rPr>
        <w:t xml:space="preserve">Abstract: </w:t>
      </w:r>
      <w:r>
        <w:t>An ortho-ortho selective aerobic oxidative coupling of unsubstituted, mono- and poly substituted phenols that have been considered beyond the scope of oxidative coupling reactions is reported. The simple conditions involve mixing a phenol with the readily available hydroxo multicopper clusters, particularly the [Cu(tmeda)(μ-OH)]2(ClO4)2 complex, in 1,1,1,3,3,3-hexafluoropropan-2-ol (HFIP). The unprecedented site selectivity is rationalized by the ability of the dicopper complex to bring the two phenolate ligands in proximity to react at the less hindered ortho position. DFT calculations, high-resolution mass spectroscopy, and Infrared photodissociation (IRPD) spectroscopy were applied to reveal key aspects of the reaction.</w:t>
      </w:r>
    </w:p>
    <w:p>
      <w:pPr>
        <w:spacing w:before="120" w:after="120"/>
      </w:pPr>
      <w:r>
        <w:rPr>
          <w:sz w:val="18"/>
        </w:rPr>
        <w:t>——————————————————————————————————————————————————————————————————————</w:t>
      </w:r>
    </w:p>
    <w:p>
      <w:pPr>
        <w:spacing w:before="160" w:after="80" w:line="240" w:lineRule="auto"/>
      </w:pPr>
      <w:r>
        <w:rPr>
          <w:b/>
        </w:rPr>
        <w:t xml:space="preserve">[738] </w:t>
      </w:r>
      <w:hyperlink r:id="rId1230">
        <w:r>
          <w:rPr>
            <w:color w:val="1155CC"/>
            <w:u w:val="single"/>
          </w:rPr>
          <w:t>[ASAP] Am I Still IL? Evolution of CdS Nanocrystals from Inorganic Ligand Exchange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15:45:19+00:00</w:t>
      </w:r>
      <w:r>
        <w:t xml:space="preserve">    </w:t>
      </w:r>
      <w:r>
        <w:rPr>
          <w:b/>
        </w:rPr>
        <w:t xml:space="preserve">DOI: </w:t>
      </w:r>
      <w:hyperlink r:id="rId1231">
        <w:r>
          <w:rPr>
            <w:color w:val="1155CC"/>
            <w:u w:val="single"/>
          </w:rPr>
          <w:t>10.1021/jacs.5c18768</w:t>
        </w:r>
      </w:hyperlink>
    </w:p>
    <w:p>
      <w:pPr>
        <w:spacing w:before="0" w:after="120"/>
      </w:pPr>
      <w:r>
        <w:rPr>
          <w:b/>
        </w:rPr>
        <w:t xml:space="preserve">Notes: </w:t>
      </w:r>
      <w:r>
        <w:t>abstract_source=pubmed</w:t>
      </w:r>
    </w:p>
    <w:p>
      <w:pPr>
        <w:spacing w:before="0" w:after="200" w:lineRule="auto" w:line="276"/>
      </w:pPr>
      <w:r>
        <w:rPr>
          <w:b/>
        </w:rPr>
        <w:t xml:space="preserve">Abstract: </w:t>
      </w:r>
      <w:r>
        <w:t>Ligand exchange has become the standard route for modifying the surface chemistry of colloidal nanocrystals (NCs), providing a mechanism to tailor their optoelectronic properties, solubility, and chemical functionalization. This enables NCs to be deployed in myriad applications where the surface-solution interface is key to performance or process compatibility. Ligand-passivated surfaces are generally considered stable and chemically inert, with incoming ligands assumed to fully replace native ones. Here, we demonstrate that inorganic ligand shells on CdS NCs are dynamic, chemically evolving over time, with transformation pathways strongly dependent on ligand identity. This is evaluated for representative oxoanions (o-phosphoric acid), chalcogenides (Na2Se, Se2-), and metal-chalcogenides (thiostannate). Using multinuclear (1H, 13C, 23Na, 31P, 113Cd, 119Sn) solid-state NMR spectroscopy and electron microscopy, we show that (i) surface-bound phosphates reorganize over time into cadmium phosphate domains, degrading NC quality; (ii) sodium polyselenide ligands remain chemically stable, but associated Na+ counterions exhibit dynamics that may suppress charge transport; and (iii) partial oxidation of thiostannate ligands to SnO2 occurs, along with surface reconstruction, which improves NC passivation. Across all systems studied, residual oleylamine is detected. These findings reveal that inorganic ligand exchange does not necessarily yield chemically uniform or stable surfaces. Instead, each ligand class exhibits distinct behavior, ranging from surface degradation (phosphates), to stable yet dynamic interfaces (selenides), to hydrophilic and partially oxidized surfaces (thiostannates). This challenges the static-surface model and positions multinuclear solid-state NMR spectroscopy as a key tool for designing future functional materials.</w:t>
      </w:r>
    </w:p>
    <w:p>
      <w:pPr>
        <w:spacing w:before="120" w:after="120"/>
      </w:pPr>
      <w:r>
        <w:rPr>
          <w:sz w:val="18"/>
        </w:rPr>
        <w:t>——————————————————————————————————————————————————————————————————————</w:t>
      </w:r>
    </w:p>
    <w:p>
      <w:pPr>
        <w:spacing w:before="160" w:after="80" w:line="240" w:lineRule="auto"/>
      </w:pPr>
      <w:r>
        <w:rPr>
          <w:b/>
        </w:rPr>
        <w:t xml:space="preserve">[739] </w:t>
      </w:r>
      <w:hyperlink r:id="rId1232">
        <w:r>
          <w:rPr>
            <w:color w:val="1155CC"/>
            <w:u w:val="single"/>
          </w:rPr>
          <w:t>[ASAP] Robust Formate Electrosynthesis from Mixed Biomass Polyols by a Direct Carbon–Carbon Bond Cleavage Route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17:05:10+00:00</w:t>
      </w:r>
      <w:r>
        <w:t xml:space="preserve">    </w:t>
      </w:r>
      <w:r>
        <w:rPr>
          <w:b/>
        </w:rPr>
        <w:t xml:space="preserve">DOI: </w:t>
      </w:r>
      <w:hyperlink r:id="rId1233">
        <w:r>
          <w:rPr>
            <w:color w:val="1155CC"/>
            <w:u w:val="single"/>
          </w:rPr>
          <w:t>10.1021/jacs.5c16299</w:t>
        </w:r>
      </w:hyperlink>
    </w:p>
    <w:p>
      <w:pPr>
        <w:spacing w:before="0" w:after="120"/>
      </w:pPr>
      <w:r>
        <w:rPr>
          <w:b/>
        </w:rPr>
        <w:t xml:space="preserve">Notes: </w:t>
      </w:r>
      <w:r>
        <w:t>abstract_source=pubmed</w:t>
      </w:r>
    </w:p>
    <w:p>
      <w:pPr>
        <w:spacing w:before="0" w:after="200" w:lineRule="auto" w:line="276"/>
      </w:pPr>
      <w:r>
        <w:rPr>
          <w:b/>
        </w:rPr>
        <w:t xml:space="preserve">Abstract: </w:t>
      </w:r>
      <w:r>
        <w:t>Electrocatalytic upcycling of biomass-derived mixed polyols offers an alternative to produce high-value-added chemicals with water as the oxygen source in a sustainable manner. However, the conventional electrocatalytic route involves the stepwise carbon-carbon (C-C) bond cleavage pathway and requires precise engineering of applied potential, which remarkably increases the separation and purification cost and severely restricts further utilization of biomass resources. In this work, we develop, for the first time, a direct C-C bond cleavage route that achieves robust electrosynthesis of high-purity, value-added formate from mixed polyols derived from biomass resources, with a mesoporous cobalt-copper-zinc oxide (named meso-(CoCuZn)3O4) electrocatalyst. Without the side reactions that formed multicarbon intermediates, meso-(CoCuZn)3O4 delivered a remarkable performance for efficient formate electrosynthesis, holding a superior Faradaic efficiency of 96.7% and a recordable yield rate of 0.53 mmol cm-2 h-1 with glycerol as the substrate. This route further enables robust electrosynthesis of the formate derivative, higher-valued potassium dimethylate, from biomass-derived mixed polyols, with high cost-effectiveness for biomass upcycling in industrial applications. This work provides guidelines in designing new electrocatalytic pathways for the sustainable electrosynthesis of value-added chemicals from waste biomass resources.</w:t>
      </w:r>
    </w:p>
    <w:p>
      <w:pPr>
        <w:spacing w:before="120" w:after="120"/>
      </w:pPr>
      <w:r>
        <w:rPr>
          <w:sz w:val="18"/>
        </w:rPr>
        <w:t>——————————————————————————————————————————————————————————————————————</w:t>
      </w:r>
    </w:p>
    <w:p>
      <w:pPr>
        <w:spacing w:before="160" w:after="80" w:line="240" w:lineRule="auto"/>
      </w:pPr>
      <w:r>
        <w:rPr>
          <w:b/>
        </w:rPr>
        <w:t xml:space="preserve">[740] </w:t>
      </w:r>
      <w:hyperlink r:id="rId1234">
        <w:r>
          <w:rPr>
            <w:color w:val="1155CC"/>
            <w:u w:val="single"/>
          </w:rPr>
          <w:t>[ASAP] Visible Light-Driven Contra-Thermodynamic Functional Group Transposition of Chalcones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17:06:21+00:00</w:t>
      </w:r>
      <w:r>
        <w:t xml:space="preserve">    </w:t>
      </w:r>
      <w:r>
        <w:rPr>
          <w:b/>
        </w:rPr>
        <w:t xml:space="preserve">DOI: </w:t>
      </w:r>
      <w:hyperlink r:id="rId1235">
        <w:r>
          <w:rPr>
            <w:color w:val="1155CC"/>
            <w:u w:val="single"/>
          </w:rPr>
          <w:t>10.1021/jacs.5c16361</w:t>
        </w:r>
      </w:hyperlink>
    </w:p>
    <w:p>
      <w:pPr>
        <w:spacing w:before="0" w:after="120"/>
      </w:pPr>
      <w:r>
        <w:rPr>
          <w:b/>
        </w:rPr>
        <w:t xml:space="preserve">Notes: </w:t>
      </w:r>
      <w:r>
        <w:t>abstract_source=pubmed</w:t>
      </w:r>
    </w:p>
    <w:p>
      <w:pPr>
        <w:spacing w:before="0" w:after="200" w:lineRule="auto" w:line="276"/>
      </w:pPr>
      <w:r>
        <w:rPr>
          <w:b/>
        </w:rPr>
        <w:t xml:space="preserve">Abstract: </w:t>
      </w:r>
      <w:r>
        <w:t>α,β-unsaturated ketones demonstrate well-precedented reactivity profiles, such as conjugate addition, hetero-Diels-Alder, and [2+n] cycloaddition reactions. They are also used in medicine, fluorescent probe design, corrosion inhibition, and photoinitiation. While functional group transposition has grown in popularity over the past decade, its deployment for the reorganization of 1,3-diaryl enones (i.e., chalcones) has not been achieved. Herein, we disclose visible light-driven conditions to directly access transposed 1,2-diaryl enone chemical space from chalcones, creating a new contra-thermodynamic reactivity paradigm for this storied motif. This method is compatible with a range of functional group patterns and consistently delivers the products in excellent yields. Preliminary mechanistic experiments lend support to key steps underpinning the reaction mechanism while also indicating the origin of the exceptional selectivity. This work creates a new retrosynthetic disconnection while also paving the way for naturally occurring chalcones to be used as substrates in skeletal reorganization reactions, accelerating the discovery of new therapeutics and functional materials.</w:t>
      </w:r>
    </w:p>
    <w:p>
      <w:pPr>
        <w:spacing w:before="120" w:after="120"/>
      </w:pPr>
      <w:r>
        <w:rPr>
          <w:sz w:val="18"/>
        </w:rPr>
        <w:t>——————————————————————————————————————————————————————————————————————</w:t>
      </w:r>
    </w:p>
    <w:p>
      <w:pPr>
        <w:spacing w:before="160" w:after="80" w:line="240" w:lineRule="auto"/>
      </w:pPr>
      <w:r>
        <w:rPr>
          <w:b/>
        </w:rPr>
        <w:t xml:space="preserve">[741] </w:t>
      </w:r>
      <w:hyperlink r:id="rId1236">
        <w:r>
          <w:rPr>
            <w:color w:val="1155CC"/>
            <w:u w:val="single"/>
          </w:rPr>
          <w:t>[ASAP] n-Type Self-Doped Cathode Interfacial Layers: A Key Strategy for Realizing Thickness-Insensitive, High-Efficiency Organic Solar Cells</w:t>
        </w:r>
      </w:hyperlink>
    </w:p>
    <w:p>
      <w:pPr>
        <w:spacing w:before="0" w:after="120" w:line="240" w:lineRule="auto"/>
      </w:pPr>
      <w:r>
        <w:rPr>
          <w:b/>
        </w:rPr>
        <w:t xml:space="preserve">Source: </w:t>
      </w:r>
      <w:r>
        <w:t>ACS Energy Letters: Latest Articles (ACS Publications)</w:t>
      </w:r>
      <w:r>
        <w:t xml:space="preserve">    </w:t>
      </w:r>
      <w:r>
        <w:rPr>
          <w:b/>
        </w:rPr>
        <w:t xml:space="preserve">Pub date: </w:t>
      </w:r>
      <w:r>
        <w:t>2025-12-19 18:52:20+00:00</w:t>
      </w:r>
      <w:r>
        <w:t xml:space="preserve">    </w:t>
      </w:r>
      <w:r>
        <w:rPr>
          <w:b/>
        </w:rPr>
        <w:t xml:space="preserve">DOI: </w:t>
      </w:r>
      <w:hyperlink r:id="rId1237">
        <w:r>
          <w:rPr>
            <w:color w:val="1155CC"/>
            <w:u w:val="single"/>
          </w:rPr>
          <w:t>10.1021/acsenergylett.5c03382</w:t>
        </w:r>
      </w:hyperlink>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[742] </w:t>
      </w:r>
      <w:hyperlink r:id="rId1238">
        <w:r>
          <w:rPr>
            <w:color w:val="1155CC"/>
            <w:u w:val="single"/>
          </w:rPr>
          <w:t>[ASAP] Diffusion Model-Guided Inverse Design of Bimetallic Catalysts for Ammonia Decomposition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19:06:24+00:00</w:t>
      </w:r>
      <w:r>
        <w:t xml:space="preserve">    </w:t>
      </w:r>
      <w:r>
        <w:rPr>
          <w:b/>
        </w:rPr>
        <w:t xml:space="preserve">DOI: </w:t>
      </w:r>
      <w:hyperlink r:id="rId1239">
        <w:r>
          <w:rPr>
            <w:color w:val="1155CC"/>
            <w:u w:val="single"/>
          </w:rPr>
          <w:t>10.1021/jacs.5c14652</w:t>
        </w:r>
      </w:hyperlink>
    </w:p>
    <w:p>
      <w:pPr>
        <w:spacing w:before="0" w:after="120"/>
      </w:pPr>
      <w:r>
        <w:rPr>
          <w:b/>
        </w:rPr>
        <w:t xml:space="preserve">Notes: </w:t>
      </w:r>
      <w:r>
        <w:t>abstract_source=pubmed</w:t>
      </w:r>
    </w:p>
    <w:p>
      <w:pPr>
        <w:spacing w:before="0" w:after="200" w:lineRule="auto" w:line="276"/>
      </w:pPr>
      <w:r>
        <w:rPr>
          <w:b/>
        </w:rPr>
        <w:t xml:space="preserve">Abstract: </w:t>
      </w:r>
      <w:r>
        <w:t>In the past decade, artificial intelligence and deep learning have played increasingly prominent roles in materials design and discovery. Among these, generative AI models, known for their ability to create unique and complex structures, have emerged as state-of-the-art tools for materials screening due to their high efficiency and low computational cost. In catalysis, one of the major challenges is identifying promising material candidates within an immense chemical space. This challenge can be addressed using generative approaches, such as diffusion-based inverse design models. In this study, we present a machine learning-guided workflow that employed a diffusion model for the inverse design of bimetallic alloy catalysts for low-carbon ammonia decomposition, a key reaction for ammonia emission control and sustainable hydrogen production. Catalyst candidates were evaluated using nitrogen adsorption energy as the key descriptor, inspired by multiscale modeling. The proposed workflow identified low-cost, environmentally friendly catalysts with excellent catalytic performance, which have been validated theoretically and experimentally. Our framework decoupled the generative and property-prediction components, enhancing both flexibility and accuracy in the catalytic material design process.</w:t>
      </w:r>
    </w:p>
    <w:p>
      <w:pPr>
        <w:spacing w:before="120" w:after="120"/>
      </w:pPr>
      <w:r>
        <w:rPr>
          <w:sz w:val="18"/>
        </w:rPr>
        <w:t>——————————————————————————————————————————————————————————————————————</w:t>
      </w:r>
    </w:p>
    <w:p>
      <w:pPr>
        <w:spacing w:before="160" w:after="80" w:line="240" w:lineRule="auto"/>
      </w:pPr>
      <w:r>
        <w:rPr>
          <w:b/>
        </w:rPr>
        <w:t xml:space="preserve">[743] </w:t>
      </w:r>
      <w:hyperlink r:id="rId1240">
        <w:r>
          <w:rPr>
            <w:color w:val="1155CC"/>
            <w:u w:val="single"/>
          </w:rPr>
          <w:t>[ASAP] Enantioselective Intramolecular C–H Alkylation Catalyzed by a Nonsymmetric Chiral Cobalt Porphyrin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19:07:50+00:00</w:t>
      </w:r>
      <w:r>
        <w:t xml:space="preserve">    </w:t>
      </w:r>
      <w:r>
        <w:rPr>
          <w:b/>
        </w:rPr>
        <w:t xml:space="preserve">DOI: </w:t>
      </w:r>
      <w:hyperlink r:id="rId1241">
        <w:r>
          <w:rPr>
            <w:color w:val="1155CC"/>
            <w:u w:val="single"/>
          </w:rPr>
          <w:t>10.1021/jacs.5c19047</w:t>
        </w:r>
      </w:hyperlink>
    </w:p>
    <w:p>
      <w:pPr>
        <w:spacing w:before="0" w:after="120"/>
      </w:pPr>
      <w:r>
        <w:rPr>
          <w:b/>
        </w:rPr>
        <w:t xml:space="preserve">Notes: </w:t>
      </w:r>
      <w:r>
        <w:t>abstract_source=pubmed</w:t>
      </w:r>
    </w:p>
    <w:p>
      <w:pPr>
        <w:spacing w:before="0" w:after="200" w:lineRule="auto" w:line="276"/>
      </w:pPr>
      <w:r>
        <w:rPr>
          <w:b/>
        </w:rPr>
        <w:t xml:space="preserve">Abstract: </w:t>
      </w:r>
      <w:r>
        <w:t>Upon catalysis (1 mol %) by a chiral cobalt porphyrin, quinazolinones with a tethered diazo alkane precursor underwent an enantioselective C-H alkylation at carbon atom C4. Formation of five-, six-, and seven-membered rings was successfully accomplished (27 examples, 72-99% yield, 47-99% ee). Experimental and computational studies suggest that the catalyst recruits the substrates by two-point hydrogen bonding. After formation of a cobalt-entangled carbon-centered radical, a sequence of hydrogen abstraction and homolytic substitution is precisely orchestrated by the chiral confinement of the cobalt porphyrin.</w:t>
      </w:r>
    </w:p>
    <w:p>
      <w:pPr>
        <w:spacing w:before="120" w:after="120"/>
      </w:pPr>
      <w:r>
        <w:rPr>
          <w:sz w:val="18"/>
        </w:rPr>
        <w:t>——————————————————————————————————————————————————————————————————————</w:t>
      </w:r>
    </w:p>
    <w:p>
      <w:pPr>
        <w:spacing w:before="160" w:after="80" w:line="240" w:lineRule="auto"/>
      </w:pPr>
      <w:r>
        <w:rPr>
          <w:b/>
        </w:rPr>
        <w:t xml:space="preserve">[744] </w:t>
      </w:r>
      <w:hyperlink r:id="rId1242">
        <w:r>
          <w:rPr>
            <w:color w:val="1155CC"/>
            <w:u w:val="single"/>
          </w:rPr>
          <w:t>[ASAP] Curvature-Dependent Phase Manipulation of Monodomain Three-Dimensional Helical Superstructures from Soft Confined Assembly</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20:00:28+00:00</w:t>
      </w:r>
      <w:r>
        <w:t xml:space="preserve">    </w:t>
      </w:r>
      <w:r>
        <w:rPr>
          <w:b/>
        </w:rPr>
        <w:t xml:space="preserve">DOI: </w:t>
      </w:r>
      <w:hyperlink r:id="rId1243">
        <w:r>
          <w:rPr>
            <w:color w:val="1155CC"/>
            <w:u w:val="single"/>
          </w:rPr>
          <w:t>10.1021/jacs.5c10591</w:t>
        </w:r>
      </w:hyperlink>
    </w:p>
    <w:p>
      <w:pPr>
        <w:spacing w:before="0" w:after="120"/>
      </w:pPr>
      <w:r>
        <w:rPr>
          <w:b/>
        </w:rPr>
        <w:t xml:space="preserve">Notes: </w:t>
      </w:r>
      <w:r>
        <w:t>abstract_source=pubmed</w:t>
      </w:r>
    </w:p>
    <w:p>
      <w:pPr>
        <w:spacing w:before="0" w:after="200" w:lineRule="auto" w:line="276"/>
      </w:pPr>
      <w:r>
        <w:rPr>
          <w:b/>
        </w:rPr>
        <w:t xml:space="preserve">Abstract: </w:t>
      </w:r>
      <w:r>
        <w:t>Blue-phase liquid crystals (BPLCs) have garnered significant research interest due to their unique soft helical superstructure, wherein double-twisted cylinders spontaneously assemble into three-dimensional cubic lattices, exhibiting exceptional light-matter interactions, including chiroptical and omnidirectional optical properties. However, it remains a challenge for the precise microfabrication and phase control of monodomain BPLC microcavity arrays, which severely limit their application in integrated photonic devices. Herein, we develop a soft-confined assembly strategy for the aligned patterning of monodomain BPLCs. The confined geometry with a controlled curvature can effectively regulate the nucleation kinetics and phase transition behavior of BPLCs. We achieve precise phase control from BPII to BPI by programmable manipulation of the nucleation energy barriers, enabling the fabrication of a quadruple-mode optical encryption. This work not only establishes robust fabrication for high-resolution monodomain BPLC microcavity arrays but also provides new opportunities for advanced applications in optical communications and laser displays.</w:t>
      </w:r>
    </w:p>
    <w:p>
      <w:pPr>
        <w:spacing w:before="120" w:after="120"/>
      </w:pPr>
      <w:r>
        <w:rPr>
          <w:sz w:val="18"/>
        </w:rPr>
        <w:t>——————————————————————————————————————————————————————————————————————</w:t>
      </w:r>
    </w:p>
    <w:p>
      <w:pPr>
        <w:spacing w:before="160" w:after="80" w:line="240" w:lineRule="auto"/>
      </w:pPr>
      <w:r>
        <w:rPr>
          <w:b/>
        </w:rPr>
        <w:t xml:space="preserve">[745] </w:t>
      </w:r>
      <w:hyperlink r:id="rId1244">
        <w:r>
          <w:rPr>
            <w:color w:val="1155CC"/>
            <w:u w:val="single"/>
          </w:rPr>
          <w:t>[ASAP] Accelerated Defluorination Kinetics for an Ultrathin Solid–Electrolyte Interphase in Durable Lithium Metal Batteries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20:05:25+00:00</w:t>
      </w:r>
      <w:r>
        <w:t xml:space="preserve">    </w:t>
      </w:r>
      <w:r>
        <w:rPr>
          <w:b/>
        </w:rPr>
        <w:t xml:space="preserve">DOI: </w:t>
      </w:r>
      <w:hyperlink r:id="rId1245">
        <w:r>
          <w:rPr>
            <w:color w:val="1155CC"/>
            <w:u w:val="single"/>
          </w:rPr>
          <w:t>10.1021/jacs.5c16009</w:t>
        </w:r>
      </w:hyperlink>
    </w:p>
    <w:p>
      <w:pPr>
        <w:spacing w:before="0" w:after="120"/>
      </w:pPr>
      <w:r>
        <w:rPr>
          <w:b/>
        </w:rPr>
        <w:t xml:space="preserve">Notes: </w:t>
      </w:r>
      <w:r>
        <w:t>abstract_source=pubmed</w:t>
      </w:r>
    </w:p>
    <w:p>
      <w:pPr>
        <w:spacing w:before="0" w:after="200" w:lineRule="auto" w:line="276"/>
      </w:pPr>
      <w:r>
        <w:rPr>
          <w:b/>
        </w:rPr>
        <w:t xml:space="preserve">Abstract: </w:t>
      </w:r>
      <w:r>
        <w:t>The cycle life of lithium (Li) metal batteries is plagued by the rapid depletion of electrolyte and Li inventory due to the continuous formation of a massive, thick solid-electrolyte interphase (SEI). Here, in situ generation of an ultrathin SEI is proposed by accelerating defluorination kinetics of the electrolyte to retrench the amount of electrolyte and Li inventory in SEI formation for durable batteries. The ultrathin SEI is generated in a dimethoxy(dimethyl)silane (DMDMS)-based electrolyte. Compared with the dispersed contact ion pairs in routine electrolytes, DMDMS, with both ultrahigh solubility of Li salts and weak solvating power, is favorable for the formation of joint aggregates in the electrolyte. The joint aggregates exhibit a fast defluorination rate, inducing uniform and compact nucleation sites on the Li metal surface. The compact nucleation sites grow simultaneously and subsequently come into contact with each other. This process rapidly passivates the exposed anode surface and facilitates the formation of an ultrathin SEI. The prototype pouch cell (≥500 Wh kg-1) with the ultrathin SEI achieves 190 cycles and can operate at -30 °C with 66% energy retention. This work reveals the formation mechanism of the SEI and demonstrates the potential of meticulous SEI engineering in the development of durable Li metal batteries.</w:t>
      </w:r>
    </w:p>
    <w:p>
      <w:pPr>
        <w:spacing w:before="120" w:after="120"/>
      </w:pPr>
      <w:r>
        <w:rPr>
          <w:sz w:val="18"/>
        </w:rPr>
        <w:t>——————————————————————————————————————————————————————————————————————</w:t>
      </w:r>
    </w:p>
    <w:p>
      <w:pPr>
        <w:spacing w:before="160" w:after="80" w:line="240" w:lineRule="auto"/>
      </w:pPr>
      <w:r>
        <w:rPr>
          <w:b/>
        </w:rPr>
        <w:t xml:space="preserve">[746] </w:t>
      </w:r>
      <w:hyperlink r:id="rId1246">
        <w:r>
          <w:rPr>
            <w:color w:val="1155CC"/>
            <w:u w:val="single"/>
          </w:rPr>
          <w:t>[ASAP] What Determines the Directionality of Kinesins? Studying the Anomalous Directionality of Nonclaret Disjunctional Motor Mutants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20:10:39+00:00</w:t>
      </w:r>
      <w:r>
        <w:t xml:space="preserve">    </w:t>
      </w:r>
      <w:r>
        <w:rPr>
          <w:b/>
        </w:rPr>
        <w:t xml:space="preserve">DOI: </w:t>
      </w:r>
      <w:hyperlink r:id="rId1247">
        <w:r>
          <w:rPr>
            <w:color w:val="1155CC"/>
            <w:u w:val="single"/>
          </w:rPr>
          <w:t>10.1021/jacs.5c19758</w:t>
        </w:r>
      </w:hyperlink>
    </w:p>
    <w:p>
      <w:pPr>
        <w:spacing w:before="0" w:after="120"/>
      </w:pPr>
      <w:r>
        <w:rPr>
          <w:b/>
        </w:rPr>
        <w:t xml:space="preserve">Notes: </w:t>
      </w:r>
      <w:r>
        <w:t>abstract_source=pubmed</w:t>
      </w:r>
    </w:p>
    <w:p>
      <w:pPr>
        <w:spacing w:before="0" w:after="200" w:lineRule="auto" w:line="276"/>
      </w:pPr>
      <w:r>
        <w:rPr>
          <w:b/>
        </w:rPr>
        <w:t xml:space="preserve">Abstract: </w:t>
      </w:r>
      <w:r>
        <w:t>NCD (nonclaret disjunctional) motors are a class of kinesin family proteins that are known to walk toward the minus end along the microtubule. Understanding the origin of such unique directionality of NCD motors and related kinesins has been a problem of fundamental importance. Experimental studies have indicated that specific NCD motor mutants switch their directionality. A type of NCD mutant (ran12) walks in the opposite direction (plus end) compared to the wild type (WT), whereas another mutant (N340K) of NCD shows diffusive bidirectionality. This work establishes that the directionality of these NCD motors is regulated by the barrier of the rate-determining ADP release step. We explore the molecular origin of the anomalous directionality of the mutated NCD motors compared with the wild type and determine the change in the barriers of ADP release for forward and backward motions. Our investigation is performed by combining different simulation techniques such as coarse-grained (CG) modeling, all-atom steered molecular dynamics (SMD) simulation, free energy estimation, as well as structural and stability analysis, and the maximum entropy (MaxEnt) method. We conclude that the differences in the directionality of different types of NCD motors are controlled by the free energy barrier for the ADP release step. Finally, we show that the statistical energy deduced from homologous sequences by the maximum entropy (MaxEnt) principle is significantly correlated with the stability and experimentally measured velocities of the wild type and several NCD mutants, and established that the stability loss of specific NCD mutants contributes to their reduced velocities and anomalous directionality on the microtubules. This provides a rare case where the origin of the AI prediction is clearly related to a physical-based picture.</w:t>
      </w:r>
    </w:p>
    <w:p>
      <w:pPr>
        <w:spacing w:before="120" w:after="120"/>
      </w:pPr>
      <w:r>
        <w:rPr>
          <w:sz w:val="18"/>
        </w:rPr>
        <w:t>——————————————————————————————————————————————————————————————————————</w:t>
      </w:r>
    </w:p>
    <w:p>
      <w:pPr>
        <w:spacing w:before="160" w:after="80" w:line="240" w:lineRule="auto"/>
      </w:pPr>
      <w:r>
        <w:rPr>
          <w:b/>
        </w:rPr>
        <w:t xml:space="preserve">[747] </w:t>
      </w:r>
      <w:hyperlink r:id="rId1248">
        <w:r>
          <w:rPr>
            <w:color w:val="1155CC"/>
            <w:u w:val="single"/>
          </w:rPr>
          <w:t>[ASAP] A Transformative Molecular Muscle Solid Electrolyte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20:12:03+00:00</w:t>
      </w:r>
      <w:r>
        <w:t xml:space="preserve">    </w:t>
      </w:r>
      <w:r>
        <w:rPr>
          <w:b/>
        </w:rPr>
        <w:t xml:space="preserve">DOI: </w:t>
      </w:r>
      <w:hyperlink r:id="rId1249">
        <w:r>
          <w:rPr>
            <w:color w:val="1155CC"/>
            <w:u w:val="single"/>
          </w:rPr>
          <w:t>10.1021/jacs.5c18427</w:t>
        </w:r>
      </w:hyperlink>
    </w:p>
    <w:p>
      <w:pPr>
        <w:spacing w:before="0" w:after="120"/>
      </w:pPr>
      <w:r>
        <w:rPr>
          <w:b/>
        </w:rPr>
        <w:t xml:space="preserve">Notes: </w:t>
      </w:r>
      <w:r>
        <w:t>abstract_source=pubmed</w:t>
      </w:r>
    </w:p>
    <w:p>
      <w:pPr>
        <w:spacing w:before="0" w:after="200" w:lineRule="auto" w:line="276"/>
      </w:pPr>
      <w:r>
        <w:rPr>
          <w:b/>
        </w:rPr>
        <w:t xml:space="preserve">Abstract: </w:t>
      </w:r>
      <w:r>
        <w:t>Solid polymer electrolytes (SPEs) endow Li metal batteries (LMBs) with high expectations, but their real-world applications suffer from the "seesaw effect" between mechanical robustness and ionic conductivity. Herein, inspired by the myofilament sliding, we propose a molecular muscle SPE consisting of mechanically interlocked [c2]daisy chain ([c2]DC) networks (DCMINs) to break the SPE bottleneck, demonstrating a superior room-temperature (RT) ionic conductivity of 1.04 mS cm-1 (no plasticizer) without sacrificing the mechanical properties. The dynamic [c2]DC units, in conjunction with host-guest interactions, strengthen the movement of soft poly(ethylene glycol) backbones that coordinate with Li ions to contribute to the improved Li-ion transport compared to the regular cross-linked polymer network. The intrinsically distinctive energy dissipation of DCMINs further facilitates the structural integrity of SPEs under the repeated deformation of Li metal anodes, restricting dendrite growth and thus ensuring a lifespan longer than 5000 h for Li symmetric cells. All-solid-state pouch LMBs (∼1 Ah) with muscle-inspired SPEs exhibit competitive performance at RT in terms of cycling stability (87.8% capacity retention after 750 cycles for the LiFePO4 cell). We anticipate that our findings could spur investigations regarding high-performance SPE design for advanced solid-state batteries.</w:t>
      </w:r>
    </w:p>
    <w:p>
      <w:pPr>
        <w:spacing w:before="120" w:after="120"/>
      </w:pPr>
      <w:r>
        <w:rPr>
          <w:sz w:val="18"/>
        </w:rPr>
        <w:t>——————————————————————————————————————————————————————————————————————</w:t>
      </w:r>
    </w:p>
    <w:p>
      <w:pPr>
        <w:spacing w:before="160" w:after="80" w:line="240" w:lineRule="auto"/>
      </w:pPr>
      <w:r>
        <w:rPr>
          <w:b/>
        </w:rPr>
        <w:t xml:space="preserve">[748] </w:t>
      </w:r>
      <w:hyperlink r:id="rId1250">
        <w:r>
          <w:rPr>
            <w:color w:val="1155CC"/>
            <w:u w:val="single"/>
          </w:rPr>
          <w:t>[ASAP] Spin-Polarized Nonferromagnetic Surfaces for Electrocatalysis: Chemo-Spintronics</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2025-12-19 20:45:09+00:00</w:t>
      </w:r>
      <w:r>
        <w:t xml:space="preserve">    </w:t>
      </w:r>
      <w:r>
        <w:rPr>
          <w:b/>
        </w:rPr>
        <w:t xml:space="preserve">DOI: </w:t>
      </w:r>
      <w:hyperlink r:id="rId1251">
        <w:r>
          <w:rPr>
            <w:color w:val="1155CC"/>
            <w:u w:val="single"/>
          </w:rPr>
          <w:t>10.1021/jacs.5c16824</w:t>
        </w:r>
      </w:hyperlink>
    </w:p>
    <w:p>
      <w:pPr>
        <w:spacing w:before="0" w:after="120"/>
      </w:pPr>
      <w:r>
        <w:rPr>
          <w:b/>
        </w:rPr>
        <w:t xml:space="preserve">Notes: </w:t>
      </w:r>
      <w:r>
        <w:t>abstract_source=pubmed</w:t>
      </w:r>
    </w:p>
    <w:p>
      <w:pPr>
        <w:spacing w:before="0" w:after="200" w:lineRule="auto" w:line="276"/>
      </w:pPr>
      <w:r>
        <w:rPr>
          <w:b/>
        </w:rPr>
        <w:t xml:space="preserve">Abstract: </w:t>
      </w:r>
      <w:r>
        <w:t>Catalysts achieve changes in the rate through modification of the free energy of adsorbed intermediates and transition states (TrS). Binding energies of intermediates and TrS are strongly correlated, and modifications in catalyst composition are often ineffective in breaking these correlations, leading to minimal change in rate. Such scaling relationships are reported throughout catalysis. The surface spin state of a magnetic metal can change adsorption energies, offering a way to overcome scaling relationships. However, experimentally, this approach appears reliant on the use of ferromagnetic materials, limiting applicability. Here, we show that tunable changes in electrocatalytic activity for the hydrogen evolution reaction (HER) can be achieved at (originally) nonmagnetic metals (Au and Pt) through the use of a multilayer electrode structure that contains a ferromagnetic alloy (CoB) beneath a thin (5-20 nm) film of Pt or Au. Analysis of the dependence of the catalytic current on the thickness of the Au or Pt capping layer and on the direction of the stray magnetic field allows us to rule out the presence of magnetohydrodynamic effects. Instead, we conclude that transfer of ferromagnetism from the ferromagnet to the Au or Pt takes place through proximity-induced magnetism (PIM) via exchange interactions and/or a spin polarized current. Density Functional Theory simulations trace changes in the breaking of the scaling relationship for the Tafel HER mechanism. Overall, our experiments show that thin-film electrodes, based on routine structures from the spintronics community, are a potentially versatile platform for achieving spin-polarized catalysis at originally nonmagnetic metals.</w:t>
      </w:r>
    </w:p>
    <w:p>
      <w:pPr>
        <w:spacing w:before="120" w:after="120"/>
      </w:pPr>
      <w:r>
        <w:rPr>
          <w:sz w:val="18"/>
        </w:rPr>
        <w:t>——————————————————————————————————————————————————————————————————————</w:t>
      </w:r>
    </w:p>
    <w:p>
      <w:pPr>
        <w:spacing w:before="160" w:after="80" w:line="240" w:lineRule="auto"/>
      </w:pPr>
      <w:r>
        <w:rPr>
          <w:b/>
        </w:rPr>
        <w:t xml:space="preserve">[749] </w:t>
      </w:r>
      <w:hyperlink r:id="rId1252">
        <w:r>
          <w:rPr>
            <w:color w:val="1155CC"/>
            <w:u w:val="single"/>
          </w:rPr>
          <w:t>Trait-like visual cortical hyperactivity in trait anxiety</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Sensory processing varies across individuals, with some traits—particularly sensory hypersensitivity to basic non-valenced stimuli—linked to emotional traits and psychiatric risk. Traditional accounts attribute this sensory–emotion linkage to limbic or prefrontal modulation, but empirical support is limited. Growing evidence suggests sensory cortex itself flexibly encodes value beyond labeled-line analysis. Across four high-density EEG experiments with multi-wave assessments, we identified reliable visual cortical hyperactivity in high trait anxiety. The effect emerged as early as 46 ms, localized to V1/V2, and was specific to the parvocellular pathway. It was reproducible across arousal states, stimulus valence, extended intervals, and paradigms, and evident for both simple (grating) and complex real-world images. Importantly, cortical excitation–inhibition balance (EEG aperiodic exponent/1/f slope) predicted parvocellular responses in low- but not high-anxiety individuals, implicating disrupted E/I modulation. Thus, trait anxiety alters early visual processing, aligning cortical computations with an individual’s intrinsic biological propensity from the outset.</w:t>
      </w:r>
    </w:p>
    <w:p>
      <w:pPr>
        <w:spacing w:before="120" w:after="120"/>
      </w:pPr>
      <w:r>
        <w:rPr>
          <w:sz w:val="18"/>
        </w:rPr>
        <w:t>——————————————————————————————————————————————————————————————————————</w:t>
      </w:r>
    </w:p>
    <w:p>
      <w:pPr>
        <w:spacing w:before="160" w:after="80" w:line="240" w:lineRule="auto"/>
      </w:pPr>
      <w:r>
        <w:rPr>
          <w:b/>
        </w:rPr>
        <w:t xml:space="preserve">[750] </w:t>
      </w:r>
      <w:hyperlink r:id="rId1253">
        <w:r>
          <w:rPr>
            <w:color w:val="1155CC"/>
            <w:u w:val="single"/>
          </w:rPr>
          <w:t>Zinc-oligoether carboxylate salts as electrolyte additives for aqueous Zn metal batteries</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Aqueous zinc-metal batteries, which pair a water-based electrolyte with an earth-abundant metal, offer a sustainable energy storage platform. However, hydrogen evolution and dendrite growth during zinc plating limit stability and cycle life. Achieving durable performance requires a comprehensive approach that promotes forming a robust solid electrolyte interphase layer. Here, we introduce zinc oligoether carboxylates as tuneable dual-function electrolyte additives. The carboxylate group promotes the formation of a zinc sulphide-based interphase through the controlled decomposition of sulphate anions, while the oligoether chain suppresses water activity at the electrode surface, as revealed by spectroscopic and electrochemical microscopy analyses. By varying the chain length, we find that the longest compound, zinc (2-[2-[2-(2-methoxyethoxy)ethoxy]ethoxy]acetate)2, extends the lifetime of symmetric zinc cells from 200 to 1000 hours at a current density of 0.624 mA.cm-2 and a capacity of 2.5 mAh.cm-2. Furthermore, zinc–copper cells achieve 99.6% efficiency at 5 mA.cm-2 and 10 mAh.cm-2. This improvement also benefits zinc–manganese dioxide, extending from 30 to 200 cycles. These results demonstrate a molecular strategy for stabilising zinc interfaces, hence advancing practical aqueous zinc–manganese dioxide batteries.</w:t>
      </w:r>
    </w:p>
    <w:p>
      <w:pPr>
        <w:spacing w:before="120" w:after="120"/>
      </w:pPr>
      <w:r>
        <w:rPr>
          <w:sz w:val="18"/>
        </w:rPr>
        <w:t>——————————————————————————————————————————————————————————————————————</w:t>
      </w:r>
    </w:p>
    <w:p>
      <w:pPr>
        <w:spacing w:before="160" w:after="80" w:line="240" w:lineRule="auto"/>
      </w:pPr>
      <w:r>
        <w:rPr>
          <w:b/>
        </w:rPr>
        <w:t xml:space="preserve">[751] </w:t>
      </w:r>
      <w:hyperlink r:id="rId1254">
        <w:r>
          <w:rPr>
            <w:color w:val="1155CC"/>
            <w:u w:val="single"/>
          </w:rPr>
          <w:t>Chromosome-level haplotype-resolved assembly of highly heterozygous grass genomes with PhaseGrass</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Current methods to generate haplotype-resolved assemblies for highly heterozygous genomes suffer from reference bias when relying on reference-based phasing or may generate imbalanced haplomes when relying on graph-based phasing. Here, we report PhaseGrass, an assembly, phasing and scaffolding workflow that is compatible with accurate or error-prone long reads, generating haplotype-resolved assemblies for highly heterozygous genomes. Requiring no parental data, PhaseGrass combines reference-based phasing with haplotype-specific k-mers to partition long reads or unitigs to corresponding haplotypes, thereby avoiding reference bias and uneven haplotype partitioning. Using PhaseGrass, we generated chromosome-level, haplotype-resolved assemblies for the highly heterozygous, allogamous grass species Lolium perenne L. and L. multiflorum Lam. We find that PhaseGrass can bin 20% more reads to haplotypes than WhatsHap and generated balanced haplomes compared to Hifiasm, which produced largely imbalanced haplomes for L. multiflorum due to abundant structural variations between haplotypes. PhaseGrass will facilitate routine generation of haplotype-resolved pangenomes for species with highly heterozygous genomes.</w:t>
      </w:r>
    </w:p>
    <w:p>
      <w:pPr>
        <w:spacing w:before="120" w:after="120"/>
      </w:pPr>
      <w:r>
        <w:rPr>
          <w:sz w:val="18"/>
        </w:rPr>
        <w:t>——————————————————————————————————————————————————————————————————————</w:t>
      </w:r>
    </w:p>
    <w:p>
      <w:pPr>
        <w:spacing w:before="160" w:after="80" w:line="240" w:lineRule="auto"/>
      </w:pPr>
      <w:r>
        <w:rPr>
          <w:b/>
        </w:rPr>
        <w:t xml:space="preserve">[752] </w:t>
      </w:r>
      <w:hyperlink r:id="rId1255">
        <w:r>
          <w:rPr>
            <w:color w:val="1155CC"/>
            <w:u w:val="single"/>
          </w:rPr>
          <w:t>SMART-EV: a stochastic macroscopic DRL-based method for enhancing distribution network resilience via EV coordination</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[753] </w:t>
      </w:r>
      <w:hyperlink r:id="rId1256">
        <w:r>
          <w:rPr>
            <w:color w:val="1155CC"/>
            <w:u w:val="single"/>
          </w:rPr>
          <w:t>Mapping risks of health conditions in people with atopic eczema in English primary care and hospital data</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Atopic eczema may be associated with multiple health conditions. Here, we systematically explore risks across the full health spectrum based on the International Classification of Diseases, assessing associations between eczema and 2058 ICD-10 codes, 1593 phecodes, and 201 Global Burden of Disease codes. In English primary care electronic health records (1997 − 2023) we identify cohorts of people with eczema (up to 3 million) and matched (by age, sex, general practice) comparators without eczema (up to 14 million). In up to 25 years of follow-up, we capture outcomes recorded during hospital admissions. People with eczema show higher rates of several outcomes across multiple organ systems. Among those followed up from eczema diagnosis in childhood, atopic/allergic conditions and infections account for most excess diagnoses. Consistent across cohorts and analyses, large relative risk increases are seen for inflammatory bowel conditions (e.g., K50 Crohn disease, crude hazard ratio 1.70 [1.63-1.77]) and eye diseases (e.g., H16 Keratitis, crude hazard ratio 1.71 [1.57-1.86]). We provide a dashboard to explore and browse the full range of results.</w:t>
      </w:r>
    </w:p>
    <w:p>
      <w:pPr>
        <w:spacing w:before="120" w:after="120"/>
      </w:pPr>
      <w:r>
        <w:rPr>
          <w:sz w:val="18"/>
        </w:rPr>
        <w:t>——————————————————————————————————————————————————————————————————————</w:t>
      </w:r>
    </w:p>
    <w:p>
      <w:pPr>
        <w:spacing w:before="160" w:after="80" w:line="240" w:lineRule="auto"/>
      </w:pPr>
      <w:r>
        <w:rPr>
          <w:b/>
        </w:rPr>
        <w:t xml:space="preserve">[754] </w:t>
      </w:r>
      <w:hyperlink r:id="rId1257">
        <w:r>
          <w:rPr>
            <w:color w:val="1155CC"/>
            <w:u w:val="single"/>
          </w:rPr>
          <w:t>Solid Lubricant Molybdenum Based MXene With Prolonged Macroscale Superlubricity</w:t>
        </w:r>
      </w:hyperlink>
    </w:p>
    <w:p>
      <w:pPr>
        <w:spacing w:before="0" w:after="120" w:line="240" w:lineRule="auto"/>
      </w:pPr>
      <w:r>
        <w:rPr>
          <w:b/>
        </w:rPr>
        <w:t xml:space="preserve">Source: </w:t>
      </w:r>
      <w:r>
        <w:t>ScienceDirect Publication: Materials Today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[755] </w:t>
      </w:r>
      <w:hyperlink r:id="rId1258">
        <w:r>
          <w:rPr>
            <w:color w:val="1155CC"/>
            <w:u w:val="single"/>
          </w:rPr>
          <w:t>Scoping review of artificial intelligence via mobile technology and social media for health in Africa</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The combination of mobile technologies and social media with Artificial Intelligence (AI) opens new opportunities for multi-modal data generation, analysis, and inference for various health applications. To investigate how these tools are being used for health applications in Africa, we conduct a scoping review following the Preferred Reporting Items for Systematic Reviews and Meta-Analyses (PRISMA) approach. We screen 469 articles and synthesize 116. We include 29 studies documenting the use of a broad range of advanced and straightforward machine-learning techniques to study infectious and chronic diseases such as COVID-19 (4 studies, 13.8%), malaria (5, 17.2%), and cervical cancer (2, 6.9%). Countries with high internet and mobile phone penetration have higher representation. Based on identified gaps, we make research and policy recommendations to enhance the contribution of these tools in advancing health in Africa. These include investing in studies on chronic diseases and implementing frameworks to address geographic inequity.</w:t>
      </w:r>
    </w:p>
    <w:p>
      <w:pPr>
        <w:spacing w:before="120" w:after="120"/>
      </w:pPr>
      <w:r>
        <w:rPr>
          <w:sz w:val="18"/>
        </w:rPr>
        <w:t>——————————————————————————————————————————————————————————————————————</w:t>
      </w:r>
    </w:p>
    <w:p>
      <w:pPr>
        <w:spacing w:before="160" w:after="80" w:line="240" w:lineRule="auto"/>
      </w:pPr>
      <w:r>
        <w:rPr>
          <w:b/>
        </w:rPr>
        <w:t xml:space="preserve">[756] </w:t>
      </w:r>
      <w:hyperlink r:id="rId1259">
        <w:r>
          <w:rPr>
            <w:color w:val="1155CC"/>
            <w:u w:val="single"/>
          </w:rPr>
          <w:t>Insights into the self-assembly and interaction of sars-cov-2 fusion peptides with biomimetic plasma membranes</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First identified in late 2019, the COVID-19 pandemic, caused by the SARS-CoV-2 coronavirus, rapidly escalated into a global health crisis. SARS-CoV-2 is a single-stranded RNA virus encased in a lipid envelope that houses key structural proteins, including the Spike glycoprotein, which mediates viral entry into host cells. Within Spike, the S2 subunit, and particularly its fusion domain, plays a critical role in merging viral and host membranes. To explore how receptor-driven Spike clustering influences this process, we investigated the self-assembly of S2 fusion peptides (FPs) and their interactions with biomimetic plasma membrane (PM) models composed of phospholipids, sphingomyelin, and cholesterol. Atomic force microscopy, laser direct infrared spectroscopy, neutron reflectometry, and grazing-incidence X-ray diffraction reveal that FPs form supramolecular assemblies that exclude cholesterol-rich nanodomains, increase membrane fluidity, and disrupt raft-like order associated with ACE2 binding. The appearance of spiral FP fibers supports a loaded-spring mechanism for membrane remodeling, offering a model for cooperative peptide-driven fusion, highlighting opportunities for antiviral and nanobiotechnological applications.</w:t>
      </w:r>
    </w:p>
    <w:p>
      <w:pPr>
        <w:spacing w:before="120" w:after="120"/>
      </w:pPr>
      <w:r>
        <w:rPr>
          <w:sz w:val="18"/>
        </w:rPr>
        <w:t>——————————————————————————————————————————————————————————————————————</w:t>
      </w:r>
    </w:p>
    <w:p>
      <w:pPr>
        <w:spacing w:before="160" w:after="80" w:line="240" w:lineRule="auto"/>
      </w:pPr>
      <w:r>
        <w:rPr>
          <w:b/>
        </w:rPr>
        <w:t xml:space="preserve">[757] </w:t>
      </w:r>
      <w:hyperlink r:id="rId1260">
        <w:r>
          <w:rPr>
            <w:color w:val="1155CC"/>
            <w:u w:val="single"/>
          </w:rPr>
          <w:t>Assessment of the provincial hydrogen potential through photovoltaic generation in China from the perspective of water resources limits</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[758] </w:t>
      </w:r>
      <w:hyperlink r:id="rId1261">
        <w:r>
          <w:rPr>
            <w:color w:val="1155CC"/>
            <w:u w:val="single"/>
          </w:rPr>
          <w:t>Generative AI impact assessment through a life cycle analysis of multiple data center typologies</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[759] </w:t>
      </w:r>
      <w:hyperlink r:id="rId1262">
        <w:r>
          <w:rPr>
            <w:color w:val="1155CC"/>
            <w:u w:val="single"/>
          </w:rPr>
          <w:t>An integrated power, energy, and thermal management strategy using cascaded Control for off-road autonomous hybrid vehicles</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[760] </w:t>
      </w:r>
      <w:hyperlink r:id="rId1263">
        <w:r>
          <w:rPr>
            <w:color w:val="1155CC"/>
            <w:u w:val="single"/>
          </w:rPr>
          <w:t>Lithium-ion battery recycling through an integrated electro-membrane crystallization technology</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Lithium-ion battery (LIB) recycling is crucial for energy security, environmental sustainability, and economic viability, as the finite lifespan of LIBs results in a significant annual accumulation of spent units. However, effectively and precisely recovering valuable metal ions such as Li+, Mn2+, Ni2+ and Co2+ from complex LIB leaching solutions remains a major challenge. Here, we present a scalable electro-membrane crystallization-assisted general recycling (e-MCGR) technology for the selective and efficient recovery of those metal ions from LIB leaching solutions. By synergistically integrating electrochemical and electro-membrane technologies, our proposed technology incorporates four key configurations: selective membrane dual-stage distillation, bipolar membrane in-situ crystallization, membrane metal-complexing ex-situ crystallization, and membrane metal-extracting temporal crystallization. We systematically analyze the metal-ion transfer kinetics of electro-membranes (ion selectivity and permeation rates) and the performance of electro-membrane crystallization systems (recovery rates and product purity), alongside evaluating energy consumption, economic viability, and environmental benefits. Our optimized e-MCGR process achieves a recovery of 95.5% for Li+, 99.5% for Mn2+, 83.1% for Ni2+, and 87.3% for Co2+, yielding high product purities of 99.9% for Li2CO3, 99.9% for Mn3O4, 99.5% for Ni(OH)2 and 92.5% for Co(OH)2. The e-MCGR technology demonstrates significant potential to reshape LIB recycling paradigms, aligning technological efficiency with energy, environmental and economic sustainability.</w:t>
      </w:r>
    </w:p>
    <w:p>
      <w:pPr>
        <w:spacing w:before="120" w:after="120"/>
      </w:pPr>
      <w:r>
        <w:rPr>
          <w:sz w:val="18"/>
        </w:rPr>
        <w:t>——————————————————————————————————————————————————————————————————————</w:t>
      </w:r>
    </w:p>
    <w:p>
      <w:pPr>
        <w:spacing w:before="160" w:after="80" w:line="240" w:lineRule="auto"/>
      </w:pPr>
      <w:r>
        <w:rPr>
          <w:b/>
        </w:rPr>
        <w:t xml:space="preserve">[761] </w:t>
      </w:r>
      <w:hyperlink r:id="rId1264">
        <w:r>
          <w:rPr>
            <w:color w:val="1155CC"/>
            <w:u w:val="single"/>
          </w:rPr>
          <w:t>Emergence of mammalian-adaptive PB2 mutations enhances polymerase activity and pathogenicity of cattle-derived H5N1 influenza A virus</w:t>
        </w:r>
      </w:hyperlink>
    </w:p>
    <w:p>
      <w:pPr>
        <w:spacing w:before="0" w:after="120" w:line="240" w:lineRule="auto"/>
      </w:pPr>
      <w:r>
        <w:rPr>
          <w:b/>
        </w:rPr>
        <w:t xml:space="preserve">Source: </w:t>
      </w:r>
      <w:r>
        <w:t>Nature Communications</w:t>
      </w:r>
      <w:r>
        <w:t xml:space="preserve">    </w:t>
      </w:r>
      <w:r>
        <w:rPr>
          <w:b/>
        </w:rPr>
        <w:t xml:space="preserve">Pub date: </w:t>
      </w:r>
      <w:r>
        <w:t>2025-12-20 00:00:00+00:00</w:t>
      </w:r>
    </w:p>
    <w:p>
      <w:pPr>
        <w:spacing w:before="0" w:after="120"/>
      </w:pPr>
      <w:r>
        <w:rPr>
          <w:b/>
        </w:rPr>
        <w:t xml:space="preserve">Notes: </w:t>
      </w:r>
      <w:r>
        <w:t>abstract_source=nature_html</w:t>
      </w:r>
    </w:p>
    <w:p>
      <w:pPr>
        <w:spacing w:before="0" w:after="200" w:lineRule="auto" w:line="276"/>
      </w:pPr>
      <w:r>
        <w:rPr>
          <w:b/>
        </w:rPr>
        <w:t xml:space="preserve">Abstract: </w:t>
      </w:r>
      <w:r>
        <w:t>Highly pathogenic avian influenza H5N1 poses an increasing public health risk, particularly following its spillover into dairy cows and associated human infections in the U.S. since March 2024. Here, we systematically identified critical PB2 mutations emerged during avian-to-cattle transmission and subsequent adaptation in cattle, notably PB2 M631L, which conferred pathogenicity in mice comparable to the well-characterized PB2 E627K mutation. Retrospective analysis reveals that PB2 631L also circulated in avian and human H5N1 strains during the 2013–2014 outbreaks in Cambodia and Vietnam. Additional adaptive mutations include established markers (E627K, Q591R, D701N), and novel variants (I647V, G685R, K736R). These mutations enhance polymerase activity by improving the utilization of both bovine and human ANP32A proteins, thereby increasing viral fitness and pathogenicity in mammals. The convergence of these adaptations highlights the elevated zoonotic risk of cattle-adapted H5N1 viruses and underscores the urgent need for heightened surveillance across avian and mammalian hosts.</w:t>
      </w:r>
    </w:p>
    <w:p>
      <w:pPr>
        <w:spacing w:before="120" w:after="120"/>
      </w:pPr>
      <w:r>
        <w:rPr>
          <w:sz w:val="18"/>
        </w:rPr>
        <w:t>——————————————————————————————————————————————————————————————————————</w:t>
      </w:r>
    </w:p>
    <w:p>
      <w:pPr>
        <w:spacing w:before="160" w:after="80" w:line="240" w:lineRule="auto"/>
      </w:pPr>
      <w:r>
        <w:rPr>
          <w:b/>
        </w:rPr>
        <w:t xml:space="preserve">[762] </w:t>
      </w:r>
      <w:hyperlink r:id="rId1265">
        <w:r>
          <w:rPr>
            <w:color w:val="1155CC"/>
            <w:u w:val="single"/>
          </w:rPr>
          <w:t>Multi-Criteria Decision Analysis framework: Transitioning from coal to Large-Scale Photovoltaics in Australia for achieving SDG 7</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[763] </w:t>
      </w:r>
      <w:hyperlink r:id="rId1266">
        <w:r>
          <w:rPr>
            <w:color w:val="1155CC"/>
            <w:u w:val="single"/>
          </w:rPr>
          <w:t>Global optimization of wake steering for large-scale wind farms using generalized serial refinement method</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[764] </w:t>
      </w:r>
      <w:hyperlink r:id="rId1267">
        <w:r>
          <w:rPr>
            <w:color w:val="1155CC"/>
            <w:u w:val="single"/>
          </w:rPr>
          <w:t>Application of transparent and semi-transparent photovoltaics in building windows: a review</w:t>
        </w:r>
      </w:hyperlink>
    </w:p>
    <w:p>
      <w:pPr>
        <w:spacing w:before="0" w:after="120" w:line="240" w:lineRule="auto"/>
      </w:pPr>
      <w:r>
        <w:rPr>
          <w:b/>
        </w:rPr>
        <w:t xml:space="preserve">Source: </w:t>
      </w:r>
      <w:r>
        <w:t>ScienceDirect Publication: Applied Energy</w:t>
      </w:r>
      <w:r>
        <w:t xml:space="preserve">    </w:t>
      </w:r>
      <w:r>
        <w:rPr>
          <w:b/>
        </w:rPr>
        <w:t xml:space="preserve">Pub date: </w:t>
      </w:r>
      <w:r>
        <w:t>2025-12-20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[765] </w:t>
      </w:r>
      <w:hyperlink r:id="rId1268">
        <w:r>
          <w:rPr>
            <w:color w:val="1155CC"/>
            <w:u w:val="single"/>
          </w:rPr>
          <w:t>Analyte‐Targeted Plasmonic Hotspots on Superlattice Mirror Enable Ultra‐Broad‐Range SERS Sensing of Acetylcholinesterase</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2025-12-20 06:40:51+00:00</w:t>
      </w:r>
      <w:r>
        <w:t xml:space="preserve">    </w:t>
      </w:r>
      <w:r>
        <w:rPr>
          <w:b/>
        </w:rPr>
        <w:t xml:space="preserve">DOI: </w:t>
      </w:r>
      <w:hyperlink r:id="rId1269">
        <w:r>
          <w:rPr>
            <w:color w:val="1155CC"/>
            <w:u w:val="single"/>
          </w:rPr>
          <w:t>10.1002/anie.202521361</w:t>
        </w:r>
      </w:hyperlink>
    </w:p>
    <w:p>
      <w:pPr>
        <w:spacing w:before="0" w:after="120"/>
      </w:pPr>
      <w:r>
        <w:rPr>
          <w:b/>
        </w:rPr>
        <w:t xml:space="preserve">Notes: </w:t>
      </w:r>
      <w:r>
        <w:t>abstract_source=crossref</w:t>
      </w:r>
    </w:p>
    <w:p>
      <w:pPr>
        <w:spacing w:before="0" w:after="200" w:lineRule="auto" w:line="276"/>
      </w:pPr>
      <w:r>
        <w:rPr>
          <w:b/>
        </w:rPr>
        <w:t xml:space="preserve">Abstract: </w:t>
      </w:r>
      <w:r>
        <w:t>Surface‐enhanced Raman spectroscopy (SERS) enables molecular fingerprinting, but its widespread application is limited by poor detection sensitivity and signal reproducibility due to inefficient analyte retention in hotspots, less than 1 in 100, 000 molecules. To address this, we present a dynamic sensing strategy that actively couples in‐situ analyte recognition with the real‐time formation of plasmonic hotspots. The system integrates a resonant plasmonic nanoparticle superlattice monolayer as a 2D optical cavity and gap‐enhanced Au‐Ag superparticles functionalized with cyclodextrin molecular spacers. Enzymatic recognition of acetylcholinesterase (AChE), a pivotal neurofunctional enzyme, induces the self‐assembly of high‐density nanoparticle‐on‐“superlattice mirror” (NPoSM) nanocavities through competitive host‐guest displacement during acetylthiocholine hydrolysis. This active guidance ensures spatiotemporal synchronization between nanocavity formation, hotspot activation, and target binding. The system achieves high specificity with background‐free, ultrasensitive AChE detection over a 9‐order dynamic range (10</w:t>
      </w:r>
      <w:r>
        <w:t xml:space="preserve"> </w:t>
      </w:r>
      <w:r>
        <w:t>−8</w:t>
      </w:r>
      <w:r>
        <w:t xml:space="preserve"> </w:t>
      </w:r>
      <w:r>
        <w:t>to 10 U/L), offering a restricted detection platform for SERS sensing in molecular diagnostics, neurotoxicity assessment, and environmental monitoring.</w:t>
      </w:r>
    </w:p>
    <w:p>
      <w:pPr>
        <w:spacing w:before="120" w:after="120"/>
      </w:pPr>
      <w:r>
        <w:rPr>
          <w:sz w:val="18"/>
        </w:rPr>
        <w:t>——————————————————————————————————————————————————————————————————————</w:t>
      </w:r>
    </w:p>
    <w:p>
      <w:pPr>
        <w:spacing w:before="160" w:after="80" w:line="240" w:lineRule="auto"/>
      </w:pPr>
      <w:r>
        <w:rPr>
          <w:b/>
        </w:rPr>
        <w:t xml:space="preserve">[766] </w:t>
      </w:r>
      <w:hyperlink r:id="rId1270">
        <w:r>
          <w:rPr>
            <w:color w:val="1155CC"/>
            <w:u w:val="single"/>
          </w:rPr>
          <w:t>Non‐Radical Photocured 3D Printing of Liquid Crystal Elastomers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2025-12-20 06:42:01+00:00</w:t>
      </w:r>
      <w:r>
        <w:t xml:space="preserve">    </w:t>
      </w:r>
      <w:r>
        <w:rPr>
          <w:b/>
        </w:rPr>
        <w:t xml:space="preserve">DOI: </w:t>
      </w:r>
      <w:hyperlink r:id="rId1271">
        <w:r>
          <w:rPr>
            <w:color w:val="1155CC"/>
            <w:u w:val="single"/>
          </w:rPr>
          <w:t>10.1002/anie.202523022</w:t>
        </w:r>
      </w:hyperlink>
    </w:p>
    <w:p>
      <w:pPr>
        <w:spacing w:before="0" w:after="120"/>
      </w:pPr>
      <w:r>
        <w:rPr>
          <w:b/>
        </w:rPr>
        <w:t xml:space="preserve">Notes: </w:t>
      </w:r>
      <w:r>
        <w:t>abstract_source=crossref</w:t>
      </w:r>
    </w:p>
    <w:p>
      <w:pPr>
        <w:spacing w:before="0" w:after="200" w:lineRule="auto" w:line="276"/>
      </w:pPr>
      <w:r>
        <w:rPr>
          <w:b/>
        </w:rPr>
        <w:t xml:space="preserve">Abstract: </w:t>
      </w:r>
      <w:r>
        <w:t>Digital light processing (DLP) of liquid crystal elastomers (LCEs) enables the fabrication of complex architectures for soft robotics and energy‐dissipative devices. However, conventional photocuring of LCE relies exclusively on radical‐mediated polymerization, which involves acrylates homopolymerization inevitably, resulting in heterogeneous networks with uneven crosslinks, high crosslinking density and unreacted groups, leading to low rate of acceptable products due to cracking and constrained mesogen reorientation. It exhibits significantly higher defect rate for the products and printing cost, while compromising the material performance like damping and actuation behaviors. Here, we report a non‐radical 3D printing strategy of LCEs using photobase generator (PBG). It promotes precise selectively thiol–acrylate Michael‐addition, forming a homogenous network of low crosslinking density without residue thiols. It prevents cracking and guarantees a high success rate in printing. Also, it achieves the softest among all photocured LCEs with the Young's modulus of 1.69 MPa. Moreover, it liberates LC mesogen for easier reorientation, achieving higher actuation strain of 97% (&amp;lt;70% for radical‐based counterparts) and a soft elasticity plateau 3 times wider, and enhancing damping capacity through synergistic mesogen reorientation and 3D architectural design. This strategy provides a high success route to high‐performance 3D printed LCEs for soft robotics and impact protection.</w:t>
      </w:r>
    </w:p>
    <w:p>
      <w:pPr>
        <w:spacing w:before="120" w:after="120"/>
      </w:pPr>
      <w:r>
        <w:rPr>
          <w:sz w:val="18"/>
        </w:rPr>
        <w:t>——————————————————————————————————————————————————————————————————————</w:t>
      </w:r>
    </w:p>
    <w:p>
      <w:pPr>
        <w:spacing w:before="160" w:after="80" w:line="240" w:lineRule="auto"/>
      </w:pPr>
      <w:r>
        <w:rPr>
          <w:b/>
        </w:rPr>
        <w:t xml:space="preserve">[767] </w:t>
      </w:r>
      <w:hyperlink r:id="rId1272">
        <w:r>
          <w:rPr>
            <w:color w:val="1155CC"/>
            <w:u w:val="single"/>
          </w:rPr>
          <w:t>Lattice Mismatched Platinum‐Tellurium@Platinum‐Ruthenium Core@Shell Nanorods Achieve Ultrahigh Alkaline Hydrogen Electrocatalysis for Dual Practical Devices</w:t>
        </w:r>
      </w:hyperlink>
    </w:p>
    <w:p>
      <w:pPr>
        <w:spacing w:before="0" w:after="120" w:line="240" w:lineRule="auto"/>
      </w:pPr>
      <w:r>
        <w:rPr>
          <w:b/>
        </w:rPr>
        <w:t xml:space="preserve">Source: </w:t>
      </w:r>
      <w:r>
        <w:t>Wiley: Advanced Materials: Table of Contents</w:t>
      </w:r>
      <w:r>
        <w:t xml:space="preserve">    </w:t>
      </w:r>
      <w:r>
        <w:rPr>
          <w:b/>
        </w:rPr>
        <w:t xml:space="preserve">Pub date: </w:t>
      </w:r>
      <w:r>
        <w:t>2025-12-20 06:47:01+00:00</w:t>
      </w:r>
      <w:r>
        <w:t xml:space="preserve">    </w:t>
      </w:r>
      <w:r>
        <w:rPr>
          <w:b/>
        </w:rPr>
        <w:t xml:space="preserve">DOI: </w:t>
      </w:r>
      <w:hyperlink r:id="rId1273">
        <w:r>
          <w:rPr>
            <w:color w:val="1155CC"/>
            <w:u w:val="single"/>
          </w:rPr>
          <w:t>10.1002/adma.202517683</w:t>
        </w:r>
      </w:hyperlink>
    </w:p>
    <w:p>
      <w:pPr>
        <w:spacing w:before="0" w:after="120"/>
      </w:pPr>
      <w:r>
        <w:rPr>
          <w:b/>
        </w:rPr>
        <w:t xml:space="preserve">Notes: </w:t>
      </w:r>
      <w:r>
        <w:t>abstract_source=crossref</w:t>
      </w:r>
    </w:p>
    <w:p>
      <w:pPr>
        <w:spacing w:before="0" w:after="200" w:lineRule="auto" w:line="276"/>
      </w:pPr>
      <w:r>
        <w:rPr>
          <w:b/>
        </w:rPr>
        <w:t xml:space="preserve">Abstract: </w:t>
      </w:r>
      <w:r>
        <w:t>Lattice mismatch engineering is necessary yet challenging for core@shell structured platinum (Pt)‐based catalysts in alkaline hydrogen electrocatalysis. Herein, a series of lattice mismatched Pt‐tellurium@Pt‐ruthenium core@shell nanorods (LM‐PtTe</w:t>
      </w:r>
      <w:r>
        <w:rPr>
          <w:vertAlign w:val="subscript"/>
        </w:rPr>
        <w:t>2</w:t>
      </w:r>
      <w:r>
        <w:t>@Pt</w:t>
      </w:r>
      <w:r>
        <w:t xml:space="preserve"> </w:t>
      </w:r>
      <w:r>
        <w:t>x</w:t>
      </w:r>
      <w:r>
        <w:t xml:space="preserve"> </w:t>
      </w:r>
      <w:r>
        <w:t>Ru NRs,</w:t>
      </w:r>
      <w:r>
        <w:t xml:space="preserve"> </w:t>
      </w:r>
      <w:r>
        <w:t>x</w:t>
      </w:r>
      <w:r>
        <w:t xml:space="preserve"> </w:t>
      </w:r>
      <w:r>
        <w:t>= 2, 4, 9, 12, 16) are constructed for alkaline hydrogen oxidation reaction (HOR) and hydrogen evolution reaction (HER). The optimized LM‐PtTe</w:t>
      </w:r>
      <w:r>
        <w:rPr>
          <w:vertAlign w:val="subscript"/>
        </w:rPr>
        <w:t>2</w:t>
      </w:r>
      <w:r>
        <w:t>@Pt</w:t>
      </w:r>
      <w:r>
        <w:rPr>
          <w:vertAlign w:val="subscript"/>
        </w:rPr>
        <w:t>9</w:t>
      </w:r>
      <w:r>
        <w:t>Ru/C exhibits much better HOR and HER performances versus commercial PtRu/C and Pt/C. More importantly, its ultrahigh membrane electrode assembly (MEA) power densities of 26.4/21.0 W mg</w:t>
      </w:r>
      <w:r>
        <w:t xml:space="preserve"> </w:t>
      </w:r>
      <w:r>
        <w:t>Pt+Ru</w:t>
      </w:r>
      <w:r>
        <w:t xml:space="preserve"> </w:t>
      </w:r>
      <w:r>
        <w:t>−1</w:t>
      </w:r>
      <w:r>
        <w:t xml:space="preserve"> </w:t>
      </w:r>
      <w:r>
        <w:t>in H</w:t>
      </w:r>
      <w:r>
        <w:rPr>
          <w:vertAlign w:val="subscript"/>
        </w:rPr>
        <w:t>2</w:t>
      </w:r>
      <w:r>
        <w:t>‐O</w:t>
      </w:r>
      <w:r>
        <w:rPr>
          <w:vertAlign w:val="subscript"/>
        </w:rPr>
        <w:t>2</w:t>
      </w:r>
      <w:r>
        <w:t>/H</w:t>
      </w:r>
      <w:r>
        <w:rPr>
          <w:vertAlign w:val="subscript"/>
        </w:rPr>
        <w:t>2</w:t>
      </w:r>
      <w:r>
        <w:t>‐air media for anion exchange membrane fuel cell (AEMFC) and remarkable MEA performance of 1.55 V@0.5 A cm</w:t>
      </w:r>
      <w:r>
        <w:t xml:space="preserve"> </w:t>
      </w:r>
      <w:r>
        <w:t>−2</w:t>
      </w:r>
      <w:r>
        <w:t xml:space="preserve"> </w:t>
      </w:r>
      <w:r>
        <w:t>/2.0 V@5.8 A cm</w:t>
      </w:r>
      <w:r>
        <w:t xml:space="preserve"> </w:t>
      </w:r>
      <w:r>
        <w:t>−2</w:t>
      </w:r>
      <w:r>
        <w:t xml:space="preserve"> </w:t>
      </w:r>
      <w:r>
        <w:t>for AEM water electrolysis (AEMWE) outperform the vast majority of PtRu‐based catalysts reported to date, displaying an unprecedented potential in dual practical devices. The lattice mismatch degree of 18.7% between</w:t>
      </w:r>
      <w:r>
        <w:t xml:space="preserve"> </w:t>
      </w:r>
      <w:r>
        <w:t>trigonal</w:t>
      </w:r>
      <w:r>
        <w:t xml:space="preserve"> </w:t>
      </w:r>
      <w:r>
        <w:t>PtTe</w:t>
      </w:r>
      <w:r>
        <w:rPr>
          <w:vertAlign w:val="subscript"/>
        </w:rPr>
        <w:t>2</w:t>
      </w:r>
      <w:r>
        <w:t>and</w:t>
      </w:r>
      <w:r>
        <w:t xml:space="preserve"> </w:t>
      </w:r>
      <w:r>
        <w:t>cubic</w:t>
      </w:r>
      <w:r>
        <w:t xml:space="preserve"> </w:t>
      </w:r>
      <w:r>
        <w:t>Pt</w:t>
      </w:r>
      <w:r>
        <w:rPr>
          <w:vertAlign w:val="subscript"/>
        </w:rPr>
        <w:t>9</w:t>
      </w:r>
      <w:r>
        <w:t>Ru induces numerous lattice dislocations and unusual lattice strain effect in LM‐PtTe</w:t>
      </w:r>
      <w:r>
        <w:rPr>
          <w:vertAlign w:val="subscript"/>
        </w:rPr>
        <w:t>2</w:t>
      </w:r>
      <w:r>
        <w:t>@Pt</w:t>
      </w:r>
      <w:r>
        <w:rPr>
          <w:vertAlign w:val="subscript"/>
        </w:rPr>
        <w:t>9</w:t>
      </w:r>
      <w:r>
        <w:t>Ru/C, which simultaneously optimizes the surface electron distribution and the adsorption of intermediates, responsible for its high hydrogen catalysis performance. This work aims to achieve the high‐performance MEA catalysis for AEMFC and AEMWE with lattice mismatch engineering induced by these well‐organized PtRu‐based core@shell nanocatalysts.</w:t>
      </w:r>
    </w:p>
    <w:p>
      <w:pPr>
        <w:spacing w:before="120" w:after="120"/>
      </w:pPr>
      <w:r>
        <w:rPr>
          <w:sz w:val="18"/>
        </w:rPr>
        <w:t>——————————————————————————————————————————————————————————————————————</w:t>
      </w:r>
    </w:p>
    <w:p>
      <w:pPr>
        <w:spacing w:before="160" w:after="80" w:line="240" w:lineRule="auto"/>
      </w:pPr>
      <w:r>
        <w:rPr>
          <w:b/>
        </w:rPr>
        <w:t xml:space="preserve">[768] </w:t>
      </w:r>
      <w:hyperlink r:id="rId1274">
        <w:r>
          <w:rPr>
            <w:color w:val="1155CC"/>
            <w:u w:val="single"/>
          </w:rPr>
          <w:t>Molecularly Integrated Additive Engineering for Rapid Rejuvenation of Spent Electrolyte</w:t>
        </w:r>
      </w:hyperlink>
    </w:p>
    <w:p>
      <w:pPr>
        <w:spacing w:before="0" w:after="120" w:line="240" w:lineRule="auto"/>
      </w:pPr>
      <w:r>
        <w:rPr>
          <w:b/>
        </w:rPr>
        <w:t xml:space="preserve">Source: </w:t>
      </w:r>
      <w:r>
        <w:t>Wiley: Advanced Energy Materials: Table of Contents</w:t>
      </w:r>
      <w:r>
        <w:t xml:space="preserve">    </w:t>
      </w:r>
      <w:r>
        <w:rPr>
          <w:b/>
        </w:rPr>
        <w:t xml:space="preserve">Pub date: </w:t>
      </w:r>
      <w:r>
        <w:t>2025-12-20 06:47:06+00:00</w:t>
      </w:r>
      <w:r>
        <w:t xml:space="preserve">    </w:t>
      </w:r>
      <w:r>
        <w:rPr>
          <w:b/>
        </w:rPr>
        <w:t xml:space="preserve">DOI: </w:t>
      </w:r>
      <w:hyperlink r:id="rId1275">
        <w:r>
          <w:rPr>
            <w:color w:val="1155CC"/>
            <w:u w:val="single"/>
          </w:rPr>
          <w:t>10.1002/aenm.202504796</w:t>
        </w:r>
      </w:hyperlink>
    </w:p>
    <w:p>
      <w:pPr>
        <w:spacing w:before="0" w:after="120"/>
      </w:pPr>
      <w:r>
        <w:rPr>
          <w:b/>
        </w:rPr>
        <w:t xml:space="preserve">Notes: </w:t>
      </w:r>
      <w:r>
        <w:t>abstract_source=crossref</w:t>
      </w:r>
    </w:p>
    <w:p>
      <w:pPr>
        <w:spacing w:before="0" w:after="200" w:lineRule="auto" w:line="276"/>
      </w:pPr>
      <w:r>
        <w:rPr>
          <w:b/>
        </w:rPr>
        <w:t xml:space="preserve">Abstract: </w:t>
      </w:r>
      <w:r>
        <w:t>The escalating deployment of lithium‐ion batteries (LIBs) necessitates sustainable electrolyte recycling, yet conventional methods fail to address the intertwined challenges of hydrofluoric acid (HF) generation, moisture ingress, and transition metal (TM) ion dissolution in an economical and effective way. Here, we present a molecularly integrated additive, tetrakis(trimethylsilyl)tetrazene (TMSTz), engineered to synchronously neutralize HF, scavenge water, chelate TM ions, and construct stable electrode interfaces via redox‐driven polymerization. Density functional theory and experimental analyses reveal TMSTz's dual redox‐active centers enable spontaneous HF conversion, water sequestration and TM removal, while forming LiF‐rich, ion‐conductive solid‐electrolyte interphases. NCM811/graphite pouch cells with TMSTz‐regenerated electrolytes achieve 81.2% capacity retention after 500 cycles at 1C, alongside suppressed thermal runaway and dendrite‐free Li plating. This atomic‐to‐system design establishes a scalable paradigm for closed‐loop electrolyte upcycling, bridging resource sustainability and high‐performance LIBs.</w:t>
      </w:r>
    </w:p>
    <w:p>
      <w:pPr>
        <w:spacing w:before="120" w:after="120"/>
      </w:pPr>
      <w:r>
        <w:rPr>
          <w:sz w:val="18"/>
        </w:rPr>
        <w:t>——————————————————————————————————————————————————————————————————————</w:t>
      </w:r>
    </w:p>
    <w:p>
      <w:pPr>
        <w:spacing w:before="160" w:after="80" w:line="240" w:lineRule="auto"/>
      </w:pPr>
      <w:r>
        <w:rPr>
          <w:b/>
        </w:rPr>
        <w:t xml:space="preserve">[769] </w:t>
      </w:r>
      <w:hyperlink r:id="rId1276">
        <w:r>
          <w:rPr>
            <w:color w:val="1155CC"/>
            <w:u w:val="single"/>
          </w:rPr>
          <w:t>Dynamic Geminal‐Atom Coordination for Highly Efficient Photo‐Fenton Catalysis</w:t>
        </w:r>
      </w:hyperlink>
    </w:p>
    <w:p>
      <w:pPr>
        <w:spacing w:before="0" w:after="120" w:line="240" w:lineRule="auto"/>
      </w:pPr>
      <w:r>
        <w:rPr>
          <w:b/>
        </w:rPr>
        <w:t xml:space="preserve">Source: </w:t>
      </w:r>
      <w:r>
        <w:t>Wiley: Advanced Materials: Table of Contents</w:t>
      </w:r>
      <w:r>
        <w:t xml:space="preserve">    </w:t>
      </w:r>
      <w:r>
        <w:rPr>
          <w:b/>
        </w:rPr>
        <w:t xml:space="preserve">Pub date: </w:t>
      </w:r>
      <w:r>
        <w:t>2025-12-20 06:47:22+00:00</w:t>
      </w:r>
      <w:r>
        <w:t xml:space="preserve">    </w:t>
      </w:r>
      <w:r>
        <w:rPr>
          <w:b/>
        </w:rPr>
        <w:t xml:space="preserve">DOI: </w:t>
      </w:r>
      <w:hyperlink r:id="rId1277">
        <w:r>
          <w:rPr>
            <w:color w:val="1155CC"/>
            <w:u w:val="single"/>
          </w:rPr>
          <w:t>10.1002/adma.202518940</w:t>
        </w:r>
      </w:hyperlink>
    </w:p>
    <w:p>
      <w:pPr>
        <w:spacing w:before="0" w:after="120"/>
      </w:pPr>
      <w:r>
        <w:rPr>
          <w:b/>
        </w:rPr>
        <w:t xml:space="preserve">Notes: </w:t>
      </w:r>
      <w:r>
        <w:t>abstract_source=crossref</w:t>
      </w:r>
    </w:p>
    <w:p>
      <w:pPr>
        <w:spacing w:before="0" w:after="200" w:lineRule="auto" w:line="276"/>
      </w:pPr>
      <w:r>
        <w:rPr>
          <w:b/>
        </w:rPr>
        <w:t xml:space="preserve">Abstract: </w:t>
      </w:r>
      <w:r>
        <w:t>Understanding and leveraging non‐reactive species in natural environments to modulate the active centers of geminal‐atom catalysts (GACs) is crucial for enhancing their catalytic performance. Here, we develop a two‐coordinated copper geminal‐atom catalyst and reveal that the ubiquitous yet inert carbonate ions (CO</w:t>
      </w:r>
      <w:r>
        <w:rPr>
          <w:vertAlign w:val="subscript"/>
        </w:rPr>
        <w:t>3</w:t>
      </w:r>
      <w:r>
        <w:t>2−</w:t>
      </w:r>
      <w:r>
        <w:t>) in seawater dynamically reorganize the coordination environment of active copper sites, thereby enhancing photo‐Fenton reactivity. Control experiments, in situ spectroscopy and theoretical modeling demonstrate that CO</w:t>
      </w:r>
      <w:r>
        <w:rPr>
          <w:vertAlign w:val="subscript"/>
        </w:rPr>
        <w:t>3</w:t>
      </w:r>
      <w:r>
        <w:t>2−</w:t>
      </w:r>
      <w:r>
        <w:t>induces reversible coordination transformations that modulate the electronic structure and facilitate interfacial charge transfer, resulting in a 17‐fold increase in hydroxyl radical production. This effect enables efficient degradation of diverse marine pollutants, including effective</w:t>
      </w:r>
      <w:r>
        <w:t xml:space="preserve"> </w:t>
      </w:r>
      <w:r>
        <w:t>Chlorella</w:t>
      </w:r>
      <w:r>
        <w:t xml:space="preserve"> </w:t>
      </w:r>
      <w:r>
        <w:t>decomposition under natural sunlight. Life‐cycle and technoeconomic assessments further demonstrate the environmental benefits and economic feasibility of this approach. Overall, this work establishes a generalizable strategy for active geminal‐atom catalysts via environmentally abundant species, offering mechanistic insights and scalable pathways toward large‐scale and sustainable aquatic pollution remediation.</w:t>
      </w:r>
    </w:p>
    <w:p>
      <w:pPr>
        <w:spacing w:before="120" w:after="120"/>
      </w:pPr>
      <w:r>
        <w:rPr>
          <w:sz w:val="18"/>
        </w:rPr>
        <w:t>——————————————————————————————————————————————————————————————————————</w:t>
      </w:r>
    </w:p>
    <w:p>
      <w:pPr>
        <w:spacing w:before="160" w:after="80" w:line="240" w:lineRule="auto"/>
      </w:pPr>
      <w:r>
        <w:rPr>
          <w:b/>
        </w:rPr>
        <w:t xml:space="preserve">[770] </w:t>
      </w:r>
      <w:hyperlink r:id="rId1278">
        <w:r>
          <w:rPr>
            <w:color w:val="1155CC"/>
            <w:u w:val="single"/>
          </w:rPr>
          <w:t>Liquid Metal Microrobots for Magnetically Guided Transvascular Navigation</w:t>
        </w:r>
      </w:hyperlink>
    </w:p>
    <w:p>
      <w:pPr>
        <w:spacing w:before="0" w:after="120" w:line="240" w:lineRule="auto"/>
      </w:pPr>
      <w:r>
        <w:rPr>
          <w:b/>
        </w:rPr>
        <w:t xml:space="preserve">Source: </w:t>
      </w:r>
      <w:r>
        <w:t>Wiley: Advanced Materials: Table of Contents</w:t>
      </w:r>
      <w:r>
        <w:t xml:space="preserve">    </w:t>
      </w:r>
      <w:r>
        <w:rPr>
          <w:b/>
        </w:rPr>
        <w:t xml:space="preserve">Pub date: </w:t>
      </w:r>
      <w:r>
        <w:t>2025-12-20 06:48:41+00:00</w:t>
      </w:r>
      <w:r>
        <w:t xml:space="preserve">    </w:t>
      </w:r>
      <w:r>
        <w:rPr>
          <w:b/>
        </w:rPr>
        <w:t xml:space="preserve">DOI: </w:t>
      </w:r>
      <w:hyperlink r:id="rId1279">
        <w:r>
          <w:rPr>
            <w:color w:val="1155CC"/>
            <w:u w:val="single"/>
          </w:rPr>
          <w:t>10.1002/adma.202518382</w:t>
        </w:r>
      </w:hyperlink>
    </w:p>
    <w:p>
      <w:pPr>
        <w:spacing w:before="0" w:after="120"/>
      </w:pPr>
      <w:r>
        <w:rPr>
          <w:b/>
        </w:rPr>
        <w:t xml:space="preserve">Notes: </w:t>
      </w:r>
      <w:r>
        <w:t>abstract_source=crossref</w:t>
      </w:r>
    </w:p>
    <w:p>
      <w:pPr>
        <w:spacing w:before="0" w:after="200" w:lineRule="auto" w:line="276"/>
      </w:pPr>
      <w:r>
        <w:rPr>
          <w:b/>
        </w:rPr>
        <w:t xml:space="preserve">Abstract: </w:t>
      </w:r>
      <w:r>
        <w:t>Soft microrobots, compared with their rigid counterparts, offer superior adaptability in dynamic and confined biological environments. Here, magnetically‐guided liquid metal microrobots composed of gallium‐indium alloys embedded with Fe nanoparticles are introduced. The unique combination of magnetic maneuverability, high surface tension, intrinsic radiopacity, and deformability allows liquid metal‐based microbots to overcome limitations of both hard microrobots and fragile droplet‐based systems. Under magnetic actuation, liquid metal‐based magnetic microrobots exhibit controllable rolling and upstream locomotion resembling neutrophil‐like navigation, enabling precise maneuvering even against physiological flow. Bridging in vitro with in vivo experiments, quail egg chorioallantoic membrane models are used to demonstrate guided transport of these microrobots through blood vessels, accumulation at tumor xenografts, and migration within subcutaneous tissues. Moreover, their strong X‐ray visibility enables real‐time fluoroscopic tracking, validated in porcine heart vasculature. Importantly, liquid metal‐based magnetic microbots can cross endothelial barriers in a vascular flow‐on‐a‐chip platform, while maintaining endothelial biocompatibility. By integrating deformability, magnetic steerability, and imaging visibility, liquid metal‐based microrobots establish a powerful platform for minimally invasive transvascular navigation. This work highlights the potential of liquid metal‐based magnetic microrobots for targeted drug delivery, image‐guided therapy, and intelligent biomedical interventions.</w:t>
      </w:r>
    </w:p>
    <w:p>
      <w:pPr>
        <w:spacing w:before="120" w:after="120"/>
      </w:pPr>
      <w:r>
        <w:rPr>
          <w:sz w:val="18"/>
        </w:rPr>
        <w:t>——————————————————————————————————————————————————————————————————————</w:t>
      </w:r>
    </w:p>
    <w:p>
      <w:pPr>
        <w:spacing w:before="160" w:after="80" w:line="240" w:lineRule="auto"/>
      </w:pPr>
      <w:r>
        <w:rPr>
          <w:b/>
        </w:rPr>
        <w:t xml:space="preserve">[771] </w:t>
      </w:r>
      <w:hyperlink r:id="rId1280">
        <w:r>
          <w:rPr>
            <w:color w:val="1155CC"/>
            <w:u w:val="single"/>
          </w:rPr>
          <w:t>Diazirines Beyond Photoaffinity Labeling: A Comprehensive Overview of Applications in Biological Sciences, Materials Chemistry, and NMR‐Spectroscopy</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2025-12-20 06:49:35+00:00</w:t>
      </w:r>
      <w:r>
        <w:t xml:space="preserve">    </w:t>
      </w:r>
      <w:r>
        <w:rPr>
          <w:b/>
        </w:rPr>
        <w:t xml:space="preserve">DOI: </w:t>
      </w:r>
      <w:hyperlink r:id="rId1281">
        <w:r>
          <w:rPr>
            <w:color w:val="1155CC"/>
            <w:u w:val="single"/>
          </w:rPr>
          <w:t>10.1002/anie.202514105</w:t>
        </w:r>
      </w:hyperlink>
    </w:p>
    <w:p>
      <w:pPr>
        <w:spacing w:before="0" w:after="120"/>
      </w:pPr>
      <w:r>
        <w:rPr>
          <w:b/>
        </w:rPr>
        <w:t xml:space="preserve">Notes: </w:t>
      </w:r>
      <w:r>
        <w:t>abstract_source=crossref</w:t>
      </w:r>
    </w:p>
    <w:p>
      <w:pPr>
        <w:spacing w:before="0" w:after="200" w:lineRule="auto" w:line="276"/>
      </w:pPr>
      <w:r>
        <w:rPr>
          <w:b/>
        </w:rPr>
        <w:t xml:space="preserve">Abstract: </w:t>
      </w:r>
      <w:r>
        <w:t>Diazirines are well‐known for their role in photoaffinity labeling (PAL) probes, acting as reactive groups to fish out proteins for drug target identification or tag installation. Their key asset lies in the precise activation through UV light, heat, or voltage, and in the ability to covalently bind to organic materials. However, the versatility of diazirines extends beyond this application. It was demonstrated that diazirines act as diverse entities, functioning as bridging units to connect different materials or reinforce polymers for applications such as bulletproof armor. Some facilitate blending of non‐mixable polymers, allowing the disassembly for recycling. Others serve as glues, aiding wound healing, or immobilize molecules on surfaces, creating new material and surface properties. Some contribute to the fabrication of elastic electronic materials, and others function as magnetic resonance imaging (MRI) biolabels without the need for a “conventional hook function.” This review intends to showcase diazirines beyond PAL and provide an overview of these applications, often combined across different fields. In this regard, the chemistry of diazirines demonstrates how different disciplines draw inspiration from one another, disclosing exciting new methodologies. This review intends to inspire the development of further innovative methods and applications.</w:t>
      </w:r>
    </w:p>
    <w:p>
      <w:pPr>
        <w:spacing w:before="120" w:after="120"/>
      </w:pPr>
      <w:r>
        <w:rPr>
          <w:sz w:val="18"/>
        </w:rPr>
        <w:t>——————————————————————————————————————————————————————————————————————</w:t>
      </w:r>
    </w:p>
    <w:p>
      <w:pPr>
        <w:spacing w:before="160" w:after="80" w:line="240" w:lineRule="auto"/>
      </w:pPr>
      <w:r>
        <w:rPr>
          <w:b/>
        </w:rPr>
        <w:t xml:space="preserve">[772] </w:t>
      </w:r>
      <w:hyperlink r:id="rId1282">
        <w:r>
          <w:rPr>
            <w:color w:val="1155CC"/>
            <w:u w:val="single"/>
          </w:rPr>
          <w:t>Opportunities of Semiconducting Oxide Nanostructures as Advanced Luminescent Materials in Photonics</w:t>
        </w:r>
      </w:hyperlink>
    </w:p>
    <w:p>
      <w:pPr>
        <w:spacing w:before="0" w:after="120" w:line="240" w:lineRule="auto"/>
      </w:pPr>
      <w:r>
        <w:rPr>
          <w:b/>
        </w:rPr>
        <w:t xml:space="preserve">Source: </w:t>
      </w:r>
      <w:r>
        <w:t>Wiley: Advanced Materials: Table of Contents</w:t>
      </w:r>
      <w:r>
        <w:t xml:space="preserve">    </w:t>
      </w:r>
      <w:r>
        <w:rPr>
          <w:b/>
        </w:rPr>
        <w:t xml:space="preserve">Pub date: </w:t>
      </w:r>
      <w:r>
        <w:t>2025-12-20 06:53:46+00:00</w:t>
      </w:r>
      <w:r>
        <w:t xml:space="preserve">    </w:t>
      </w:r>
      <w:r>
        <w:rPr>
          <w:b/>
        </w:rPr>
        <w:t xml:space="preserve">DOI: </w:t>
      </w:r>
      <w:hyperlink r:id="rId1283">
        <w:r>
          <w:rPr>
            <w:color w:val="1155CC"/>
            <w:u w:val="single"/>
          </w:rPr>
          <w:t>10.1002/adma.202512456</w:t>
        </w:r>
      </w:hyperlink>
    </w:p>
    <w:p>
      <w:pPr>
        <w:spacing w:before="0" w:after="120"/>
      </w:pPr>
      <w:r>
        <w:rPr>
          <w:b/>
        </w:rPr>
        <w:t xml:space="preserve">Notes: </w:t>
      </w:r>
      <w:r>
        <w:t>abstract_source=crossref</w:t>
      </w:r>
    </w:p>
    <w:p>
      <w:pPr>
        <w:spacing w:before="0" w:after="200" w:lineRule="auto" w:line="276"/>
      </w:pPr>
      <w:r>
        <w:rPr>
          <w:b/>
        </w:rPr>
        <w:t xml:space="preserve">Abstract: </w:t>
      </w:r>
      <w:r>
        <w:t>The luminescence properties of semiconductors are key to the development of photonics. In recent years, the targeted semiconductor materials have shifted from narrow‐bandgap to wide‐ and ultra‐wide‐bandgap ones, which means spanning the domains of operation for devices beyond those possible with conventional semiconductors in the fields of high‐power devices and deep‐ultraviolet photodetectors. Furthermore, materials nanostructures with one or more dimensions at the nanoscale drive additional novelties in their optical properties, boosting innovative features. The next step in advanced materials necessarily goes through the quantum – photonic link, in which electromagnetic waves and electronic quantum states display all possible degrees of freedom. To achieve effective advances in this field, both innovative research in materials science and the development of suitable strategies to assess the quantum signatures in the material systems under study are required. This work reviews the fascinating light emission and confinement in wide and ultra‐wide bandgap semiconducting oxides of technological interest in nanostructured form, focusing on their luminescence and the key role they can play in future quantum photonic technologies, such as single photon sources and quantum sensing. Finally, an outlook on future avenues in research is outlined.</w:t>
      </w:r>
    </w:p>
    <w:p>
      <w:pPr>
        <w:spacing w:before="120" w:after="120"/>
      </w:pPr>
      <w:r>
        <w:rPr>
          <w:sz w:val="18"/>
        </w:rPr>
        <w:t>——————————————————————————————————————————————————————————————————————</w:t>
      </w:r>
    </w:p>
    <w:p>
      <w:pPr>
        <w:spacing w:before="160" w:after="80" w:line="240" w:lineRule="auto"/>
      </w:pPr>
      <w:r>
        <w:rPr>
          <w:b/>
        </w:rPr>
        <w:t xml:space="preserve">[773] </w:t>
      </w:r>
      <w:hyperlink r:id="rId1284">
        <w:r>
          <w:rPr>
            <w:color w:val="1155CC"/>
            <w:u w:val="single"/>
          </w:rPr>
          <w:t>Engineering Intralayer Anisotropy in Covalent Organic Frameworks</w:t>
        </w:r>
      </w:hyperlink>
    </w:p>
    <w:p>
      <w:pPr>
        <w:spacing w:before="0" w:after="120" w:line="240" w:lineRule="auto"/>
      </w:pPr>
      <w:r>
        <w:rPr>
          <w:b/>
        </w:rPr>
        <w:t xml:space="preserve">Source: </w:t>
      </w:r>
      <w:r>
        <w:t>Wiley: Angewandte Chemie International Edition: Table of Contents</w:t>
      </w:r>
      <w:r>
        <w:t xml:space="preserve">    </w:t>
      </w:r>
      <w:r>
        <w:rPr>
          <w:b/>
        </w:rPr>
        <w:t xml:space="preserve">Pub date: </w:t>
      </w:r>
      <w:r>
        <w:t>2025-12-20 06:55:41+00:00</w:t>
      </w:r>
      <w:r>
        <w:t xml:space="preserve">    </w:t>
      </w:r>
      <w:r>
        <w:rPr>
          <w:b/>
        </w:rPr>
        <w:t xml:space="preserve">DOI: </w:t>
      </w:r>
      <w:hyperlink r:id="rId1285">
        <w:r>
          <w:rPr>
            <w:color w:val="1155CC"/>
            <w:u w:val="single"/>
          </w:rPr>
          <w:t>10.1002/anie.202522512</w:t>
        </w:r>
      </w:hyperlink>
    </w:p>
    <w:p>
      <w:pPr>
        <w:spacing w:before="0" w:after="120"/>
      </w:pPr>
      <w:r>
        <w:rPr>
          <w:b/>
        </w:rPr>
        <w:t xml:space="preserve">Notes: </w:t>
      </w:r>
      <w:r>
        <w:t>abstract_source=crossref</w:t>
      </w:r>
    </w:p>
    <w:p>
      <w:pPr>
        <w:spacing w:before="0" w:after="200" w:lineRule="auto" w:line="276"/>
      </w:pPr>
      <w:r>
        <w:rPr>
          <w:b/>
        </w:rPr>
        <w:t xml:space="preserve">Abstract: </w:t>
      </w:r>
      <w:r>
        <w:t>Precise control of intralayer anisotropy in two‐dimensional covalent organic frameworks (COFs) remains a significant challenge in materials design. We address this through a mixed‐linker strategy using 8‐connected pyrene and triphenylamine monomers with 4‐connected ETTA to form 1D nanoribbons. These ribbons are longitudinally stitched by diamines of programmable lengths, enabling precise in‐plane anisotropy tuning. Shortening the linkers from biphenyl to phenyl (T‐COF‐2 → T‐COF‐1) induces compressive strain within the π‐conjugated backbone, enhancing π‐electron delocalization and boosting photogenerated charge carrier mobility by over fourfold. Consequently, T‐COF‐1 achieves a 93.81% conversion efficiency in visible‐light‐driven NADH (nicotinamide adenine dinucleotide) oxidation—a 4.26‐fold enhancement over T‐COF‐2—along with a 1.41% apparent quantum yield at 420 nm. Remarkably, T‐COF‐1 retains substantial activity under 650 nm near‐infrared light (14.67% conversion, 0.11% quantum yield), highlighting its potential for photodynamic therapy. This work establishes interchain covalent proximity as a design principle for rationally engineering high‐performance COF photocatalysts, with broad implications for solar energy conversion and biomedical applications.</w:t>
      </w:r>
    </w:p>
    <w:p>
      <w:pPr>
        <w:spacing w:before="120" w:after="120"/>
      </w:pPr>
      <w:r>
        <w:rPr>
          <w:sz w:val="18"/>
        </w:rPr>
        <w:t>——————————————————————————————————————————————————————————————————————</w:t>
      </w:r>
    </w:p>
    <w:p>
      <w:pPr>
        <w:spacing w:before="160" w:after="80" w:line="240" w:lineRule="auto"/>
      </w:pPr>
      <w:r>
        <w:rPr>
          <w:b/>
        </w:rPr>
        <w:t xml:space="preserve">[774] </w:t>
      </w:r>
      <w:hyperlink r:id="rId1286">
        <w:r>
          <w:rPr>
            <w:color w:val="1155CC"/>
            <w:u w:val="single"/>
          </w:rPr>
          <w:t>Resonant Interlayer Coupling in NbSe2‐Graphite Epitaxial Moiré Superlattices</w:t>
        </w:r>
      </w:hyperlink>
    </w:p>
    <w:p>
      <w:pPr>
        <w:spacing w:before="0" w:after="120" w:line="240" w:lineRule="auto"/>
      </w:pPr>
      <w:r>
        <w:rPr>
          <w:b/>
        </w:rPr>
        <w:t xml:space="preserve">Source: </w:t>
      </w:r>
      <w:r>
        <w:t>Wiley: Advanced Materials: Table of Contents</w:t>
      </w:r>
      <w:r>
        <w:t xml:space="preserve">    </w:t>
      </w:r>
      <w:r>
        <w:rPr>
          <w:b/>
        </w:rPr>
        <w:t xml:space="preserve">Pub date: </w:t>
      </w:r>
      <w:r>
        <w:t>2025-12-20 06:56:21+00:00</w:t>
      </w:r>
      <w:r>
        <w:t xml:space="preserve">    </w:t>
      </w:r>
      <w:r>
        <w:rPr>
          <w:b/>
        </w:rPr>
        <w:t xml:space="preserve">DOI: </w:t>
      </w:r>
      <w:hyperlink r:id="rId1287">
        <w:r>
          <w:rPr>
            <w:color w:val="1155CC"/>
            <w:u w:val="single"/>
          </w:rPr>
          <w:t>10.1002/adma.202511262</w:t>
        </w:r>
      </w:hyperlink>
    </w:p>
    <w:p>
      <w:pPr>
        <w:spacing w:before="0" w:after="120"/>
      </w:pPr>
      <w:r>
        <w:rPr>
          <w:b/>
        </w:rPr>
        <w:t xml:space="preserve">Notes: </w:t>
      </w:r>
      <w:r>
        <w:t>abstract_source=crossref</w:t>
      </w:r>
    </w:p>
    <w:p>
      <w:pPr>
        <w:spacing w:before="0" w:after="200" w:lineRule="auto" w:line="276"/>
      </w:pPr>
      <w:r>
        <w:rPr>
          <w:b/>
        </w:rPr>
        <w:t xml:space="preserve">Abstract: </w:t>
      </w:r>
      <w:r>
        <w:t>Moiré heterostructures, created by stacking 2D materials together with a finite lattice mismatch or rotational twist, represent a new frontier of designer quantum materials. Typically, however, this requires the painstaking manual assembly of heterostructures formed from exfoliated materials. Here, clear spectroscopic signatures of moiré lattice formation in epitaxial heterostructures of monolayer (ML) NbSe</w:t>
      </w:r>
      <w:r>
        <w:rPr>
          <w:vertAlign w:val="subscript"/>
        </w:rPr>
        <w:t>2</w:t>
      </w:r>
      <w:r>
        <w:t>grown on graphite substrates are observed. Angle‐resolved photoemission measurements and theoretical calculations of the resulting electronic structure reveal moiré replicas of the graphite π states forming pairs of interlocking Dirac cones. Interestingly, these intersect the NbSe</w:t>
      </w:r>
      <w:r>
        <w:rPr>
          <w:vertAlign w:val="subscript"/>
        </w:rPr>
        <w:t>2</w:t>
      </w:r>
      <w:r>
        <w:t>Fermi surface at the ‐space locations where NbSe</w:t>
      </w:r>
      <w:r>
        <w:rPr>
          <w:vertAlign w:val="subscript"/>
        </w:rPr>
        <w:t>2</w:t>
      </w:r>
      <w:r>
        <w:t>'s charge‐density wave (CDW) gap is maximal in the bulk. This provides a natural route to understand the lack of CDW enhancement for ML‐NbSe</w:t>
      </w:r>
      <w:r>
        <w:rPr>
          <w:vertAlign w:val="subscript"/>
        </w:rPr>
        <w:t>2</w:t>
      </w:r>
      <w:r>
        <w:t>/graphene as compared to a more than fourfold enhancement for NbSe</w:t>
      </w:r>
      <w:r>
        <w:rPr>
          <w:vertAlign w:val="subscript"/>
        </w:rPr>
        <w:t>2</w:t>
      </w:r>
      <w:r>
        <w:t>on insulating support substrates, and opens new prospects for using moiré engineering for controlling the collective states of 2D materials.</w:t>
      </w:r>
    </w:p>
    <w:p>
      <w:pPr>
        <w:spacing w:before="120" w:after="120"/>
      </w:pPr>
      <w:r>
        <w:rPr>
          <w:sz w:val="18"/>
        </w:rPr>
        <w:t>——————————————————————————————————————————————————————————————————————</w:t>
      </w:r>
    </w:p>
    <w:p>
      <w:pPr>
        <w:spacing w:before="160" w:after="80" w:line="240" w:lineRule="auto"/>
      </w:pPr>
      <w:r>
        <w:rPr>
          <w:b/>
        </w:rPr>
        <w:t xml:space="preserve">[775] </w:t>
      </w:r>
      <w:hyperlink r:id="rId1288">
        <w:r>
          <w:rPr>
            <w:color w:val="1155CC"/>
            <w:u w:val="single"/>
          </w:rPr>
          <w:t>[ASAP] Conserved Transmembrane Asparagine Is Essential for the Ion-Conducting Structure and Dynamics of the SARS-CoV-2 Envelope Protein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2025-12-20 14:20:20+00:00</w:t>
      </w:r>
      <w:r>
        <w:t xml:space="preserve">    </w:t>
      </w:r>
      <w:r>
        <w:rPr>
          <w:b/>
        </w:rPr>
        <w:t xml:space="preserve">DOI: </w:t>
      </w:r>
      <w:hyperlink r:id="rId1289">
        <w:r>
          <w:rPr>
            <w:color w:val="1155CC"/>
            <w:u w:val="single"/>
          </w:rPr>
          <w:t>10.1021/jacs.5c18146</w:t>
        </w:r>
      </w:hyperlink>
    </w:p>
    <w:p>
      <w:pPr>
        <w:spacing w:before="0" w:after="120"/>
      </w:pPr>
      <w:r>
        <w:rPr>
          <w:b/>
        </w:rPr>
        <w:t xml:space="preserve">Notes: </w:t>
      </w:r>
      <w:r>
        <w:t>abstract_source=openalex</w:t>
      </w:r>
    </w:p>
    <w:p>
      <w:pPr>
        <w:spacing w:before="0" w:after="200" w:lineRule="auto" w:line="276"/>
      </w:pPr>
      <w:r>
        <w:rPr>
          <w:b/>
        </w:rPr>
        <w:t xml:space="preserve">Abstract: </w:t>
      </w:r>
      <w:r>
        <w:t>The envelope (E) protein of the SARS coronavirus forms a pathogenic cation-selective channel across intracellular membranes. The ion-conduction mechanism of the hydrophobic transmembrane domain of the protein, ETM, has been elusive despite recent determination of its high-resolution structures in the closed and open states. Here, we investigate the structural mechanism of SARS ETM by mutating two residues, T11 and N15. T11A is the second most common mutation in Omicron variants and has attenuated channel activity and cell lethality compared to wild-type ETM, whereas the N15A mutant is absent from SARS-CoV-2 variants and is non-conducting. Using solid-state NMR spectroscopy, we measured the conformation, dynamics, water accessibility, and membrane insertion of these two mutants in cholesterol-containing lipid bilayers that mimic the cell membrane in which E is localized during virus assembly. We found that the T11A mutation caused minimal perturbation to the protein structure but decreased its thermostability. In contrast, the N15A mutation caused large-scale conformational changes to the protein, rigidified the N-terminal segment, and mobilized and disordered the C-terminal segment. These data indicate that this asparagine, conserved across E proteins of many coronaviruses, is essential for the assembly of the transmembrane helical bundle and for the conformational dynamics of the protein. Together with previous findings about wild-type ETM, we propose a transporter model for the SARS E protein where the N- and C-terminal polar segments couple allosterically through the conserved asparagine to achieve the proper helical packing and conformational dynamics for cation conduction.</w:t>
      </w:r>
    </w:p>
    <w:p>
      <w:pPr>
        <w:spacing w:before="120" w:after="120"/>
      </w:pPr>
      <w:r>
        <w:rPr>
          <w:sz w:val="18"/>
        </w:rPr>
        <w:t>——————————————————————————————————————————————————————————————————————</w:t>
      </w:r>
    </w:p>
    <w:p>
      <w:pPr>
        <w:spacing w:before="160" w:after="80" w:line="240" w:lineRule="auto"/>
      </w:pPr>
      <w:r>
        <w:rPr>
          <w:b/>
        </w:rPr>
        <w:t xml:space="preserve">[776] </w:t>
      </w:r>
      <w:hyperlink r:id="rId1290">
        <w:r>
          <w:rPr>
            <w:color w:val="1155CC"/>
            <w:u w:val="single"/>
          </w:rPr>
          <w:t>[ASAP] Deep Learning Guided Exploration of Transition Metal Oxide Catalysts in Acetylene Selective Hydrogenation</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2025-12-20 15:02:38+00:00</w:t>
      </w:r>
      <w:r>
        <w:t xml:space="preserve">    </w:t>
      </w:r>
      <w:r>
        <w:rPr>
          <w:b/>
        </w:rPr>
        <w:t xml:space="preserve">DOI: </w:t>
      </w:r>
      <w:hyperlink r:id="rId1291">
        <w:r>
          <w:rPr>
            <w:color w:val="1155CC"/>
            <w:u w:val="single"/>
          </w:rPr>
          <w:t>10.1021/jacs.5c16333</w:t>
        </w:r>
      </w:hyperlink>
    </w:p>
    <w:p>
      <w:pPr>
        <w:spacing w:before="0" w:after="120"/>
      </w:pPr>
      <w:r>
        <w:rPr>
          <w:b/>
        </w:rPr>
        <w:t xml:space="preserve">Notes: </w:t>
      </w:r>
      <w:r>
        <w:t>abstract_source=openalex</w:t>
      </w:r>
    </w:p>
    <w:p>
      <w:pPr>
        <w:spacing w:before="0" w:after="200" w:lineRule="auto" w:line="276"/>
      </w:pPr>
      <w:r>
        <w:rPr>
          <w:b/>
        </w:rPr>
        <w:t xml:space="preserve">Abstract: </w:t>
      </w:r>
      <w:r>
        <w:t>The development of empirical materials, hindered by the complex interplay between material properties and reaction mechanisms, typically necessitates an extensive trial-and-error process to identify optimal catalysts. In our study, we integrate density functional theory (DFT) predictions to generate mappings of electronic and molecular adsorption properties, which are then employed to identify novel materials using deep learning algorithms. These newly identified materials were synthesized and assessed for their catalytic performance in the selective hydrogenation of acetylene. Notably, CuTiO&lt;sub&gt;3&lt;/sub&gt; catalysts demonstrated exceptional performance, achieving acetylene conversion exceeding 99% and ethylene selectivity greater than 99% at a relatively low temperature of 75 °C. Additionally, CuO-doped TiO&lt;sub&gt;2&lt;/sub&gt; was observed to form strong acetylene adsorption sites and weaker ethylene adsorption sites (Cu-O-Ti). The p-π hybridized coupling between the oxygen p-orbitals and the π-electrons of acetylene in the Cu-O-Ti structure was found to play a critical role in facilitating the conversion of acetylene to ethylene.</w:t>
      </w:r>
    </w:p>
    <w:p>
      <w:pPr>
        <w:spacing w:before="120" w:after="120"/>
      </w:pPr>
      <w:r>
        <w:rPr>
          <w:sz w:val="18"/>
        </w:rPr>
        <w:t>——————————————————————————————————————————————————————————————————————</w:t>
      </w:r>
    </w:p>
    <w:p>
      <w:pPr>
        <w:spacing w:before="160" w:after="80" w:line="240" w:lineRule="auto"/>
      </w:pPr>
      <w:r>
        <w:rPr>
          <w:b/>
        </w:rPr>
        <w:t xml:space="preserve">[777] </w:t>
      </w:r>
      <w:hyperlink r:id="rId1292">
        <w:r>
          <w:rPr>
            <w:color w:val="1155CC"/>
            <w:u w:val="single"/>
          </w:rPr>
          <w:t>[ASAP] Interpreting X-ray Diffraction Patterns of Metal–Organic Frameworks via Generative Artificial Intelligence</w:t>
        </w:r>
      </w:hyperlink>
    </w:p>
    <w:p>
      <w:pPr>
        <w:spacing w:before="0" w:after="120" w:line="240" w:lineRule="auto"/>
      </w:pPr>
      <w:r>
        <w:rPr>
          <w:b/>
        </w:rPr>
        <w:t xml:space="preserve">Source: </w:t>
      </w:r>
      <w:r>
        <w:t>Journal of the American Chemical Society: Latest Articles (ACS Publications)</w:t>
      </w:r>
      <w:r>
        <w:t xml:space="preserve">    </w:t>
      </w:r>
      <w:r>
        <w:rPr>
          <w:b/>
        </w:rPr>
        <w:t xml:space="preserve">Pub date: </w:t>
      </w:r>
      <w:r>
        <w:t>2025-12-20 15:03:45+00:00</w:t>
      </w:r>
      <w:r>
        <w:t xml:space="preserve">    </w:t>
      </w:r>
      <w:r>
        <w:rPr>
          <w:b/>
        </w:rPr>
        <w:t xml:space="preserve">DOI: </w:t>
      </w:r>
      <w:hyperlink r:id="rId1293">
        <w:r>
          <w:rPr>
            <w:color w:val="1155CC"/>
            <w:u w:val="single"/>
          </w:rPr>
          <w:t>10.1021/jacs.5c16416</w:t>
        </w:r>
      </w:hyperlink>
    </w:p>
    <w:p>
      <w:pPr>
        <w:spacing w:before="0" w:after="120"/>
      </w:pPr>
      <w:r>
        <w:rPr>
          <w:b/>
        </w:rPr>
        <w:t xml:space="preserve">Notes: </w:t>
      </w:r>
      <w:r>
        <w:t>abstract_source=openalex</w:t>
      </w:r>
    </w:p>
    <w:p>
      <w:pPr>
        <w:spacing w:before="0" w:after="200" w:lineRule="auto" w:line="276"/>
      </w:pPr>
      <w:r>
        <w:rPr>
          <w:b/>
        </w:rPr>
        <w:t xml:space="preserve">Abstract: </w:t>
      </w:r>
      <w:r>
        <w:t>Metal-organic frameworks (MOFs) have attracted considerable attention owing to their multifaceted applications and structurally tunable characteristics. Powder X-ray diffraction (XRD) is an essential technique for high-throughput characterization of MOFs. However, it remains challenging to automatically interpret the XRD data due to the diversity and complexity of the geometric structures of MOFs. Herein, we propose a generative artificial intelligence framework based on the Stable-Diffusion architecture for deciphering the structures of MOFs from powder XRD patterns. This model, named as Xrd2Mof, has incorporated domain-specific knowledge by using a coarse-grained representation scheme, which leads to an accuracy of over 93% in identifying the ground truth MOF structure corresponding to the targeted XRD pattern. Xrd2Mof can be directly applied to a diverse range of MOF structures that cover nearly all types of framework topologies, thereby establishing a novel technological avenue for automated structural analysis of MOFs in self-driving laboratories.</w:t>
      </w:r>
    </w:p>
    <w:p>
      <w:pPr>
        <w:spacing w:before="120" w:after="120"/>
      </w:pPr>
      <w:r>
        <w:rPr>
          <w:sz w:val="18"/>
        </w:rPr>
        <w:t>——————————————————————————————————————————————————————————————————————</w:t>
      </w:r>
    </w:p>
    <w:p>
      <w:pPr>
        <w:spacing w:before="160" w:after="80" w:line="240" w:lineRule="auto"/>
      </w:pPr>
      <w:r>
        <w:rPr>
          <w:b/>
        </w:rPr>
        <w:t xml:space="preserve">[778] </w:t>
      </w:r>
      <w:hyperlink r:id="rId1294">
        <w:r>
          <w:rPr>
            <w:color w:val="1155CC"/>
            <w:u w:val="single"/>
          </w:rPr>
          <w:t>Neoadjuvant serplulimab combined with chemotherapy for resectable oesophageal squamous cell carcinoma: a single-arm, phase 2 trial</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In this phase 2 trial, patients diagnosed with locally advanced oesophageal squamous cell carcinoma underwent three cycles of neoadjuvant therapy comprising serplulimab, carboplatin, and albumin paclitaxel. The primary endpoint was the pathological complete response assessed by two independent pathologists and was defined as no residual viable tumours at both the primary tumour site and all the lymph nodes. The secondary endpoints included adverse events and overall survival time. In total, 85.4% of patients experienced adverse events of any grade, and 4.2% reported Grade 3 adverse events; 45 patients underwent pathological evaluation, 14 (31.1%, 95% confidence interval, 18.2–46.6%) achieved pathological complete response, and the two-year survival rate was 88.3%. Imaging mass cytometry revealed that patients without pathological complete response presented immunosuppressive molecule expression, and expanded immunosuppressive fibroblast neighbourhoods. Here we show, serplulimab and chemotherapy are associated with modest antitumour activity and a tolerable safety profile in patients with locally advanced oesophageal squamous cell carcinoma. A phase 3 randomised trial featuring continued follow-up is essential for a formal evaluation. ClinicalTrials.gov identifier: NCT05659251.</w:t>
      </w:r>
    </w:p>
    <w:p>
      <w:pPr>
        <w:spacing w:before="120" w:after="120"/>
      </w:pPr>
      <w:r>
        <w:rPr>
          <w:sz w:val="18"/>
        </w:rPr>
        <w:t>——————————————————————————————————————————————————————————————————————</w:t>
      </w:r>
    </w:p>
    <w:p>
      <w:pPr>
        <w:spacing w:before="160" w:after="80" w:line="240" w:lineRule="auto"/>
      </w:pPr>
      <w:r>
        <w:rPr>
          <w:b/>
        </w:rPr>
        <w:t xml:space="preserve">[779] </w:t>
      </w:r>
      <w:hyperlink r:id="rId1295">
        <w:r>
          <w:rPr>
            <w:color w:val="1155CC"/>
            <w:u w:val="single"/>
          </w:rPr>
          <w:t>Mechanosensitive dynamics of lysosomes along microtubules regulate leader cell emergence during collective cell migration</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Collective cell migration during embryonic development, wound healing, and cancer metastasis requires the emergence of leader cells at the migration front. Despite their physiological relevance, the full mechanisms underlying the emergence of leader cells remain elusive. Here we report that leader cells display a peripheral accumulation of lysosomes in diverse model systems for wound healing, including cultured epithelial monolayer, mouse embryonic skin, and Drosophila embryos. This accumulation involves cellular contractile forces driving lysosomal transport along microtubules towards the leading edge. Indeed, we control leader cell emergence by manipulating lysosomal movement on microtubules. We further find that peripheral lysosomes associate with Rac1 molecules at the leading periphery, regulating local Rac1-activity, triggering actin polymerization and promoting lamellipodium formation. Taken together, we demonstrate that beyond their catabolic role, lysosomes act as an intracellular platform that links mechanical and biochemical signals to control the emergence of leader cells.</w:t>
      </w:r>
    </w:p>
    <w:p>
      <w:pPr>
        <w:spacing w:before="120" w:after="120"/>
      </w:pPr>
      <w:r>
        <w:rPr>
          <w:sz w:val="18"/>
        </w:rPr>
        <w:t>——————————————————————————————————————————————————————————————————————</w:t>
      </w:r>
    </w:p>
    <w:p>
      <w:pPr>
        <w:spacing w:before="160" w:after="80" w:line="240" w:lineRule="auto"/>
      </w:pPr>
      <w:r>
        <w:rPr>
          <w:b/>
        </w:rPr>
        <w:t xml:space="preserve">[780] </w:t>
      </w:r>
      <w:hyperlink r:id="rId1296">
        <w:r>
          <w:rPr>
            <w:color w:val="1155CC"/>
            <w:u w:val="single"/>
          </w:rPr>
          <w:t>Eye movements during free viewing to maximize scene understanding</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What humans look at and do when freely viewing a scene is not well understood. We measure observer eye movements under different instructions while participants view a customized set of image pairs containing small visual alterations that greatly change scene interpretation (Winograd images). We show that free-viewing fixations resemble those of observers describing scenes but differ from those of observers counting or searching for objects. Fixations are more often directed toward people and objects whose removal most alters scene interpretation, rather than toward the most salient or meaningfully judged regions (meaning maps), or objects perceived to be grasped or gazed at. Small image changes that modify scene understanding (Winograd images), but not salience or meaning maps, alter fixation patterns. By instructing observers to describe scenes while fixating on objects either relevant or irrelevant to scene understanding, we demonstrate that free-viewing eye movements are functionally important for accurate scene comprehension. Thus, an important human default task of free viewing eye movements is to comprehend scenes.</w:t>
      </w:r>
    </w:p>
    <w:p>
      <w:pPr>
        <w:spacing w:before="120" w:after="120"/>
      </w:pPr>
      <w:r>
        <w:rPr>
          <w:sz w:val="18"/>
        </w:rPr>
        <w:t>——————————————————————————————————————————————————————————————————————</w:t>
      </w:r>
    </w:p>
    <w:p>
      <w:pPr>
        <w:spacing w:before="160" w:after="80" w:line="240" w:lineRule="auto"/>
      </w:pPr>
      <w:r>
        <w:rPr>
          <w:b/>
        </w:rPr>
        <w:t xml:space="preserve">[781] </w:t>
      </w:r>
      <w:hyperlink r:id="rId1297">
        <w:r>
          <w:rPr>
            <w:color w:val="1155CC"/>
            <w:u w:val="single"/>
          </w:rPr>
          <w:t>Electrochemical dechlorination and hydrocarbon valorization by cobalt phthalocyanine with non-proton-coupled redox property</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Electrochemical dechlorination provides a sustainable method to treat chlorinated volatile organic compounds polluted water with producing value-added hydrocarbon. However, dechlorination of dichloromethane (CH2Cl2) generates *CH3 and *CH2Cl intermediates, which are highly unstable due to lack of efficient hyperconjugation from neighboring carbon sites. Herein, we report that cobalt phthalocyanine (CoPc) grafts onto sulfur-doped graphene toward efficient electrocatalysis of CH2Cl2 dechlorination at moderate potentials. It reveals that sulfoxide groups within graphene linked to Co sites by an axial coordination, resulting in an electron donation effect to decrease the barriers of elemental dechlorination step. While in situ electrochemically generates [Co1+Pc]⁻ species mediated the electron transfer from Co sites to CH2Cl2. The production rate of CH4 is significantly enhanced compares to the current level, and an additional case of producing C2H4 and C2H6 is achieved. For potential practical application, the electrochemical dechlorination of a diluted CH2Cl2 solution is validated in an electrofiltration module setup by an efficient flow-through mode.</w:t>
      </w:r>
    </w:p>
    <w:p>
      <w:pPr>
        <w:spacing w:before="120" w:after="120"/>
      </w:pPr>
      <w:r>
        <w:rPr>
          <w:sz w:val="18"/>
        </w:rPr>
        <w:t>——————————————————————————————————————————————————————————————————————</w:t>
      </w:r>
    </w:p>
    <w:p>
      <w:pPr>
        <w:spacing w:before="160" w:after="80" w:line="240" w:lineRule="auto"/>
      </w:pPr>
      <w:r>
        <w:rPr>
          <w:b/>
        </w:rPr>
        <w:t xml:space="preserve">[782] </w:t>
      </w:r>
      <w:hyperlink r:id="rId1298">
        <w:r>
          <w:rPr>
            <w:color w:val="1155CC"/>
            <w:u w:val="single"/>
          </w:rPr>
          <w:t>Barrier or driver: Patent thickets in the path of technological transition</w:t>
        </w:r>
      </w:hyperlink>
    </w:p>
    <w:p>
      <w:pPr>
        <w:spacing w:before="0" w:after="120" w:line="240" w:lineRule="auto"/>
      </w:pPr>
      <w:r>
        <w:rPr>
          <w:b/>
        </w:rPr>
        <w:t xml:space="preserve">Source: </w:t>
      </w:r>
      <w:r>
        <w:t>ScienceDirect Publication: Energy Policy</w:t>
      </w:r>
      <w:r>
        <w:t xml:space="preserve">    </w:t>
      </w:r>
      <w:r>
        <w:rPr>
          <w:b/>
        </w:rPr>
        <w:t xml:space="preserve">Pub date: </w:t>
      </w:r>
      <w:r>
        <w:t>2025-12-21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[783] </w:t>
      </w:r>
      <w:hyperlink r:id="rId1299">
        <w:r>
          <w:rPr>
            <w:color w:val="1155CC"/>
            <w:u w:val="single"/>
          </w:rPr>
          <w:t>Design of integrated renewable energy and recirculating aquaculture systems under uncertainty: a two-stage stochastic optimisation approach</w:t>
        </w:r>
      </w:hyperlink>
    </w:p>
    <w:p>
      <w:pPr>
        <w:spacing w:before="0" w:after="120" w:line="240" w:lineRule="auto"/>
      </w:pPr>
      <w:r>
        <w:rPr>
          <w:b/>
        </w:rPr>
        <w:t xml:space="preserve">Source: </w:t>
      </w:r>
      <w:r>
        <w:t>ScienceDirect Publication: Applied Energy</w:t>
      </w:r>
      <w:r>
        <w:t xml:space="preserve">    </w:t>
      </w:r>
      <w:r>
        <w:rPr>
          <w:b/>
        </w:rPr>
        <w:t xml:space="preserve">Pub date: </w:t>
      </w:r>
      <w:r>
        <w:t>2025-12-21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[784] </w:t>
      </w:r>
      <w:hyperlink r:id="rId1300">
        <w:r>
          <w:rPr>
            <w:color w:val="1155CC"/>
            <w:u w:val="single"/>
          </w:rPr>
          <w:t>Energy storage capacity planning for cross-regional resource complementarity: a cooperative game framework</w:t>
        </w:r>
      </w:hyperlink>
    </w:p>
    <w:p>
      <w:pPr>
        <w:spacing w:before="0" w:after="120" w:line="240" w:lineRule="auto"/>
      </w:pPr>
      <w:r>
        <w:rPr>
          <w:b/>
        </w:rPr>
        <w:t xml:space="preserve">Source: </w:t>
      </w:r>
      <w:r>
        <w:t>ScienceDirect Publication: Applied Energy</w:t>
      </w:r>
      <w:r>
        <w:t xml:space="preserve">    </w:t>
      </w:r>
      <w:r>
        <w:rPr>
          <w:b/>
        </w:rPr>
        <w:t xml:space="preserve">Pub date: </w:t>
      </w:r>
      <w:r>
        <w:t>2025-12-21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[785] </w:t>
      </w:r>
      <w:hyperlink r:id="rId1301">
        <w:r>
          <w:rPr>
            <w:color w:val="1155CC"/>
            <w:u w:val="single"/>
          </w:rPr>
          <w:t>Demand response optimization incorporating thermal comfort in single-family houses with on-site generation: a systematic review</w:t>
        </w:r>
      </w:hyperlink>
    </w:p>
    <w:p>
      <w:pPr>
        <w:spacing w:before="0" w:after="120" w:line="240" w:lineRule="auto"/>
      </w:pPr>
      <w:r>
        <w:rPr>
          <w:b/>
        </w:rPr>
        <w:t xml:space="preserve">Source: </w:t>
      </w:r>
      <w:r>
        <w:t>ScienceDirect Publication: Applied Energy</w:t>
      </w:r>
      <w:r>
        <w:t xml:space="preserve">    </w:t>
      </w:r>
      <w:r>
        <w:rPr>
          <w:b/>
        </w:rPr>
        <w:t xml:space="preserve">Pub date: </w:t>
      </w:r>
      <w:r>
        <w:t>2025-12-21 00:00:00+00:00</w:t>
      </w:r>
    </w:p>
    <w:p>
      <w:pPr>
        <w:spacing w:before="0" w:after="200" w:lineRule="auto" w:line="276"/>
      </w:pPr>
      <w:r>
        <w:rPr>
          <w:b/>
        </w:rPr>
        <w:t xml:space="preserve">Abstract: </w:t>
      </w:r>
      <w:r>
        <w:t>(empty)</w:t>
      </w:r>
    </w:p>
    <w:p>
      <w:pPr>
        <w:spacing w:before="120" w:after="120"/>
      </w:pPr>
      <w:r>
        <w:rPr>
          <w:sz w:val="18"/>
        </w:rPr>
        <w:t>——————————————————————————————————————————————————————————————————————</w:t>
      </w:r>
    </w:p>
    <w:p>
      <w:pPr>
        <w:spacing w:before="160" w:after="80" w:line="240" w:lineRule="auto"/>
      </w:pPr>
      <w:r>
        <w:rPr>
          <w:b/>
        </w:rPr>
        <w:t xml:space="preserve">[786] </w:t>
      </w:r>
      <w:hyperlink r:id="rId1302">
        <w:r>
          <w:rPr>
            <w:color w:val="1155CC"/>
            <w:u w:val="single"/>
          </w:rPr>
          <w:t>Volatile and non-volatile pathogen cues shape host extracellular vesicles production in pre-infection response</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In natural environments, animals encounter pathogen-derived chemicals long before infection occurs. How such anticipatory cues influence extracellular vesicle (EV) dynamics, which are central to immune regulation, intercellular communication, and stress responses, remains unknown. Using Caenorhabditis elegans, we show that pathogen-derived volatile and non-volatile compounds trigger distinct EV pathways through separate sensory and molecular mechanisms. Non-volatile secretome components, including the tripeptide Ile-Pro-Pro, activate immune-dependent EV production, whereas volatile metabolites elicit immunity-independent EV formation. Both responses require sensory input from ASK, ADL, and AWC neurons and converge on a neural circuit involving RMG, AIB, and AIA interneurons. GPCRs SRI-19, SRI-36/39, and SRR-6 mediate non-volatile responses, with SRR-6 acting in the intestine to regulate muscle EVs release. Notably, pre-exposure to pathogen volatiles enhances offspring survival during subsequent infection in an SRI-19–dependent manner, suggesting a predictive, intergenerational benefit of pathogen detection. In summary, our findings uncover that pathogen-derived chemical cues shape host EV production via specialized sensory circuits, revealing how animals anticipate infection and prime protective physiological responses.</w:t>
      </w:r>
    </w:p>
    <w:p>
      <w:pPr>
        <w:spacing w:before="120" w:after="120"/>
      </w:pPr>
      <w:r>
        <w:rPr>
          <w:sz w:val="18"/>
        </w:rPr>
        <w:t>——————————————————————————————————————————————————————————————————————</w:t>
      </w:r>
    </w:p>
    <w:p>
      <w:pPr>
        <w:spacing w:before="160" w:after="80" w:line="240" w:lineRule="auto"/>
      </w:pPr>
      <w:r>
        <w:rPr>
          <w:b/>
        </w:rPr>
        <w:t xml:space="preserve">[787] </w:t>
      </w:r>
      <w:hyperlink r:id="rId1303">
        <w:r>
          <w:rPr>
            <w:color w:val="1155CC"/>
            <w:u w:val="single"/>
          </w:rPr>
          <w:t>Antibiotic use and survival from breast cancer: A population-based cohort study in England and Wales</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The role of the gut microbiota in carcinogenesis is increasingly being acknowledged. Recent studies in multiple breast cancer mouse models have found that antibiotics, by altering the gut microbiota, can accelerate tumour growth. In humans, a recent cohort study restricted to triple negative breast cancer showed that breast cancer patients using a greater number of antibiotics had markedly worse survival. These studies have raised concerns about repeated antibiotic use in breast cancer patients. In this Registered Report, we investigated whether breast cancer patients using oral antibiotics had increased breast cancer-specific mortality. In population-based cohorts (n = 44,452), we did not observe a statistically significant association between antibiotic prescriptions after diagnosis and breast cancer-specific mortality (adjusted HR = 1.07 95% CI 0.87, 1.33) apart from prescriptions of 12 or more antibiotics (adjusted HR = 1.62 95% CI 1.31, 2.01). This association was weaker after adjustment for infections (adjusted HR = 1.44 95% 1.14, 1.81), when restricted to antibiotics within five years (adjusted HR = 1.33 95% 0.95, 1.84), and was similar for deaths from other causes (adjusted HR = 1.69 95% 1.19, 2.41). Frequent antibiotic users had higher cancer-specific mortality but the attenuation of associations in sensitivity analyses, and similar findings for other causes of death, suggest this increase may reflect residual confounding. Protocol registration: The Stage 1 protocol for this Registered Report was accepted in principle on 7 November 2023. The protocol, as accepted by the journal, can be found at https://doi.org/10.6084/m9.figshare.24746721.v1.</w:t>
      </w:r>
    </w:p>
    <w:p>
      <w:pPr>
        <w:spacing w:before="120" w:after="120"/>
      </w:pPr>
      <w:r>
        <w:rPr>
          <w:sz w:val="18"/>
        </w:rPr>
        <w:t>——————————————————————————————————————————————————————————————————————</w:t>
      </w:r>
    </w:p>
    <w:p>
      <w:pPr>
        <w:spacing w:before="160" w:after="80" w:line="240" w:lineRule="auto"/>
      </w:pPr>
      <w:r>
        <w:rPr>
          <w:b/>
        </w:rPr>
        <w:t xml:space="preserve">[788] </w:t>
      </w:r>
      <w:hyperlink r:id="rId1304">
        <w:r>
          <w:rPr>
            <w:color w:val="1155CC"/>
            <w:u w:val="single"/>
          </w:rPr>
          <w:t>Risk of major adverse cardiovascular events with aripiprazole versus olanzapine, quetiapine, and risperidone in severe mental illness: a target trial emulation</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Initiating aripiprazole as antipsychotic monotherapy rather than olanzapine, quetiapine, or risperidone, might prevent/delay major adverse cardiovascular events (MACEs) over the long-term in people diagnosed with severe mental illness. Using Clinical Practice Research Datalink data, we emulated a trial of aripiprazole versus olanzapine, quetiapine, and risperidone in 20,404 patients 2005–2014. Primary outcome was five-year MACE risk (composite of hospitalisation for acute myocardial infarction or stroke and cardiovascular death). Here we show that patients initiating aripiprazole had a similar five-year MACE risk as those initiating olanzapine (risk ratio: 1.03, 95% CI, 0.78-1.32), quetiapine (1.02, 95% CI, 0.72-1.32), and risperidone (0.88, 95% CI, 0.67-1.17). Risk was lower among patients initiating and continuing aripiprazole versus risperidone (0.58, 95% CI, 0.39-0.84). For patients at clinical equipoise, antipsychotic selection does not appear to significantly impact risk of the most severe, long-term cardiovascular events. However, further research is needed to replicate our finding of increased risk with continued risperidone use versus aripiprazole.</w:t>
      </w:r>
    </w:p>
    <w:p>
      <w:pPr>
        <w:spacing w:before="120" w:after="120"/>
      </w:pPr>
      <w:r>
        <w:rPr>
          <w:sz w:val="18"/>
        </w:rPr>
        <w:t>——————————————————————————————————————————————————————————————————————</w:t>
      </w:r>
    </w:p>
    <w:p>
      <w:pPr>
        <w:spacing w:before="160" w:after="80" w:line="240" w:lineRule="auto"/>
      </w:pPr>
      <w:r>
        <w:rPr>
          <w:b/>
        </w:rPr>
        <w:t xml:space="preserve">[789] </w:t>
      </w:r>
      <w:hyperlink r:id="rId1305">
        <w:r>
          <w:rPr>
            <w:color w:val="1155CC"/>
            <w:u w:val="single"/>
          </w:rPr>
          <w:t>Overlooked deforestation from global mining activities in the 21st century</w:t>
        </w:r>
      </w:hyperlink>
    </w:p>
    <w:p>
      <w:pPr>
        <w:spacing w:before="0" w:after="120" w:line="240" w:lineRule="auto"/>
      </w:pPr>
      <w:r>
        <w:rPr>
          <w:b/>
        </w:rPr>
        <w:t xml:space="preserve">Source: </w:t>
      </w:r>
      <w:r>
        <w:t>Nature Communications</w:t>
      </w:r>
      <w:r>
        <w:t xml:space="preserve">    </w:t>
      </w:r>
      <w:r>
        <w:rPr>
          <w:b/>
        </w:rPr>
        <w:t xml:space="preserve">Pub date: </w:t>
      </w:r>
      <w:r>
        <w:t>2025-12-21 00:00:00+00:00</w:t>
      </w:r>
    </w:p>
    <w:p>
      <w:pPr>
        <w:spacing w:before="0" w:after="120"/>
      </w:pPr>
      <w:r>
        <w:rPr>
          <w:b/>
        </w:rPr>
        <w:t xml:space="preserve">Notes: </w:t>
      </w:r>
      <w:r>
        <w:t>abstract_source=nature_html</w:t>
      </w:r>
    </w:p>
    <w:p>
      <w:pPr>
        <w:spacing w:before="0" w:after="200" w:lineRule="auto" w:line="276"/>
      </w:pPr>
      <w:r>
        <w:rPr>
          <w:b/>
        </w:rPr>
        <w:t xml:space="preserve">Abstract: </w:t>
      </w:r>
      <w:r>
        <w:t>Mining is a major driver of deforestation, yet the full scale of its contribution to global natural forest loss and associated carbon emissions remains obscured by the incomplete inventories of mining activities. Here, we present a comprehensive global mining inventory, including 236,028 mining areas with an overall accuracy of 87.37% to quantify direct deforestation and the associated forest carbon emissions from mining activities between 2001 and 2023. Our results reveal that mining-induced deforestation is two to three times higher than previous estimates from existing datasets, accounting for 19,765 km2 of deforestation with associated emissions of 0.75 Pg CO2 over this period. Notably, over half (50.29%) of this deforestation is linked to unrecorded mining activities. These findings highlight the substantially underestimated role of mining, particularly informal and unrecorded activities, in driving global deforestation and climate change, underscoring the urgent need for improved monitoring and regulation of mining impacts on the environment across regions.</w:t>
      </w:r>
    </w:p>
    <w:p>
      <w:pPr>
        <w:spacing w:before="120" w:after="120"/>
      </w:pPr>
      <w:r>
        <w:rPr>
          <w:sz w:val="18"/>
        </w:rPr>
        <w:t>——————————————————————————————————————————————————————————————————————</w:t>
      </w:r>
    </w:p>
    <w:p>
      <w:pPr>
        <w:spacing w:before="160" w:after="80" w:line="240" w:lineRule="auto"/>
      </w:pPr>
      <w:r>
        <w:rPr>
          <w:b/>
        </w:rPr>
        <w:t xml:space="preserve">[790] </w:t>
      </w:r>
      <w:hyperlink r:id="rId1306">
        <w:r>
          <w:rPr>
            <w:color w:val="1155CC"/>
            <w:u w:val="single"/>
          </w:rPr>
          <w:t>Technology-society nexus in post-COP 27 era: How digital innovation, energy transition, and green finance drive net-zero pathways in OECD countries</w:t>
        </w:r>
      </w:hyperlink>
    </w:p>
    <w:p>
      <w:pPr>
        <w:spacing w:before="0" w:after="120" w:line="240" w:lineRule="auto"/>
      </w:pPr>
      <w:r>
        <w:rPr>
          <w:b/>
        </w:rPr>
        <w:t xml:space="preserve">Source: </w:t>
      </w:r>
      <w:r>
        <w:t>ScienceDirect Publication: Energy Policy</w:t>
      </w:r>
      <w:r>
        <w:t xml:space="preserve">    </w:t>
      </w:r>
      <w:r>
        <w:rPr>
          <w:b/>
        </w:rPr>
        <w:t xml:space="preserve">Pub date: </w:t>
      </w:r>
      <w:r>
        <w:t>2025-12-21 00:00:00+00:00</w:t>
      </w:r>
    </w:p>
    <w:p>
      <w:pPr>
        <w:spacing w:before="0" w:after="200" w:lineRule="auto" w:line="276"/>
      </w:pPr>
      <w:r>
        <w:rPr>
          <w:b/>
        </w:rPr>
        <w:t xml:space="preserve">Abstract: </w:t>
      </w:r>
      <w:r>
        <w:t>(empty)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ell.com/joule/fulltext/S2542-4351(25)00409-X?rss=yes" TargetMode="External"/><Relationship Id="rId10" Type="http://schemas.openxmlformats.org/officeDocument/2006/relationships/hyperlink" Target="http://pubs.rsc.org/en/Content/ArticleLanding/2026/EE/D5EE05809K" TargetMode="External"/><Relationship Id="rId11" Type="http://schemas.openxmlformats.org/officeDocument/2006/relationships/hyperlink" Target="https://academic.oup.com/nsr/advance-article/doi/10.1093/nsr/nwaf577/8381225?rss=1" TargetMode="External"/><Relationship Id="rId12" Type="http://schemas.openxmlformats.org/officeDocument/2006/relationships/hyperlink" Target="https://doi.org/10.1093/nsr/nwaf577/8381225" TargetMode="External"/><Relationship Id="rId13" Type="http://schemas.openxmlformats.org/officeDocument/2006/relationships/hyperlink" Target="https://www.nature.com/articles/s41928-025-01517-9" TargetMode="External"/><Relationship Id="rId14" Type="http://schemas.openxmlformats.org/officeDocument/2006/relationships/hyperlink" Target="https://www.nature.com/articles/s41565-025-02079-9" TargetMode="External"/><Relationship Id="rId15" Type="http://schemas.openxmlformats.org/officeDocument/2006/relationships/hyperlink" Target="https://www.nature.com/articles/s41563-025-02449-7" TargetMode="External"/><Relationship Id="rId16" Type="http://schemas.openxmlformats.org/officeDocument/2006/relationships/hyperlink" Target="https://www.nature.com/articles/s41563-025-02442-0" TargetMode="External"/><Relationship Id="rId17" Type="http://schemas.openxmlformats.org/officeDocument/2006/relationships/hyperlink" Target="https://www.nature.com/articles/s41563-025-02438-w" TargetMode="External"/><Relationship Id="rId18" Type="http://schemas.openxmlformats.org/officeDocument/2006/relationships/hyperlink" Target="https://www.nature.com/articles/s41467-025-67659-8" TargetMode="External"/><Relationship Id="rId19" Type="http://schemas.openxmlformats.org/officeDocument/2006/relationships/hyperlink" Target="http://pubs.rsc.org/en/Content/ArticleLanding/2026/EE/D5EE05459A" TargetMode="External"/><Relationship Id="rId20" Type="http://schemas.openxmlformats.org/officeDocument/2006/relationships/hyperlink" Target="https://www.nature.com/articles/s41467-025-67466-1" TargetMode="External"/><Relationship Id="rId21" Type="http://schemas.openxmlformats.org/officeDocument/2006/relationships/hyperlink" Target="https://www.nature.com/articles/s41467-025-67216-3" TargetMode="External"/><Relationship Id="rId22" Type="http://schemas.openxmlformats.org/officeDocument/2006/relationships/hyperlink" Target="https://www.nature.com/articles/s41467-025-66812-7" TargetMode="External"/><Relationship Id="rId23" Type="http://schemas.openxmlformats.org/officeDocument/2006/relationships/hyperlink" Target="https://www.nature.com/articles/s41467-025-67606-7" TargetMode="External"/><Relationship Id="rId24" Type="http://schemas.openxmlformats.org/officeDocument/2006/relationships/hyperlink" Target="https://www.nature.com/articles/d41586-025-03740-y" TargetMode="External"/><Relationship Id="rId25" Type="http://schemas.openxmlformats.org/officeDocument/2006/relationships/hyperlink" Target="https://www.sciencedirect.com/science/article/pii/S1369702125005309?dgcid=rss_sd_all" TargetMode="External"/><Relationship Id="rId26" Type="http://schemas.openxmlformats.org/officeDocument/2006/relationships/hyperlink" Target="https://www.nature.com/articles/d41586-025-04053-w" TargetMode="External"/><Relationship Id="rId27" Type="http://schemas.openxmlformats.org/officeDocument/2006/relationships/hyperlink" Target="https://www.nature.com/articles/d41586-025-04050-z" TargetMode="External"/><Relationship Id="rId28" Type="http://schemas.openxmlformats.org/officeDocument/2006/relationships/hyperlink" Target="https://www.nature.com/articles/d41586-025-04083-4" TargetMode="External"/><Relationship Id="rId29" Type="http://schemas.openxmlformats.org/officeDocument/2006/relationships/hyperlink" Target="https://www.nature.com/articles/d41586-025-03536-0" TargetMode="External"/><Relationship Id="rId30" Type="http://schemas.openxmlformats.org/officeDocument/2006/relationships/hyperlink" Target="https://www.cell.com/matter/fulltext/S2590-2385(25)00591-0?rss=yes" TargetMode="External"/><Relationship Id="rId31" Type="http://schemas.openxmlformats.org/officeDocument/2006/relationships/hyperlink" Target="https://www.cell.com/matter/fulltext/S2590-2385(25)00590-9?rss=yes" TargetMode="External"/><Relationship Id="rId32" Type="http://schemas.openxmlformats.org/officeDocument/2006/relationships/hyperlink" Target="http://pubs.rsc.org/en/Content/ArticleLanding/2026/EE/D5EE05041C" TargetMode="External"/><Relationship Id="rId33" Type="http://schemas.openxmlformats.org/officeDocument/2006/relationships/hyperlink" Target="https://www.cell.com/chem/fulltext/S2451-9294(25)00428-0?rss=yes" TargetMode="External"/><Relationship Id="rId34" Type="http://schemas.openxmlformats.org/officeDocument/2006/relationships/hyperlink" Target="https://www.nature.com/articles/s41467-025-64348-4" TargetMode="External"/><Relationship Id="rId35" Type="http://schemas.openxmlformats.org/officeDocument/2006/relationships/hyperlink" Target="https://www.science.org/content/article/martian-cities-could-be-built-ice" TargetMode="External"/><Relationship Id="rId36" Type="http://schemas.openxmlformats.org/officeDocument/2006/relationships/hyperlink" Target="https://www.bbc.com/news/articles/cvg14zxdxr1o?at_medium=RSS&amp;at_campaign=rss" TargetMode="External"/><Relationship Id="rId37" Type="http://schemas.openxmlformats.org/officeDocument/2006/relationships/hyperlink" Target="https://www.bbc.com/news/articles/cx2gdzl3lewo?at_medium=RSS&amp;at_campaign=rss" TargetMode="External"/><Relationship Id="rId38" Type="http://schemas.openxmlformats.org/officeDocument/2006/relationships/hyperlink" Target="https://onlinelibrary.wiley.com/doi/10.1002/anie.202525242?af=R" TargetMode="External"/><Relationship Id="rId39" Type="http://schemas.openxmlformats.org/officeDocument/2006/relationships/hyperlink" Target="https://doi.org/10.1002/anie.202525242" TargetMode="External"/><Relationship Id="rId40" Type="http://schemas.openxmlformats.org/officeDocument/2006/relationships/hyperlink" Target="https://www.pnas.org/doi/abs/10.1073/pnas.2503577122?mi=eymic2&amp;af=R&amp;access=on&amp;content=articlesChapters&amp;publication=pnas&amp;sortBy=Earliest&amp;target=default" TargetMode="External"/><Relationship Id="rId41" Type="http://schemas.openxmlformats.org/officeDocument/2006/relationships/hyperlink" Target="https://doi.org/10.1073/pnas.2503577122" TargetMode="External"/><Relationship Id="rId42" Type="http://schemas.openxmlformats.org/officeDocument/2006/relationships/hyperlink" Target="https://www.pnas.org/doi/abs/10.1073/pnas.2514862122?mi=eymic2&amp;af=R&amp;access=on&amp;content=articlesChapters&amp;publication=pnas&amp;sortBy=Earliest&amp;target=default" TargetMode="External"/><Relationship Id="rId43" Type="http://schemas.openxmlformats.org/officeDocument/2006/relationships/hyperlink" Target="https://doi.org/10.1073/pnas.2514862122" TargetMode="External"/><Relationship Id="rId44" Type="http://schemas.openxmlformats.org/officeDocument/2006/relationships/hyperlink" Target="https://www.pnas.org/doi/abs/10.1073/iti5025122?mi=eymic2&amp;af=R&amp;access=on&amp;content=articlesChapters&amp;publication=pnas&amp;sortBy=Earliest&amp;target=default" TargetMode="External"/><Relationship Id="rId45" Type="http://schemas.openxmlformats.org/officeDocument/2006/relationships/hyperlink" Target="https://www.pnas.org/doi/abs/10.1073/pnas.2506054122?mi=eymic2&amp;af=R&amp;access=on&amp;content=articlesChapters&amp;publication=pnas&amp;sortBy=Earliest&amp;target=default" TargetMode="External"/><Relationship Id="rId46" Type="http://schemas.openxmlformats.org/officeDocument/2006/relationships/hyperlink" Target="https://doi.org/10.1073/pnas.2506054122" TargetMode="External"/><Relationship Id="rId47" Type="http://schemas.openxmlformats.org/officeDocument/2006/relationships/hyperlink" Target="https://www.pnas.org/doi/abs/10.1073/pnas.2530034122?mi=eymic2&amp;af=R&amp;access=on&amp;content=articlesChapters&amp;publication=pnas&amp;sortBy=Earliest&amp;target=default" TargetMode="External"/><Relationship Id="rId48" Type="http://schemas.openxmlformats.org/officeDocument/2006/relationships/hyperlink" Target="https://www.pnas.org/doi/abs/10.1073/pnas.2529116122?mi=eymic2&amp;af=R&amp;access=on&amp;content=articlesChapters&amp;publication=pnas&amp;sortBy=Earliest&amp;target=default" TargetMode="External"/><Relationship Id="rId49" Type="http://schemas.openxmlformats.org/officeDocument/2006/relationships/hyperlink" Target="https://www.pnas.org/doi/abs/10.1073/pnas.2527724122?mi=eymic2&amp;af=R&amp;access=on&amp;content=articlesChapters&amp;publication=pnas&amp;sortBy=Earliest&amp;target=default" TargetMode="External"/><Relationship Id="rId50" Type="http://schemas.openxmlformats.org/officeDocument/2006/relationships/hyperlink" Target="https://doi.org/10.1073/pnas.2527724122" TargetMode="External"/><Relationship Id="rId51" Type="http://schemas.openxmlformats.org/officeDocument/2006/relationships/hyperlink" Target="https://www.pnas.org/doi/abs/10.1073/pnas.2526690122?mi=eymic2&amp;af=R&amp;access=on&amp;content=articlesChapters&amp;publication=pnas&amp;sortBy=Earliest&amp;target=default" TargetMode="External"/><Relationship Id="rId52" Type="http://schemas.openxmlformats.org/officeDocument/2006/relationships/hyperlink" Target="https://doi.org/10.1073/pnas.2526690122" TargetMode="External"/><Relationship Id="rId53" Type="http://schemas.openxmlformats.org/officeDocument/2006/relationships/hyperlink" Target="https://www.pnas.org/doi/abs/10.1073/pnas.2516076122?mi=eymic2&amp;af=R&amp;access=on&amp;content=articlesChapters&amp;publication=pnas&amp;sortBy=Earliest&amp;target=default" TargetMode="External"/><Relationship Id="rId54" Type="http://schemas.openxmlformats.org/officeDocument/2006/relationships/hyperlink" Target="https://doi.org/10.1073/pnas.2516076122" TargetMode="External"/><Relationship Id="rId55" Type="http://schemas.openxmlformats.org/officeDocument/2006/relationships/hyperlink" Target="https://www.pnas.org/doi/abs/10.1073/pnas.2521737122?mi=eymic2&amp;af=R&amp;access=on&amp;content=articlesChapters&amp;publication=pnas&amp;sortBy=Earliest&amp;target=default" TargetMode="External"/><Relationship Id="rId56" Type="http://schemas.openxmlformats.org/officeDocument/2006/relationships/hyperlink" Target="https://doi.org/10.1073/pnas.2521737122" TargetMode="External"/><Relationship Id="rId57" Type="http://schemas.openxmlformats.org/officeDocument/2006/relationships/hyperlink" Target="https://www.pnas.org/doi/abs/10.1073/pnas.2520843122?mi=eymic2&amp;af=R&amp;access=on&amp;content=articlesChapters&amp;publication=pnas&amp;sortBy=Earliest&amp;target=default" TargetMode="External"/><Relationship Id="rId58" Type="http://schemas.openxmlformats.org/officeDocument/2006/relationships/hyperlink" Target="https://doi.org/10.1073/pnas.2520843122" TargetMode="External"/><Relationship Id="rId59" Type="http://schemas.openxmlformats.org/officeDocument/2006/relationships/hyperlink" Target="https://www.pnas.org/doi/abs/10.1073/pnas.2518675122?mi=eymic2&amp;af=R&amp;access=on&amp;content=articlesChapters&amp;publication=pnas&amp;sortBy=Earliest&amp;target=default" TargetMode="External"/><Relationship Id="rId60" Type="http://schemas.openxmlformats.org/officeDocument/2006/relationships/hyperlink" Target="https://doi.org/10.1073/pnas.2518675122" TargetMode="External"/><Relationship Id="rId61" Type="http://schemas.openxmlformats.org/officeDocument/2006/relationships/hyperlink" Target="https://www.pnas.org/doi/abs/10.1073/pnas.2517830122?mi=eymic2&amp;af=R&amp;access=on&amp;content=articlesChapters&amp;publication=pnas&amp;sortBy=Earliest&amp;target=default" TargetMode="External"/><Relationship Id="rId62" Type="http://schemas.openxmlformats.org/officeDocument/2006/relationships/hyperlink" Target="https://doi.org/10.1073/pnas.2517830122" TargetMode="External"/><Relationship Id="rId63" Type="http://schemas.openxmlformats.org/officeDocument/2006/relationships/hyperlink" Target="https://www.pnas.org/doi/abs/10.1073/pnas.2515392122?mi=eymic2&amp;af=R&amp;access=on&amp;content=articlesChapters&amp;publication=pnas&amp;sortBy=Earliest&amp;target=default" TargetMode="External"/><Relationship Id="rId64" Type="http://schemas.openxmlformats.org/officeDocument/2006/relationships/hyperlink" Target="https://doi.org/10.1073/pnas.2515392122" TargetMode="External"/><Relationship Id="rId65" Type="http://schemas.openxmlformats.org/officeDocument/2006/relationships/hyperlink" Target="https://www.pnas.org/doi/abs/10.1073/pnas.2517741122?mi=eymic2&amp;af=R&amp;access=on&amp;content=articlesChapters&amp;publication=pnas&amp;sortBy=Earliest&amp;target=default" TargetMode="External"/><Relationship Id="rId66" Type="http://schemas.openxmlformats.org/officeDocument/2006/relationships/hyperlink" Target="https://doi.org/10.1073/pnas.2517741122" TargetMode="External"/><Relationship Id="rId67" Type="http://schemas.openxmlformats.org/officeDocument/2006/relationships/hyperlink" Target="https://www.pnas.org/doi/abs/10.1073/pnas.2508805122?mi=eymic2&amp;af=R&amp;access=on&amp;content=articlesChapters&amp;publication=pnas&amp;sortBy=Earliest&amp;target=default" TargetMode="External"/><Relationship Id="rId68" Type="http://schemas.openxmlformats.org/officeDocument/2006/relationships/hyperlink" Target="https://doi.org/10.1073/pnas.2508805122" TargetMode="External"/><Relationship Id="rId69" Type="http://schemas.openxmlformats.org/officeDocument/2006/relationships/hyperlink" Target="https://www.pnas.org/doi/abs/10.1073/pnas.2517520122?mi=eymic2&amp;af=R&amp;access=on&amp;content=articlesChapters&amp;publication=pnas&amp;sortBy=Earliest&amp;target=default" TargetMode="External"/><Relationship Id="rId70" Type="http://schemas.openxmlformats.org/officeDocument/2006/relationships/hyperlink" Target="https://doi.org/10.1073/pnas.2517520122" TargetMode="External"/><Relationship Id="rId71" Type="http://schemas.openxmlformats.org/officeDocument/2006/relationships/hyperlink" Target="https://www.pnas.org/doi/abs/10.1073/pnas.2515732122?mi=eymic2&amp;af=R&amp;access=on&amp;content=articlesChapters&amp;publication=pnas&amp;sortBy=Earliest&amp;target=default" TargetMode="External"/><Relationship Id="rId72" Type="http://schemas.openxmlformats.org/officeDocument/2006/relationships/hyperlink" Target="https://doi.org/10.1073/pnas.2515732122" TargetMode="External"/><Relationship Id="rId73" Type="http://schemas.openxmlformats.org/officeDocument/2006/relationships/hyperlink" Target="https://www.pnas.org/doi/abs/10.1073/pnas.2526318122?mi=eymic2&amp;af=R&amp;access=on&amp;content=articlesChapters&amp;publication=pnas&amp;sortBy=Earliest&amp;target=default" TargetMode="External"/><Relationship Id="rId74" Type="http://schemas.openxmlformats.org/officeDocument/2006/relationships/hyperlink" Target="https://doi.org/10.1073/pnas.2526318122" TargetMode="External"/><Relationship Id="rId75" Type="http://schemas.openxmlformats.org/officeDocument/2006/relationships/hyperlink" Target="https://www.pnas.org/doi/abs/10.1073/pnas.2525044122?mi=eymic2&amp;af=R&amp;access=on&amp;content=articlesChapters&amp;publication=pnas&amp;sortBy=Earliest&amp;target=default" TargetMode="External"/><Relationship Id="rId76" Type="http://schemas.openxmlformats.org/officeDocument/2006/relationships/hyperlink" Target="https://doi.org/10.1073/pnas.2525044122" TargetMode="External"/><Relationship Id="rId77" Type="http://schemas.openxmlformats.org/officeDocument/2006/relationships/hyperlink" Target="https://www.pnas.org/doi/abs/10.1073/pnas.2504376122?mi=eymic2&amp;af=R&amp;access=on&amp;content=articlesChapters&amp;publication=pnas&amp;sortBy=Earliest&amp;target=default" TargetMode="External"/><Relationship Id="rId78" Type="http://schemas.openxmlformats.org/officeDocument/2006/relationships/hyperlink" Target="https://doi.org/10.1073/pnas.2504376122" TargetMode="External"/><Relationship Id="rId79" Type="http://schemas.openxmlformats.org/officeDocument/2006/relationships/hyperlink" Target="https://www.science.org/content/article/fired-nih-institute-head-sues-trump-administration" TargetMode="External"/><Relationship Id="rId80" Type="http://schemas.openxmlformats.org/officeDocument/2006/relationships/hyperlink" Target="http://dx.doi.org/10.1021/jacs.5c20796" TargetMode="External"/><Relationship Id="rId81" Type="http://schemas.openxmlformats.org/officeDocument/2006/relationships/hyperlink" Target="https://doi.org/10.1021/jacs.5c20796" TargetMode="External"/><Relationship Id="rId82" Type="http://schemas.openxmlformats.org/officeDocument/2006/relationships/hyperlink" Target="http://dx.doi.org/10.1021/acsenergylett.5c03342" TargetMode="External"/><Relationship Id="rId83" Type="http://schemas.openxmlformats.org/officeDocument/2006/relationships/hyperlink" Target="https://advanced.onlinelibrary.wiley.com/doi/10.1002/aenm.202504926?af=R" TargetMode="External"/><Relationship Id="rId84" Type="http://schemas.openxmlformats.org/officeDocument/2006/relationships/hyperlink" Target="https://doi.org/10.1002/aenm.202504926" TargetMode="External"/><Relationship Id="rId85" Type="http://schemas.openxmlformats.org/officeDocument/2006/relationships/hyperlink" Target="https://advanced.onlinelibrary.wiley.com/doi/10.1002/aenm.202505867?af=R" TargetMode="External"/><Relationship Id="rId86" Type="http://schemas.openxmlformats.org/officeDocument/2006/relationships/hyperlink" Target="https://doi.org/10.1002/aenm.202505867" TargetMode="External"/><Relationship Id="rId87" Type="http://schemas.openxmlformats.org/officeDocument/2006/relationships/hyperlink" Target="https://advanced.onlinelibrary.wiley.com/doi/10.1002/aenm.202504890?af=R" TargetMode="External"/><Relationship Id="rId88" Type="http://schemas.openxmlformats.org/officeDocument/2006/relationships/hyperlink" Target="https://doi.org/10.1002/aenm.202504890" TargetMode="External"/><Relationship Id="rId89" Type="http://schemas.openxmlformats.org/officeDocument/2006/relationships/hyperlink" Target="https://onlinelibrary.wiley.com/doi/10.1002/anie.202518608?af=R" TargetMode="External"/><Relationship Id="rId90" Type="http://schemas.openxmlformats.org/officeDocument/2006/relationships/hyperlink" Target="https://doi.org/10.1002/anie.202518608" TargetMode="External"/><Relationship Id="rId91" Type="http://schemas.openxmlformats.org/officeDocument/2006/relationships/hyperlink" Target="https://advanced.onlinelibrary.wiley.com/doi/10.1002/aenm.202505601?af=R" TargetMode="External"/><Relationship Id="rId92" Type="http://schemas.openxmlformats.org/officeDocument/2006/relationships/hyperlink" Target="https://doi.org/10.1002/aenm.202505601" TargetMode="External"/><Relationship Id="rId93" Type="http://schemas.openxmlformats.org/officeDocument/2006/relationships/hyperlink" Target="https://advanced.onlinelibrary.wiley.com/doi/10.1002/adma.71808?af=R" TargetMode="External"/><Relationship Id="rId94" Type="http://schemas.openxmlformats.org/officeDocument/2006/relationships/hyperlink" Target="https://advanced.onlinelibrary.wiley.com/doi/10.1002/adma.202515350?af=R" TargetMode="External"/><Relationship Id="rId95" Type="http://schemas.openxmlformats.org/officeDocument/2006/relationships/hyperlink" Target="https://advanced.onlinelibrary.wiley.com/doi/10.1002/adma.202518241?af=R" TargetMode="External"/><Relationship Id="rId96" Type="http://schemas.openxmlformats.org/officeDocument/2006/relationships/hyperlink" Target="https://advanced.onlinelibrary.wiley.com/doi/10.1002/adma.202520162?af=R" TargetMode="External"/><Relationship Id="rId97" Type="http://schemas.openxmlformats.org/officeDocument/2006/relationships/hyperlink" Target="https://advanced.onlinelibrary.wiley.com/doi/10.1002/aenm.202504936?af=R" TargetMode="External"/><Relationship Id="rId98" Type="http://schemas.openxmlformats.org/officeDocument/2006/relationships/hyperlink" Target="https://doi.org/10.1002/aenm.202504936" TargetMode="External"/><Relationship Id="rId99" Type="http://schemas.openxmlformats.org/officeDocument/2006/relationships/hyperlink" Target="https://advanced.onlinelibrary.wiley.com/doi/10.1002/adma.202515013?af=R" TargetMode="External"/><Relationship Id="rId100" Type="http://schemas.openxmlformats.org/officeDocument/2006/relationships/hyperlink" Target="https://advanced.onlinelibrary.wiley.com/doi/10.1002/adma.202520443?af=R" TargetMode="External"/><Relationship Id="rId101" Type="http://schemas.openxmlformats.org/officeDocument/2006/relationships/hyperlink" Target="https://advanced.onlinelibrary.wiley.com/doi/10.1002/adma.202517188?af=R" TargetMode="External"/><Relationship Id="rId102" Type="http://schemas.openxmlformats.org/officeDocument/2006/relationships/hyperlink" Target="http://dx.doi.org/10.1021/acsenergylett.5c03248" TargetMode="External"/><Relationship Id="rId103" Type="http://schemas.openxmlformats.org/officeDocument/2006/relationships/hyperlink" Target="https://advanced.onlinelibrary.wiley.com/doi/10.1002/adma.202522486?af=R" TargetMode="External"/><Relationship Id="rId104" Type="http://schemas.openxmlformats.org/officeDocument/2006/relationships/hyperlink" Target="https://advanced.onlinelibrary.wiley.com/doi/10.1002/aenm.202503660?af=R" TargetMode="External"/><Relationship Id="rId105" Type="http://schemas.openxmlformats.org/officeDocument/2006/relationships/hyperlink" Target="https://doi.org/10.1002/aenm.202503660" TargetMode="External"/><Relationship Id="rId106" Type="http://schemas.openxmlformats.org/officeDocument/2006/relationships/hyperlink" Target="https://advanced.onlinelibrary.wiley.com/doi/10.1002/aenm.202503666?af=R" TargetMode="External"/><Relationship Id="rId107" Type="http://schemas.openxmlformats.org/officeDocument/2006/relationships/hyperlink" Target="https://doi.org/10.1002/aenm.202503666" TargetMode="External"/><Relationship Id="rId108" Type="http://schemas.openxmlformats.org/officeDocument/2006/relationships/hyperlink" Target="https://advanced.onlinelibrary.wiley.com/doi/10.1002/aenm.202503682?af=R" TargetMode="External"/><Relationship Id="rId109" Type="http://schemas.openxmlformats.org/officeDocument/2006/relationships/hyperlink" Target="https://doi.org/10.1002/aenm.202503682" TargetMode="External"/><Relationship Id="rId110" Type="http://schemas.openxmlformats.org/officeDocument/2006/relationships/hyperlink" Target="https://advanced.onlinelibrary.wiley.com/doi/10.1002/aenm.202504143?af=R" TargetMode="External"/><Relationship Id="rId111" Type="http://schemas.openxmlformats.org/officeDocument/2006/relationships/hyperlink" Target="https://doi.org/10.1002/aenm.202504143" TargetMode="External"/><Relationship Id="rId112" Type="http://schemas.openxmlformats.org/officeDocument/2006/relationships/hyperlink" Target="https://advanced.onlinelibrary.wiley.com/doi/10.1002/aenm.202503873?af=R" TargetMode="External"/><Relationship Id="rId113" Type="http://schemas.openxmlformats.org/officeDocument/2006/relationships/hyperlink" Target="https://doi.org/10.1002/aenm.202503873" TargetMode="External"/><Relationship Id="rId114" Type="http://schemas.openxmlformats.org/officeDocument/2006/relationships/hyperlink" Target="https://advanced.onlinelibrary.wiley.com/doi/10.1002/aenm.202504095?af=R" TargetMode="External"/><Relationship Id="rId115" Type="http://schemas.openxmlformats.org/officeDocument/2006/relationships/hyperlink" Target="https://doi.org/10.1002/aenm.202504095" TargetMode="External"/><Relationship Id="rId116" Type="http://schemas.openxmlformats.org/officeDocument/2006/relationships/hyperlink" Target="https://advanced.onlinelibrary.wiley.com/doi/10.1002/aenm.202502617?af=R" TargetMode="External"/><Relationship Id="rId117" Type="http://schemas.openxmlformats.org/officeDocument/2006/relationships/hyperlink" Target="https://doi.org/10.1002/aenm.202502617" TargetMode="External"/><Relationship Id="rId118" Type="http://schemas.openxmlformats.org/officeDocument/2006/relationships/hyperlink" Target="https://advanced.onlinelibrary.wiley.com/doi/10.1002/aenm.202504241?af=R" TargetMode="External"/><Relationship Id="rId119" Type="http://schemas.openxmlformats.org/officeDocument/2006/relationships/hyperlink" Target="https://doi.org/10.1002/aenm.202504241" TargetMode="External"/><Relationship Id="rId120" Type="http://schemas.openxmlformats.org/officeDocument/2006/relationships/hyperlink" Target="https://advanced.onlinelibrary.wiley.com/doi/10.1002/aenm.202504261?af=R" TargetMode="External"/><Relationship Id="rId121" Type="http://schemas.openxmlformats.org/officeDocument/2006/relationships/hyperlink" Target="https://doi.org/10.1002/aenm.202504261" TargetMode="External"/><Relationship Id="rId122" Type="http://schemas.openxmlformats.org/officeDocument/2006/relationships/hyperlink" Target="https://advanced.onlinelibrary.wiley.com/doi/10.1002/aenm.202504275?af=R" TargetMode="External"/><Relationship Id="rId123" Type="http://schemas.openxmlformats.org/officeDocument/2006/relationships/hyperlink" Target="https://doi.org/10.1002/aenm.202504275" TargetMode="External"/><Relationship Id="rId124" Type="http://schemas.openxmlformats.org/officeDocument/2006/relationships/hyperlink" Target="https://advanced.onlinelibrary.wiley.com/doi/10.1002/aenm.202503842?af=R" TargetMode="External"/><Relationship Id="rId125" Type="http://schemas.openxmlformats.org/officeDocument/2006/relationships/hyperlink" Target="https://doi.org/10.1002/aenm.202503842" TargetMode="External"/><Relationship Id="rId126" Type="http://schemas.openxmlformats.org/officeDocument/2006/relationships/hyperlink" Target="https://advanced.onlinelibrary.wiley.com/doi/10.1002/aenm.202504009?af=R" TargetMode="External"/><Relationship Id="rId127" Type="http://schemas.openxmlformats.org/officeDocument/2006/relationships/hyperlink" Target="https://doi.org/10.1002/aenm.202504009" TargetMode="External"/><Relationship Id="rId128" Type="http://schemas.openxmlformats.org/officeDocument/2006/relationships/hyperlink" Target="https://advanced.onlinelibrary.wiley.com/doi/10.1002/aenm.202503501?af=R" TargetMode="External"/><Relationship Id="rId129" Type="http://schemas.openxmlformats.org/officeDocument/2006/relationships/hyperlink" Target="https://doi.org/10.1002/aenm.202503501" TargetMode="External"/><Relationship Id="rId130" Type="http://schemas.openxmlformats.org/officeDocument/2006/relationships/hyperlink" Target="https://advanced.onlinelibrary.wiley.com/doi/10.1002/aenm.202503537?af=R" TargetMode="External"/><Relationship Id="rId131" Type="http://schemas.openxmlformats.org/officeDocument/2006/relationships/hyperlink" Target="https://doi.org/10.1002/aenm.202503537" TargetMode="External"/><Relationship Id="rId132" Type="http://schemas.openxmlformats.org/officeDocument/2006/relationships/hyperlink" Target="https://advanced.onlinelibrary.wiley.com/doi/10.1002/aenm.202501760?af=R" TargetMode="External"/><Relationship Id="rId133" Type="http://schemas.openxmlformats.org/officeDocument/2006/relationships/hyperlink" Target="https://doi.org/10.1002/aenm.202501760" TargetMode="External"/><Relationship Id="rId134" Type="http://schemas.openxmlformats.org/officeDocument/2006/relationships/hyperlink" Target="https://advanced.onlinelibrary.wiley.com/doi/10.1002/aenm.202402824?af=R" TargetMode="External"/><Relationship Id="rId135" Type="http://schemas.openxmlformats.org/officeDocument/2006/relationships/hyperlink" Target="https://doi.org/10.1002/aenm.202402824" TargetMode="External"/><Relationship Id="rId136" Type="http://schemas.openxmlformats.org/officeDocument/2006/relationships/hyperlink" Target="https://advanced.onlinelibrary.wiley.com/doi/10.1002/aenm.202401321?af=R" TargetMode="External"/><Relationship Id="rId137" Type="http://schemas.openxmlformats.org/officeDocument/2006/relationships/hyperlink" Target="https://doi.org/10.1002/aenm.202401321" TargetMode="External"/><Relationship Id="rId138" Type="http://schemas.openxmlformats.org/officeDocument/2006/relationships/hyperlink" Target="https://advanced.onlinelibrary.wiley.com/doi/10.1002/aenm.202502829?af=R" TargetMode="External"/><Relationship Id="rId139" Type="http://schemas.openxmlformats.org/officeDocument/2006/relationships/hyperlink" Target="https://doi.org/10.1002/aenm.202502829" TargetMode="External"/><Relationship Id="rId140" Type="http://schemas.openxmlformats.org/officeDocument/2006/relationships/hyperlink" Target="https://advanced.onlinelibrary.wiley.com/doi/10.1002/aenm.202503157?af=R" TargetMode="External"/><Relationship Id="rId141" Type="http://schemas.openxmlformats.org/officeDocument/2006/relationships/hyperlink" Target="https://doi.org/10.1002/aenm.202503157" TargetMode="External"/><Relationship Id="rId142" Type="http://schemas.openxmlformats.org/officeDocument/2006/relationships/hyperlink" Target="https://advanced.onlinelibrary.wiley.com/doi/10.1002/aenm.202503176?af=R" TargetMode="External"/><Relationship Id="rId143" Type="http://schemas.openxmlformats.org/officeDocument/2006/relationships/hyperlink" Target="https://doi.org/10.1002/aenm.202503176" TargetMode="External"/><Relationship Id="rId144" Type="http://schemas.openxmlformats.org/officeDocument/2006/relationships/hyperlink" Target="https://advanced.onlinelibrary.wiley.com/doi/10.1002/aenm.202503180?af=R" TargetMode="External"/><Relationship Id="rId145" Type="http://schemas.openxmlformats.org/officeDocument/2006/relationships/hyperlink" Target="https://doi.org/10.1002/aenm.202503180" TargetMode="External"/><Relationship Id="rId146" Type="http://schemas.openxmlformats.org/officeDocument/2006/relationships/hyperlink" Target="https://advanced.onlinelibrary.wiley.com/doi/10.1002/aenm.202503184?af=R" TargetMode="External"/><Relationship Id="rId147" Type="http://schemas.openxmlformats.org/officeDocument/2006/relationships/hyperlink" Target="https://doi.org/10.1002/aenm.202503184" TargetMode="External"/><Relationship Id="rId148" Type="http://schemas.openxmlformats.org/officeDocument/2006/relationships/hyperlink" Target="https://advanced.onlinelibrary.wiley.com/doi/10.1002/aenm.202503187?af=R" TargetMode="External"/><Relationship Id="rId149" Type="http://schemas.openxmlformats.org/officeDocument/2006/relationships/hyperlink" Target="https://doi.org/10.1002/aenm.202503187" TargetMode="External"/><Relationship Id="rId150" Type="http://schemas.openxmlformats.org/officeDocument/2006/relationships/hyperlink" Target="https://advanced.onlinelibrary.wiley.com/doi/10.1002/aenm.202503226?af=R" TargetMode="External"/><Relationship Id="rId151" Type="http://schemas.openxmlformats.org/officeDocument/2006/relationships/hyperlink" Target="https://doi.org/10.1002/aenm.202503226" TargetMode="External"/><Relationship Id="rId152" Type="http://schemas.openxmlformats.org/officeDocument/2006/relationships/hyperlink" Target="https://advanced.onlinelibrary.wiley.com/doi/10.1002/aenm.202503292?af=R" TargetMode="External"/><Relationship Id="rId153" Type="http://schemas.openxmlformats.org/officeDocument/2006/relationships/hyperlink" Target="https://doi.org/10.1002/aenm.202503292" TargetMode="External"/><Relationship Id="rId154" Type="http://schemas.openxmlformats.org/officeDocument/2006/relationships/hyperlink" Target="https://advanced.onlinelibrary.wiley.com/doi/10.1002/aenm.202503368?af=R" TargetMode="External"/><Relationship Id="rId155" Type="http://schemas.openxmlformats.org/officeDocument/2006/relationships/hyperlink" Target="https://doi.org/10.1002/aenm.202503368" TargetMode="External"/><Relationship Id="rId156" Type="http://schemas.openxmlformats.org/officeDocument/2006/relationships/hyperlink" Target="https://advanced.onlinelibrary.wiley.com/doi/10.1002/aenm.202503473?af=R" TargetMode="External"/><Relationship Id="rId157" Type="http://schemas.openxmlformats.org/officeDocument/2006/relationships/hyperlink" Target="https://doi.org/10.1002/aenm.202503473" TargetMode="External"/><Relationship Id="rId158" Type="http://schemas.openxmlformats.org/officeDocument/2006/relationships/hyperlink" Target="https://advanced.onlinelibrary.wiley.com/doi/10.1002/aenm.202503489?af=R" TargetMode="External"/><Relationship Id="rId159" Type="http://schemas.openxmlformats.org/officeDocument/2006/relationships/hyperlink" Target="https://doi.org/10.1002/aenm.202503489" TargetMode="External"/><Relationship Id="rId160" Type="http://schemas.openxmlformats.org/officeDocument/2006/relationships/hyperlink" Target="https://advanced.onlinelibrary.wiley.com/doi/10.1002/aenm.202504299?af=R" TargetMode="External"/><Relationship Id="rId161" Type="http://schemas.openxmlformats.org/officeDocument/2006/relationships/hyperlink" Target="https://doi.org/10.1002/aenm.202504299" TargetMode="External"/><Relationship Id="rId162" Type="http://schemas.openxmlformats.org/officeDocument/2006/relationships/hyperlink" Target="https://advanced.onlinelibrary.wiley.com/doi/10.1002/aenm.202503565?af=R" TargetMode="External"/><Relationship Id="rId163" Type="http://schemas.openxmlformats.org/officeDocument/2006/relationships/hyperlink" Target="https://doi.org/10.1002/aenm.202503565" TargetMode="External"/><Relationship Id="rId164" Type="http://schemas.openxmlformats.org/officeDocument/2006/relationships/hyperlink" Target="https://advanced.onlinelibrary.wiley.com/doi/10.1002/aenm.202504465?af=R" TargetMode="External"/><Relationship Id="rId165" Type="http://schemas.openxmlformats.org/officeDocument/2006/relationships/hyperlink" Target="https://doi.org/10.1002/aenm.202504465" TargetMode="External"/><Relationship Id="rId166" Type="http://schemas.openxmlformats.org/officeDocument/2006/relationships/hyperlink" Target="https://advanced.onlinelibrary.wiley.com/doi/10.1002/aenm.202502719?af=R" TargetMode="External"/><Relationship Id="rId167" Type="http://schemas.openxmlformats.org/officeDocument/2006/relationships/hyperlink" Target="https://doi.org/10.1002/aenm.202502719" TargetMode="External"/><Relationship Id="rId168" Type="http://schemas.openxmlformats.org/officeDocument/2006/relationships/hyperlink" Target="https://advanced.onlinelibrary.wiley.com/doi/10.1002/aenm.202504765?af=R" TargetMode="External"/><Relationship Id="rId169" Type="http://schemas.openxmlformats.org/officeDocument/2006/relationships/hyperlink" Target="https://doi.org/10.1002/aenm.202504765" TargetMode="External"/><Relationship Id="rId170" Type="http://schemas.openxmlformats.org/officeDocument/2006/relationships/hyperlink" Target="https://advanced.onlinelibrary.wiley.com/doi/10.1002/aenm.70438?af=R" TargetMode="External"/><Relationship Id="rId171" Type="http://schemas.openxmlformats.org/officeDocument/2006/relationships/hyperlink" Target="https://advanced.onlinelibrary.wiley.com/doi/10.1002/aenm.70435?af=R" TargetMode="External"/><Relationship Id="rId172" Type="http://schemas.openxmlformats.org/officeDocument/2006/relationships/hyperlink" Target="https://advanced.onlinelibrary.wiley.com/doi/10.1002/aenm.202504562?af=R" TargetMode="External"/><Relationship Id="rId173" Type="http://schemas.openxmlformats.org/officeDocument/2006/relationships/hyperlink" Target="https://doi.org/10.1002/aenm.202504562" TargetMode="External"/><Relationship Id="rId174" Type="http://schemas.openxmlformats.org/officeDocument/2006/relationships/hyperlink" Target="https://advanced.onlinelibrary.wiley.com/doi/10.1002/aenm.202504841?af=R" TargetMode="External"/><Relationship Id="rId175" Type="http://schemas.openxmlformats.org/officeDocument/2006/relationships/hyperlink" Target="https://doi.org/10.1002/aenm.202504841" TargetMode="External"/><Relationship Id="rId176" Type="http://schemas.openxmlformats.org/officeDocument/2006/relationships/hyperlink" Target="https://advanced.onlinelibrary.wiley.com/doi/10.1002/adma.202520380?af=R" TargetMode="External"/><Relationship Id="rId177" Type="http://schemas.openxmlformats.org/officeDocument/2006/relationships/hyperlink" Target="https://advanced.onlinelibrary.wiley.com/doi/10.1002/adma.202517285?af=R" TargetMode="External"/><Relationship Id="rId178" Type="http://schemas.openxmlformats.org/officeDocument/2006/relationships/hyperlink" Target="http://dx.doi.org/10.1021/jacs.5c18637" TargetMode="External"/><Relationship Id="rId179" Type="http://schemas.openxmlformats.org/officeDocument/2006/relationships/hyperlink" Target="https://doi.org/10.1021/jacs.5c18637" TargetMode="External"/><Relationship Id="rId180" Type="http://schemas.openxmlformats.org/officeDocument/2006/relationships/hyperlink" Target="https://onlinelibrary.wiley.com/doi/10.1002/anie.202522854?af=R" TargetMode="External"/><Relationship Id="rId181" Type="http://schemas.openxmlformats.org/officeDocument/2006/relationships/hyperlink" Target="https://doi.org/10.1002/anie.202522854" TargetMode="External"/><Relationship Id="rId182" Type="http://schemas.openxmlformats.org/officeDocument/2006/relationships/hyperlink" Target="https://onlinelibrary.wiley.com/doi/10.1002/anie.202518641?af=R" TargetMode="External"/><Relationship Id="rId183" Type="http://schemas.openxmlformats.org/officeDocument/2006/relationships/hyperlink" Target="https://doi.org/10.1002/anie.202518641" TargetMode="External"/><Relationship Id="rId184" Type="http://schemas.openxmlformats.org/officeDocument/2006/relationships/hyperlink" Target="https://onlinelibrary.wiley.com/doi/10.1002/anie.202518076?af=R" TargetMode="External"/><Relationship Id="rId185" Type="http://schemas.openxmlformats.org/officeDocument/2006/relationships/hyperlink" Target="https://doi.org/10.1002/anie.202518076" TargetMode="External"/><Relationship Id="rId186" Type="http://schemas.openxmlformats.org/officeDocument/2006/relationships/hyperlink" Target="https://onlinelibrary.wiley.com/doi/10.1002/anie.202524002?af=R" TargetMode="External"/><Relationship Id="rId187" Type="http://schemas.openxmlformats.org/officeDocument/2006/relationships/hyperlink" Target="https://doi.org/10.1002/anie.202524002" TargetMode="External"/><Relationship Id="rId188" Type="http://schemas.openxmlformats.org/officeDocument/2006/relationships/hyperlink" Target="https://onlinelibrary.wiley.com/doi/10.1002/anie.202522494?af=R" TargetMode="External"/><Relationship Id="rId189" Type="http://schemas.openxmlformats.org/officeDocument/2006/relationships/hyperlink" Target="https://doi.org/10.1002/anie.202522494" TargetMode="External"/><Relationship Id="rId190" Type="http://schemas.openxmlformats.org/officeDocument/2006/relationships/hyperlink" Target="https://onlinelibrary.wiley.com/doi/10.1002/anie.202520950?af=R" TargetMode="External"/><Relationship Id="rId191" Type="http://schemas.openxmlformats.org/officeDocument/2006/relationships/hyperlink" Target="https://doi.org/10.1002/anie.202520950" TargetMode="External"/><Relationship Id="rId192" Type="http://schemas.openxmlformats.org/officeDocument/2006/relationships/hyperlink" Target="https://advanced.onlinelibrary.wiley.com/doi/10.1002/aenm.202505291?af=R" TargetMode="External"/><Relationship Id="rId193" Type="http://schemas.openxmlformats.org/officeDocument/2006/relationships/hyperlink" Target="https://doi.org/10.1002/aenm.202505291" TargetMode="External"/><Relationship Id="rId194" Type="http://schemas.openxmlformats.org/officeDocument/2006/relationships/hyperlink" Target="http://dx.doi.org/10.1021/jacs.5c16110" TargetMode="External"/><Relationship Id="rId195" Type="http://schemas.openxmlformats.org/officeDocument/2006/relationships/hyperlink" Target="https://doi.org/10.1021/jacs.5c16110" TargetMode="External"/><Relationship Id="rId196" Type="http://schemas.openxmlformats.org/officeDocument/2006/relationships/hyperlink" Target="https://advanced.onlinelibrary.wiley.com/doi/10.1002/adma.202519199?af=R" TargetMode="External"/><Relationship Id="rId197" Type="http://schemas.openxmlformats.org/officeDocument/2006/relationships/hyperlink" Target="https://onlinelibrary.wiley.com/doi/10.1002/anie.202523112?af=R" TargetMode="External"/><Relationship Id="rId198" Type="http://schemas.openxmlformats.org/officeDocument/2006/relationships/hyperlink" Target="https://doi.org/10.1002/anie.202523112" TargetMode="External"/><Relationship Id="rId199" Type="http://schemas.openxmlformats.org/officeDocument/2006/relationships/hyperlink" Target="https://onlinelibrary.wiley.com/doi/10.1002/anie.202516763?af=R" TargetMode="External"/><Relationship Id="rId200" Type="http://schemas.openxmlformats.org/officeDocument/2006/relationships/hyperlink" Target="https://doi.org/10.1002/anie.202516763" TargetMode="External"/><Relationship Id="rId201" Type="http://schemas.openxmlformats.org/officeDocument/2006/relationships/hyperlink" Target="https://advanced.onlinelibrary.wiley.com/doi/10.1002/adma.202515030?af=R" TargetMode="External"/><Relationship Id="rId202" Type="http://schemas.openxmlformats.org/officeDocument/2006/relationships/hyperlink" Target="https://advanced.onlinelibrary.wiley.com/doi/10.1002/adma.202501376?af=R" TargetMode="External"/><Relationship Id="rId203" Type="http://schemas.openxmlformats.org/officeDocument/2006/relationships/hyperlink" Target="https://onlinelibrary.wiley.com/doi/10.1002/anie.202516035?af=R" TargetMode="External"/><Relationship Id="rId204" Type="http://schemas.openxmlformats.org/officeDocument/2006/relationships/hyperlink" Target="https://doi.org/10.1002/anie.202516035" TargetMode="External"/><Relationship Id="rId205" Type="http://schemas.openxmlformats.org/officeDocument/2006/relationships/hyperlink" Target="http://dx.doi.org/10.1021/jacs.5c19817" TargetMode="External"/><Relationship Id="rId206" Type="http://schemas.openxmlformats.org/officeDocument/2006/relationships/hyperlink" Target="https://doi.org/10.1021/jacs.5c19817" TargetMode="External"/><Relationship Id="rId207" Type="http://schemas.openxmlformats.org/officeDocument/2006/relationships/hyperlink" Target="http://dx.doi.org/10.1021/acsenergylett.5c03810" TargetMode="External"/><Relationship Id="rId208" Type="http://schemas.openxmlformats.org/officeDocument/2006/relationships/hyperlink" Target="https://onlinelibrary.wiley.com/doi/10.1002/anie.202522880?af=R" TargetMode="External"/><Relationship Id="rId209" Type="http://schemas.openxmlformats.org/officeDocument/2006/relationships/hyperlink" Target="https://doi.org/10.1002/anie.202522880" TargetMode="External"/><Relationship Id="rId210" Type="http://schemas.openxmlformats.org/officeDocument/2006/relationships/hyperlink" Target="https://onlinelibrary.wiley.com/doi/10.1002/anie.202521397?af=R" TargetMode="External"/><Relationship Id="rId211" Type="http://schemas.openxmlformats.org/officeDocument/2006/relationships/hyperlink" Target="https://doi.org/10.1002/anie.202521397" TargetMode="External"/><Relationship Id="rId212" Type="http://schemas.openxmlformats.org/officeDocument/2006/relationships/hyperlink" Target="https://onlinelibrary.wiley.com/doi/10.1002/anie.202521123?af=R" TargetMode="External"/><Relationship Id="rId213" Type="http://schemas.openxmlformats.org/officeDocument/2006/relationships/hyperlink" Target="https://doi.org/10.1002/anie.202521123" TargetMode="External"/><Relationship Id="rId214" Type="http://schemas.openxmlformats.org/officeDocument/2006/relationships/hyperlink" Target="https://onlinelibrary.wiley.com/doi/10.1002/anie.202520712?af=R" TargetMode="External"/><Relationship Id="rId215" Type="http://schemas.openxmlformats.org/officeDocument/2006/relationships/hyperlink" Target="https://doi.org/10.1002/anie.202520712" TargetMode="External"/><Relationship Id="rId216" Type="http://schemas.openxmlformats.org/officeDocument/2006/relationships/hyperlink" Target="http://dx.doi.org/10.1021/jacs.5c17768" TargetMode="External"/><Relationship Id="rId217" Type="http://schemas.openxmlformats.org/officeDocument/2006/relationships/hyperlink" Target="https://doi.org/10.1021/jacs.5c17768" TargetMode="External"/><Relationship Id="rId218" Type="http://schemas.openxmlformats.org/officeDocument/2006/relationships/hyperlink" Target="http://dx.doi.org/10.1021/jacs.5c18189" TargetMode="External"/><Relationship Id="rId219" Type="http://schemas.openxmlformats.org/officeDocument/2006/relationships/hyperlink" Target="https://doi.org/10.1021/jacs.5c18189" TargetMode="External"/><Relationship Id="rId220" Type="http://schemas.openxmlformats.org/officeDocument/2006/relationships/hyperlink" Target="http://dx.doi.org/10.1021/jacs.5c13252" TargetMode="External"/><Relationship Id="rId221" Type="http://schemas.openxmlformats.org/officeDocument/2006/relationships/hyperlink" Target="https://doi.org/10.1021/jacs.5c13252" TargetMode="External"/><Relationship Id="rId222" Type="http://schemas.openxmlformats.org/officeDocument/2006/relationships/hyperlink" Target="http://dx.doi.org/10.1021/jacs.5c16035" TargetMode="External"/><Relationship Id="rId223" Type="http://schemas.openxmlformats.org/officeDocument/2006/relationships/hyperlink" Target="https://doi.org/10.1021/jacs.5c16035" TargetMode="External"/><Relationship Id="rId224" Type="http://schemas.openxmlformats.org/officeDocument/2006/relationships/hyperlink" Target="https://onlinelibrary.wiley.com/doi/10.1002/anie.202522420?af=R" TargetMode="External"/><Relationship Id="rId225" Type="http://schemas.openxmlformats.org/officeDocument/2006/relationships/hyperlink" Target="https://doi.org/10.1002/anie.202522420" TargetMode="External"/><Relationship Id="rId226" Type="http://schemas.openxmlformats.org/officeDocument/2006/relationships/hyperlink" Target="https://onlinelibrary.wiley.com/doi/10.1002/anie.202521600?af=R" TargetMode="External"/><Relationship Id="rId227" Type="http://schemas.openxmlformats.org/officeDocument/2006/relationships/hyperlink" Target="https://doi.org/10.1002/anie.202521600" TargetMode="External"/><Relationship Id="rId228" Type="http://schemas.openxmlformats.org/officeDocument/2006/relationships/hyperlink" Target="https://onlinelibrary.wiley.com/doi/10.1002/anie.202518566?af=R" TargetMode="External"/><Relationship Id="rId229" Type="http://schemas.openxmlformats.org/officeDocument/2006/relationships/hyperlink" Target="https://doi.org/10.1002/anie.202518566" TargetMode="External"/><Relationship Id="rId230" Type="http://schemas.openxmlformats.org/officeDocument/2006/relationships/hyperlink" Target="https://onlinelibrary.wiley.com/doi/10.1002/anie.202524980?af=R" TargetMode="External"/><Relationship Id="rId231" Type="http://schemas.openxmlformats.org/officeDocument/2006/relationships/hyperlink" Target="https://doi.org/10.1002/anie.202524980" TargetMode="External"/><Relationship Id="rId232" Type="http://schemas.openxmlformats.org/officeDocument/2006/relationships/hyperlink" Target="https://onlinelibrary.wiley.com/doi/10.1002/anie.202524975?af=R" TargetMode="External"/><Relationship Id="rId233" Type="http://schemas.openxmlformats.org/officeDocument/2006/relationships/hyperlink" Target="https://doi.org/10.1002/anie.202524975" TargetMode="External"/><Relationship Id="rId234" Type="http://schemas.openxmlformats.org/officeDocument/2006/relationships/hyperlink" Target="http://dx.doi.org/10.1021/jacs.5c15451" TargetMode="External"/><Relationship Id="rId235" Type="http://schemas.openxmlformats.org/officeDocument/2006/relationships/hyperlink" Target="https://doi.org/10.1021/jacs.5c15451" TargetMode="External"/><Relationship Id="rId236" Type="http://schemas.openxmlformats.org/officeDocument/2006/relationships/hyperlink" Target="https://onlinelibrary.wiley.com/doi/10.1002/anie.202523562?af=R" TargetMode="External"/><Relationship Id="rId237" Type="http://schemas.openxmlformats.org/officeDocument/2006/relationships/hyperlink" Target="https://doi.org/10.1002/anie.202523562" TargetMode="External"/><Relationship Id="rId238" Type="http://schemas.openxmlformats.org/officeDocument/2006/relationships/hyperlink" Target="https://www.bbc.com/news/articles/c30j94p56d6o?at_medium=RSS&amp;at_campaign=rss" TargetMode="External"/><Relationship Id="rId239" Type="http://schemas.openxmlformats.org/officeDocument/2006/relationships/hyperlink" Target="http://dx.doi.org/10.1021/jacs.5c11706" TargetMode="External"/><Relationship Id="rId240" Type="http://schemas.openxmlformats.org/officeDocument/2006/relationships/hyperlink" Target="https://doi.org/10.1021/jacs.5c11706" TargetMode="External"/><Relationship Id="rId241" Type="http://schemas.openxmlformats.org/officeDocument/2006/relationships/hyperlink" Target="https://onlinelibrary.wiley.com/doi/10.1002/anie.202515639?af=R" TargetMode="External"/><Relationship Id="rId242" Type="http://schemas.openxmlformats.org/officeDocument/2006/relationships/hyperlink" Target="https://doi.org/10.1002/anie.202515639" TargetMode="External"/><Relationship Id="rId243" Type="http://schemas.openxmlformats.org/officeDocument/2006/relationships/hyperlink" Target="https://onlinelibrary.wiley.com/doi/10.1002/anie.202514551?af=R" TargetMode="External"/><Relationship Id="rId244" Type="http://schemas.openxmlformats.org/officeDocument/2006/relationships/hyperlink" Target="https://doi.org/10.1002/anie.202514551" TargetMode="External"/><Relationship Id="rId245" Type="http://schemas.openxmlformats.org/officeDocument/2006/relationships/hyperlink" Target="https://onlinelibrary.wiley.com/doi/10.1002/anie.202514632?af=R" TargetMode="External"/><Relationship Id="rId246" Type="http://schemas.openxmlformats.org/officeDocument/2006/relationships/hyperlink" Target="https://doi.org/10.1002/anie.202514632" TargetMode="External"/><Relationship Id="rId247" Type="http://schemas.openxmlformats.org/officeDocument/2006/relationships/hyperlink" Target="https://onlinelibrary.wiley.com/doi/10.1002/anie.202514768?af=R" TargetMode="External"/><Relationship Id="rId248" Type="http://schemas.openxmlformats.org/officeDocument/2006/relationships/hyperlink" Target="https://doi.org/10.1002/anie.202514768" TargetMode="External"/><Relationship Id="rId249" Type="http://schemas.openxmlformats.org/officeDocument/2006/relationships/hyperlink" Target="https://onlinelibrary.wiley.com/doi/10.1002/anie.202515623?af=R" TargetMode="External"/><Relationship Id="rId250" Type="http://schemas.openxmlformats.org/officeDocument/2006/relationships/hyperlink" Target="https://doi.org/10.1002/anie.202515623" TargetMode="External"/><Relationship Id="rId251" Type="http://schemas.openxmlformats.org/officeDocument/2006/relationships/hyperlink" Target="https://onlinelibrary.wiley.com/doi/10.1002/anie.202514816?af=R" TargetMode="External"/><Relationship Id="rId252" Type="http://schemas.openxmlformats.org/officeDocument/2006/relationships/hyperlink" Target="https://doi.org/10.1002/anie.202514816" TargetMode="External"/><Relationship Id="rId253" Type="http://schemas.openxmlformats.org/officeDocument/2006/relationships/hyperlink" Target="https://onlinelibrary.wiley.com/doi/10.1002/anie.202515496?af=R" TargetMode="External"/><Relationship Id="rId254" Type="http://schemas.openxmlformats.org/officeDocument/2006/relationships/hyperlink" Target="https://doi.org/10.1002/anie.202515496" TargetMode="External"/><Relationship Id="rId255" Type="http://schemas.openxmlformats.org/officeDocument/2006/relationships/hyperlink" Target="https://onlinelibrary.wiley.com/doi/10.1002/anie.202514859?af=R" TargetMode="External"/><Relationship Id="rId256" Type="http://schemas.openxmlformats.org/officeDocument/2006/relationships/hyperlink" Target="https://doi.org/10.1002/anie.202514859" TargetMode="External"/><Relationship Id="rId257" Type="http://schemas.openxmlformats.org/officeDocument/2006/relationships/hyperlink" Target="https://onlinelibrary.wiley.com/doi/10.1002/anie.202514953?af=R" TargetMode="External"/><Relationship Id="rId258" Type="http://schemas.openxmlformats.org/officeDocument/2006/relationships/hyperlink" Target="https://doi.org/10.1002/anie.202514953" TargetMode="External"/><Relationship Id="rId259" Type="http://schemas.openxmlformats.org/officeDocument/2006/relationships/hyperlink" Target="https://onlinelibrary.wiley.com/doi/10.1002/anie.202515595?af=R" TargetMode="External"/><Relationship Id="rId260" Type="http://schemas.openxmlformats.org/officeDocument/2006/relationships/hyperlink" Target="https://doi.org/10.1002/anie.202515595" TargetMode="External"/><Relationship Id="rId261" Type="http://schemas.openxmlformats.org/officeDocument/2006/relationships/hyperlink" Target="https://onlinelibrary.wiley.com/doi/10.1002/anie.202515531?af=R" TargetMode="External"/><Relationship Id="rId262" Type="http://schemas.openxmlformats.org/officeDocument/2006/relationships/hyperlink" Target="https://doi.org/10.1002/anie.202515531" TargetMode="External"/><Relationship Id="rId263" Type="http://schemas.openxmlformats.org/officeDocument/2006/relationships/hyperlink" Target="https://onlinelibrary.wiley.com/doi/10.1002/anie.202515528?af=R" TargetMode="External"/><Relationship Id="rId264" Type="http://schemas.openxmlformats.org/officeDocument/2006/relationships/hyperlink" Target="https://doi.org/10.1002/anie.202515528" TargetMode="External"/><Relationship Id="rId265" Type="http://schemas.openxmlformats.org/officeDocument/2006/relationships/hyperlink" Target="https://onlinelibrary.wiley.com/doi/10.1002/anie.202515502?af=R" TargetMode="External"/><Relationship Id="rId266" Type="http://schemas.openxmlformats.org/officeDocument/2006/relationships/hyperlink" Target="https://doi.org/10.1002/anie.202515502" TargetMode="External"/><Relationship Id="rId267" Type="http://schemas.openxmlformats.org/officeDocument/2006/relationships/hyperlink" Target="https://onlinelibrary.wiley.com/doi/10.1002/anie.202515020?af=R" TargetMode="External"/><Relationship Id="rId268" Type="http://schemas.openxmlformats.org/officeDocument/2006/relationships/hyperlink" Target="https://doi.org/10.1002/anie.202515020" TargetMode="External"/><Relationship Id="rId269" Type="http://schemas.openxmlformats.org/officeDocument/2006/relationships/hyperlink" Target="https://onlinelibrary.wiley.com/doi/10.1002/anie.202515064?af=R" TargetMode="External"/><Relationship Id="rId270" Type="http://schemas.openxmlformats.org/officeDocument/2006/relationships/hyperlink" Target="https://doi.org/10.1002/anie.202515064" TargetMode="External"/><Relationship Id="rId271" Type="http://schemas.openxmlformats.org/officeDocument/2006/relationships/hyperlink" Target="https://onlinelibrary.wiley.com/doi/10.1002/anie.202515104?af=R" TargetMode="External"/><Relationship Id="rId272" Type="http://schemas.openxmlformats.org/officeDocument/2006/relationships/hyperlink" Target="https://onlinelibrary.wiley.com/doi/10.1002/anie.202515137?af=R" TargetMode="External"/><Relationship Id="rId273" Type="http://schemas.openxmlformats.org/officeDocument/2006/relationships/hyperlink" Target="https://doi.org/10.1002/anie.202515137" TargetMode="External"/><Relationship Id="rId274" Type="http://schemas.openxmlformats.org/officeDocument/2006/relationships/hyperlink" Target="https://onlinelibrary.wiley.com/doi/10.1002/anie.202514795?af=R" TargetMode="External"/><Relationship Id="rId275" Type="http://schemas.openxmlformats.org/officeDocument/2006/relationships/hyperlink" Target="https://doi.org/10.1002/anie.202514795" TargetMode="External"/><Relationship Id="rId276" Type="http://schemas.openxmlformats.org/officeDocument/2006/relationships/hyperlink" Target="https://onlinelibrary.wiley.com/doi/10.1002/anie.202520974?af=R" TargetMode="External"/><Relationship Id="rId277" Type="http://schemas.openxmlformats.org/officeDocument/2006/relationships/hyperlink" Target="https://doi.org/10.1002/anie.202520974" TargetMode="External"/><Relationship Id="rId278" Type="http://schemas.openxmlformats.org/officeDocument/2006/relationships/hyperlink" Target="https://onlinelibrary.wiley.com/doi/10.1002/anie.202522659?af=R" TargetMode="External"/><Relationship Id="rId279" Type="http://schemas.openxmlformats.org/officeDocument/2006/relationships/hyperlink" Target="https://doi.org/10.1002/anie.202522659" TargetMode="External"/><Relationship Id="rId280" Type="http://schemas.openxmlformats.org/officeDocument/2006/relationships/hyperlink" Target="https://onlinelibrary.wiley.com/doi/10.1002/anie.202515821?af=R" TargetMode="External"/><Relationship Id="rId281" Type="http://schemas.openxmlformats.org/officeDocument/2006/relationships/hyperlink" Target="https://doi.org/10.1002/anie.202515821" TargetMode="External"/><Relationship Id="rId282" Type="http://schemas.openxmlformats.org/officeDocument/2006/relationships/hyperlink" Target="https://onlinelibrary.wiley.com/doi/10.1002/anie.202518002?af=R" TargetMode="External"/><Relationship Id="rId283" Type="http://schemas.openxmlformats.org/officeDocument/2006/relationships/hyperlink" Target="https://doi.org/10.1002/anie.202518002" TargetMode="External"/><Relationship Id="rId284" Type="http://schemas.openxmlformats.org/officeDocument/2006/relationships/hyperlink" Target="https://onlinelibrary.wiley.com/doi/10.1002/anie.202518035?af=R" TargetMode="External"/><Relationship Id="rId285" Type="http://schemas.openxmlformats.org/officeDocument/2006/relationships/hyperlink" Target="https://doi.org/10.1002/anie.202518035" TargetMode="External"/><Relationship Id="rId286" Type="http://schemas.openxmlformats.org/officeDocument/2006/relationships/hyperlink" Target="https://onlinelibrary.wiley.com/doi/10.1002/anie.202518122?af=R" TargetMode="External"/><Relationship Id="rId287" Type="http://schemas.openxmlformats.org/officeDocument/2006/relationships/hyperlink" Target="https://doi.org/10.1002/anie.202518122" TargetMode="External"/><Relationship Id="rId288" Type="http://schemas.openxmlformats.org/officeDocument/2006/relationships/hyperlink" Target="https://onlinelibrary.wiley.com/doi/10.1002/anie.202518136?af=R" TargetMode="External"/><Relationship Id="rId289" Type="http://schemas.openxmlformats.org/officeDocument/2006/relationships/hyperlink" Target="https://doi.org/10.1002/anie.202518136" TargetMode="External"/><Relationship Id="rId290" Type="http://schemas.openxmlformats.org/officeDocument/2006/relationships/hyperlink" Target="https://onlinelibrary.wiley.com/doi/10.1002/anie.202518150?af=R" TargetMode="External"/><Relationship Id="rId291" Type="http://schemas.openxmlformats.org/officeDocument/2006/relationships/hyperlink" Target="https://doi.org/10.1002/anie.202518150" TargetMode="External"/><Relationship Id="rId292" Type="http://schemas.openxmlformats.org/officeDocument/2006/relationships/hyperlink" Target="https://onlinelibrary.wiley.com/doi/10.1002/anie.202518174?af=R" TargetMode="External"/><Relationship Id="rId293" Type="http://schemas.openxmlformats.org/officeDocument/2006/relationships/hyperlink" Target="https://doi.org/10.1002/anie.202518174" TargetMode="External"/><Relationship Id="rId294" Type="http://schemas.openxmlformats.org/officeDocument/2006/relationships/hyperlink" Target="https://onlinelibrary.wiley.com/doi/10.1002/anie.202518262?af=R" TargetMode="External"/><Relationship Id="rId295" Type="http://schemas.openxmlformats.org/officeDocument/2006/relationships/hyperlink" Target="https://doi.org/10.1002/anie.202518262" TargetMode="External"/><Relationship Id="rId296" Type="http://schemas.openxmlformats.org/officeDocument/2006/relationships/hyperlink" Target="https://onlinelibrary.wiley.com/doi/10.1002/anie.202518282?af=R" TargetMode="External"/><Relationship Id="rId297" Type="http://schemas.openxmlformats.org/officeDocument/2006/relationships/hyperlink" Target="https://doi.org/10.1002/anie.202518282" TargetMode="External"/><Relationship Id="rId298" Type="http://schemas.openxmlformats.org/officeDocument/2006/relationships/hyperlink" Target="https://onlinelibrary.wiley.com/doi/10.1002/anie.202518384?af=R" TargetMode="External"/><Relationship Id="rId299" Type="http://schemas.openxmlformats.org/officeDocument/2006/relationships/hyperlink" Target="https://doi.org/10.1002/anie.202518384" TargetMode="External"/><Relationship Id="rId300" Type="http://schemas.openxmlformats.org/officeDocument/2006/relationships/hyperlink" Target="https://onlinelibrary.wiley.com/doi/10.1002/anie.202518398?af=R" TargetMode="External"/><Relationship Id="rId301" Type="http://schemas.openxmlformats.org/officeDocument/2006/relationships/hyperlink" Target="https://doi.org/10.1002/anie.202518398" TargetMode="External"/><Relationship Id="rId302" Type="http://schemas.openxmlformats.org/officeDocument/2006/relationships/hyperlink" Target="https://onlinelibrary.wiley.com/doi/10.1002/anie.202518493?af=R" TargetMode="External"/><Relationship Id="rId303" Type="http://schemas.openxmlformats.org/officeDocument/2006/relationships/hyperlink" Target="https://doi.org/10.1002/anie.202518493" TargetMode="External"/><Relationship Id="rId304" Type="http://schemas.openxmlformats.org/officeDocument/2006/relationships/hyperlink" Target="https://onlinelibrary.wiley.com/doi/10.1002/anie.202518569?af=R" TargetMode="External"/><Relationship Id="rId305" Type="http://schemas.openxmlformats.org/officeDocument/2006/relationships/hyperlink" Target="https://doi.org/10.1002/anie.202518569" TargetMode="External"/><Relationship Id="rId306" Type="http://schemas.openxmlformats.org/officeDocument/2006/relationships/hyperlink" Target="https://onlinelibrary.wiley.com/doi/10.1002/anie.202518622?af=R" TargetMode="External"/><Relationship Id="rId307" Type="http://schemas.openxmlformats.org/officeDocument/2006/relationships/hyperlink" Target="https://doi.org/10.1002/anie.202518622" TargetMode="External"/><Relationship Id="rId308" Type="http://schemas.openxmlformats.org/officeDocument/2006/relationships/hyperlink" Target="https://onlinelibrary.wiley.com/doi/10.1002/anie.202518647?af=R" TargetMode="External"/><Relationship Id="rId309" Type="http://schemas.openxmlformats.org/officeDocument/2006/relationships/hyperlink" Target="https://doi.org/10.1002/anie.202518647" TargetMode="External"/><Relationship Id="rId310" Type="http://schemas.openxmlformats.org/officeDocument/2006/relationships/hyperlink" Target="https://onlinelibrary.wiley.com/doi/10.1002/anie.202518885?af=R" TargetMode="External"/><Relationship Id="rId311" Type="http://schemas.openxmlformats.org/officeDocument/2006/relationships/hyperlink" Target="https://doi.org/10.1002/anie.202518885" TargetMode="External"/><Relationship Id="rId312" Type="http://schemas.openxmlformats.org/officeDocument/2006/relationships/hyperlink" Target="https://onlinelibrary.wiley.com/doi/10.1002/anie.202518937?af=R" TargetMode="External"/><Relationship Id="rId313" Type="http://schemas.openxmlformats.org/officeDocument/2006/relationships/hyperlink" Target="https://doi.org/10.1002/anie.202518937" TargetMode="External"/><Relationship Id="rId314" Type="http://schemas.openxmlformats.org/officeDocument/2006/relationships/hyperlink" Target="https://onlinelibrary.wiley.com/doi/10.1002/anie.202518973?af=R" TargetMode="External"/><Relationship Id="rId315" Type="http://schemas.openxmlformats.org/officeDocument/2006/relationships/hyperlink" Target="https://doi.org/10.1002/anie.202518973" TargetMode="External"/><Relationship Id="rId316" Type="http://schemas.openxmlformats.org/officeDocument/2006/relationships/hyperlink" Target="https://onlinelibrary.wiley.com/doi/10.1002/anie.202519335?af=R" TargetMode="External"/><Relationship Id="rId317" Type="http://schemas.openxmlformats.org/officeDocument/2006/relationships/hyperlink" Target="https://doi.org/10.1002/anie.202519335" TargetMode="External"/><Relationship Id="rId318" Type="http://schemas.openxmlformats.org/officeDocument/2006/relationships/hyperlink" Target="https://onlinelibrary.wiley.com/doi/10.1002/anie.202519816?af=R" TargetMode="External"/><Relationship Id="rId319" Type="http://schemas.openxmlformats.org/officeDocument/2006/relationships/hyperlink" Target="https://doi.org/10.1002/anie.202519816" TargetMode="External"/><Relationship Id="rId320" Type="http://schemas.openxmlformats.org/officeDocument/2006/relationships/hyperlink" Target="https://onlinelibrary.wiley.com/doi/10.1002/anie.202519953?af=R" TargetMode="External"/><Relationship Id="rId321" Type="http://schemas.openxmlformats.org/officeDocument/2006/relationships/hyperlink" Target="https://doi.org/10.1002/anie.202519953" TargetMode="External"/><Relationship Id="rId322" Type="http://schemas.openxmlformats.org/officeDocument/2006/relationships/hyperlink" Target="https://onlinelibrary.wiley.com/doi/10.1002/anie.202520260?af=R" TargetMode="External"/><Relationship Id="rId323" Type="http://schemas.openxmlformats.org/officeDocument/2006/relationships/hyperlink" Target="https://doi.org/10.1002/anie.202520260" TargetMode="External"/><Relationship Id="rId324" Type="http://schemas.openxmlformats.org/officeDocument/2006/relationships/hyperlink" Target="https://onlinelibrary.wiley.com/doi/10.1002/anie.202520283?af=R" TargetMode="External"/><Relationship Id="rId325" Type="http://schemas.openxmlformats.org/officeDocument/2006/relationships/hyperlink" Target="https://doi.org/10.1002/anie.202520283" TargetMode="External"/><Relationship Id="rId326" Type="http://schemas.openxmlformats.org/officeDocument/2006/relationships/hyperlink" Target="https://onlinelibrary.wiley.com/doi/10.1002/anie.202520322?af=R" TargetMode="External"/><Relationship Id="rId327" Type="http://schemas.openxmlformats.org/officeDocument/2006/relationships/hyperlink" Target="https://doi.org/10.1002/anie.202520322" TargetMode="External"/><Relationship Id="rId328" Type="http://schemas.openxmlformats.org/officeDocument/2006/relationships/hyperlink" Target="https://onlinelibrary.wiley.com/doi/10.1002/anie.202520448?af=R" TargetMode="External"/><Relationship Id="rId329" Type="http://schemas.openxmlformats.org/officeDocument/2006/relationships/hyperlink" Target="https://doi.org/10.1002/anie.202520448" TargetMode="External"/><Relationship Id="rId330" Type="http://schemas.openxmlformats.org/officeDocument/2006/relationships/hyperlink" Target="https://onlinelibrary.wiley.com/doi/10.1002/anie.202520563?af=R" TargetMode="External"/><Relationship Id="rId331" Type="http://schemas.openxmlformats.org/officeDocument/2006/relationships/hyperlink" Target="https://doi.org/10.1002/anie.202520563" TargetMode="External"/><Relationship Id="rId332" Type="http://schemas.openxmlformats.org/officeDocument/2006/relationships/hyperlink" Target="https://onlinelibrary.wiley.com/doi/10.1002/anie.202520587?af=R" TargetMode="External"/><Relationship Id="rId333" Type="http://schemas.openxmlformats.org/officeDocument/2006/relationships/hyperlink" Target="https://doi.org/10.1002/anie.202520587" TargetMode="External"/><Relationship Id="rId334" Type="http://schemas.openxmlformats.org/officeDocument/2006/relationships/hyperlink" Target="https://onlinelibrary.wiley.com/doi/10.1002/anie.202520707?af=R" TargetMode="External"/><Relationship Id="rId335" Type="http://schemas.openxmlformats.org/officeDocument/2006/relationships/hyperlink" Target="https://doi.org/10.1002/anie.202520707" TargetMode="External"/><Relationship Id="rId336" Type="http://schemas.openxmlformats.org/officeDocument/2006/relationships/hyperlink" Target="https://onlinelibrary.wiley.com/doi/10.1002/anie.202517907?af=R" TargetMode="External"/><Relationship Id="rId337" Type="http://schemas.openxmlformats.org/officeDocument/2006/relationships/hyperlink" Target="https://doi.org/10.1002/anie.202517907" TargetMode="External"/><Relationship Id="rId338" Type="http://schemas.openxmlformats.org/officeDocument/2006/relationships/hyperlink" Target="https://onlinelibrary.wiley.com/doi/10.1002/anie.202517830?af=R" TargetMode="External"/><Relationship Id="rId339" Type="http://schemas.openxmlformats.org/officeDocument/2006/relationships/hyperlink" Target="https://doi.org/10.1002/anie.202517830" TargetMode="External"/><Relationship Id="rId340" Type="http://schemas.openxmlformats.org/officeDocument/2006/relationships/hyperlink" Target="https://onlinelibrary.wiley.com/doi/10.1002/anie.202517808?af=R" TargetMode="External"/><Relationship Id="rId341" Type="http://schemas.openxmlformats.org/officeDocument/2006/relationships/hyperlink" Target="https://doi.org/10.1002/anie.202517808" TargetMode="External"/><Relationship Id="rId342" Type="http://schemas.openxmlformats.org/officeDocument/2006/relationships/hyperlink" Target="https://onlinelibrary.wiley.com/doi/10.1002/anie.202517764?af=R" TargetMode="External"/><Relationship Id="rId343" Type="http://schemas.openxmlformats.org/officeDocument/2006/relationships/hyperlink" Target="https://doi.org/10.1002/anie.202517764" TargetMode="External"/><Relationship Id="rId344" Type="http://schemas.openxmlformats.org/officeDocument/2006/relationships/hyperlink" Target="https://onlinelibrary.wiley.com/doi/10.1002/anie.202515930?af=R" TargetMode="External"/><Relationship Id="rId345" Type="http://schemas.openxmlformats.org/officeDocument/2006/relationships/hyperlink" Target="https://doi.org/10.1002/anie.202515930" TargetMode="External"/><Relationship Id="rId346" Type="http://schemas.openxmlformats.org/officeDocument/2006/relationships/hyperlink" Target="https://onlinelibrary.wiley.com/doi/10.1002/anie.202516041?af=R" TargetMode="External"/><Relationship Id="rId347" Type="http://schemas.openxmlformats.org/officeDocument/2006/relationships/hyperlink" Target="https://doi.org/10.1002/anie.202516041" TargetMode="External"/><Relationship Id="rId348" Type="http://schemas.openxmlformats.org/officeDocument/2006/relationships/hyperlink" Target="https://onlinelibrary.wiley.com/doi/10.1002/anie.202522627?af=R" TargetMode="External"/><Relationship Id="rId349" Type="http://schemas.openxmlformats.org/officeDocument/2006/relationships/hyperlink" Target="https://onlinelibrary.wiley.com/doi/10.1002/anie.202522612?af=R" TargetMode="External"/><Relationship Id="rId350" Type="http://schemas.openxmlformats.org/officeDocument/2006/relationships/hyperlink" Target="https://doi.org/10.1002/anie.202522612" TargetMode="External"/><Relationship Id="rId351" Type="http://schemas.openxmlformats.org/officeDocument/2006/relationships/hyperlink" Target="https://onlinelibrary.wiley.com/doi/10.1002/anie.202516050?af=R" TargetMode="External"/><Relationship Id="rId352" Type="http://schemas.openxmlformats.org/officeDocument/2006/relationships/hyperlink" Target="https://doi.org/10.1002/anie.202516050" TargetMode="External"/><Relationship Id="rId353" Type="http://schemas.openxmlformats.org/officeDocument/2006/relationships/hyperlink" Target="https://onlinelibrary.wiley.com/doi/10.1002/anie.202516076?af=R" TargetMode="External"/><Relationship Id="rId354" Type="http://schemas.openxmlformats.org/officeDocument/2006/relationships/hyperlink" Target="https://doi.org/10.1002/anie.202516076" TargetMode="External"/><Relationship Id="rId355" Type="http://schemas.openxmlformats.org/officeDocument/2006/relationships/hyperlink" Target="https://onlinelibrary.wiley.com/doi/10.1002/anie.202516086?af=R" TargetMode="External"/><Relationship Id="rId356" Type="http://schemas.openxmlformats.org/officeDocument/2006/relationships/hyperlink" Target="https://doi.org/10.1002/anie.202516086" TargetMode="External"/><Relationship Id="rId357" Type="http://schemas.openxmlformats.org/officeDocument/2006/relationships/hyperlink" Target="https://onlinelibrary.wiley.com/doi/10.1002/anie.202516090?af=R" TargetMode="External"/><Relationship Id="rId358" Type="http://schemas.openxmlformats.org/officeDocument/2006/relationships/hyperlink" Target="https://doi.org/10.1002/anie.202516090" TargetMode="External"/><Relationship Id="rId359" Type="http://schemas.openxmlformats.org/officeDocument/2006/relationships/hyperlink" Target="https://onlinelibrary.wiley.com/doi/10.1002/anie.202516156?af=R" TargetMode="External"/><Relationship Id="rId360" Type="http://schemas.openxmlformats.org/officeDocument/2006/relationships/hyperlink" Target="https://doi.org/10.1002/anie.202516156" TargetMode="External"/><Relationship Id="rId361" Type="http://schemas.openxmlformats.org/officeDocument/2006/relationships/hyperlink" Target="https://onlinelibrary.wiley.com/doi/10.1002/anie.202516398?af=R" TargetMode="External"/><Relationship Id="rId362" Type="http://schemas.openxmlformats.org/officeDocument/2006/relationships/hyperlink" Target="https://doi.org/10.1002/anie.202516398" TargetMode="External"/><Relationship Id="rId363" Type="http://schemas.openxmlformats.org/officeDocument/2006/relationships/hyperlink" Target="https://onlinelibrary.wiley.com/doi/10.1002/anie.202516620?af=R" TargetMode="External"/><Relationship Id="rId364" Type="http://schemas.openxmlformats.org/officeDocument/2006/relationships/hyperlink" Target="https://doi.org/10.1002/anie.202516620" TargetMode="External"/><Relationship Id="rId365" Type="http://schemas.openxmlformats.org/officeDocument/2006/relationships/hyperlink" Target="https://onlinelibrary.wiley.com/doi/10.1002/anie.202516637?af=R" TargetMode="External"/><Relationship Id="rId366" Type="http://schemas.openxmlformats.org/officeDocument/2006/relationships/hyperlink" Target="https://doi.org/10.1002/anie.202516637" TargetMode="External"/><Relationship Id="rId367" Type="http://schemas.openxmlformats.org/officeDocument/2006/relationships/hyperlink" Target="https://onlinelibrary.wiley.com/doi/10.1002/anie.202521896?af=R" TargetMode="External"/><Relationship Id="rId368" Type="http://schemas.openxmlformats.org/officeDocument/2006/relationships/hyperlink" Target="https://doi.org/10.1002/anie.202521896" TargetMode="External"/><Relationship Id="rId369" Type="http://schemas.openxmlformats.org/officeDocument/2006/relationships/hyperlink" Target="https://onlinelibrary.wiley.com/doi/10.1002/anie.202515820?af=R" TargetMode="External"/><Relationship Id="rId370" Type="http://schemas.openxmlformats.org/officeDocument/2006/relationships/hyperlink" Target="https://doi.org/10.1002/anie.202515820" TargetMode="External"/><Relationship Id="rId371" Type="http://schemas.openxmlformats.org/officeDocument/2006/relationships/hyperlink" Target="https://onlinelibrary.wiley.com/doi/10.1002/anie.202516764?af=R" TargetMode="External"/><Relationship Id="rId372" Type="http://schemas.openxmlformats.org/officeDocument/2006/relationships/hyperlink" Target="https://doi.org/10.1002/anie.202516764" TargetMode="External"/><Relationship Id="rId373" Type="http://schemas.openxmlformats.org/officeDocument/2006/relationships/hyperlink" Target="https://onlinelibrary.wiley.com/doi/10.1002/anie.202516984?af=R" TargetMode="External"/><Relationship Id="rId374" Type="http://schemas.openxmlformats.org/officeDocument/2006/relationships/hyperlink" Target="https://doi.org/10.1002/anie.202516984" TargetMode="External"/><Relationship Id="rId375" Type="http://schemas.openxmlformats.org/officeDocument/2006/relationships/hyperlink" Target="https://onlinelibrary.wiley.com/doi/10.1002/anie.202517013?af=R" TargetMode="External"/><Relationship Id="rId376" Type="http://schemas.openxmlformats.org/officeDocument/2006/relationships/hyperlink" Target="https://doi.org/10.1002/anie.202517013" TargetMode="External"/><Relationship Id="rId377" Type="http://schemas.openxmlformats.org/officeDocument/2006/relationships/hyperlink" Target="https://onlinelibrary.wiley.com/doi/10.1002/anie.202517041?af=R" TargetMode="External"/><Relationship Id="rId378" Type="http://schemas.openxmlformats.org/officeDocument/2006/relationships/hyperlink" Target="https://doi.org/10.1002/anie.202517041" TargetMode="External"/><Relationship Id="rId379" Type="http://schemas.openxmlformats.org/officeDocument/2006/relationships/hyperlink" Target="https://onlinelibrary.wiley.com/doi/10.1002/anie.202517132?af=R" TargetMode="External"/><Relationship Id="rId380" Type="http://schemas.openxmlformats.org/officeDocument/2006/relationships/hyperlink" Target="https://doi.org/10.1002/anie.202517132" TargetMode="External"/><Relationship Id="rId381" Type="http://schemas.openxmlformats.org/officeDocument/2006/relationships/hyperlink" Target="https://onlinelibrary.wiley.com/doi/10.1002/anie.202517190?af=R" TargetMode="External"/><Relationship Id="rId382" Type="http://schemas.openxmlformats.org/officeDocument/2006/relationships/hyperlink" Target="https://doi.org/10.1002/anie.202517190" TargetMode="External"/><Relationship Id="rId383" Type="http://schemas.openxmlformats.org/officeDocument/2006/relationships/hyperlink" Target="https://onlinelibrary.wiley.com/doi/10.1002/anie.202517207?af=R" TargetMode="External"/><Relationship Id="rId384" Type="http://schemas.openxmlformats.org/officeDocument/2006/relationships/hyperlink" Target="https://doi.org/10.1002/anie.202517207" TargetMode="External"/><Relationship Id="rId385" Type="http://schemas.openxmlformats.org/officeDocument/2006/relationships/hyperlink" Target="https://onlinelibrary.wiley.com/doi/10.1002/anie.202521837?af=R" TargetMode="External"/><Relationship Id="rId386" Type="http://schemas.openxmlformats.org/officeDocument/2006/relationships/hyperlink" Target="https://doi.org/10.1002/anie.202521837" TargetMode="External"/><Relationship Id="rId387" Type="http://schemas.openxmlformats.org/officeDocument/2006/relationships/hyperlink" Target="https://onlinelibrary.wiley.com/doi/10.1002/anie.202517300?af=R" TargetMode="External"/><Relationship Id="rId388" Type="http://schemas.openxmlformats.org/officeDocument/2006/relationships/hyperlink" Target="https://doi.org/10.1002/anie.202517300" TargetMode="External"/><Relationship Id="rId389" Type="http://schemas.openxmlformats.org/officeDocument/2006/relationships/hyperlink" Target="https://onlinelibrary.wiley.com/doi/10.1002/anie.202517359?af=R" TargetMode="External"/><Relationship Id="rId390" Type="http://schemas.openxmlformats.org/officeDocument/2006/relationships/hyperlink" Target="https://doi.org/10.1002/anie.202517359" TargetMode="External"/><Relationship Id="rId391" Type="http://schemas.openxmlformats.org/officeDocument/2006/relationships/hyperlink" Target="https://onlinelibrary.wiley.com/doi/10.1002/anie.202517406?af=R" TargetMode="External"/><Relationship Id="rId392" Type="http://schemas.openxmlformats.org/officeDocument/2006/relationships/hyperlink" Target="https://doi.org/10.1002/anie.202517406" TargetMode="External"/><Relationship Id="rId393" Type="http://schemas.openxmlformats.org/officeDocument/2006/relationships/hyperlink" Target="https://onlinelibrary.wiley.com/doi/10.1002/anie.202517612?af=R" TargetMode="External"/><Relationship Id="rId394" Type="http://schemas.openxmlformats.org/officeDocument/2006/relationships/hyperlink" Target="https://doi.org/10.1002/anie.202517612" TargetMode="External"/><Relationship Id="rId395" Type="http://schemas.openxmlformats.org/officeDocument/2006/relationships/hyperlink" Target="https://onlinelibrary.wiley.com/doi/10.1002/anie.202521735?af=R" TargetMode="External"/><Relationship Id="rId396" Type="http://schemas.openxmlformats.org/officeDocument/2006/relationships/hyperlink" Target="https://doi.org/10.1002/anie.202521735" TargetMode="External"/><Relationship Id="rId397" Type="http://schemas.openxmlformats.org/officeDocument/2006/relationships/hyperlink" Target="https://onlinelibrary.wiley.com/doi/10.1002/anie.202517725?af=R" TargetMode="External"/><Relationship Id="rId398" Type="http://schemas.openxmlformats.org/officeDocument/2006/relationships/hyperlink" Target="https://doi.org/10.1002/anie.202517725" TargetMode="External"/><Relationship Id="rId399" Type="http://schemas.openxmlformats.org/officeDocument/2006/relationships/hyperlink" Target="https://onlinelibrary.wiley.com/doi/10.1002/anie.202514456?af=R" TargetMode="External"/><Relationship Id="rId400" Type="http://schemas.openxmlformats.org/officeDocument/2006/relationships/hyperlink" Target="https://doi.org/10.1002/anie.202514456" TargetMode="External"/><Relationship Id="rId401" Type="http://schemas.openxmlformats.org/officeDocument/2006/relationships/hyperlink" Target="https://onlinelibrary.wiley.com/doi/10.1002/anie.202516978?af=R" TargetMode="External"/><Relationship Id="rId402" Type="http://schemas.openxmlformats.org/officeDocument/2006/relationships/hyperlink" Target="https://doi.org/10.1002/anie.202516978" TargetMode="External"/><Relationship Id="rId403" Type="http://schemas.openxmlformats.org/officeDocument/2006/relationships/hyperlink" Target="https://onlinelibrary.wiley.com/doi/10.1002/anie.202509226?af=R" TargetMode="External"/><Relationship Id="rId404" Type="http://schemas.openxmlformats.org/officeDocument/2006/relationships/hyperlink" Target="https://doi.org/10.1002/anie.202509226" TargetMode="External"/><Relationship Id="rId405" Type="http://schemas.openxmlformats.org/officeDocument/2006/relationships/hyperlink" Target="https://onlinelibrary.wiley.com/doi/10.1002/anie.202514076?af=R" TargetMode="External"/><Relationship Id="rId406" Type="http://schemas.openxmlformats.org/officeDocument/2006/relationships/hyperlink" Target="https://doi.org/10.1002/anie.202514076" TargetMode="External"/><Relationship Id="rId407" Type="http://schemas.openxmlformats.org/officeDocument/2006/relationships/hyperlink" Target="https://onlinelibrary.wiley.com/doi/10.1002/anie.202513869?af=R" TargetMode="External"/><Relationship Id="rId408" Type="http://schemas.openxmlformats.org/officeDocument/2006/relationships/hyperlink" Target="https://doi.org/10.1002/anie.202513869" TargetMode="External"/><Relationship Id="rId409" Type="http://schemas.openxmlformats.org/officeDocument/2006/relationships/hyperlink" Target="https://onlinelibrary.wiley.com/doi/10.1002/anie.202513760?af=R" TargetMode="External"/><Relationship Id="rId410" Type="http://schemas.openxmlformats.org/officeDocument/2006/relationships/hyperlink" Target="https://doi.org/10.1002/anie.202513760" TargetMode="External"/><Relationship Id="rId411" Type="http://schemas.openxmlformats.org/officeDocument/2006/relationships/hyperlink" Target="https://onlinelibrary.wiley.com/doi/10.1002/anie.202513246?af=R" TargetMode="External"/><Relationship Id="rId412" Type="http://schemas.openxmlformats.org/officeDocument/2006/relationships/hyperlink" Target="https://doi.org/10.1002/anie.202513246" TargetMode="External"/><Relationship Id="rId413" Type="http://schemas.openxmlformats.org/officeDocument/2006/relationships/hyperlink" Target="https://onlinelibrary.wiley.com/doi/10.1002/anie.202513157?af=R" TargetMode="External"/><Relationship Id="rId414" Type="http://schemas.openxmlformats.org/officeDocument/2006/relationships/hyperlink" Target="https://doi.org/10.1002/anie.202513157" TargetMode="External"/><Relationship Id="rId415" Type="http://schemas.openxmlformats.org/officeDocument/2006/relationships/hyperlink" Target="https://onlinelibrary.wiley.com/doi/10.1002/anie.202512854?af=R" TargetMode="External"/><Relationship Id="rId416" Type="http://schemas.openxmlformats.org/officeDocument/2006/relationships/hyperlink" Target="https://doi.org/10.1002/anie.202512854" TargetMode="External"/><Relationship Id="rId417" Type="http://schemas.openxmlformats.org/officeDocument/2006/relationships/hyperlink" Target="https://onlinelibrary.wiley.com/doi/10.1002/anie.202511671?af=R" TargetMode="External"/><Relationship Id="rId418" Type="http://schemas.openxmlformats.org/officeDocument/2006/relationships/hyperlink" Target="https://doi.org/10.1002/anie.202511671" TargetMode="External"/><Relationship Id="rId419" Type="http://schemas.openxmlformats.org/officeDocument/2006/relationships/hyperlink" Target="https://onlinelibrary.wiley.com/doi/10.1002/anie.202511535?af=R" TargetMode="External"/><Relationship Id="rId420" Type="http://schemas.openxmlformats.org/officeDocument/2006/relationships/hyperlink" Target="https://doi.org/10.1002/anie.202511535" TargetMode="External"/><Relationship Id="rId421" Type="http://schemas.openxmlformats.org/officeDocument/2006/relationships/hyperlink" Target="https://onlinelibrary.wiley.com/doi/10.1002/anie.202514135?af=R" TargetMode="External"/><Relationship Id="rId422" Type="http://schemas.openxmlformats.org/officeDocument/2006/relationships/hyperlink" Target="https://doi.org/10.1002/anie.202514135" TargetMode="External"/><Relationship Id="rId423" Type="http://schemas.openxmlformats.org/officeDocument/2006/relationships/hyperlink" Target="https://onlinelibrary.wiley.com/doi/10.1002/anie.2025-m1311101900?af=R" TargetMode="External"/><Relationship Id="rId424" Type="http://schemas.openxmlformats.org/officeDocument/2006/relationships/hyperlink" Target="https://onlinelibrary.wiley.com/doi/10.1002/anie.202507500?af=R" TargetMode="External"/><Relationship Id="rId425" Type="http://schemas.openxmlformats.org/officeDocument/2006/relationships/hyperlink" Target="https://doi.org/10.1002/anie.202507500" TargetMode="External"/><Relationship Id="rId426" Type="http://schemas.openxmlformats.org/officeDocument/2006/relationships/hyperlink" Target="https://onlinelibrary.wiley.com/doi/10.1002/anie.2025-m1711063800?af=R" TargetMode="External"/><Relationship Id="rId427" Type="http://schemas.openxmlformats.org/officeDocument/2006/relationships/hyperlink" Target="https://onlinelibrary.wiley.com/doi/10.1002/anie.2025-m1711054500?af=R" TargetMode="External"/><Relationship Id="rId428" Type="http://schemas.openxmlformats.org/officeDocument/2006/relationships/hyperlink" Target="https://onlinelibrary.wiley.com/doi/10.1002/anie.2025-m1711053600?af=R" TargetMode="External"/><Relationship Id="rId429" Type="http://schemas.openxmlformats.org/officeDocument/2006/relationships/hyperlink" Target="https://onlinelibrary.wiley.com/doi/10.1002/anie.2025-m1311102900?af=R" TargetMode="External"/><Relationship Id="rId430" Type="http://schemas.openxmlformats.org/officeDocument/2006/relationships/hyperlink" Target="http://dx.doi.org/10.1021/acsenergylett.5c03389" TargetMode="External"/><Relationship Id="rId431" Type="http://schemas.openxmlformats.org/officeDocument/2006/relationships/hyperlink" Target="http://dx.doi.org/10.1021/jacs.5c15288" TargetMode="External"/><Relationship Id="rId432" Type="http://schemas.openxmlformats.org/officeDocument/2006/relationships/hyperlink" Target="https://doi.org/10.1021/jacs.5c15288" TargetMode="External"/><Relationship Id="rId433" Type="http://schemas.openxmlformats.org/officeDocument/2006/relationships/hyperlink" Target="http://dx.doi.org/10.1021/jacs.5c13960" TargetMode="External"/><Relationship Id="rId434" Type="http://schemas.openxmlformats.org/officeDocument/2006/relationships/hyperlink" Target="https://doi.org/10.1021/jacs.5c13960" TargetMode="External"/><Relationship Id="rId435" Type="http://schemas.openxmlformats.org/officeDocument/2006/relationships/hyperlink" Target="http://dx.doi.org/10.1021/jacs.5c17648" TargetMode="External"/><Relationship Id="rId436" Type="http://schemas.openxmlformats.org/officeDocument/2006/relationships/hyperlink" Target="https://doi.org/10.1021/jacs.5c17648" TargetMode="External"/><Relationship Id="rId437" Type="http://schemas.openxmlformats.org/officeDocument/2006/relationships/hyperlink" Target="http://dx.doi.org/10.1021/acsenergylett.5c02431" TargetMode="External"/><Relationship Id="rId438" Type="http://schemas.openxmlformats.org/officeDocument/2006/relationships/hyperlink" Target="http://dx.doi.org/10.1021/jacs.5c13454" TargetMode="External"/><Relationship Id="rId439" Type="http://schemas.openxmlformats.org/officeDocument/2006/relationships/hyperlink" Target="https://doi.org/10.1021/jacs.5c13454" TargetMode="External"/><Relationship Id="rId440" Type="http://schemas.openxmlformats.org/officeDocument/2006/relationships/hyperlink" Target="http://dx.doi.org/10.1021/jacs.5c16374" TargetMode="External"/><Relationship Id="rId441" Type="http://schemas.openxmlformats.org/officeDocument/2006/relationships/hyperlink" Target="https://doi.org/10.1021/jacs.5c16374" TargetMode="External"/><Relationship Id="rId442" Type="http://schemas.openxmlformats.org/officeDocument/2006/relationships/hyperlink" Target="https://www.bbc.com/news/articles/c3r7zp418p8o?at_medium=RSS&amp;at_campaign=rss" TargetMode="External"/><Relationship Id="rId443" Type="http://schemas.openxmlformats.org/officeDocument/2006/relationships/hyperlink" Target="http://dx.doi.org/10.1021/jacs.5c12696" TargetMode="External"/><Relationship Id="rId444" Type="http://schemas.openxmlformats.org/officeDocument/2006/relationships/hyperlink" Target="https://doi.org/10.1021/jacs.5c12696" TargetMode="External"/><Relationship Id="rId445" Type="http://schemas.openxmlformats.org/officeDocument/2006/relationships/hyperlink" Target="http://dx.doi.org/10.1021/jacs.5c15955" TargetMode="External"/><Relationship Id="rId446" Type="http://schemas.openxmlformats.org/officeDocument/2006/relationships/hyperlink" Target="https://doi.org/10.1021/jacs.5c15955" TargetMode="External"/><Relationship Id="rId447" Type="http://schemas.openxmlformats.org/officeDocument/2006/relationships/hyperlink" Target="https://www.bbc.com/news/articles/crk78y7k8ezo?at_medium=RSS&amp;at_campaign=rss" TargetMode="External"/><Relationship Id="rId448" Type="http://schemas.openxmlformats.org/officeDocument/2006/relationships/hyperlink" Target="http://dx.doi.org/10.1021/jacs.5c12200" TargetMode="External"/><Relationship Id="rId449" Type="http://schemas.openxmlformats.org/officeDocument/2006/relationships/hyperlink" Target="https://doi.org/10.1021/jacs.5c12200" TargetMode="External"/><Relationship Id="rId450" Type="http://schemas.openxmlformats.org/officeDocument/2006/relationships/hyperlink" Target="http://dx.doi.org/10.1021/jacs.5c15344" TargetMode="External"/><Relationship Id="rId451" Type="http://schemas.openxmlformats.org/officeDocument/2006/relationships/hyperlink" Target="https://doi.org/10.1021/jacs.5c15344" TargetMode="External"/><Relationship Id="rId452" Type="http://schemas.openxmlformats.org/officeDocument/2006/relationships/hyperlink" Target="http://dx.doi.org/10.1021/jacs.5c13963" TargetMode="External"/><Relationship Id="rId453" Type="http://schemas.openxmlformats.org/officeDocument/2006/relationships/hyperlink" Target="https://doi.org/10.1021/jacs.5c13963" TargetMode="External"/><Relationship Id="rId454" Type="http://schemas.openxmlformats.org/officeDocument/2006/relationships/hyperlink" Target="http://dx.doi.org/10.1021/jacs.5c20051" TargetMode="External"/><Relationship Id="rId455" Type="http://schemas.openxmlformats.org/officeDocument/2006/relationships/hyperlink" Target="https://doi.org/10.1021/jacs.5c20051" TargetMode="External"/><Relationship Id="rId456" Type="http://schemas.openxmlformats.org/officeDocument/2006/relationships/hyperlink" Target="https://www.nature.com/articles/s41563-025-02453-x" TargetMode="External"/><Relationship Id="rId457" Type="http://schemas.openxmlformats.org/officeDocument/2006/relationships/hyperlink" Target="https://www.sciencedirect.com/science/article/pii/S0306261925019361?dgcid=rss_sd_all" TargetMode="External"/><Relationship Id="rId458" Type="http://schemas.openxmlformats.org/officeDocument/2006/relationships/hyperlink" Target="https://www.sciencedirect.com/science/article/pii/S0306261925019397?dgcid=rss_sd_all" TargetMode="External"/><Relationship Id="rId459" Type="http://schemas.openxmlformats.org/officeDocument/2006/relationships/hyperlink" Target="https://www.sciencedirect.com/science/article/pii/S0306261925019427?dgcid=rss_sd_all" TargetMode="External"/><Relationship Id="rId460" Type="http://schemas.openxmlformats.org/officeDocument/2006/relationships/hyperlink" Target="https://www.sciencedirect.com/science/article/pii/S0306261925019415?dgcid=rss_sd_all" TargetMode="External"/><Relationship Id="rId461" Type="http://schemas.openxmlformats.org/officeDocument/2006/relationships/hyperlink" Target="https://www.nature.com/articles/s41467-025-67579-7" TargetMode="External"/><Relationship Id="rId462" Type="http://schemas.openxmlformats.org/officeDocument/2006/relationships/hyperlink" Target="https://www.nature.com/articles/s41467-025-67574-y" TargetMode="External"/><Relationship Id="rId463" Type="http://schemas.openxmlformats.org/officeDocument/2006/relationships/hyperlink" Target="https://www.nature.com/articles/s41563-025-02443-z" TargetMode="External"/><Relationship Id="rId464" Type="http://schemas.openxmlformats.org/officeDocument/2006/relationships/hyperlink" Target="https://www.sciencedirect.com/science/article/pii/S0306261925019348?dgcid=rss_sd_all" TargetMode="External"/><Relationship Id="rId465" Type="http://schemas.openxmlformats.org/officeDocument/2006/relationships/hyperlink" Target="https://www.nature.com/articles/s41586-025-09814-1" TargetMode="External"/><Relationship Id="rId466" Type="http://schemas.openxmlformats.org/officeDocument/2006/relationships/hyperlink" Target="https://www.nature.com/articles/s41563-025-02455-9" TargetMode="External"/><Relationship Id="rId467" Type="http://schemas.openxmlformats.org/officeDocument/2006/relationships/hyperlink" Target="https://www.nature.com/articles/s41586-025-09858-3" TargetMode="External"/><Relationship Id="rId468" Type="http://schemas.openxmlformats.org/officeDocument/2006/relationships/hyperlink" Target="https://www.nature.com/articles/s41586-025-09843-w" TargetMode="External"/><Relationship Id="rId469" Type="http://schemas.openxmlformats.org/officeDocument/2006/relationships/hyperlink" Target="https://www.nature.com/articles/s41586-025-09842-x" TargetMode="External"/><Relationship Id="rId470" Type="http://schemas.openxmlformats.org/officeDocument/2006/relationships/hyperlink" Target="https://www.sciencedirect.com/science/article/pii/S0306261925019270?dgcid=rss_sd_all" TargetMode="External"/><Relationship Id="rId471" Type="http://schemas.openxmlformats.org/officeDocument/2006/relationships/hyperlink" Target="https://www.nature.com/articles/s41586-025-09841-y" TargetMode="External"/><Relationship Id="rId472" Type="http://schemas.openxmlformats.org/officeDocument/2006/relationships/hyperlink" Target="https://www.sciencedirect.com/science/article/pii/S0306261925019294?dgcid=rss_sd_all" TargetMode="External"/><Relationship Id="rId473" Type="http://schemas.openxmlformats.org/officeDocument/2006/relationships/hyperlink" Target="https://www.nature.com/articles/s41586-025-09838-7" TargetMode="External"/><Relationship Id="rId474" Type="http://schemas.openxmlformats.org/officeDocument/2006/relationships/hyperlink" Target="https://www.sciencedirect.com/science/article/pii/S0306261925019312?dgcid=rss_sd_all" TargetMode="External"/><Relationship Id="rId475" Type="http://schemas.openxmlformats.org/officeDocument/2006/relationships/hyperlink" Target="https://www.nature.com/articles/s41586-025-09827-w" TargetMode="External"/><Relationship Id="rId476" Type="http://schemas.openxmlformats.org/officeDocument/2006/relationships/hyperlink" Target="https://www.nature.com/articles/s41586-025-09818-x" TargetMode="External"/><Relationship Id="rId477" Type="http://schemas.openxmlformats.org/officeDocument/2006/relationships/hyperlink" Target="https://www.sciencedirect.com/science/article/pii/S0306261925019464?dgcid=rss_sd_all" TargetMode="External"/><Relationship Id="rId478" Type="http://schemas.openxmlformats.org/officeDocument/2006/relationships/hyperlink" Target="https://www.sciencedirect.com/science/article/pii/S0306261925019324?dgcid=rss_sd_all" TargetMode="External"/><Relationship Id="rId479" Type="http://schemas.openxmlformats.org/officeDocument/2006/relationships/hyperlink" Target="https://www.nature.com/articles/s41586-025-09806-1" TargetMode="External"/><Relationship Id="rId480" Type="http://schemas.openxmlformats.org/officeDocument/2006/relationships/hyperlink" Target="https://www.nature.com/articles/s41586-025-09798-y" TargetMode="External"/><Relationship Id="rId481" Type="http://schemas.openxmlformats.org/officeDocument/2006/relationships/hyperlink" Target="https://www.nature.com/articles/s41586-025-09770-w" TargetMode="External"/><Relationship Id="rId482" Type="http://schemas.openxmlformats.org/officeDocument/2006/relationships/hyperlink" Target="https://www.sciencedirect.com/science/article/pii/S0306261925019336?dgcid=rss_sd_all" TargetMode="External"/><Relationship Id="rId483" Type="http://schemas.openxmlformats.org/officeDocument/2006/relationships/hyperlink" Target="https://www.nature.com/articles/s41563-025-02457-7" TargetMode="External"/><Relationship Id="rId484" Type="http://schemas.openxmlformats.org/officeDocument/2006/relationships/hyperlink" Target="https://www.nature.com/articles/s41563-025-02454-w" TargetMode="External"/><Relationship Id="rId485" Type="http://schemas.openxmlformats.org/officeDocument/2006/relationships/hyperlink" Target="https://www.sciencedirect.com/science/article/pii/S0306261925019476?dgcid=rss_sd_all" TargetMode="External"/><Relationship Id="rId486" Type="http://schemas.openxmlformats.org/officeDocument/2006/relationships/hyperlink" Target="https://www.sciencedirect.com/science/article/pii/S0306261925019567?dgcid=rss_sd_all" TargetMode="External"/><Relationship Id="rId487" Type="http://schemas.openxmlformats.org/officeDocument/2006/relationships/hyperlink" Target="https://www.nature.com/articles/s41467-025-67303-5" TargetMode="External"/><Relationship Id="rId488" Type="http://schemas.openxmlformats.org/officeDocument/2006/relationships/hyperlink" Target="https://www.nature.com/articles/d41586-025-03602-7" TargetMode="External"/><Relationship Id="rId489" Type="http://schemas.openxmlformats.org/officeDocument/2006/relationships/hyperlink" Target="https://www.nature.com/articles/d41586-025-03606-3" TargetMode="External"/><Relationship Id="rId490" Type="http://schemas.openxmlformats.org/officeDocument/2006/relationships/hyperlink" Target="https://www.nature.com/articles/d41586-025-03607-2" TargetMode="External"/><Relationship Id="rId491" Type="http://schemas.openxmlformats.org/officeDocument/2006/relationships/hyperlink" Target="https://www.nature.com/articles/d41586-025-03608-1" TargetMode="External"/><Relationship Id="rId492" Type="http://schemas.openxmlformats.org/officeDocument/2006/relationships/hyperlink" Target="https://www.nature.com/articles/d41586-025-03612-5" TargetMode="External"/><Relationship Id="rId493" Type="http://schemas.openxmlformats.org/officeDocument/2006/relationships/hyperlink" Target="https://www.nature.com/articles/d41586-025-03613-4" TargetMode="External"/><Relationship Id="rId494" Type="http://schemas.openxmlformats.org/officeDocument/2006/relationships/hyperlink" Target="https://www.nature.com/articles/d41586-025-04133-x" TargetMode="External"/><Relationship Id="rId495" Type="http://schemas.openxmlformats.org/officeDocument/2006/relationships/hyperlink" Target="https://www.sciencedirect.com/science/article/pii/S0306261925019683?dgcid=rss_sd_all" TargetMode="External"/><Relationship Id="rId496" Type="http://schemas.openxmlformats.org/officeDocument/2006/relationships/hyperlink" Target="https://www.nature.com/articles/d41586-025-03599-z" TargetMode="External"/><Relationship Id="rId497" Type="http://schemas.openxmlformats.org/officeDocument/2006/relationships/hyperlink" Target="https://www.nature.com/articles/d41586-025-03777-z" TargetMode="External"/><Relationship Id="rId498" Type="http://schemas.openxmlformats.org/officeDocument/2006/relationships/hyperlink" Target="https://www.nature.com/articles/d41586-025-04119-9" TargetMode="External"/><Relationship Id="rId499" Type="http://schemas.openxmlformats.org/officeDocument/2006/relationships/hyperlink" Target="https://www.nature.com/articles/d41586-025-03820-z" TargetMode="External"/><Relationship Id="rId500" Type="http://schemas.openxmlformats.org/officeDocument/2006/relationships/hyperlink" Target="https://www.nature.com/articles/d41586-025-04015-2" TargetMode="External"/><Relationship Id="rId501" Type="http://schemas.openxmlformats.org/officeDocument/2006/relationships/hyperlink" Target="https://www.nature.com/articles/d41586-025-04024-1" TargetMode="External"/><Relationship Id="rId502" Type="http://schemas.openxmlformats.org/officeDocument/2006/relationships/hyperlink" Target="https://www.sciencedirect.com/science/article/pii/S0306261925019695?dgcid=rss_sd_all" TargetMode="External"/><Relationship Id="rId503" Type="http://schemas.openxmlformats.org/officeDocument/2006/relationships/hyperlink" Target="https://www.nature.com/articles/d41586-025-04044-x" TargetMode="External"/><Relationship Id="rId504" Type="http://schemas.openxmlformats.org/officeDocument/2006/relationships/hyperlink" Target="https://www.sciencedirect.com/science/article/pii/S0306261925019750?dgcid=rss_sd_all" TargetMode="External"/><Relationship Id="rId505" Type="http://schemas.openxmlformats.org/officeDocument/2006/relationships/hyperlink" Target="https://www.nature.com/articles/d41586-025-04082-5" TargetMode="External"/><Relationship Id="rId506" Type="http://schemas.openxmlformats.org/officeDocument/2006/relationships/hyperlink" Target="https://www.nature.com/articles/d41586-025-03808-9" TargetMode="External"/><Relationship Id="rId507" Type="http://schemas.openxmlformats.org/officeDocument/2006/relationships/hyperlink" Target="https://www.nature.com/articles/s41467-025-67348-6" TargetMode="External"/><Relationship Id="rId508" Type="http://schemas.openxmlformats.org/officeDocument/2006/relationships/hyperlink" Target="https://www.nature.com/articles/d41586-025-03598-0" TargetMode="External"/><Relationship Id="rId509" Type="http://schemas.openxmlformats.org/officeDocument/2006/relationships/hyperlink" Target="https://www.nature.com/articles/d41586-025-03505-7" TargetMode="External"/><Relationship Id="rId510" Type="http://schemas.openxmlformats.org/officeDocument/2006/relationships/hyperlink" Target="https://www.sciencedirect.com/science/article/pii/S030626192501949X?dgcid=rss_sd_all" TargetMode="External"/><Relationship Id="rId511" Type="http://schemas.openxmlformats.org/officeDocument/2006/relationships/hyperlink" Target="https://www.sciencedirect.com/science/article/pii/S0306261925019506?dgcid=rss_sd_all" TargetMode="External"/><Relationship Id="rId512" Type="http://schemas.openxmlformats.org/officeDocument/2006/relationships/hyperlink" Target="https://www.sciencedirect.com/science/article/pii/S0306261925019518?dgcid=rss_sd_all" TargetMode="External"/><Relationship Id="rId513" Type="http://schemas.openxmlformats.org/officeDocument/2006/relationships/hyperlink" Target="https://www.sciencedirect.com/science/article/pii/S030626192501952X?dgcid=rss_sd_all" TargetMode="External"/><Relationship Id="rId514" Type="http://schemas.openxmlformats.org/officeDocument/2006/relationships/hyperlink" Target="https://www.sciencedirect.com/science/article/pii/S0306261925019555?dgcid=rss_sd_all" TargetMode="External"/><Relationship Id="rId515" Type="http://schemas.openxmlformats.org/officeDocument/2006/relationships/hyperlink" Target="https://www.nature.com/articles/s41467-025-66174-0" TargetMode="External"/><Relationship Id="rId516" Type="http://schemas.openxmlformats.org/officeDocument/2006/relationships/hyperlink" Target="https://www.nature.com/articles/s41586-025-09873-4" TargetMode="External"/><Relationship Id="rId517" Type="http://schemas.openxmlformats.org/officeDocument/2006/relationships/hyperlink" Target="https://www.sciencedirect.com/science/article/pii/S0306261925019580?dgcid=rss_sd_all" TargetMode="External"/><Relationship Id="rId518" Type="http://schemas.openxmlformats.org/officeDocument/2006/relationships/hyperlink" Target="https://www.sciencedirect.com/science/article/pii/S0306261925019671?dgcid=rss_sd_all" TargetMode="External"/><Relationship Id="rId519" Type="http://schemas.openxmlformats.org/officeDocument/2006/relationships/hyperlink" Target="https://www.sciencedirect.com/science/article/pii/S0306261925019609?dgcid=rss_sd_all" TargetMode="External"/><Relationship Id="rId520" Type="http://schemas.openxmlformats.org/officeDocument/2006/relationships/hyperlink" Target="https://www.cell.com/chem/fulltext/S2451-9294(25)00430-9?rss=yes" TargetMode="External"/><Relationship Id="rId521" Type="http://schemas.openxmlformats.org/officeDocument/2006/relationships/hyperlink" Target="https://www.nature.com/articles/d41586-025-04140-y" TargetMode="External"/><Relationship Id="rId522" Type="http://schemas.openxmlformats.org/officeDocument/2006/relationships/hyperlink" Target="https://www.cell.com/joule/fulltext/S2542-4351(25)00415-5?rss=yes" TargetMode="External"/><Relationship Id="rId523" Type="http://schemas.openxmlformats.org/officeDocument/2006/relationships/hyperlink" Target="https://www.nature.com/articles/d41586-025-04135-9" TargetMode="External"/><Relationship Id="rId524" Type="http://schemas.openxmlformats.org/officeDocument/2006/relationships/hyperlink" Target="https://www.sciencedirect.com/science/article/pii/S0306261925019622?dgcid=rss_sd_all" TargetMode="External"/><Relationship Id="rId525" Type="http://schemas.openxmlformats.org/officeDocument/2006/relationships/hyperlink" Target="https://www.sciencedirect.com/science/article/pii/S0306261925019646?dgcid=rss_sd_all" TargetMode="External"/><Relationship Id="rId526" Type="http://schemas.openxmlformats.org/officeDocument/2006/relationships/hyperlink" Target="https://www.nature.com/articles/d41586-025-04134-w" TargetMode="External"/><Relationship Id="rId527" Type="http://schemas.openxmlformats.org/officeDocument/2006/relationships/hyperlink" Target="https://www.nature.com/articles/d41586-025-03489-4" TargetMode="External"/><Relationship Id="rId528" Type="http://schemas.openxmlformats.org/officeDocument/2006/relationships/hyperlink" Target="https://www.sciencedirect.com/science/article/pii/S0306261925019610?dgcid=rss_sd_all" TargetMode="External"/><Relationship Id="rId529" Type="http://schemas.openxmlformats.org/officeDocument/2006/relationships/hyperlink" Target="https://www.nature.com/articles/s41586-025-09875-2" TargetMode="External"/><Relationship Id="rId530" Type="http://schemas.openxmlformats.org/officeDocument/2006/relationships/hyperlink" Target="https://www.sciencedirect.com/science/article/pii/S0306261925018835?dgcid=rss_sd_all" TargetMode="External"/><Relationship Id="rId531" Type="http://schemas.openxmlformats.org/officeDocument/2006/relationships/hyperlink" Target="https://www.nature.com/articles/s41586-025-09880-5" TargetMode="External"/><Relationship Id="rId532" Type="http://schemas.openxmlformats.org/officeDocument/2006/relationships/hyperlink" Target="https://www.nature.com/articles/d41586-025-04080-7" TargetMode="External"/><Relationship Id="rId533" Type="http://schemas.openxmlformats.org/officeDocument/2006/relationships/hyperlink" Target="https://www.nature.com/articles/s44286-025-00326-3" TargetMode="External"/><Relationship Id="rId534" Type="http://schemas.openxmlformats.org/officeDocument/2006/relationships/hyperlink" Target="https://www.sciencedirect.com/science/article/pii/S0306261925019269?dgcid=rss_sd_all" TargetMode="External"/><Relationship Id="rId535" Type="http://schemas.openxmlformats.org/officeDocument/2006/relationships/hyperlink" Target="http://pubs.rsc.org/en/Content/ArticleLanding/2026/EE/D5EE06482A" TargetMode="External"/><Relationship Id="rId536" Type="http://schemas.openxmlformats.org/officeDocument/2006/relationships/hyperlink" Target="http://pubs.rsc.org/en/Content/ArticleLanding/2026/CS/D5CS01128K" TargetMode="External"/><Relationship Id="rId537" Type="http://schemas.openxmlformats.org/officeDocument/2006/relationships/hyperlink" Target="https://www.nature.com/articles/s41928-025-01501-3" TargetMode="External"/><Relationship Id="rId538" Type="http://schemas.openxmlformats.org/officeDocument/2006/relationships/hyperlink" Target="https://www.nature.com/articles/s41928-025-01500-4" TargetMode="External"/><Relationship Id="rId539" Type="http://schemas.openxmlformats.org/officeDocument/2006/relationships/hyperlink" Target="https://www.nature.com/articles/s41928-025-01499-8" TargetMode="External"/><Relationship Id="rId540" Type="http://schemas.openxmlformats.org/officeDocument/2006/relationships/hyperlink" Target="https://www.nature.com/articles/s41586-025-10043-9" TargetMode="External"/><Relationship Id="rId541" Type="http://schemas.openxmlformats.org/officeDocument/2006/relationships/hyperlink" Target="https://www.nature.com/articles/s41586-025-10031-z" TargetMode="External"/><Relationship Id="rId542" Type="http://schemas.openxmlformats.org/officeDocument/2006/relationships/hyperlink" Target="https://www.sciencedirect.com/science/article/pii/S0301421525005129?dgcid=rss_sd_all" TargetMode="External"/><Relationship Id="rId543" Type="http://schemas.openxmlformats.org/officeDocument/2006/relationships/hyperlink" Target="https://www.nature.com/articles/s41586-025-10026-w" TargetMode="External"/><Relationship Id="rId544" Type="http://schemas.openxmlformats.org/officeDocument/2006/relationships/hyperlink" Target="https://www.nature.com/articles/d41586-025-04079-0" TargetMode="External"/><Relationship Id="rId545" Type="http://schemas.openxmlformats.org/officeDocument/2006/relationships/hyperlink" Target="https://www.sciencedirect.com/science/article/pii/S0301421525005178?dgcid=rss_sd_all" TargetMode="External"/><Relationship Id="rId546" Type="http://schemas.openxmlformats.org/officeDocument/2006/relationships/hyperlink" Target="https://www.nature.com/articles/s41586-025-09887-y" TargetMode="External"/><Relationship Id="rId547" Type="http://schemas.openxmlformats.org/officeDocument/2006/relationships/hyperlink" Target="https://www.nature.com/articles/s41586-025-09884-1" TargetMode="External"/><Relationship Id="rId548" Type="http://schemas.openxmlformats.org/officeDocument/2006/relationships/hyperlink" Target="https://www.sciencedirect.com/science/article/pii/S0306261925018628?dgcid=rss_sd_all" TargetMode="External"/><Relationship Id="rId549" Type="http://schemas.openxmlformats.org/officeDocument/2006/relationships/hyperlink" Target="https://www.nature.com/articles/s41586-025-09890-3" TargetMode="External"/><Relationship Id="rId550" Type="http://schemas.openxmlformats.org/officeDocument/2006/relationships/hyperlink" Target="https://www.sciencedirect.com/science/article/pii/S0301421525005452?dgcid=rss_sd_all" TargetMode="External"/><Relationship Id="rId551" Type="http://schemas.openxmlformats.org/officeDocument/2006/relationships/hyperlink" Target="https://www.sciencedirect.com/science/article/pii/S030142152500518X?dgcid=rss_sd_all" TargetMode="External"/><Relationship Id="rId552" Type="http://schemas.openxmlformats.org/officeDocument/2006/relationships/hyperlink" Target="https://www.sciencedirect.com/science/article/pii/S0301421525005208?dgcid=rss_sd_all" TargetMode="External"/><Relationship Id="rId553" Type="http://schemas.openxmlformats.org/officeDocument/2006/relationships/hyperlink" Target="https://www.sciencedirect.com/science/article/pii/S0301421525005440?dgcid=rss_sd_all" TargetMode="External"/><Relationship Id="rId554" Type="http://schemas.openxmlformats.org/officeDocument/2006/relationships/hyperlink" Target="https://www.sciencedirect.com/science/article/pii/S030142152500521X?dgcid=rss_sd_all" TargetMode="External"/><Relationship Id="rId555" Type="http://schemas.openxmlformats.org/officeDocument/2006/relationships/hyperlink" Target="https://onlinelibrary.wiley.com/doi/10.1002/anie.202518102?af=R" TargetMode="External"/><Relationship Id="rId556" Type="http://schemas.openxmlformats.org/officeDocument/2006/relationships/hyperlink" Target="https://doi.org/10.1002/anie.202518102" TargetMode="External"/><Relationship Id="rId557" Type="http://schemas.openxmlformats.org/officeDocument/2006/relationships/hyperlink" Target="https://www.science.org/content/article/why-have-so-many-different-eyes-evolved-gamelike-simulation-could-provide-answers" TargetMode="External"/><Relationship Id="rId558" Type="http://schemas.openxmlformats.org/officeDocument/2006/relationships/hyperlink" Target="https://www.science.org/content/article/ancient-tectonic-plates-are-oozing-along-earth-s-core" TargetMode="External"/><Relationship Id="rId559" Type="http://schemas.openxmlformats.org/officeDocument/2006/relationships/hyperlink" Target="https://www.science.org/content/article/new-nasa-administrator-takes-over-after-year-scientific-loss-and-survival" TargetMode="External"/><Relationship Id="rId560" Type="http://schemas.openxmlformats.org/officeDocument/2006/relationships/hyperlink" Target="https://www.science.org/content/article/misconduct-sleuth-wins-2-63-million-major-cancer-institute-15-million-settlement" TargetMode="External"/><Relationship Id="rId561" Type="http://schemas.openxmlformats.org/officeDocument/2006/relationships/hyperlink" Target="https://www.science.org/content/article/trump-administration-moves-break-leading-u-s-climate-and-weather-center" TargetMode="External"/><Relationship Id="rId562" Type="http://schemas.openxmlformats.org/officeDocument/2006/relationships/hyperlink" Target="https://onlinelibrary.wiley.com/doi/10.1002/anie.202523430?af=R" TargetMode="External"/><Relationship Id="rId563" Type="http://schemas.openxmlformats.org/officeDocument/2006/relationships/hyperlink" Target="https://doi.org/10.1002/anie.202523430" TargetMode="External"/><Relationship Id="rId564" Type="http://schemas.openxmlformats.org/officeDocument/2006/relationships/hyperlink" Target="https://advanced.onlinelibrary.wiley.com/doi/10.1002/aenm.202505793?af=R" TargetMode="External"/><Relationship Id="rId565" Type="http://schemas.openxmlformats.org/officeDocument/2006/relationships/hyperlink" Target="https://doi.org/10.1002/aenm.202505793" TargetMode="External"/><Relationship Id="rId566" Type="http://schemas.openxmlformats.org/officeDocument/2006/relationships/hyperlink" Target="https://www.science.org/doi/abs/10.1126/sciadv.aeb5332?af=R" TargetMode="External"/><Relationship Id="rId567" Type="http://schemas.openxmlformats.org/officeDocument/2006/relationships/hyperlink" Target="https://doi.org/10.1126/sciadv.aeb5332" TargetMode="External"/><Relationship Id="rId568" Type="http://schemas.openxmlformats.org/officeDocument/2006/relationships/hyperlink" Target="https://www.science.org/doi/abs/10.1126/sciadv.adt7982?af=R" TargetMode="External"/><Relationship Id="rId569" Type="http://schemas.openxmlformats.org/officeDocument/2006/relationships/hyperlink" Target="https://doi.org/10.1126/sciadv.adt7982" TargetMode="External"/><Relationship Id="rId570" Type="http://schemas.openxmlformats.org/officeDocument/2006/relationships/hyperlink" Target="https://www.science.org/doi/abs/10.1126/sciadv.adv1434?af=R" TargetMode="External"/><Relationship Id="rId571" Type="http://schemas.openxmlformats.org/officeDocument/2006/relationships/hyperlink" Target="https://doi.org/10.1126/sciadv.adv1434" TargetMode="External"/><Relationship Id="rId572" Type="http://schemas.openxmlformats.org/officeDocument/2006/relationships/hyperlink" Target="https://www.science.org/doi/abs/10.1126/sciadv.adw2839?af=R" TargetMode="External"/><Relationship Id="rId573" Type="http://schemas.openxmlformats.org/officeDocument/2006/relationships/hyperlink" Target="https://doi.org/10.1126/sciadv.adw2839" TargetMode="External"/><Relationship Id="rId574" Type="http://schemas.openxmlformats.org/officeDocument/2006/relationships/hyperlink" Target="https://www.science.org/doi/abs/10.1126/sciadv.adw4911?af=R" TargetMode="External"/><Relationship Id="rId575" Type="http://schemas.openxmlformats.org/officeDocument/2006/relationships/hyperlink" Target="https://doi.org/10.1126/sciadv.adw4911" TargetMode="External"/><Relationship Id="rId576" Type="http://schemas.openxmlformats.org/officeDocument/2006/relationships/hyperlink" Target="https://www.science.org/doi/abs/10.1126/sciadv.adw4917?af=R" TargetMode="External"/><Relationship Id="rId577" Type="http://schemas.openxmlformats.org/officeDocument/2006/relationships/hyperlink" Target="https://doi.org/10.1126/sciadv.adw4917" TargetMode="External"/><Relationship Id="rId578" Type="http://schemas.openxmlformats.org/officeDocument/2006/relationships/hyperlink" Target="https://www.science.org/doi/abs/10.1126/sciadv.adx0478?af=R" TargetMode="External"/><Relationship Id="rId579" Type="http://schemas.openxmlformats.org/officeDocument/2006/relationships/hyperlink" Target="https://doi.org/10.1126/sciadv.adx0478" TargetMode="External"/><Relationship Id="rId580" Type="http://schemas.openxmlformats.org/officeDocument/2006/relationships/hyperlink" Target="https://www.science.org/doi/abs/10.1126/sciadv.aeb9693?af=R" TargetMode="External"/><Relationship Id="rId581" Type="http://schemas.openxmlformats.org/officeDocument/2006/relationships/hyperlink" Target="https://doi.org/10.1126/sciadv.aeb9693" TargetMode="External"/><Relationship Id="rId582" Type="http://schemas.openxmlformats.org/officeDocument/2006/relationships/hyperlink" Target="https://www.science.org/doi/abs/10.1126/sciadv.adv6202?af=R" TargetMode="External"/><Relationship Id="rId583" Type="http://schemas.openxmlformats.org/officeDocument/2006/relationships/hyperlink" Target="https://www.pnas.org/doi/abs/10.1073/pnas.2534320122?mi=eymic2&amp;af=R&amp;access=on&amp;content=articlesChapters&amp;publication=pnas&amp;sortBy=Earliest&amp;target=default" TargetMode="External"/><Relationship Id="rId584" Type="http://schemas.openxmlformats.org/officeDocument/2006/relationships/hyperlink" Target="https://doi.org/10.1073/pnas.2534320122" TargetMode="External"/><Relationship Id="rId585" Type="http://schemas.openxmlformats.org/officeDocument/2006/relationships/hyperlink" Target="https://www.pnas.org/doi/abs/10.1073/pnas.2533910122?mi=eymic2&amp;af=R&amp;access=on&amp;content=articlesChapters&amp;publication=pnas&amp;sortBy=Earliest&amp;target=default" TargetMode="External"/><Relationship Id="rId586" Type="http://schemas.openxmlformats.org/officeDocument/2006/relationships/hyperlink" Target="https://www.science.org/doi/abs/10.1126/sciadv.adx3865?af=R" TargetMode="External"/><Relationship Id="rId587" Type="http://schemas.openxmlformats.org/officeDocument/2006/relationships/hyperlink" Target="https://doi.org/10.1126/sciadv.adx3865" TargetMode="External"/><Relationship Id="rId588" Type="http://schemas.openxmlformats.org/officeDocument/2006/relationships/hyperlink" Target="https://www.pnas.org/doi/abs/10.1073/pnas.2533734122?mi=eymic2&amp;af=R&amp;access=on&amp;content=articlesChapters&amp;publication=pnas&amp;sortBy=Earliest&amp;target=default" TargetMode="External"/><Relationship Id="rId589" Type="http://schemas.openxmlformats.org/officeDocument/2006/relationships/hyperlink" Target="https://www.pnas.org/doi/abs/10.1073/pnas.2533718122?mi=eymic2&amp;af=R&amp;access=on&amp;content=articlesChapters&amp;publication=pnas&amp;sortBy=Earliest&amp;target=default" TargetMode="External"/><Relationship Id="rId590" Type="http://schemas.openxmlformats.org/officeDocument/2006/relationships/hyperlink" Target="https://www.pnas.org/doi/abs/10.1073/pnas.2424988122?mi=eymic2&amp;af=R&amp;access=on&amp;content=articlesChapters&amp;publication=pnas&amp;sortBy=Earliest&amp;target=default" TargetMode="External"/><Relationship Id="rId591" Type="http://schemas.openxmlformats.org/officeDocument/2006/relationships/hyperlink" Target="https://doi.org/10.1073/pnas.2424988122" TargetMode="External"/><Relationship Id="rId592" Type="http://schemas.openxmlformats.org/officeDocument/2006/relationships/hyperlink" Target="https://www.pnas.org/doi/abs/10.1073/pnas.2533693122?mi=eymic2&amp;af=R&amp;access=on&amp;content=articlesChapters&amp;publication=pnas&amp;sortBy=Earliest&amp;target=default" TargetMode="External"/><Relationship Id="rId593" Type="http://schemas.openxmlformats.org/officeDocument/2006/relationships/hyperlink" Target="https://www.pnas.org/doi/abs/10.1073/pnas.2528340122?mi=eymic2&amp;af=R&amp;access=on&amp;content=articlesChapters&amp;publication=pnas&amp;sortBy=Earliest&amp;target=default" TargetMode="External"/><Relationship Id="rId594" Type="http://schemas.openxmlformats.org/officeDocument/2006/relationships/hyperlink" Target="https://doi.org/10.1073/pnas.2528340122" TargetMode="External"/><Relationship Id="rId595" Type="http://schemas.openxmlformats.org/officeDocument/2006/relationships/hyperlink" Target="https://www.pnas.org/doi/abs/10.1073/pnas.2525347122?mi=eymic2&amp;af=R&amp;access=on&amp;content=articlesChapters&amp;publication=pnas&amp;sortBy=Earliest&amp;target=default" TargetMode="External"/><Relationship Id="rId596" Type="http://schemas.openxmlformats.org/officeDocument/2006/relationships/hyperlink" Target="https://doi.org/10.1073/pnas.2525347122" TargetMode="External"/><Relationship Id="rId597" Type="http://schemas.openxmlformats.org/officeDocument/2006/relationships/hyperlink" Target="https://www.pnas.org/doi/abs/10.1073/pnas.2520814122?mi=eymic2&amp;af=R&amp;access=on&amp;content=articlesChapters&amp;publication=pnas&amp;sortBy=Earliest&amp;target=default" TargetMode="External"/><Relationship Id="rId598" Type="http://schemas.openxmlformats.org/officeDocument/2006/relationships/hyperlink" Target="https://doi.org/10.1073/pnas.2520814122" TargetMode="External"/><Relationship Id="rId599" Type="http://schemas.openxmlformats.org/officeDocument/2006/relationships/hyperlink" Target="https://www.pnas.org/doi/abs/10.1073/pnas.2519523122?mi=eymic2&amp;af=R&amp;access=on&amp;content=articlesChapters&amp;publication=pnas&amp;sortBy=Earliest&amp;target=default" TargetMode="External"/><Relationship Id="rId600" Type="http://schemas.openxmlformats.org/officeDocument/2006/relationships/hyperlink" Target="https://doi.org/10.1073/pnas.2519523122" TargetMode="External"/><Relationship Id="rId601" Type="http://schemas.openxmlformats.org/officeDocument/2006/relationships/hyperlink" Target="https://www.pnas.org/doi/abs/10.1073/pnas.2518999122?mi=eymic2&amp;af=R&amp;access=on&amp;content=articlesChapters&amp;publication=pnas&amp;sortBy=Earliest&amp;target=default" TargetMode="External"/><Relationship Id="rId602" Type="http://schemas.openxmlformats.org/officeDocument/2006/relationships/hyperlink" Target="https://www.pnas.org/doi/abs/10.1073/pnas.2518918122?mi=eymic2&amp;af=R&amp;access=on&amp;content=articlesChapters&amp;publication=pnas&amp;sortBy=Earliest&amp;target=default" TargetMode="External"/><Relationship Id="rId603" Type="http://schemas.openxmlformats.org/officeDocument/2006/relationships/hyperlink" Target="https://doi.org/10.1073/pnas.2518918122" TargetMode="External"/><Relationship Id="rId604" Type="http://schemas.openxmlformats.org/officeDocument/2006/relationships/hyperlink" Target="https://www.pnas.org/doi/abs/10.1073/pnas.2510663122?mi=eymic2&amp;af=R&amp;access=on&amp;content=articlesChapters&amp;publication=pnas&amp;sortBy=Earliest&amp;target=default" TargetMode="External"/><Relationship Id="rId605" Type="http://schemas.openxmlformats.org/officeDocument/2006/relationships/hyperlink" Target="https://doi.org/10.1073/pnas.2510663122" TargetMode="External"/><Relationship Id="rId606" Type="http://schemas.openxmlformats.org/officeDocument/2006/relationships/hyperlink" Target="https://www.pnas.org/doi/abs/10.1073/pnas.2507090122?mi=eymic2&amp;af=R&amp;access=on&amp;content=articlesChapters&amp;publication=pnas&amp;sortBy=Earliest&amp;target=default" TargetMode="External"/><Relationship Id="rId607" Type="http://schemas.openxmlformats.org/officeDocument/2006/relationships/hyperlink" Target="https://doi.org/10.1073/pnas.2507090122" TargetMode="External"/><Relationship Id="rId608" Type="http://schemas.openxmlformats.org/officeDocument/2006/relationships/hyperlink" Target="https://www.pnas.org/doi/abs/10.1073/pnas.2505479122?mi=eymic2&amp;af=R&amp;access=on&amp;content=articlesChapters&amp;publication=pnas&amp;sortBy=Earliest&amp;target=default" TargetMode="External"/><Relationship Id="rId609" Type="http://schemas.openxmlformats.org/officeDocument/2006/relationships/hyperlink" Target="https://doi.org/10.1073/pnas.2505479122" TargetMode="External"/><Relationship Id="rId610" Type="http://schemas.openxmlformats.org/officeDocument/2006/relationships/hyperlink" Target="https://www.pnas.org/doi/abs/10.1073/pnas.2534270122?mi=eymic2&amp;af=R&amp;access=on&amp;content=articlesChapters&amp;publication=pnas&amp;sortBy=Earliest&amp;target=default" TargetMode="External"/><Relationship Id="rId611" Type="http://schemas.openxmlformats.org/officeDocument/2006/relationships/hyperlink" Target="https://www.science.org/doi/abs/10.1126/sciadv.adx6368?af=R" TargetMode="External"/><Relationship Id="rId612" Type="http://schemas.openxmlformats.org/officeDocument/2006/relationships/hyperlink" Target="https://doi.org/10.1126/sciadv.adx6368" TargetMode="External"/><Relationship Id="rId613" Type="http://schemas.openxmlformats.org/officeDocument/2006/relationships/hyperlink" Target="https://www.science.org/doi/abs/10.1126/sciadv.ady7091?af=R" TargetMode="External"/><Relationship Id="rId614" Type="http://schemas.openxmlformats.org/officeDocument/2006/relationships/hyperlink" Target="https://doi.org/10.1126/sciadv.ady7091" TargetMode="External"/><Relationship Id="rId615" Type="http://schemas.openxmlformats.org/officeDocument/2006/relationships/hyperlink" Target="https://www.science.org/doi/abs/10.1126/sciadv.ady2104?af=R" TargetMode="External"/><Relationship Id="rId616" Type="http://schemas.openxmlformats.org/officeDocument/2006/relationships/hyperlink" Target="https://doi.org/10.1126/sciadv.ady2104" TargetMode="External"/><Relationship Id="rId617" Type="http://schemas.openxmlformats.org/officeDocument/2006/relationships/hyperlink" Target="https://www.science.org/doi/abs/10.1126/sciadv.aea2419?af=R" TargetMode="External"/><Relationship Id="rId618" Type="http://schemas.openxmlformats.org/officeDocument/2006/relationships/hyperlink" Target="https://doi.org/10.1126/sciadv.aea2419" TargetMode="External"/><Relationship Id="rId619" Type="http://schemas.openxmlformats.org/officeDocument/2006/relationships/hyperlink" Target="https://www.science.org/doi/abs/10.1126/sciadv.aea2275?af=R" TargetMode="External"/><Relationship Id="rId620" Type="http://schemas.openxmlformats.org/officeDocument/2006/relationships/hyperlink" Target="https://doi.org/10.1126/sciadv.aea2275" TargetMode="External"/><Relationship Id="rId621" Type="http://schemas.openxmlformats.org/officeDocument/2006/relationships/hyperlink" Target="https://www.science.org/doi/abs/10.1126/sciadv.adz9682?af=R" TargetMode="External"/><Relationship Id="rId622" Type="http://schemas.openxmlformats.org/officeDocument/2006/relationships/hyperlink" Target="https://doi.org/10.1126/sciadv.adz9682" TargetMode="External"/><Relationship Id="rId623" Type="http://schemas.openxmlformats.org/officeDocument/2006/relationships/hyperlink" Target="https://www.science.org/doi/abs/10.1126/sciadv.adz7907?af=R" TargetMode="External"/><Relationship Id="rId624" Type="http://schemas.openxmlformats.org/officeDocument/2006/relationships/hyperlink" Target="https://doi.org/10.1126/sciadv.adz7907" TargetMode="External"/><Relationship Id="rId625" Type="http://schemas.openxmlformats.org/officeDocument/2006/relationships/hyperlink" Target="https://www.science.org/doi/abs/10.1126/sciadv.aed8002?af=R" TargetMode="External"/><Relationship Id="rId626" Type="http://schemas.openxmlformats.org/officeDocument/2006/relationships/hyperlink" Target="https://doi.org/10.1126/sciadv.aed8002" TargetMode="External"/><Relationship Id="rId627" Type="http://schemas.openxmlformats.org/officeDocument/2006/relationships/hyperlink" Target="https://www.science.org/doi/abs/10.1126/sciadv.ady1348?af=R" TargetMode="External"/><Relationship Id="rId628" Type="http://schemas.openxmlformats.org/officeDocument/2006/relationships/hyperlink" Target="https://doi.org/10.1126/sciadv.ady1348" TargetMode="External"/><Relationship Id="rId629" Type="http://schemas.openxmlformats.org/officeDocument/2006/relationships/hyperlink" Target="https://www.science.org/doi/abs/10.1126/sciadv.aed8370?af=R" TargetMode="External"/><Relationship Id="rId630" Type="http://schemas.openxmlformats.org/officeDocument/2006/relationships/hyperlink" Target="https://doi.org/10.1126/sciadv.aed8370" TargetMode="External"/><Relationship Id="rId631" Type="http://schemas.openxmlformats.org/officeDocument/2006/relationships/hyperlink" Target="https://www.science.org/doi/abs/10.1126/sciadv.adz5930?af=R" TargetMode="External"/><Relationship Id="rId632" Type="http://schemas.openxmlformats.org/officeDocument/2006/relationships/hyperlink" Target="https://doi.org/10.1126/sciadv.adz5930" TargetMode="External"/><Relationship Id="rId633" Type="http://schemas.openxmlformats.org/officeDocument/2006/relationships/hyperlink" Target="https://www.science.org/doi/abs/10.1126/sciadv.adz5264?af=R" TargetMode="External"/><Relationship Id="rId634" Type="http://schemas.openxmlformats.org/officeDocument/2006/relationships/hyperlink" Target="https://doi.org/10.1126/sciadv.adz5264" TargetMode="External"/><Relationship Id="rId635" Type="http://schemas.openxmlformats.org/officeDocument/2006/relationships/hyperlink" Target="https://www.science.org/doi/abs/10.1126/sciadv.aea4692?af=R" TargetMode="External"/><Relationship Id="rId636" Type="http://schemas.openxmlformats.org/officeDocument/2006/relationships/hyperlink" Target="https://doi.org/10.1126/sciadv.aea4692" TargetMode="External"/><Relationship Id="rId637" Type="http://schemas.openxmlformats.org/officeDocument/2006/relationships/hyperlink" Target="https://www.science.org/doi/abs/10.1126/sciadv.aea2960?af=R" TargetMode="External"/><Relationship Id="rId638" Type="http://schemas.openxmlformats.org/officeDocument/2006/relationships/hyperlink" Target="https://doi.org/10.1126/sciadv.aea2960" TargetMode="External"/><Relationship Id="rId639" Type="http://schemas.openxmlformats.org/officeDocument/2006/relationships/hyperlink" Target="https://www.science.org/doi/abs/10.1126/sciadv.aea4543?af=R" TargetMode="External"/><Relationship Id="rId640" Type="http://schemas.openxmlformats.org/officeDocument/2006/relationships/hyperlink" Target="https://doi.org/10.1126/sciadv.aea4543" TargetMode="External"/><Relationship Id="rId641" Type="http://schemas.openxmlformats.org/officeDocument/2006/relationships/hyperlink" Target="https://www.science.org/doi/abs/10.1126/sciadv.adz4766?af=R" TargetMode="External"/><Relationship Id="rId642" Type="http://schemas.openxmlformats.org/officeDocument/2006/relationships/hyperlink" Target="https://doi.org/10.1126/sciadv.adz4766" TargetMode="External"/><Relationship Id="rId643" Type="http://schemas.openxmlformats.org/officeDocument/2006/relationships/hyperlink" Target="https://www.science.org/doi/abs/10.1126/sciadv.aeb0879?af=R" TargetMode="External"/><Relationship Id="rId644" Type="http://schemas.openxmlformats.org/officeDocument/2006/relationships/hyperlink" Target="https://doi.org/10.1126/sciadv.aeb0879" TargetMode="External"/><Relationship Id="rId645" Type="http://schemas.openxmlformats.org/officeDocument/2006/relationships/hyperlink" Target="https://www.science.org/doi/abs/10.1126/sciadv.adz3219?af=R" TargetMode="External"/><Relationship Id="rId646" Type="http://schemas.openxmlformats.org/officeDocument/2006/relationships/hyperlink" Target="https://doi.org/10.1126/sciadv.adz3219" TargetMode="External"/><Relationship Id="rId647" Type="http://schemas.openxmlformats.org/officeDocument/2006/relationships/hyperlink" Target="https://www.science.org/doi/abs/10.1126/sciadv.adz2928?af=R" TargetMode="External"/><Relationship Id="rId648" Type="http://schemas.openxmlformats.org/officeDocument/2006/relationships/hyperlink" Target="https://doi.org/10.1126/sciadv.adz2928" TargetMode="External"/><Relationship Id="rId649" Type="http://schemas.openxmlformats.org/officeDocument/2006/relationships/hyperlink" Target="https://www.science.org/doi/abs/10.1126/sciadv.ady9596?af=R" TargetMode="External"/><Relationship Id="rId650" Type="http://schemas.openxmlformats.org/officeDocument/2006/relationships/hyperlink" Target="https://doi.org/10.1126/sciadv.ady9596" TargetMode="External"/><Relationship Id="rId651" Type="http://schemas.openxmlformats.org/officeDocument/2006/relationships/hyperlink" Target="https://www.science.org/doi/abs/10.1126/sciadv.ady8858?af=R" TargetMode="External"/><Relationship Id="rId652" Type="http://schemas.openxmlformats.org/officeDocument/2006/relationships/hyperlink" Target="https://doi.org/10.1126/sciadv.ady8858" TargetMode="External"/><Relationship Id="rId653" Type="http://schemas.openxmlformats.org/officeDocument/2006/relationships/hyperlink" Target="https://www.science.org/doi/abs/10.1126/sciadv.ady2888?af=R" TargetMode="External"/><Relationship Id="rId654" Type="http://schemas.openxmlformats.org/officeDocument/2006/relationships/hyperlink" Target="https://doi.org/10.1126/sciadv.ady2888" TargetMode="External"/><Relationship Id="rId655" Type="http://schemas.openxmlformats.org/officeDocument/2006/relationships/hyperlink" Target="https://www.science.org/doi/abs/10.1126/sciadv.aea4729?af=R" TargetMode="External"/><Relationship Id="rId656" Type="http://schemas.openxmlformats.org/officeDocument/2006/relationships/hyperlink" Target="https://doi.org/10.1126/sciadv.aea4729" TargetMode="External"/><Relationship Id="rId657" Type="http://schemas.openxmlformats.org/officeDocument/2006/relationships/hyperlink" Target="https://onlinelibrary.wiley.com/doi/10.1002/anie.202517481?af=R" TargetMode="External"/><Relationship Id="rId658" Type="http://schemas.openxmlformats.org/officeDocument/2006/relationships/hyperlink" Target="https://doi.org/10.1002/anie.202517481" TargetMode="External"/><Relationship Id="rId659" Type="http://schemas.openxmlformats.org/officeDocument/2006/relationships/hyperlink" Target="https://onlinelibrary.wiley.com/doi/10.1002/anie.202522157?af=R" TargetMode="External"/><Relationship Id="rId660" Type="http://schemas.openxmlformats.org/officeDocument/2006/relationships/hyperlink" Target="https://doi.org/10.1002/anie.202522157" TargetMode="External"/><Relationship Id="rId661" Type="http://schemas.openxmlformats.org/officeDocument/2006/relationships/hyperlink" Target="https://onlinelibrary.wiley.com/doi/10.1002/anie.202520474?af=R" TargetMode="External"/><Relationship Id="rId662" Type="http://schemas.openxmlformats.org/officeDocument/2006/relationships/hyperlink" Target="https://doi.org/10.1002/anie.202520474" TargetMode="External"/><Relationship Id="rId663" Type="http://schemas.openxmlformats.org/officeDocument/2006/relationships/hyperlink" Target="https://onlinelibrary.wiley.com/doi/10.1002/anie.202523575?af=R" TargetMode="External"/><Relationship Id="rId664" Type="http://schemas.openxmlformats.org/officeDocument/2006/relationships/hyperlink" Target="https://doi.org/10.1002/anie.202523575" TargetMode="External"/><Relationship Id="rId665" Type="http://schemas.openxmlformats.org/officeDocument/2006/relationships/hyperlink" Target="https://onlinelibrary.wiley.com/doi/10.1002/anie.202524704?af=R" TargetMode="External"/><Relationship Id="rId666" Type="http://schemas.openxmlformats.org/officeDocument/2006/relationships/hyperlink" Target="https://doi.org/10.1002/anie.202524704" TargetMode="External"/><Relationship Id="rId667" Type="http://schemas.openxmlformats.org/officeDocument/2006/relationships/hyperlink" Target="https://onlinelibrary.wiley.com/doi/10.1002/anie.202524043?af=R" TargetMode="External"/><Relationship Id="rId668" Type="http://schemas.openxmlformats.org/officeDocument/2006/relationships/hyperlink" Target="https://doi.org/10.1002/anie.202524043" TargetMode="External"/><Relationship Id="rId669" Type="http://schemas.openxmlformats.org/officeDocument/2006/relationships/hyperlink" Target="http://dx.doi.org/10.1021/jacs.5c15039" TargetMode="External"/><Relationship Id="rId670" Type="http://schemas.openxmlformats.org/officeDocument/2006/relationships/hyperlink" Target="https://doi.org/10.1021/jacs.5c15039" TargetMode="External"/><Relationship Id="rId671" Type="http://schemas.openxmlformats.org/officeDocument/2006/relationships/hyperlink" Target="http://dx.doi.org/10.1021/jacs.5c11066" TargetMode="External"/><Relationship Id="rId672" Type="http://schemas.openxmlformats.org/officeDocument/2006/relationships/hyperlink" Target="http://dx.doi.org/10.1021/jacs.5c17847" TargetMode="External"/><Relationship Id="rId673" Type="http://schemas.openxmlformats.org/officeDocument/2006/relationships/hyperlink" Target="https://doi.org/10.1021/jacs.5c17847" TargetMode="External"/><Relationship Id="rId674" Type="http://schemas.openxmlformats.org/officeDocument/2006/relationships/hyperlink" Target="https://www.science.org/content/article/titan-might-not-have-ocean-after-all" TargetMode="External"/><Relationship Id="rId675" Type="http://schemas.openxmlformats.org/officeDocument/2006/relationships/hyperlink" Target="https://onlinelibrary.wiley.com/doi/10.1002/anie.202522214?af=R" TargetMode="External"/><Relationship Id="rId676" Type="http://schemas.openxmlformats.org/officeDocument/2006/relationships/hyperlink" Target="https://doi.org/10.1002/anie.202522214" TargetMode="External"/><Relationship Id="rId677" Type="http://schemas.openxmlformats.org/officeDocument/2006/relationships/hyperlink" Target="https://onlinelibrary.wiley.com/doi/10.1002/anie.202521745?af=R" TargetMode="External"/><Relationship Id="rId678" Type="http://schemas.openxmlformats.org/officeDocument/2006/relationships/hyperlink" Target="https://doi.org/10.1002/anie.202521745" TargetMode="External"/><Relationship Id="rId679" Type="http://schemas.openxmlformats.org/officeDocument/2006/relationships/hyperlink" Target="https://onlinelibrary.wiley.com/doi/10.1002/anie.202524806?af=R" TargetMode="External"/><Relationship Id="rId680" Type="http://schemas.openxmlformats.org/officeDocument/2006/relationships/hyperlink" Target="https://doi.org/10.1002/anie.202524806" TargetMode="External"/><Relationship Id="rId681" Type="http://schemas.openxmlformats.org/officeDocument/2006/relationships/hyperlink" Target="https://onlinelibrary.wiley.com/doi/10.1002/anie.202518818?af=R" TargetMode="External"/><Relationship Id="rId682" Type="http://schemas.openxmlformats.org/officeDocument/2006/relationships/hyperlink" Target="https://doi.org/10.1002/anie.202518818" TargetMode="External"/><Relationship Id="rId683" Type="http://schemas.openxmlformats.org/officeDocument/2006/relationships/hyperlink" Target="https://www.science.org/content/article/new-materials-could-supercharge-computer-memory-chips" TargetMode="External"/><Relationship Id="rId684" Type="http://schemas.openxmlformats.org/officeDocument/2006/relationships/hyperlink" Target="https://onlinelibrary.wiley.com/doi/10.1002/anie.202522764?af=R" TargetMode="External"/><Relationship Id="rId685" Type="http://schemas.openxmlformats.org/officeDocument/2006/relationships/hyperlink" Target="https://doi.org/10.1002/anie.202522764" TargetMode="External"/><Relationship Id="rId686" Type="http://schemas.openxmlformats.org/officeDocument/2006/relationships/hyperlink" Target="https://advanced.onlinelibrary.wiley.com/doi/10.1002/aenm.202505141?af=R" TargetMode="External"/><Relationship Id="rId687" Type="http://schemas.openxmlformats.org/officeDocument/2006/relationships/hyperlink" Target="https://doi.org/10.1002/aenm.202505141" TargetMode="External"/><Relationship Id="rId688" Type="http://schemas.openxmlformats.org/officeDocument/2006/relationships/hyperlink" Target="http://dx.doi.org/10.1021/acs.chemrev.5c00183" TargetMode="External"/><Relationship Id="rId689" Type="http://schemas.openxmlformats.org/officeDocument/2006/relationships/hyperlink" Target="https://doi.org/10.1021/acs.chemrev.5c00183" TargetMode="External"/><Relationship Id="rId690" Type="http://schemas.openxmlformats.org/officeDocument/2006/relationships/hyperlink" Target="https://www.science.org/content/article/chile-s-new-president-could-shake-nation-s-science-community" TargetMode="External"/><Relationship Id="rId691" Type="http://schemas.openxmlformats.org/officeDocument/2006/relationships/hyperlink" Target="http://dx.doi.org/10.1021/jacs.5c11845" TargetMode="External"/><Relationship Id="rId692" Type="http://schemas.openxmlformats.org/officeDocument/2006/relationships/hyperlink" Target="https://doi.org/10.1021/jacs.5c11845" TargetMode="External"/><Relationship Id="rId693" Type="http://schemas.openxmlformats.org/officeDocument/2006/relationships/hyperlink" Target="http://dx.doi.org/10.1021/jacs.5c17825" TargetMode="External"/><Relationship Id="rId694" Type="http://schemas.openxmlformats.org/officeDocument/2006/relationships/hyperlink" Target="https://doi.org/10.1021/jacs.5c17825" TargetMode="External"/><Relationship Id="rId695" Type="http://schemas.openxmlformats.org/officeDocument/2006/relationships/hyperlink" Target="http://dx.doi.org/10.1021/jacs.5c14335" TargetMode="External"/><Relationship Id="rId696" Type="http://schemas.openxmlformats.org/officeDocument/2006/relationships/hyperlink" Target="https://doi.org/10.1021/jacs.5c14335" TargetMode="External"/><Relationship Id="rId697" Type="http://schemas.openxmlformats.org/officeDocument/2006/relationships/hyperlink" Target="http://dx.doi.org/10.1021/jacs.5c14364" TargetMode="External"/><Relationship Id="rId698" Type="http://schemas.openxmlformats.org/officeDocument/2006/relationships/hyperlink" Target="https://doi.org/10.1021/jacs.5c14364" TargetMode="External"/><Relationship Id="rId699" Type="http://schemas.openxmlformats.org/officeDocument/2006/relationships/hyperlink" Target="https://onlinelibrary.wiley.com/doi/10.1002/anie.202524431?af=R" TargetMode="External"/><Relationship Id="rId700" Type="http://schemas.openxmlformats.org/officeDocument/2006/relationships/hyperlink" Target="https://doi.org/10.1002/anie.202524431" TargetMode="External"/><Relationship Id="rId701" Type="http://schemas.openxmlformats.org/officeDocument/2006/relationships/hyperlink" Target="https://advanced.onlinelibrary.wiley.com/doi/10.1002/adma.202512252?af=R" TargetMode="External"/><Relationship Id="rId702" Type="http://schemas.openxmlformats.org/officeDocument/2006/relationships/hyperlink" Target="https://doi.org/10.1002/adma.202512252" TargetMode="External"/><Relationship Id="rId703" Type="http://schemas.openxmlformats.org/officeDocument/2006/relationships/hyperlink" Target="https://advanced.onlinelibrary.wiley.com/doi/10.1002/adma.202507912?af=R" TargetMode="External"/><Relationship Id="rId704" Type="http://schemas.openxmlformats.org/officeDocument/2006/relationships/hyperlink" Target="https://doi.org/10.1002/adma.202507912" TargetMode="External"/><Relationship Id="rId705" Type="http://schemas.openxmlformats.org/officeDocument/2006/relationships/hyperlink" Target="https://advanced.onlinelibrary.wiley.com/doi/10.1002/adma.202506762?af=R" TargetMode="External"/><Relationship Id="rId706" Type="http://schemas.openxmlformats.org/officeDocument/2006/relationships/hyperlink" Target="https://doi.org/10.1002/adma.202506762" TargetMode="External"/><Relationship Id="rId707" Type="http://schemas.openxmlformats.org/officeDocument/2006/relationships/hyperlink" Target="https://advanced.onlinelibrary.wiley.com/doi/10.1002/adma.202513499?af=R" TargetMode="External"/><Relationship Id="rId708" Type="http://schemas.openxmlformats.org/officeDocument/2006/relationships/hyperlink" Target="https://doi.org/10.1002/adma.202513499" TargetMode="External"/><Relationship Id="rId709" Type="http://schemas.openxmlformats.org/officeDocument/2006/relationships/hyperlink" Target="https://advanced.onlinelibrary.wiley.com/doi/10.1002/adma.202505486?af=R" TargetMode="External"/><Relationship Id="rId710" Type="http://schemas.openxmlformats.org/officeDocument/2006/relationships/hyperlink" Target="https://doi.org/10.1002/adma.202505486" TargetMode="External"/><Relationship Id="rId711" Type="http://schemas.openxmlformats.org/officeDocument/2006/relationships/hyperlink" Target="https://advanced.onlinelibrary.wiley.com/doi/10.1002/adma.202504435?af=R" TargetMode="External"/><Relationship Id="rId712" Type="http://schemas.openxmlformats.org/officeDocument/2006/relationships/hyperlink" Target="https://doi.org/10.1002/adma.202504435" TargetMode="External"/><Relationship Id="rId713" Type="http://schemas.openxmlformats.org/officeDocument/2006/relationships/hyperlink" Target="https://advanced.onlinelibrary.wiley.com/doi/10.1002/adma.202509221?af=R" TargetMode="External"/><Relationship Id="rId714" Type="http://schemas.openxmlformats.org/officeDocument/2006/relationships/hyperlink" Target="https://doi.org/10.1002/adma.202509221" TargetMode="External"/><Relationship Id="rId715" Type="http://schemas.openxmlformats.org/officeDocument/2006/relationships/hyperlink" Target="https://advanced.onlinelibrary.wiley.com/doi/10.1002/adma.202522375?af=R" TargetMode="External"/><Relationship Id="rId716" Type="http://schemas.openxmlformats.org/officeDocument/2006/relationships/hyperlink" Target="https://doi.org/10.1002/adma.202522375" TargetMode="External"/><Relationship Id="rId717" Type="http://schemas.openxmlformats.org/officeDocument/2006/relationships/hyperlink" Target="https://advanced.onlinelibrary.wiley.com/doi/10.1002/adma.71618?af=R" TargetMode="External"/><Relationship Id="rId718" Type="http://schemas.openxmlformats.org/officeDocument/2006/relationships/hyperlink" Target="https://doi.org/10.1002/adma.71618" TargetMode="External"/><Relationship Id="rId719" Type="http://schemas.openxmlformats.org/officeDocument/2006/relationships/hyperlink" Target="https://advanced.onlinelibrary.wiley.com/doi/10.1002/adma.71619?af=R" TargetMode="External"/><Relationship Id="rId720" Type="http://schemas.openxmlformats.org/officeDocument/2006/relationships/hyperlink" Target="https://doi.org/10.1002/adma.71619" TargetMode="External"/><Relationship Id="rId721" Type="http://schemas.openxmlformats.org/officeDocument/2006/relationships/hyperlink" Target="https://advanced.onlinelibrary.wiley.com/doi/10.1002/adma.71620?af=R" TargetMode="External"/><Relationship Id="rId722" Type="http://schemas.openxmlformats.org/officeDocument/2006/relationships/hyperlink" Target="https://doi.org/10.1002/adma.71620" TargetMode="External"/><Relationship Id="rId723" Type="http://schemas.openxmlformats.org/officeDocument/2006/relationships/hyperlink" Target="https://advanced.onlinelibrary.wiley.com/doi/10.1002/adma.71621?af=R" TargetMode="External"/><Relationship Id="rId724" Type="http://schemas.openxmlformats.org/officeDocument/2006/relationships/hyperlink" Target="https://doi.org/10.1002/adma.71621" TargetMode="External"/><Relationship Id="rId725" Type="http://schemas.openxmlformats.org/officeDocument/2006/relationships/hyperlink" Target="https://advanced.onlinelibrary.wiley.com/doi/10.1002/adma.202509207?af=R" TargetMode="External"/><Relationship Id="rId726" Type="http://schemas.openxmlformats.org/officeDocument/2006/relationships/hyperlink" Target="https://doi.org/10.1002/adma.202509207" TargetMode="External"/><Relationship Id="rId727" Type="http://schemas.openxmlformats.org/officeDocument/2006/relationships/hyperlink" Target="https://advanced.onlinelibrary.wiley.com/doi/10.1002/adma.202504222?af=R" TargetMode="External"/><Relationship Id="rId728" Type="http://schemas.openxmlformats.org/officeDocument/2006/relationships/hyperlink" Target="https://doi.org/10.1002/adma.202504222" TargetMode="External"/><Relationship Id="rId729" Type="http://schemas.openxmlformats.org/officeDocument/2006/relationships/hyperlink" Target="https://advanced.onlinelibrary.wiley.com/doi/10.1002/adma.202508331?af=R" TargetMode="External"/><Relationship Id="rId730" Type="http://schemas.openxmlformats.org/officeDocument/2006/relationships/hyperlink" Target="https://doi.org/10.1002/adma.202508331" TargetMode="External"/><Relationship Id="rId731" Type="http://schemas.openxmlformats.org/officeDocument/2006/relationships/hyperlink" Target="https://advanced.onlinelibrary.wiley.com/doi/10.1002/adma.202506549?af=R" TargetMode="External"/><Relationship Id="rId732" Type="http://schemas.openxmlformats.org/officeDocument/2006/relationships/hyperlink" Target="https://doi.org/10.1002/adma.202506549" TargetMode="External"/><Relationship Id="rId733" Type="http://schemas.openxmlformats.org/officeDocument/2006/relationships/hyperlink" Target="https://advanced.onlinelibrary.wiley.com/doi/10.1002/adma.202510270?af=R" TargetMode="External"/><Relationship Id="rId734" Type="http://schemas.openxmlformats.org/officeDocument/2006/relationships/hyperlink" Target="https://doi.org/10.1002/adma.202510270" TargetMode="External"/><Relationship Id="rId735" Type="http://schemas.openxmlformats.org/officeDocument/2006/relationships/hyperlink" Target="https://advanced.onlinelibrary.wiley.com/doi/10.1002/adma.202509581?af=R" TargetMode="External"/><Relationship Id="rId736" Type="http://schemas.openxmlformats.org/officeDocument/2006/relationships/hyperlink" Target="https://doi.org/10.1002/adma.202509581" TargetMode="External"/><Relationship Id="rId737" Type="http://schemas.openxmlformats.org/officeDocument/2006/relationships/hyperlink" Target="https://advanced.onlinelibrary.wiley.com/doi/10.1002/adma.202509818?af=R" TargetMode="External"/><Relationship Id="rId738" Type="http://schemas.openxmlformats.org/officeDocument/2006/relationships/hyperlink" Target="https://doi.org/10.1002/adma.202509818" TargetMode="External"/><Relationship Id="rId739" Type="http://schemas.openxmlformats.org/officeDocument/2006/relationships/hyperlink" Target="https://advanced.onlinelibrary.wiley.com/doi/10.1002/adma.202509991?af=R" TargetMode="External"/><Relationship Id="rId740" Type="http://schemas.openxmlformats.org/officeDocument/2006/relationships/hyperlink" Target="https://doi.org/10.1002/adma.202509991" TargetMode="External"/><Relationship Id="rId741" Type="http://schemas.openxmlformats.org/officeDocument/2006/relationships/hyperlink" Target="https://advanced.onlinelibrary.wiley.com/doi/10.1002/adma.202509169?af=R" TargetMode="External"/><Relationship Id="rId742" Type="http://schemas.openxmlformats.org/officeDocument/2006/relationships/hyperlink" Target="https://doi.org/10.1002/adma.202509169" TargetMode="External"/><Relationship Id="rId743" Type="http://schemas.openxmlformats.org/officeDocument/2006/relationships/hyperlink" Target="https://advanced.onlinelibrary.wiley.com/doi/10.1002/adma.202510417?af=R" TargetMode="External"/><Relationship Id="rId744" Type="http://schemas.openxmlformats.org/officeDocument/2006/relationships/hyperlink" Target="https://doi.org/10.1002/adma.202510417" TargetMode="External"/><Relationship Id="rId745" Type="http://schemas.openxmlformats.org/officeDocument/2006/relationships/hyperlink" Target="https://advanced.onlinelibrary.wiley.com/doi/10.1002/adma.202510545?af=R" TargetMode="External"/><Relationship Id="rId746" Type="http://schemas.openxmlformats.org/officeDocument/2006/relationships/hyperlink" Target="https://doi.org/10.1002/adma.202510545" TargetMode="External"/><Relationship Id="rId747" Type="http://schemas.openxmlformats.org/officeDocument/2006/relationships/hyperlink" Target="https://advanced.onlinelibrary.wiley.com/doi/10.1002/adma.202508893?af=R" TargetMode="External"/><Relationship Id="rId748" Type="http://schemas.openxmlformats.org/officeDocument/2006/relationships/hyperlink" Target="https://doi.org/10.1002/adma.202508893" TargetMode="External"/><Relationship Id="rId749" Type="http://schemas.openxmlformats.org/officeDocument/2006/relationships/hyperlink" Target="https://advanced.onlinelibrary.wiley.com/doi/10.1002/adma.202510734?af=R" TargetMode="External"/><Relationship Id="rId750" Type="http://schemas.openxmlformats.org/officeDocument/2006/relationships/hyperlink" Target="https://doi.org/10.1002/adma.202510734" TargetMode="External"/><Relationship Id="rId751" Type="http://schemas.openxmlformats.org/officeDocument/2006/relationships/hyperlink" Target="https://advanced.onlinelibrary.wiley.com/doi/10.1002/adma.202509185?af=R" TargetMode="External"/><Relationship Id="rId752" Type="http://schemas.openxmlformats.org/officeDocument/2006/relationships/hyperlink" Target="https://doi.org/10.1002/adma.202509185" TargetMode="External"/><Relationship Id="rId753" Type="http://schemas.openxmlformats.org/officeDocument/2006/relationships/hyperlink" Target="https://advanced.onlinelibrary.wiley.com/doi/10.1002/adma.202509525?af=R" TargetMode="External"/><Relationship Id="rId754" Type="http://schemas.openxmlformats.org/officeDocument/2006/relationships/hyperlink" Target="https://doi.org/10.1002/adma.202509525" TargetMode="External"/><Relationship Id="rId755" Type="http://schemas.openxmlformats.org/officeDocument/2006/relationships/hyperlink" Target="https://advanced.onlinelibrary.wiley.com/doi/10.1002/adma.202508889?af=R" TargetMode="External"/><Relationship Id="rId756" Type="http://schemas.openxmlformats.org/officeDocument/2006/relationships/hyperlink" Target="https://doi.org/10.1002/adma.202508889" TargetMode="External"/><Relationship Id="rId757" Type="http://schemas.openxmlformats.org/officeDocument/2006/relationships/hyperlink" Target="https://advanced.onlinelibrary.wiley.com/doi/10.1002/adma.202508538?af=R" TargetMode="External"/><Relationship Id="rId758" Type="http://schemas.openxmlformats.org/officeDocument/2006/relationships/hyperlink" Target="https://doi.org/10.1002/adma.202508538" TargetMode="External"/><Relationship Id="rId759" Type="http://schemas.openxmlformats.org/officeDocument/2006/relationships/hyperlink" Target="https://advanced.onlinelibrary.wiley.com/doi/10.1002/adma.202511039?af=R" TargetMode="External"/><Relationship Id="rId760" Type="http://schemas.openxmlformats.org/officeDocument/2006/relationships/hyperlink" Target="https://doi.org/10.1002/adma.202511039" TargetMode="External"/><Relationship Id="rId761" Type="http://schemas.openxmlformats.org/officeDocument/2006/relationships/hyperlink" Target="https://advanced.onlinelibrary.wiley.com/doi/10.1002/adma.202508578?af=R" TargetMode="External"/><Relationship Id="rId762" Type="http://schemas.openxmlformats.org/officeDocument/2006/relationships/hyperlink" Target="https://doi.org/10.1002/adma.202508578" TargetMode="External"/><Relationship Id="rId763" Type="http://schemas.openxmlformats.org/officeDocument/2006/relationships/hyperlink" Target="http://dx.doi.org/10.1021/jacs.5c10485" TargetMode="External"/><Relationship Id="rId764" Type="http://schemas.openxmlformats.org/officeDocument/2006/relationships/hyperlink" Target="https://doi.org/10.1021/jacs.5c10485" TargetMode="External"/><Relationship Id="rId765" Type="http://schemas.openxmlformats.org/officeDocument/2006/relationships/hyperlink" Target="http://dx.doi.org/10.1021/jacs.5c15943" TargetMode="External"/><Relationship Id="rId766" Type="http://schemas.openxmlformats.org/officeDocument/2006/relationships/hyperlink" Target="https://doi.org/10.1021/jacs.5c15943" TargetMode="External"/><Relationship Id="rId767" Type="http://schemas.openxmlformats.org/officeDocument/2006/relationships/hyperlink" Target="http://dx.doi.org/10.1021/acsenergylett.5c03514" TargetMode="External"/><Relationship Id="rId768" Type="http://schemas.openxmlformats.org/officeDocument/2006/relationships/hyperlink" Target="https://doi.org/10.1021/acsenergylett.5c03514" TargetMode="External"/><Relationship Id="rId769" Type="http://schemas.openxmlformats.org/officeDocument/2006/relationships/hyperlink" Target="http://dx.doi.org/10.1021/jacs.5c12570" TargetMode="External"/><Relationship Id="rId770" Type="http://schemas.openxmlformats.org/officeDocument/2006/relationships/hyperlink" Target="https://doi.org/10.1021/jacs.5c12570" TargetMode="External"/><Relationship Id="rId771" Type="http://schemas.openxmlformats.org/officeDocument/2006/relationships/hyperlink" Target="http://dx.doi.org/10.1021/acsenergylett.5c03409" TargetMode="External"/><Relationship Id="rId772" Type="http://schemas.openxmlformats.org/officeDocument/2006/relationships/hyperlink" Target="https://doi.org/10.1021/acsenergylett.5c03409" TargetMode="External"/><Relationship Id="rId773" Type="http://schemas.openxmlformats.org/officeDocument/2006/relationships/hyperlink" Target="http://dx.doi.org/10.1021/jacs.4c11767" TargetMode="External"/><Relationship Id="rId774" Type="http://schemas.openxmlformats.org/officeDocument/2006/relationships/hyperlink" Target="https://doi.org/10.1021/jacs.4c11767" TargetMode="External"/><Relationship Id="rId775" Type="http://schemas.openxmlformats.org/officeDocument/2006/relationships/hyperlink" Target="http://dx.doi.org/10.1021/jacs.5c16992" TargetMode="External"/><Relationship Id="rId776" Type="http://schemas.openxmlformats.org/officeDocument/2006/relationships/hyperlink" Target="https://doi.org/10.1021/jacs.5c16992" TargetMode="External"/><Relationship Id="rId777" Type="http://schemas.openxmlformats.org/officeDocument/2006/relationships/hyperlink" Target="http://dx.doi.org/10.1021/jacs.5c19409" TargetMode="External"/><Relationship Id="rId778" Type="http://schemas.openxmlformats.org/officeDocument/2006/relationships/hyperlink" Target="https://doi.org/10.1021/jacs.5c19409" TargetMode="External"/><Relationship Id="rId779" Type="http://schemas.openxmlformats.org/officeDocument/2006/relationships/hyperlink" Target="http://dx.doi.org/10.1021/jacs.5c15827" TargetMode="External"/><Relationship Id="rId780" Type="http://schemas.openxmlformats.org/officeDocument/2006/relationships/hyperlink" Target="https://doi.org/10.1021/jacs.5c15827" TargetMode="External"/><Relationship Id="rId781" Type="http://schemas.openxmlformats.org/officeDocument/2006/relationships/hyperlink" Target="http://dx.doi.org/10.1021/acs.chemrev.5c00621" TargetMode="External"/><Relationship Id="rId782" Type="http://schemas.openxmlformats.org/officeDocument/2006/relationships/hyperlink" Target="https://doi.org/10.1021/acs.chemrev.5c00621" TargetMode="External"/><Relationship Id="rId783" Type="http://schemas.openxmlformats.org/officeDocument/2006/relationships/hyperlink" Target="https://www.nature.com/articles/s41893-025-01746-y" TargetMode="External"/><Relationship Id="rId784" Type="http://schemas.openxmlformats.org/officeDocument/2006/relationships/hyperlink" Target="https://www.nature.com/articles/s41928-025-01513-z" TargetMode="External"/><Relationship Id="rId785" Type="http://schemas.openxmlformats.org/officeDocument/2006/relationships/hyperlink" Target="https://www.nature.com/articles/s41928-025-01515-x" TargetMode="External"/><Relationship Id="rId786" Type="http://schemas.openxmlformats.org/officeDocument/2006/relationships/hyperlink" Target="https://www.nature.com/articles/s41893-025-01732-4" TargetMode="External"/><Relationship Id="rId787" Type="http://schemas.openxmlformats.org/officeDocument/2006/relationships/hyperlink" Target="https://www.nature.com/articles/s41893-025-01742-2" TargetMode="External"/><Relationship Id="rId788" Type="http://schemas.openxmlformats.org/officeDocument/2006/relationships/hyperlink" Target="https://www.nature.com/articles/s41893-025-01741-3" TargetMode="External"/><Relationship Id="rId789" Type="http://schemas.openxmlformats.org/officeDocument/2006/relationships/hyperlink" Target="https://www.nature.com/articles/s41893-025-01737-z" TargetMode="External"/><Relationship Id="rId790" Type="http://schemas.openxmlformats.org/officeDocument/2006/relationships/hyperlink" Target="https://www.nature.com/articles/s44286-025-00304-9" TargetMode="External"/><Relationship Id="rId791" Type="http://schemas.openxmlformats.org/officeDocument/2006/relationships/hyperlink" Target="https://www.nature.com/articles/s41893-025-01743-1" TargetMode="External"/><Relationship Id="rId792" Type="http://schemas.openxmlformats.org/officeDocument/2006/relationships/hyperlink" Target="https://www.nature.com/articles/s44286-025-00311-w" TargetMode="External"/><Relationship Id="rId793" Type="http://schemas.openxmlformats.org/officeDocument/2006/relationships/hyperlink" Target="https://academic.oup.com/nsr/advance-article/doi/10.1093/nsr/nwaf579/8383420?rss=1" TargetMode="External"/><Relationship Id="rId794" Type="http://schemas.openxmlformats.org/officeDocument/2006/relationships/hyperlink" Target="https://doi.org/10.1093/nsr/nwaf579/8383420" TargetMode="External"/><Relationship Id="rId795" Type="http://schemas.openxmlformats.org/officeDocument/2006/relationships/hyperlink" Target="https://www.nature.com/articles/s44286-025-00330-7" TargetMode="External"/><Relationship Id="rId796" Type="http://schemas.openxmlformats.org/officeDocument/2006/relationships/hyperlink" Target="https://www.nature.com/articles/s44286-025-00333-4" TargetMode="External"/><Relationship Id="rId797" Type="http://schemas.openxmlformats.org/officeDocument/2006/relationships/hyperlink" Target="https://www.nature.com/articles/s44286-025-00346-z" TargetMode="External"/><Relationship Id="rId798" Type="http://schemas.openxmlformats.org/officeDocument/2006/relationships/hyperlink" Target="https://www.nature.com/articles/s44286-025-00347-y" TargetMode="External"/><Relationship Id="rId799" Type="http://schemas.openxmlformats.org/officeDocument/2006/relationships/hyperlink" Target="https://www.nature.com/articles/s44286-025-00348-x" TargetMode="External"/><Relationship Id="rId800" Type="http://schemas.openxmlformats.org/officeDocument/2006/relationships/hyperlink" Target="http://pubs.rsc.org/en/Content/ArticleLanding/2026/CS/D5CS00957J" TargetMode="External"/><Relationship Id="rId801" Type="http://schemas.openxmlformats.org/officeDocument/2006/relationships/hyperlink" Target="http://pubs.rsc.org/en/Content/ArticleLanding/2026/EE/D5EE06663H" TargetMode="External"/><Relationship Id="rId802" Type="http://schemas.openxmlformats.org/officeDocument/2006/relationships/hyperlink" Target="https://www.nature.com/articles/s41893-025-01731-5" TargetMode="External"/><Relationship Id="rId803" Type="http://schemas.openxmlformats.org/officeDocument/2006/relationships/hyperlink" Target="https://academic.oup.com/nsr/advance-article/doi/10.1093/nsr/nwaf580/8383424?rss=1" TargetMode="External"/><Relationship Id="rId804" Type="http://schemas.openxmlformats.org/officeDocument/2006/relationships/hyperlink" Target="https://doi.org/10.1093/nsr/nwaf580/8383424" TargetMode="External"/><Relationship Id="rId805" Type="http://schemas.openxmlformats.org/officeDocument/2006/relationships/hyperlink" Target="https://www.nature.com/articles/d41586-025-04078-1" TargetMode="External"/><Relationship Id="rId806" Type="http://schemas.openxmlformats.org/officeDocument/2006/relationships/hyperlink" Target="https://www.nature.com/articles/s44286-025-00319-2" TargetMode="External"/><Relationship Id="rId807" Type="http://schemas.openxmlformats.org/officeDocument/2006/relationships/hyperlink" Target="https://www.nature.com/articles/s41586-025-09982-0" TargetMode="External"/><Relationship Id="rId808" Type="http://schemas.openxmlformats.org/officeDocument/2006/relationships/hyperlink" Target="https://www.nature.com/articles/s41893-025-01744-0" TargetMode="External"/><Relationship Id="rId809" Type="http://schemas.openxmlformats.org/officeDocument/2006/relationships/hyperlink" Target="https://www.nature.com/articles/s41467-025-67592-w" TargetMode="External"/><Relationship Id="rId810" Type="http://schemas.openxmlformats.org/officeDocument/2006/relationships/hyperlink" Target="https://www.nature.com/articles/s41563-025-02439-9" TargetMode="External"/><Relationship Id="rId811" Type="http://schemas.openxmlformats.org/officeDocument/2006/relationships/hyperlink" Target="https://www.sciencedirect.com/science/article/pii/S0301421525005166?dgcid=rss_sd_all" TargetMode="External"/><Relationship Id="rId812" Type="http://schemas.openxmlformats.org/officeDocument/2006/relationships/hyperlink" Target="https://www.nature.com/articles/s41467-025-67680-x" TargetMode="External"/><Relationship Id="rId813" Type="http://schemas.openxmlformats.org/officeDocument/2006/relationships/hyperlink" Target="https://www.nature.com/articles/s41563-025-02412-6" TargetMode="External"/><Relationship Id="rId814" Type="http://schemas.openxmlformats.org/officeDocument/2006/relationships/hyperlink" Target="https://www.nature.com/articles/s41560-025-01914-6" TargetMode="External"/><Relationship Id="rId815" Type="http://schemas.openxmlformats.org/officeDocument/2006/relationships/hyperlink" Target="https://www.nature.com/articles/s41467-025-67091-y" TargetMode="External"/><Relationship Id="rId816" Type="http://schemas.openxmlformats.org/officeDocument/2006/relationships/hyperlink" Target="https://www.nature.com/articles/s41467-025-67597-5" TargetMode="External"/><Relationship Id="rId817" Type="http://schemas.openxmlformats.org/officeDocument/2006/relationships/hyperlink" Target="https://www.nature.com/articles/d41586-025-04139-5" TargetMode="External"/><Relationship Id="rId818" Type="http://schemas.openxmlformats.org/officeDocument/2006/relationships/hyperlink" Target="https://www.cell.com/joule/fulltext/S2542-4351(25)00416-7?rss=yes" TargetMode="External"/><Relationship Id="rId819" Type="http://schemas.openxmlformats.org/officeDocument/2006/relationships/hyperlink" Target="https://www.sciencedirect.com/science/article/pii/S0306261925018914?dgcid=rss_sd_all" TargetMode="External"/><Relationship Id="rId820" Type="http://schemas.openxmlformats.org/officeDocument/2006/relationships/hyperlink" Target="https://www.nature.com/articles/s41467-025-67666-9" TargetMode="External"/><Relationship Id="rId821" Type="http://schemas.openxmlformats.org/officeDocument/2006/relationships/hyperlink" Target="https://www.cell.com/matter/fulltext/S2590-2385(25)00605-8?rss=yes" TargetMode="External"/><Relationship Id="rId822" Type="http://schemas.openxmlformats.org/officeDocument/2006/relationships/hyperlink" Target="https://www.nature.com/articles/d41586-025-03673-6" TargetMode="External"/><Relationship Id="rId823" Type="http://schemas.openxmlformats.org/officeDocument/2006/relationships/hyperlink" Target="https://www.nature.com/articles/d41586-025-03810-1" TargetMode="External"/><Relationship Id="rId824" Type="http://schemas.openxmlformats.org/officeDocument/2006/relationships/hyperlink" Target="https://www.sciencedirect.com/science/article/pii/S0306261925020057?dgcid=rss_sd_all" TargetMode="External"/><Relationship Id="rId825" Type="http://schemas.openxmlformats.org/officeDocument/2006/relationships/hyperlink" Target="https://www.nature.com/articles/d41586-025-04060-x" TargetMode="External"/><Relationship Id="rId826" Type="http://schemas.openxmlformats.org/officeDocument/2006/relationships/hyperlink" Target="https://www.sciencedirect.com/science/article/pii/S1369702125005310?dgcid=rss_sd_all" TargetMode="External"/><Relationship Id="rId827" Type="http://schemas.openxmlformats.org/officeDocument/2006/relationships/hyperlink" Target="https://www.nature.com/articles/d41586-025-04107-z" TargetMode="External"/><Relationship Id="rId828" Type="http://schemas.openxmlformats.org/officeDocument/2006/relationships/hyperlink" Target="https://www.sciencedirect.com/science/article/pii/S1369702125005292?dgcid=rss_sd_all" TargetMode="External"/><Relationship Id="rId829" Type="http://schemas.openxmlformats.org/officeDocument/2006/relationships/hyperlink" Target="https://www.science.org/doi/abs/10.1126/science.adt0831?af=R" TargetMode="External"/><Relationship Id="rId830" Type="http://schemas.openxmlformats.org/officeDocument/2006/relationships/hyperlink" Target="https://doi.org/10.1126/science.adt0831" TargetMode="External"/><Relationship Id="rId831" Type="http://schemas.openxmlformats.org/officeDocument/2006/relationships/hyperlink" Target="https://www.science.org/doi/abs/10.1126/science.adv7434?af=R" TargetMode="External"/><Relationship Id="rId832" Type="http://schemas.openxmlformats.org/officeDocument/2006/relationships/hyperlink" Target="https://doi.org/10.1126/science.adv7434" TargetMode="External"/><Relationship Id="rId833" Type="http://schemas.openxmlformats.org/officeDocument/2006/relationships/hyperlink" Target="https://www.science.org/doi/abs/10.1126/science.aee8376?af=R" TargetMode="External"/><Relationship Id="rId834" Type="http://schemas.openxmlformats.org/officeDocument/2006/relationships/hyperlink" Target="https://doi.org/10.1126/science.aee8376" TargetMode="External"/><Relationship Id="rId835" Type="http://schemas.openxmlformats.org/officeDocument/2006/relationships/hyperlink" Target="https://www.science.org/doi/abs/10.1126/science.adz1398?af=R" TargetMode="External"/><Relationship Id="rId836" Type="http://schemas.openxmlformats.org/officeDocument/2006/relationships/hyperlink" Target="https://doi.org/10.1126/science.adz1398" TargetMode="External"/><Relationship Id="rId837" Type="http://schemas.openxmlformats.org/officeDocument/2006/relationships/hyperlink" Target="https://www.science.org/doi/abs/10.1126/science.adz2965?af=R" TargetMode="External"/><Relationship Id="rId838" Type="http://schemas.openxmlformats.org/officeDocument/2006/relationships/hyperlink" Target="https://doi.org/10.1126/science.adz2965" TargetMode="External"/><Relationship Id="rId839" Type="http://schemas.openxmlformats.org/officeDocument/2006/relationships/hyperlink" Target="https://www.science.org/doi/abs/10.1126/science.aee8379?af=R" TargetMode="External"/><Relationship Id="rId840" Type="http://schemas.openxmlformats.org/officeDocument/2006/relationships/hyperlink" Target="https://doi.org/10.1126/science.aee8379" TargetMode="External"/><Relationship Id="rId841" Type="http://schemas.openxmlformats.org/officeDocument/2006/relationships/hyperlink" Target="https://www.science.org/doi/abs/10.1126/science.ady8325?af=R" TargetMode="External"/><Relationship Id="rId842" Type="http://schemas.openxmlformats.org/officeDocument/2006/relationships/hyperlink" Target="https://doi.org/10.1126/science.ady8325" TargetMode="External"/><Relationship Id="rId843" Type="http://schemas.openxmlformats.org/officeDocument/2006/relationships/hyperlink" Target="https://www.science.org/doi/abs/10.1126/science.ady2969?af=R" TargetMode="External"/><Relationship Id="rId844" Type="http://schemas.openxmlformats.org/officeDocument/2006/relationships/hyperlink" Target="https://doi.org/10.1126/science.ady2969" TargetMode="External"/><Relationship Id="rId845" Type="http://schemas.openxmlformats.org/officeDocument/2006/relationships/hyperlink" Target="https://www.science.org/doi/abs/10.1126/science.aee8380?af=R" TargetMode="External"/><Relationship Id="rId846" Type="http://schemas.openxmlformats.org/officeDocument/2006/relationships/hyperlink" Target="https://doi.org/10.1126/science.aee8380" TargetMode="External"/><Relationship Id="rId847" Type="http://schemas.openxmlformats.org/officeDocument/2006/relationships/hyperlink" Target="https://www.science.org/doi/abs/10.1126/science.aee8378?af=R" TargetMode="External"/><Relationship Id="rId848" Type="http://schemas.openxmlformats.org/officeDocument/2006/relationships/hyperlink" Target="https://doi.org/10.1126/science.aee8378" TargetMode="External"/><Relationship Id="rId849" Type="http://schemas.openxmlformats.org/officeDocument/2006/relationships/hyperlink" Target="https://www.science.org/doi/abs/10.1126/science.aee8377?af=R" TargetMode="External"/><Relationship Id="rId850" Type="http://schemas.openxmlformats.org/officeDocument/2006/relationships/hyperlink" Target="https://doi.org/10.1126/science.aee8377" TargetMode="External"/><Relationship Id="rId851" Type="http://schemas.openxmlformats.org/officeDocument/2006/relationships/hyperlink" Target="https://www.science.org/doi/abs/10.1126/science.adk0786?af=R" TargetMode="External"/><Relationship Id="rId852" Type="http://schemas.openxmlformats.org/officeDocument/2006/relationships/hyperlink" Target="https://doi.org/10.1126/science.adk0786" TargetMode="External"/><Relationship Id="rId853" Type="http://schemas.openxmlformats.org/officeDocument/2006/relationships/hyperlink" Target="https://www.science.org/doi/abs/10.1126/science.aee7297?af=R" TargetMode="External"/><Relationship Id="rId854" Type="http://schemas.openxmlformats.org/officeDocument/2006/relationships/hyperlink" Target="https://doi.org/10.1126/science.aee7297" TargetMode="External"/><Relationship Id="rId855" Type="http://schemas.openxmlformats.org/officeDocument/2006/relationships/hyperlink" Target="https://www.science.org/doi/abs/10.1126/science.aea2763?af=R" TargetMode="External"/><Relationship Id="rId856" Type="http://schemas.openxmlformats.org/officeDocument/2006/relationships/hyperlink" Target="https://doi.org/10.1126/science.aea2763" TargetMode="External"/><Relationship Id="rId857" Type="http://schemas.openxmlformats.org/officeDocument/2006/relationships/hyperlink" Target="https://www.science.org/doi/abs/10.1126/science.aee6842?af=R" TargetMode="External"/><Relationship Id="rId858" Type="http://schemas.openxmlformats.org/officeDocument/2006/relationships/hyperlink" Target="https://doi.org/10.1126/science.aee6842" TargetMode="External"/><Relationship Id="rId859" Type="http://schemas.openxmlformats.org/officeDocument/2006/relationships/hyperlink" Target="https://www.science.org/doi/abs/10.1126/science.aed7431?af=R" TargetMode="External"/><Relationship Id="rId860" Type="http://schemas.openxmlformats.org/officeDocument/2006/relationships/hyperlink" Target="https://doi.org/10.1126/science.aed7431" TargetMode="External"/><Relationship Id="rId861" Type="http://schemas.openxmlformats.org/officeDocument/2006/relationships/hyperlink" Target="https://www.science.org/doi/abs/10.1126/science.aed4888?af=R" TargetMode="External"/><Relationship Id="rId862" Type="http://schemas.openxmlformats.org/officeDocument/2006/relationships/hyperlink" Target="https://doi.org/10.1126/science.aed4888" TargetMode="External"/><Relationship Id="rId863" Type="http://schemas.openxmlformats.org/officeDocument/2006/relationships/hyperlink" Target="https://www.science.org/doi/abs/10.1126/science.aed4516?af=R" TargetMode="External"/><Relationship Id="rId864" Type="http://schemas.openxmlformats.org/officeDocument/2006/relationships/hyperlink" Target="https://doi.org/10.1126/science.aed4516" TargetMode="External"/><Relationship Id="rId865" Type="http://schemas.openxmlformats.org/officeDocument/2006/relationships/hyperlink" Target="https://www.science.org/doi/abs/10.1126/science.aed2724?af=R" TargetMode="External"/><Relationship Id="rId866" Type="http://schemas.openxmlformats.org/officeDocument/2006/relationships/hyperlink" Target="https://doi.org/10.1126/science.aed2724" TargetMode="External"/><Relationship Id="rId867" Type="http://schemas.openxmlformats.org/officeDocument/2006/relationships/hyperlink" Target="https://www.science.org/doi/abs/10.1126/science.aed1239?af=R" TargetMode="External"/><Relationship Id="rId868" Type="http://schemas.openxmlformats.org/officeDocument/2006/relationships/hyperlink" Target="https://doi.org/10.1126/science.aed1239" TargetMode="External"/><Relationship Id="rId869" Type="http://schemas.openxmlformats.org/officeDocument/2006/relationships/hyperlink" Target="https://www.science.org/doi/abs/10.1126/science.aed0788?af=R" TargetMode="External"/><Relationship Id="rId870" Type="http://schemas.openxmlformats.org/officeDocument/2006/relationships/hyperlink" Target="https://doi.org/10.1126/science.aed0788" TargetMode="External"/><Relationship Id="rId871" Type="http://schemas.openxmlformats.org/officeDocument/2006/relationships/hyperlink" Target="https://www.science.org/doi/abs/10.1126/science.aec6091?af=R" TargetMode="External"/><Relationship Id="rId872" Type="http://schemas.openxmlformats.org/officeDocument/2006/relationships/hyperlink" Target="https://doi.org/10.1126/science.aec6091" TargetMode="External"/><Relationship Id="rId873" Type="http://schemas.openxmlformats.org/officeDocument/2006/relationships/hyperlink" Target="https://www.science.org/doi/abs/10.1126/science.aec1402?af=R" TargetMode="External"/><Relationship Id="rId874" Type="http://schemas.openxmlformats.org/officeDocument/2006/relationships/hyperlink" Target="https://doi.org/10.1126/science.aec1402" TargetMode="External"/><Relationship Id="rId875" Type="http://schemas.openxmlformats.org/officeDocument/2006/relationships/hyperlink" Target="https://www.science.org/doi/abs/10.1126/science.aee7304?af=R" TargetMode="External"/><Relationship Id="rId876" Type="http://schemas.openxmlformats.org/officeDocument/2006/relationships/hyperlink" Target="https://doi.org/10.1126/science.aee7304" TargetMode="External"/><Relationship Id="rId877" Type="http://schemas.openxmlformats.org/officeDocument/2006/relationships/hyperlink" Target="https://www.science.org/doi/abs/10.1126/science.adr0351?af=R" TargetMode="External"/><Relationship Id="rId878" Type="http://schemas.openxmlformats.org/officeDocument/2006/relationships/hyperlink" Target="https://doi.org/10.1126/science.adr0351" TargetMode="External"/><Relationship Id="rId879" Type="http://schemas.openxmlformats.org/officeDocument/2006/relationships/hyperlink" Target="https://www.science.org/doi/abs/10.1126/science.aee7987?af=R" TargetMode="External"/><Relationship Id="rId880" Type="http://schemas.openxmlformats.org/officeDocument/2006/relationships/hyperlink" Target="https://doi.org/10.1126/science.aee7987" TargetMode="External"/><Relationship Id="rId881" Type="http://schemas.openxmlformats.org/officeDocument/2006/relationships/hyperlink" Target="https://www.science.org/doi/abs/10.1126/science.aee7988?af=R" TargetMode="External"/><Relationship Id="rId882" Type="http://schemas.openxmlformats.org/officeDocument/2006/relationships/hyperlink" Target="https://doi.org/10.1126/science.aee7988" TargetMode="External"/><Relationship Id="rId883" Type="http://schemas.openxmlformats.org/officeDocument/2006/relationships/hyperlink" Target="https://www.science.org/doi/abs/10.1126/science.aee8000?af=R" TargetMode="External"/><Relationship Id="rId884" Type="http://schemas.openxmlformats.org/officeDocument/2006/relationships/hyperlink" Target="https://doi.org/10.1126/science.aee8000" TargetMode="External"/><Relationship Id="rId885" Type="http://schemas.openxmlformats.org/officeDocument/2006/relationships/hyperlink" Target="https://www.science.org/doi/abs/10.1126/science.aee8001?af=R" TargetMode="External"/><Relationship Id="rId886" Type="http://schemas.openxmlformats.org/officeDocument/2006/relationships/hyperlink" Target="https://doi.org/10.1126/science.aee8001" TargetMode="External"/><Relationship Id="rId887" Type="http://schemas.openxmlformats.org/officeDocument/2006/relationships/hyperlink" Target="https://www.science.org/doi/abs/10.1126/science.aee8002?af=R" TargetMode="External"/><Relationship Id="rId888" Type="http://schemas.openxmlformats.org/officeDocument/2006/relationships/hyperlink" Target="https://doi.org/10.1126/science.aee8002" TargetMode="External"/><Relationship Id="rId889" Type="http://schemas.openxmlformats.org/officeDocument/2006/relationships/hyperlink" Target="https://www.science.org/doi/abs/10.1126/science.aee8012?af=R" TargetMode="External"/><Relationship Id="rId890" Type="http://schemas.openxmlformats.org/officeDocument/2006/relationships/hyperlink" Target="https://doi.org/10.1126/science.aee8012" TargetMode="External"/><Relationship Id="rId891" Type="http://schemas.openxmlformats.org/officeDocument/2006/relationships/hyperlink" Target="https://www.science.org/doi/abs/10.1126/science.adz9239?af=R" TargetMode="External"/><Relationship Id="rId892" Type="http://schemas.openxmlformats.org/officeDocument/2006/relationships/hyperlink" Target="https://doi.org/10.1126/science.adz9239" TargetMode="External"/><Relationship Id="rId893" Type="http://schemas.openxmlformats.org/officeDocument/2006/relationships/hyperlink" Target="https://www.science.org/doi/abs/10.1126/science.adw3000?af=R" TargetMode="External"/><Relationship Id="rId894" Type="http://schemas.openxmlformats.org/officeDocument/2006/relationships/hyperlink" Target="https://doi.org/10.1126/science.adw3000" TargetMode="External"/><Relationship Id="rId895" Type="http://schemas.openxmlformats.org/officeDocument/2006/relationships/hyperlink" Target="https://advanced.onlinelibrary.wiley.com/doi/10.1002/aenm.202504005?af=R" TargetMode="External"/><Relationship Id="rId896" Type="http://schemas.openxmlformats.org/officeDocument/2006/relationships/hyperlink" Target="https://doi.org/10.1002/aenm.202504005" TargetMode="External"/><Relationship Id="rId897" Type="http://schemas.openxmlformats.org/officeDocument/2006/relationships/hyperlink" Target="https://advanced.onlinelibrary.wiley.com/doi/10.1002/aenm.202505925?af=R" TargetMode="External"/><Relationship Id="rId898" Type="http://schemas.openxmlformats.org/officeDocument/2006/relationships/hyperlink" Target="https://doi.org/10.1002/aenm.202505925" TargetMode="External"/><Relationship Id="rId899" Type="http://schemas.openxmlformats.org/officeDocument/2006/relationships/hyperlink" Target="https://advanced.onlinelibrary.wiley.com/doi/10.1002/adma.202514295?af=R" TargetMode="External"/><Relationship Id="rId900" Type="http://schemas.openxmlformats.org/officeDocument/2006/relationships/hyperlink" Target="https://doi.org/10.1002/adma.202514295" TargetMode="External"/><Relationship Id="rId901" Type="http://schemas.openxmlformats.org/officeDocument/2006/relationships/hyperlink" Target="https://advanced.onlinelibrary.wiley.com/doi/10.1002/aenm.202506066?af=R" TargetMode="External"/><Relationship Id="rId902" Type="http://schemas.openxmlformats.org/officeDocument/2006/relationships/hyperlink" Target="https://doi.org/10.1002/aenm.202506066" TargetMode="External"/><Relationship Id="rId903" Type="http://schemas.openxmlformats.org/officeDocument/2006/relationships/hyperlink" Target="https://advanced.onlinelibrary.wiley.com/doi/10.1002/aenm.202503828?af=R" TargetMode="External"/><Relationship Id="rId904" Type="http://schemas.openxmlformats.org/officeDocument/2006/relationships/hyperlink" Target="https://doi.org/10.1002/aenm.202503828" TargetMode="External"/><Relationship Id="rId905" Type="http://schemas.openxmlformats.org/officeDocument/2006/relationships/hyperlink" Target="https://www.pnas.org/doi/abs/10.1073/pnas.2519564122?mi=eymic2&amp;af=R&amp;access=on&amp;content=articlesChapters&amp;publication=pnas&amp;sortBy=Earliest&amp;target=default" TargetMode="External"/><Relationship Id="rId906" Type="http://schemas.openxmlformats.org/officeDocument/2006/relationships/hyperlink" Target="https://doi.org/10.1073/pnas.2519564122" TargetMode="External"/><Relationship Id="rId907" Type="http://schemas.openxmlformats.org/officeDocument/2006/relationships/hyperlink" Target="https://www.pnas.org/doi/abs/10.1073/pnas.2517376122?mi=eymic2&amp;af=R&amp;access=on&amp;content=articlesChapters&amp;publication=pnas&amp;sortBy=Earliest&amp;target=default" TargetMode="External"/><Relationship Id="rId908" Type="http://schemas.openxmlformats.org/officeDocument/2006/relationships/hyperlink" Target="https://doi.org/10.1073/pnas.2517376122" TargetMode="External"/><Relationship Id="rId909" Type="http://schemas.openxmlformats.org/officeDocument/2006/relationships/hyperlink" Target="https://www.pnas.org/doi/abs/10.1073/pnas.2522020122?mi=eymic2&amp;af=R&amp;access=on&amp;content=articlesChapters&amp;publication=pnas&amp;sortBy=Earliest&amp;target=default" TargetMode="External"/><Relationship Id="rId910" Type="http://schemas.openxmlformats.org/officeDocument/2006/relationships/hyperlink" Target="https://doi.org/10.1073/pnas.2522020122" TargetMode="External"/><Relationship Id="rId911" Type="http://schemas.openxmlformats.org/officeDocument/2006/relationships/hyperlink" Target="https://www.pnas.org/doi/abs/10.1073/pnas.2516077122?mi=eymic2&amp;af=R&amp;access=on&amp;content=articlesChapters&amp;publication=pnas&amp;sortBy=Earliest&amp;target=default" TargetMode="External"/><Relationship Id="rId912" Type="http://schemas.openxmlformats.org/officeDocument/2006/relationships/hyperlink" Target="https://doi.org/10.1073/pnas.2516077122" TargetMode="External"/><Relationship Id="rId913" Type="http://schemas.openxmlformats.org/officeDocument/2006/relationships/hyperlink" Target="https://www.pnas.org/doi/abs/10.1073/pnas.2522257122?mi=eymic2&amp;af=R&amp;access=on&amp;content=articlesChapters&amp;publication=pnas&amp;sortBy=Earliest&amp;target=default" TargetMode="External"/><Relationship Id="rId914" Type="http://schemas.openxmlformats.org/officeDocument/2006/relationships/hyperlink" Target="https://doi.org/10.1073/pnas.2522257122" TargetMode="External"/><Relationship Id="rId915" Type="http://schemas.openxmlformats.org/officeDocument/2006/relationships/hyperlink" Target="https://www.pnas.org/doi/abs/10.1073/pnas.2528657122?mi=eymic2&amp;af=R&amp;access=on&amp;content=articlesChapters&amp;publication=pnas&amp;sortBy=Earliest&amp;target=default" TargetMode="External"/><Relationship Id="rId916" Type="http://schemas.openxmlformats.org/officeDocument/2006/relationships/hyperlink" Target="https://doi.org/10.1073/pnas.2528657122" TargetMode="External"/><Relationship Id="rId917" Type="http://schemas.openxmlformats.org/officeDocument/2006/relationships/hyperlink" Target="https://www.pnas.org/doi/abs/10.1073/pnas.2519054122?mi=eymic2&amp;af=R&amp;access=on&amp;content=articlesChapters&amp;publication=pnas&amp;sortBy=Earliest&amp;target=default" TargetMode="External"/><Relationship Id="rId918" Type="http://schemas.openxmlformats.org/officeDocument/2006/relationships/hyperlink" Target="https://doi.org/10.1073/pnas.2519054122" TargetMode="External"/><Relationship Id="rId919" Type="http://schemas.openxmlformats.org/officeDocument/2006/relationships/hyperlink" Target="https://www.pnas.org/doi/abs/10.1073/pnas.2523012122?mi=eymic2&amp;af=R&amp;access=on&amp;content=articlesChapters&amp;publication=pnas&amp;sortBy=Earliest&amp;target=default" TargetMode="External"/><Relationship Id="rId920" Type="http://schemas.openxmlformats.org/officeDocument/2006/relationships/hyperlink" Target="https://doi.org/10.1073/pnas.2523012122" TargetMode="External"/><Relationship Id="rId921" Type="http://schemas.openxmlformats.org/officeDocument/2006/relationships/hyperlink" Target="https://www.pnas.org/doi/abs/10.1073/pnas.2511701122?mi=eymic2&amp;af=R&amp;access=on&amp;content=articlesChapters&amp;publication=pnas&amp;sortBy=Earliest&amp;target=default" TargetMode="External"/><Relationship Id="rId922" Type="http://schemas.openxmlformats.org/officeDocument/2006/relationships/hyperlink" Target="https://doi.org/10.1073/pnas.2511701122" TargetMode="External"/><Relationship Id="rId923" Type="http://schemas.openxmlformats.org/officeDocument/2006/relationships/hyperlink" Target="https://www.pnas.org/doi/abs/10.1073/pnas.2513960122?mi=eymic2&amp;af=R&amp;access=on&amp;content=articlesChapters&amp;publication=pnas&amp;sortBy=Earliest&amp;target=default" TargetMode="External"/><Relationship Id="rId924" Type="http://schemas.openxmlformats.org/officeDocument/2006/relationships/hyperlink" Target="https://doi.org/10.1073/pnas.2513960122" TargetMode="External"/><Relationship Id="rId925" Type="http://schemas.openxmlformats.org/officeDocument/2006/relationships/hyperlink" Target="https://www.science.org/doi/abs/10.1126/science.adx0665?af=R" TargetMode="External"/><Relationship Id="rId926" Type="http://schemas.openxmlformats.org/officeDocument/2006/relationships/hyperlink" Target="https://doi.org/10.1126/science.adx0665" TargetMode="External"/><Relationship Id="rId927" Type="http://schemas.openxmlformats.org/officeDocument/2006/relationships/hyperlink" Target="https://www.pnas.org/doi/abs/10.1073/pnas.2514683122?mi=eymic2&amp;af=R&amp;access=on&amp;content=articlesChapters&amp;publication=pnas&amp;sortBy=Earliest&amp;target=default" TargetMode="External"/><Relationship Id="rId928" Type="http://schemas.openxmlformats.org/officeDocument/2006/relationships/hyperlink" Target="https://doi.org/10.1073/pnas.2514683122" TargetMode="External"/><Relationship Id="rId929" Type="http://schemas.openxmlformats.org/officeDocument/2006/relationships/hyperlink" Target="https://www.science.org/doi/abs/10.1126/science.aee7927?af=R" TargetMode="External"/><Relationship Id="rId930" Type="http://schemas.openxmlformats.org/officeDocument/2006/relationships/hyperlink" Target="https://doi.org/10.1126/science.aee7927" TargetMode="External"/><Relationship Id="rId931" Type="http://schemas.openxmlformats.org/officeDocument/2006/relationships/hyperlink" Target="https://www.science.org/doi/abs/10.1126/science.adw8310?af=R" TargetMode="External"/><Relationship Id="rId932" Type="http://schemas.openxmlformats.org/officeDocument/2006/relationships/hyperlink" Target="https://doi.org/10.1126/science.adw8310" TargetMode="External"/><Relationship Id="rId933" Type="http://schemas.openxmlformats.org/officeDocument/2006/relationships/hyperlink" Target="https://www.science.org/doi/abs/10.1126/science.adz3698?af=R" TargetMode="External"/><Relationship Id="rId934" Type="http://schemas.openxmlformats.org/officeDocument/2006/relationships/hyperlink" Target="https://doi.org/10.1126/science.adz3698" TargetMode="External"/><Relationship Id="rId935" Type="http://schemas.openxmlformats.org/officeDocument/2006/relationships/hyperlink" Target="https://www.science.org/doi/abs/10.1126/science.aed5178?af=R" TargetMode="External"/><Relationship Id="rId936" Type="http://schemas.openxmlformats.org/officeDocument/2006/relationships/hyperlink" Target="https://doi.org/10.1126/science.aed5178" TargetMode="External"/><Relationship Id="rId937" Type="http://schemas.openxmlformats.org/officeDocument/2006/relationships/hyperlink" Target="https://www.science.org/doi/abs/10.1126/science.adu9904?af=R" TargetMode="External"/><Relationship Id="rId938" Type="http://schemas.openxmlformats.org/officeDocument/2006/relationships/hyperlink" Target="https://doi.org/10.1126/science.adu9904" TargetMode="External"/><Relationship Id="rId939" Type="http://schemas.openxmlformats.org/officeDocument/2006/relationships/hyperlink" Target="https://www.science.org/doi/abs/10.1126/science.aee5883?af=R" TargetMode="External"/><Relationship Id="rId940" Type="http://schemas.openxmlformats.org/officeDocument/2006/relationships/hyperlink" Target="https://doi.org/10.1126/science.aee5883" TargetMode="External"/><Relationship Id="rId941" Type="http://schemas.openxmlformats.org/officeDocument/2006/relationships/hyperlink" Target="https://www.pnas.org/doi/abs/10.1073/pnas.2509118122?mi=eymic2&amp;af=R&amp;access=on&amp;content=articlesChapters&amp;publication=pnas&amp;sortBy=Earliest&amp;target=default" TargetMode="External"/><Relationship Id="rId942" Type="http://schemas.openxmlformats.org/officeDocument/2006/relationships/hyperlink" Target="https://doi.org/10.1073/pnas.2509118122" TargetMode="External"/><Relationship Id="rId943" Type="http://schemas.openxmlformats.org/officeDocument/2006/relationships/hyperlink" Target="https://www.pnas.org/doi/abs/10.1073/pnas.2510374122?mi=eymic2&amp;af=R&amp;access=on&amp;content=articlesChapters&amp;publication=pnas&amp;sortBy=Earliest&amp;target=default" TargetMode="External"/><Relationship Id="rId944" Type="http://schemas.openxmlformats.org/officeDocument/2006/relationships/hyperlink" Target="https://doi.org/10.1073/pnas.2510374122" TargetMode="External"/><Relationship Id="rId945" Type="http://schemas.openxmlformats.org/officeDocument/2006/relationships/hyperlink" Target="https://www.pnas.org/doi/abs/10.1073/pnas.2513533122?mi=eymic2&amp;af=R&amp;access=on&amp;content=articlesChapters&amp;publication=pnas&amp;sortBy=Earliest&amp;target=default" TargetMode="External"/><Relationship Id="rId946" Type="http://schemas.openxmlformats.org/officeDocument/2006/relationships/hyperlink" Target="https://doi.org/10.1073/pnas.2513533122" TargetMode="External"/><Relationship Id="rId947" Type="http://schemas.openxmlformats.org/officeDocument/2006/relationships/hyperlink" Target="https://www.science.org/doi/abs/10.1126/science.adr2428?af=R" TargetMode="External"/><Relationship Id="rId948" Type="http://schemas.openxmlformats.org/officeDocument/2006/relationships/hyperlink" Target="https://doi.org/10.1126/science.adr2428" TargetMode="External"/><Relationship Id="rId949" Type="http://schemas.openxmlformats.org/officeDocument/2006/relationships/hyperlink" Target="https://www.science.org/doi/abs/10.1126/science.adx2678?af=R" TargetMode="External"/><Relationship Id="rId950" Type="http://schemas.openxmlformats.org/officeDocument/2006/relationships/hyperlink" Target="https://doi.org/10.1126/science.adx2678" TargetMode="External"/><Relationship Id="rId951" Type="http://schemas.openxmlformats.org/officeDocument/2006/relationships/hyperlink" Target="https://onlinelibrary.wiley.com/doi/10.1002/anie.202520819?af=R" TargetMode="External"/><Relationship Id="rId952" Type="http://schemas.openxmlformats.org/officeDocument/2006/relationships/hyperlink" Target="https://doi.org/10.1002/anie.202520819" TargetMode="External"/><Relationship Id="rId953" Type="http://schemas.openxmlformats.org/officeDocument/2006/relationships/hyperlink" Target="https://advanced.onlinelibrary.wiley.com/doi/10.1002/adma.202519866?af=R" TargetMode="External"/><Relationship Id="rId954" Type="http://schemas.openxmlformats.org/officeDocument/2006/relationships/hyperlink" Target="https://doi.org/10.1002/adma.202519866" TargetMode="External"/><Relationship Id="rId955" Type="http://schemas.openxmlformats.org/officeDocument/2006/relationships/hyperlink" Target="https://advanced.onlinelibrary.wiley.com/doi/10.1002/adma.202515480?af=R" TargetMode="External"/><Relationship Id="rId956" Type="http://schemas.openxmlformats.org/officeDocument/2006/relationships/hyperlink" Target="https://doi.org/10.1002/adma.202515480" TargetMode="External"/><Relationship Id="rId957" Type="http://schemas.openxmlformats.org/officeDocument/2006/relationships/hyperlink" Target="https://advanced.onlinelibrary.wiley.com/doi/10.1002/adma.202516053?af=R" TargetMode="External"/><Relationship Id="rId958" Type="http://schemas.openxmlformats.org/officeDocument/2006/relationships/hyperlink" Target="https://doi.org/10.1002/adma.202516053" TargetMode="External"/><Relationship Id="rId959" Type="http://schemas.openxmlformats.org/officeDocument/2006/relationships/hyperlink" Target="http://dx.doi.org/10.1021/acsenergylett.5c03526" TargetMode="External"/><Relationship Id="rId960" Type="http://schemas.openxmlformats.org/officeDocument/2006/relationships/hyperlink" Target="https://doi.org/10.1021/acsenergylett.5c03526" TargetMode="External"/><Relationship Id="rId961" Type="http://schemas.openxmlformats.org/officeDocument/2006/relationships/hyperlink" Target="http://dx.doi.org/10.1021/jacs.5c18127" TargetMode="External"/><Relationship Id="rId962" Type="http://schemas.openxmlformats.org/officeDocument/2006/relationships/hyperlink" Target="https://doi.org/10.1021/jacs.5c18127" TargetMode="External"/><Relationship Id="rId963" Type="http://schemas.openxmlformats.org/officeDocument/2006/relationships/hyperlink" Target="http://dx.doi.org/10.1021/jacs.5c08859" TargetMode="External"/><Relationship Id="rId964" Type="http://schemas.openxmlformats.org/officeDocument/2006/relationships/hyperlink" Target="https://doi.org/10.1021/jacs.5c08859" TargetMode="External"/><Relationship Id="rId965" Type="http://schemas.openxmlformats.org/officeDocument/2006/relationships/hyperlink" Target="https://onlinelibrary.wiley.com/doi/10.1002/anie.202522569?af=R" TargetMode="External"/><Relationship Id="rId966" Type="http://schemas.openxmlformats.org/officeDocument/2006/relationships/hyperlink" Target="https://doi.org/10.1002/anie.202522569" TargetMode="External"/><Relationship Id="rId967" Type="http://schemas.openxmlformats.org/officeDocument/2006/relationships/hyperlink" Target="https://onlinelibrary.wiley.com/doi/10.1002/anie.202518366?af=R" TargetMode="External"/><Relationship Id="rId968" Type="http://schemas.openxmlformats.org/officeDocument/2006/relationships/hyperlink" Target="https://doi.org/10.1002/anie.202518366" TargetMode="External"/><Relationship Id="rId969" Type="http://schemas.openxmlformats.org/officeDocument/2006/relationships/hyperlink" Target="https://onlinelibrary.wiley.com/doi/10.1002/anie.202517650?af=R" TargetMode="External"/><Relationship Id="rId970" Type="http://schemas.openxmlformats.org/officeDocument/2006/relationships/hyperlink" Target="https://doi.org/10.1002/anie.202517650" TargetMode="External"/><Relationship Id="rId971" Type="http://schemas.openxmlformats.org/officeDocument/2006/relationships/hyperlink" Target="https://onlinelibrary.wiley.com/doi/10.1002/anie.202521922?af=R" TargetMode="External"/><Relationship Id="rId972" Type="http://schemas.openxmlformats.org/officeDocument/2006/relationships/hyperlink" Target="https://doi.org/10.1002/anie.202521922" TargetMode="External"/><Relationship Id="rId973" Type="http://schemas.openxmlformats.org/officeDocument/2006/relationships/hyperlink" Target="https://onlinelibrary.wiley.com/doi/10.1002/anie.202521838?af=R" TargetMode="External"/><Relationship Id="rId974" Type="http://schemas.openxmlformats.org/officeDocument/2006/relationships/hyperlink" Target="https://doi.org/10.1002/anie.202521838" TargetMode="External"/><Relationship Id="rId975" Type="http://schemas.openxmlformats.org/officeDocument/2006/relationships/hyperlink" Target="https://onlinelibrary.wiley.com/doi/10.1002/anie.202521532?af=R" TargetMode="External"/><Relationship Id="rId976" Type="http://schemas.openxmlformats.org/officeDocument/2006/relationships/hyperlink" Target="https://doi.org/10.1002/anie.202521532" TargetMode="External"/><Relationship Id="rId977" Type="http://schemas.openxmlformats.org/officeDocument/2006/relationships/hyperlink" Target="https://onlinelibrary.wiley.com/doi/10.1002/anie.202519685?af=R" TargetMode="External"/><Relationship Id="rId978" Type="http://schemas.openxmlformats.org/officeDocument/2006/relationships/hyperlink" Target="https://doi.org/10.1002/anie.202519685" TargetMode="External"/><Relationship Id="rId979" Type="http://schemas.openxmlformats.org/officeDocument/2006/relationships/hyperlink" Target="https://onlinelibrary.wiley.com/doi/10.1002/anie.202524293?af=R" TargetMode="External"/><Relationship Id="rId980" Type="http://schemas.openxmlformats.org/officeDocument/2006/relationships/hyperlink" Target="https://doi.org/10.1002/anie.202524293" TargetMode="External"/><Relationship Id="rId981" Type="http://schemas.openxmlformats.org/officeDocument/2006/relationships/hyperlink" Target="https://onlinelibrary.wiley.com/doi/10.1002/anie.202521396?af=R" TargetMode="External"/><Relationship Id="rId982" Type="http://schemas.openxmlformats.org/officeDocument/2006/relationships/hyperlink" Target="https://doi.org/10.1002/anie.202521396" TargetMode="External"/><Relationship Id="rId983" Type="http://schemas.openxmlformats.org/officeDocument/2006/relationships/hyperlink" Target="http://dx.doi.org/10.1021/jacs.5c16581" TargetMode="External"/><Relationship Id="rId984" Type="http://schemas.openxmlformats.org/officeDocument/2006/relationships/hyperlink" Target="https://doi.org/10.1021/jacs.5c16581" TargetMode="External"/><Relationship Id="rId985" Type="http://schemas.openxmlformats.org/officeDocument/2006/relationships/hyperlink" Target="https://advanced.onlinelibrary.wiley.com/doi/10.1002/adma.202518255?af=R" TargetMode="External"/><Relationship Id="rId986" Type="http://schemas.openxmlformats.org/officeDocument/2006/relationships/hyperlink" Target="https://doi.org/10.1002/adma.202518255" TargetMode="External"/><Relationship Id="rId987" Type="http://schemas.openxmlformats.org/officeDocument/2006/relationships/hyperlink" Target="https://onlinelibrary.wiley.com/doi/10.1002/anie.202523884?af=R" TargetMode="External"/><Relationship Id="rId988" Type="http://schemas.openxmlformats.org/officeDocument/2006/relationships/hyperlink" Target="https://doi.org/10.1002/anie.202523884" TargetMode="External"/><Relationship Id="rId989" Type="http://schemas.openxmlformats.org/officeDocument/2006/relationships/hyperlink" Target="https://onlinelibrary.wiley.com/doi/10.1002/anie.202521038?af=R" TargetMode="External"/><Relationship Id="rId990" Type="http://schemas.openxmlformats.org/officeDocument/2006/relationships/hyperlink" Target="https://doi.org/10.1002/anie.202521038" TargetMode="External"/><Relationship Id="rId991" Type="http://schemas.openxmlformats.org/officeDocument/2006/relationships/hyperlink" Target="https://onlinelibrary.wiley.com/doi/10.1002/anie.202508305?af=R" TargetMode="External"/><Relationship Id="rId992" Type="http://schemas.openxmlformats.org/officeDocument/2006/relationships/hyperlink" Target="https://doi.org/10.1002/anie.202508305" TargetMode="External"/><Relationship Id="rId993" Type="http://schemas.openxmlformats.org/officeDocument/2006/relationships/hyperlink" Target="https://onlinelibrary.wiley.com/doi/10.1002/anie.202521374?af=R" TargetMode="External"/><Relationship Id="rId994" Type="http://schemas.openxmlformats.org/officeDocument/2006/relationships/hyperlink" Target="https://doi.org/10.1002/anie.202521374" TargetMode="External"/><Relationship Id="rId995" Type="http://schemas.openxmlformats.org/officeDocument/2006/relationships/hyperlink" Target="https://onlinelibrary.wiley.com/doi/10.1002/anie.202522266?af=R" TargetMode="External"/><Relationship Id="rId996" Type="http://schemas.openxmlformats.org/officeDocument/2006/relationships/hyperlink" Target="https://doi.org/10.1002/anie.202522266" TargetMode="External"/><Relationship Id="rId997" Type="http://schemas.openxmlformats.org/officeDocument/2006/relationships/hyperlink" Target="http://dx.doi.org/10.1021/jacs.5c18948" TargetMode="External"/><Relationship Id="rId998" Type="http://schemas.openxmlformats.org/officeDocument/2006/relationships/hyperlink" Target="https://doi.org/10.1021/jacs.5c18948" TargetMode="External"/><Relationship Id="rId999" Type="http://schemas.openxmlformats.org/officeDocument/2006/relationships/hyperlink" Target="https://onlinelibrary.wiley.com/doi/10.1002/anie.202523754?af=R" TargetMode="External"/><Relationship Id="rId1000" Type="http://schemas.openxmlformats.org/officeDocument/2006/relationships/hyperlink" Target="https://doi.org/10.1002/anie.202523754" TargetMode="External"/><Relationship Id="rId1001" Type="http://schemas.openxmlformats.org/officeDocument/2006/relationships/hyperlink" Target="https://onlinelibrary.wiley.com/doi/10.1002/anie.202522022?af=R" TargetMode="External"/><Relationship Id="rId1002" Type="http://schemas.openxmlformats.org/officeDocument/2006/relationships/hyperlink" Target="https://doi.org/10.1002/anie.202522022" TargetMode="External"/><Relationship Id="rId1003" Type="http://schemas.openxmlformats.org/officeDocument/2006/relationships/hyperlink" Target="https://onlinelibrary.wiley.com/doi/10.1002/anie.202523047?af=R" TargetMode="External"/><Relationship Id="rId1004" Type="http://schemas.openxmlformats.org/officeDocument/2006/relationships/hyperlink" Target="https://doi.org/10.1002/anie.202523047" TargetMode="External"/><Relationship Id="rId1005" Type="http://schemas.openxmlformats.org/officeDocument/2006/relationships/hyperlink" Target="http://dx.doi.org/10.1021/acsenergylett.5c03276" TargetMode="External"/><Relationship Id="rId1006" Type="http://schemas.openxmlformats.org/officeDocument/2006/relationships/hyperlink" Target="https://doi.org/10.1021/acsenergylett.5c03276" TargetMode="External"/><Relationship Id="rId1007" Type="http://schemas.openxmlformats.org/officeDocument/2006/relationships/hyperlink" Target="http://dx.doi.org/10.1021/acsenergylett.5c03265" TargetMode="External"/><Relationship Id="rId1008" Type="http://schemas.openxmlformats.org/officeDocument/2006/relationships/hyperlink" Target="https://doi.org/10.1021/acsenergylett.5c03265" TargetMode="External"/><Relationship Id="rId1009" Type="http://schemas.openxmlformats.org/officeDocument/2006/relationships/hyperlink" Target="http://dx.doi.org/10.1021/acsenergylett.5c03256" TargetMode="External"/><Relationship Id="rId1010" Type="http://schemas.openxmlformats.org/officeDocument/2006/relationships/hyperlink" Target="https://doi.org/10.1021/acsenergylett.5c03256" TargetMode="External"/><Relationship Id="rId1011" Type="http://schemas.openxmlformats.org/officeDocument/2006/relationships/hyperlink" Target="http://dx.doi.org/10.1021/jacs.5c18966" TargetMode="External"/><Relationship Id="rId1012" Type="http://schemas.openxmlformats.org/officeDocument/2006/relationships/hyperlink" Target="https://doi.org/10.1021/jacs.5c18966" TargetMode="External"/><Relationship Id="rId1013" Type="http://schemas.openxmlformats.org/officeDocument/2006/relationships/hyperlink" Target="http://dx.doi.org/10.1021/jacs.5c19469" TargetMode="External"/><Relationship Id="rId1014" Type="http://schemas.openxmlformats.org/officeDocument/2006/relationships/hyperlink" Target="https://doi.org/10.1021/jacs.5c19469" TargetMode="External"/><Relationship Id="rId1015" Type="http://schemas.openxmlformats.org/officeDocument/2006/relationships/hyperlink" Target="http://dx.doi.org/10.1021/jacs.5c17842" TargetMode="External"/><Relationship Id="rId1016" Type="http://schemas.openxmlformats.org/officeDocument/2006/relationships/hyperlink" Target="https://doi.org/10.1021/jacs.5c17842" TargetMode="External"/><Relationship Id="rId1017" Type="http://schemas.openxmlformats.org/officeDocument/2006/relationships/hyperlink" Target="http://dx.doi.org/10.1021/acsenergylett.5c03510" TargetMode="External"/><Relationship Id="rId1018" Type="http://schemas.openxmlformats.org/officeDocument/2006/relationships/hyperlink" Target="https://doi.org/10.1021/acsenergylett.5c03510" TargetMode="External"/><Relationship Id="rId1019" Type="http://schemas.openxmlformats.org/officeDocument/2006/relationships/hyperlink" Target="http://dx.doi.org/10.1021/jacs.5c21483" TargetMode="External"/><Relationship Id="rId1020" Type="http://schemas.openxmlformats.org/officeDocument/2006/relationships/hyperlink" Target="https://doi.org/10.1021/jacs.5c21483" TargetMode="External"/><Relationship Id="rId1021" Type="http://schemas.openxmlformats.org/officeDocument/2006/relationships/hyperlink" Target="http://dx.doi.org/10.1021/jacs.5c16049" TargetMode="External"/><Relationship Id="rId1022" Type="http://schemas.openxmlformats.org/officeDocument/2006/relationships/hyperlink" Target="https://doi.org/10.1021/jacs.5c16049" TargetMode="External"/><Relationship Id="rId1023" Type="http://schemas.openxmlformats.org/officeDocument/2006/relationships/hyperlink" Target="http://dx.doi.org/10.1021/jacs.5c07143" TargetMode="External"/><Relationship Id="rId1024" Type="http://schemas.openxmlformats.org/officeDocument/2006/relationships/hyperlink" Target="https://doi.org/10.1021/jacs.5c07143" TargetMode="External"/><Relationship Id="rId1025" Type="http://schemas.openxmlformats.org/officeDocument/2006/relationships/hyperlink" Target="http://dx.doi.org/10.1021/jacs.5c17359" TargetMode="External"/><Relationship Id="rId1026" Type="http://schemas.openxmlformats.org/officeDocument/2006/relationships/hyperlink" Target="https://doi.org/10.1021/jacs.5c17359" TargetMode="External"/><Relationship Id="rId1027" Type="http://schemas.openxmlformats.org/officeDocument/2006/relationships/hyperlink" Target="https://www.sciencedirect.com/science/article/pii/S0306261925020161?dgcid=rss_sd_all" TargetMode="External"/><Relationship Id="rId1028" Type="http://schemas.openxmlformats.org/officeDocument/2006/relationships/hyperlink" Target="https://www.sciencedirect.com/science/article/pii/S0306261925019440?dgcid=rss_sd_all" TargetMode="External"/><Relationship Id="rId1029" Type="http://schemas.openxmlformats.org/officeDocument/2006/relationships/hyperlink" Target="https://www.sciencedirect.com/science/article/pii/S0306261925019634?dgcid=rss_sd_all" TargetMode="External"/><Relationship Id="rId1030" Type="http://schemas.openxmlformats.org/officeDocument/2006/relationships/hyperlink" Target="http://pubs.rsc.org/en/Content/ArticleLanding/2026/CS/D5CS00920K" TargetMode="External"/><Relationship Id="rId1031" Type="http://schemas.openxmlformats.org/officeDocument/2006/relationships/hyperlink" Target="https://www.sciencedirect.com/science/article/pii/S0306261925019543?dgcid=rss_sd_all" TargetMode="External"/><Relationship Id="rId1032" Type="http://schemas.openxmlformats.org/officeDocument/2006/relationships/hyperlink" Target="https://www.sciencedirect.com/science/article/pii/S0306261925019531?dgcid=rss_sd_all" TargetMode="External"/><Relationship Id="rId1033" Type="http://schemas.openxmlformats.org/officeDocument/2006/relationships/hyperlink" Target="https://academic.oup.com/nsr/advance-article/doi/10.1093/nsr/nwaf581/8384190?rss=1" TargetMode="External"/><Relationship Id="rId1034" Type="http://schemas.openxmlformats.org/officeDocument/2006/relationships/hyperlink" Target="https://doi.org/10.1093/nsr/nwaf581/8384190" TargetMode="External"/><Relationship Id="rId1035" Type="http://schemas.openxmlformats.org/officeDocument/2006/relationships/hyperlink" Target="https://www.sciencedirect.com/science/article/pii/S0306261925019749?dgcid=rss_sd_all" TargetMode="External"/><Relationship Id="rId1036" Type="http://schemas.openxmlformats.org/officeDocument/2006/relationships/hyperlink" Target="https://www.nature.com/articles/d41586-025-04065-6" TargetMode="External"/><Relationship Id="rId1037" Type="http://schemas.openxmlformats.org/officeDocument/2006/relationships/hyperlink" Target="https://www.sciencedirect.com/science/article/pii/S1369702125005334?dgcid=rss_sd_all" TargetMode="External"/><Relationship Id="rId1038" Type="http://schemas.openxmlformats.org/officeDocument/2006/relationships/hyperlink" Target="https://www.nature.com/articles/s41578-025-00882-3" TargetMode="External"/><Relationship Id="rId1039" Type="http://schemas.openxmlformats.org/officeDocument/2006/relationships/hyperlink" Target="https://www.nature.com/articles/s41586-025-10022-0" TargetMode="External"/><Relationship Id="rId1040" Type="http://schemas.openxmlformats.org/officeDocument/2006/relationships/hyperlink" Target="https://www.nature.com/articles/s41928-025-01537-5" TargetMode="External"/><Relationship Id="rId1041" Type="http://schemas.openxmlformats.org/officeDocument/2006/relationships/hyperlink" Target="https://www.nature.com/articles/s44286-025-00324-5" TargetMode="External"/><Relationship Id="rId1042" Type="http://schemas.openxmlformats.org/officeDocument/2006/relationships/hyperlink" Target="https://www.nature.com/articles/s44286-025-00327-2" TargetMode="External"/><Relationship Id="rId1043" Type="http://schemas.openxmlformats.org/officeDocument/2006/relationships/hyperlink" Target="https://www.nature.com/articles/s41578-025-00876-1" TargetMode="External"/><Relationship Id="rId1044" Type="http://schemas.openxmlformats.org/officeDocument/2006/relationships/hyperlink" Target="https://www.nature.com/articles/s41565-025-02078-w" TargetMode="External"/><Relationship Id="rId1045" Type="http://schemas.openxmlformats.org/officeDocument/2006/relationships/hyperlink" Target="https://www.nature.com/articles/s44286-025-00332-5" TargetMode="External"/><Relationship Id="rId1046" Type="http://schemas.openxmlformats.org/officeDocument/2006/relationships/hyperlink" Target="https://www.nature.com/articles/s44286-025-00337-0" TargetMode="External"/><Relationship Id="rId1047" Type="http://schemas.openxmlformats.org/officeDocument/2006/relationships/hyperlink" Target="https://www.nature.com/articles/s41560-025-01954-y" TargetMode="External"/><Relationship Id="rId1048" Type="http://schemas.openxmlformats.org/officeDocument/2006/relationships/hyperlink" Target="https://www.nature.com/articles/s41560-025-01907-5" TargetMode="External"/><Relationship Id="rId1049" Type="http://schemas.openxmlformats.org/officeDocument/2006/relationships/hyperlink" Target="https://www.nature.com/articles/s41467-025-67875-2" TargetMode="External"/><Relationship Id="rId1050" Type="http://schemas.openxmlformats.org/officeDocument/2006/relationships/hyperlink" Target="https://www.nature.com/articles/s41467-025-67852-9" TargetMode="External"/><Relationship Id="rId1051" Type="http://schemas.openxmlformats.org/officeDocument/2006/relationships/hyperlink" Target="https://www.nature.com/articles/s41467-025-67758-6" TargetMode="External"/><Relationship Id="rId1052" Type="http://schemas.openxmlformats.org/officeDocument/2006/relationships/hyperlink" Target="https://www.nature.com/articles/s41557-025-02009-1" TargetMode="External"/><Relationship Id="rId1053" Type="http://schemas.openxmlformats.org/officeDocument/2006/relationships/hyperlink" Target="https://www.nature.com/articles/s41467-025-67649-w" TargetMode="External"/><Relationship Id="rId1054" Type="http://schemas.openxmlformats.org/officeDocument/2006/relationships/hyperlink" Target="https://www.nature.com/articles/d41586-025-04032-1" TargetMode="External"/><Relationship Id="rId1055" Type="http://schemas.openxmlformats.org/officeDocument/2006/relationships/hyperlink" Target="https://www.nature.com/articles/d41586-025-04088-z" TargetMode="External"/><Relationship Id="rId1056" Type="http://schemas.openxmlformats.org/officeDocument/2006/relationships/hyperlink" Target="https://www.nature.com/articles/d41586-025-04108-y" TargetMode="External"/><Relationship Id="rId1057" Type="http://schemas.openxmlformats.org/officeDocument/2006/relationships/hyperlink" Target="https://www.nature.com/articles/d41586-025-04118-w" TargetMode="External"/><Relationship Id="rId1058" Type="http://schemas.openxmlformats.org/officeDocument/2006/relationships/hyperlink" Target="https://www.nature.com/articles/s41467-025-67652-1" TargetMode="External"/><Relationship Id="rId1059" Type="http://schemas.openxmlformats.org/officeDocument/2006/relationships/hyperlink" Target="https://www.cell.com/joule/fulltext/S2542-4351(25)00414-3?rss=yes" TargetMode="External"/><Relationship Id="rId1060" Type="http://schemas.openxmlformats.org/officeDocument/2006/relationships/hyperlink" Target="https://www.nature.com/articles/s41467-025-67498-7" TargetMode="External"/><Relationship Id="rId1061" Type="http://schemas.openxmlformats.org/officeDocument/2006/relationships/hyperlink" Target="https://www.nature.com/articles/s41467-025-67572-0" TargetMode="External"/><Relationship Id="rId1062" Type="http://schemas.openxmlformats.org/officeDocument/2006/relationships/hyperlink" Target="https://www.nature.com/articles/s41467-025-67633-4" TargetMode="External"/><Relationship Id="rId1063" Type="http://schemas.openxmlformats.org/officeDocument/2006/relationships/hyperlink" Target="https://www.nature.com/articles/s44286-025-00342-3" TargetMode="External"/><Relationship Id="rId1064" Type="http://schemas.openxmlformats.org/officeDocument/2006/relationships/hyperlink" Target="https://onlinelibrary.wiley.com/doi/10.1002/anie.202517600?af=R" TargetMode="External"/><Relationship Id="rId1065" Type="http://schemas.openxmlformats.org/officeDocument/2006/relationships/hyperlink" Target="https://doi.org/10.1002/anie.202517600" TargetMode="External"/><Relationship Id="rId1066" Type="http://schemas.openxmlformats.org/officeDocument/2006/relationships/hyperlink" Target="https://onlinelibrary.wiley.com/doi/10.1002/anie.202521885?af=R" TargetMode="External"/><Relationship Id="rId1067" Type="http://schemas.openxmlformats.org/officeDocument/2006/relationships/hyperlink" Target="https://doi.org/10.1002/anie.202521885" TargetMode="External"/><Relationship Id="rId1068" Type="http://schemas.openxmlformats.org/officeDocument/2006/relationships/hyperlink" Target="https://onlinelibrary.wiley.com/doi/10.1002/anie.202525713?af=R" TargetMode="External"/><Relationship Id="rId1069" Type="http://schemas.openxmlformats.org/officeDocument/2006/relationships/hyperlink" Target="https://doi.org/10.1002/anie.202525713" TargetMode="External"/><Relationship Id="rId1070" Type="http://schemas.openxmlformats.org/officeDocument/2006/relationships/hyperlink" Target="https://onlinelibrary.wiley.com/doi/10.1002/anie.202519594?af=R" TargetMode="External"/><Relationship Id="rId1071" Type="http://schemas.openxmlformats.org/officeDocument/2006/relationships/hyperlink" Target="https://doi.org/10.1002/anie.202519594" TargetMode="External"/><Relationship Id="rId1072" Type="http://schemas.openxmlformats.org/officeDocument/2006/relationships/hyperlink" Target="https://onlinelibrary.wiley.com/doi/10.1002/anie.202517289?af=R" TargetMode="External"/><Relationship Id="rId1073" Type="http://schemas.openxmlformats.org/officeDocument/2006/relationships/hyperlink" Target="https://doi.org/10.1002/anie.202517289" TargetMode="External"/><Relationship Id="rId1074" Type="http://schemas.openxmlformats.org/officeDocument/2006/relationships/hyperlink" Target="https://onlinelibrary.wiley.com/doi/10.1002/anie.202519974?af=R" TargetMode="External"/><Relationship Id="rId1075" Type="http://schemas.openxmlformats.org/officeDocument/2006/relationships/hyperlink" Target="https://doi.org/10.1002/anie.202519974" TargetMode="External"/><Relationship Id="rId1076" Type="http://schemas.openxmlformats.org/officeDocument/2006/relationships/hyperlink" Target="https://onlinelibrary.wiley.com/doi/10.1002/anie.202522820?af=R" TargetMode="External"/><Relationship Id="rId1077" Type="http://schemas.openxmlformats.org/officeDocument/2006/relationships/hyperlink" Target="https://doi.org/10.1002/anie.202522820" TargetMode="External"/><Relationship Id="rId1078" Type="http://schemas.openxmlformats.org/officeDocument/2006/relationships/hyperlink" Target="https://onlinelibrary.wiley.com/doi/10.1002/anie.202523879?af=R" TargetMode="External"/><Relationship Id="rId1079" Type="http://schemas.openxmlformats.org/officeDocument/2006/relationships/hyperlink" Target="https://doi.org/10.1002/anie.202523879" TargetMode="External"/><Relationship Id="rId1080" Type="http://schemas.openxmlformats.org/officeDocument/2006/relationships/hyperlink" Target="https://onlinelibrary.wiley.com/doi/10.1002/anie.202520265?af=R" TargetMode="External"/><Relationship Id="rId1081" Type="http://schemas.openxmlformats.org/officeDocument/2006/relationships/hyperlink" Target="https://doi.org/10.1002/anie.202520265" TargetMode="External"/><Relationship Id="rId1082" Type="http://schemas.openxmlformats.org/officeDocument/2006/relationships/hyperlink" Target="https://onlinelibrary.wiley.com/doi/10.1002/anie.202521363?af=R" TargetMode="External"/><Relationship Id="rId1083" Type="http://schemas.openxmlformats.org/officeDocument/2006/relationships/hyperlink" Target="https://doi.org/10.1002/anie.202521363" TargetMode="External"/><Relationship Id="rId1084" Type="http://schemas.openxmlformats.org/officeDocument/2006/relationships/hyperlink" Target="https://onlinelibrary.wiley.com/doi/10.1002/anie.202521285?af=R" TargetMode="External"/><Relationship Id="rId1085" Type="http://schemas.openxmlformats.org/officeDocument/2006/relationships/hyperlink" Target="https://doi.org/10.1002/anie.202521285" TargetMode="External"/><Relationship Id="rId1086" Type="http://schemas.openxmlformats.org/officeDocument/2006/relationships/hyperlink" Target="https://onlinelibrary.wiley.com/doi/10.1002/anie.202522371?af=R" TargetMode="External"/><Relationship Id="rId1087" Type="http://schemas.openxmlformats.org/officeDocument/2006/relationships/hyperlink" Target="https://doi.org/10.1002/anie.202522371" TargetMode="External"/><Relationship Id="rId1088" Type="http://schemas.openxmlformats.org/officeDocument/2006/relationships/hyperlink" Target="https://onlinelibrary.wiley.com/doi/10.1002/anie.202521678?af=R" TargetMode="External"/><Relationship Id="rId1089" Type="http://schemas.openxmlformats.org/officeDocument/2006/relationships/hyperlink" Target="https://doi.org/10.1002/anie.202521678" TargetMode="External"/><Relationship Id="rId1090" Type="http://schemas.openxmlformats.org/officeDocument/2006/relationships/hyperlink" Target="https://onlinelibrary.wiley.com/doi/10.1002/anie.202524079?af=R" TargetMode="External"/><Relationship Id="rId1091" Type="http://schemas.openxmlformats.org/officeDocument/2006/relationships/hyperlink" Target="https://doi.org/10.1002/anie.202524079" TargetMode="External"/><Relationship Id="rId1092" Type="http://schemas.openxmlformats.org/officeDocument/2006/relationships/hyperlink" Target="https://onlinelibrary.wiley.com/doi/10.1002/anie.202516078?af=R" TargetMode="External"/><Relationship Id="rId1093" Type="http://schemas.openxmlformats.org/officeDocument/2006/relationships/hyperlink" Target="https://doi.org/10.1002/anie.202516078" TargetMode="External"/><Relationship Id="rId1094" Type="http://schemas.openxmlformats.org/officeDocument/2006/relationships/hyperlink" Target="https://onlinelibrary.wiley.com/doi/10.1002/anie.202524377?af=R" TargetMode="External"/><Relationship Id="rId1095" Type="http://schemas.openxmlformats.org/officeDocument/2006/relationships/hyperlink" Target="https://doi.org/10.1002/anie.202524377" TargetMode="External"/><Relationship Id="rId1096" Type="http://schemas.openxmlformats.org/officeDocument/2006/relationships/hyperlink" Target="https://onlinelibrary.wiley.com/doi/10.1002/anie.202521891?af=R" TargetMode="External"/><Relationship Id="rId1097" Type="http://schemas.openxmlformats.org/officeDocument/2006/relationships/hyperlink" Target="https://doi.org/10.1002/anie.202521891" TargetMode="External"/><Relationship Id="rId1098" Type="http://schemas.openxmlformats.org/officeDocument/2006/relationships/hyperlink" Target="https://onlinelibrary.wiley.com/doi/10.1002/anie.202523152?af=R" TargetMode="External"/><Relationship Id="rId1099" Type="http://schemas.openxmlformats.org/officeDocument/2006/relationships/hyperlink" Target="https://doi.org/10.1002/anie.202523152" TargetMode="External"/><Relationship Id="rId1100" Type="http://schemas.openxmlformats.org/officeDocument/2006/relationships/hyperlink" Target="https://onlinelibrary.wiley.com/doi/10.1002/anie.202519906?af=R" TargetMode="External"/><Relationship Id="rId1101" Type="http://schemas.openxmlformats.org/officeDocument/2006/relationships/hyperlink" Target="https://doi.org/10.1002/anie.202519906" TargetMode="External"/><Relationship Id="rId1102" Type="http://schemas.openxmlformats.org/officeDocument/2006/relationships/hyperlink" Target="https://advanced.onlinelibrary.wiley.com/doi/10.1002/aenm.202505800?af=R" TargetMode="External"/><Relationship Id="rId1103" Type="http://schemas.openxmlformats.org/officeDocument/2006/relationships/hyperlink" Target="https://doi.org/10.1002/aenm.202505800" TargetMode="External"/><Relationship Id="rId1104" Type="http://schemas.openxmlformats.org/officeDocument/2006/relationships/hyperlink" Target="https://www.pnas.org/doi/abs/10.1073/pnas.2515423122?mi=eymic2&amp;af=R&amp;access=on&amp;content=articlesChapters&amp;publication=pnas&amp;sortBy=Earliest&amp;target=default" TargetMode="External"/><Relationship Id="rId1105" Type="http://schemas.openxmlformats.org/officeDocument/2006/relationships/hyperlink" Target="https://doi.org/10.1073/pnas.2515423122" TargetMode="External"/><Relationship Id="rId1106" Type="http://schemas.openxmlformats.org/officeDocument/2006/relationships/hyperlink" Target="https://www.science.org/doi/abs/10.1126/sciadv.aee2295?af=R" TargetMode="External"/><Relationship Id="rId1107" Type="http://schemas.openxmlformats.org/officeDocument/2006/relationships/hyperlink" Target="https://doi.org/10.1126/sciadv.aee2295" TargetMode="External"/><Relationship Id="rId1108" Type="http://schemas.openxmlformats.org/officeDocument/2006/relationships/hyperlink" Target="https://www.science.org/doi/abs/10.1126/sciadv.adu9092?af=R" TargetMode="External"/><Relationship Id="rId1109" Type="http://schemas.openxmlformats.org/officeDocument/2006/relationships/hyperlink" Target="https://doi.org/10.1126/sciadv.adu9092" TargetMode="External"/><Relationship Id="rId1110" Type="http://schemas.openxmlformats.org/officeDocument/2006/relationships/hyperlink" Target="https://www.science.org/doi/abs/10.1126/sciadv.adv1424?af=R" TargetMode="External"/><Relationship Id="rId1111" Type="http://schemas.openxmlformats.org/officeDocument/2006/relationships/hyperlink" Target="https://doi.org/10.1126/sciadv.adv1424" TargetMode="External"/><Relationship Id="rId1112" Type="http://schemas.openxmlformats.org/officeDocument/2006/relationships/hyperlink" Target="https://www.pnas.org/doi/abs/10.1073/pnas.2515704122?mi=eymic2&amp;af=R&amp;access=on&amp;content=articlesChapters&amp;publication=pnas&amp;sortBy=Earliest&amp;target=default" TargetMode="External"/><Relationship Id="rId1113" Type="http://schemas.openxmlformats.org/officeDocument/2006/relationships/hyperlink" Target="https://doi.org/10.1073/pnas.2515704122" TargetMode="External"/><Relationship Id="rId1114" Type="http://schemas.openxmlformats.org/officeDocument/2006/relationships/hyperlink" Target="https://www.pnas.org/doi/abs/10.1073/pnas.2505613122?mi=eymic2&amp;af=R&amp;access=on&amp;content=articlesChapters&amp;publication=pnas&amp;sortBy=Earliest&amp;target=default" TargetMode="External"/><Relationship Id="rId1115" Type="http://schemas.openxmlformats.org/officeDocument/2006/relationships/hyperlink" Target="https://doi.org/10.1073/pnas.2505613122" TargetMode="External"/><Relationship Id="rId1116" Type="http://schemas.openxmlformats.org/officeDocument/2006/relationships/hyperlink" Target="https://www.science.org/doi/abs/10.1126/sciadv.aec7836?af=R" TargetMode="External"/><Relationship Id="rId1117" Type="http://schemas.openxmlformats.org/officeDocument/2006/relationships/hyperlink" Target="https://doi.org/10.1126/sciadv.aec7836" TargetMode="External"/><Relationship Id="rId1118" Type="http://schemas.openxmlformats.org/officeDocument/2006/relationships/hyperlink" Target="https://www.pnas.org/doi/abs/10.1073/pnas.2534317122?mi=eymic2&amp;af=R&amp;access=on&amp;content=articlesChapters&amp;publication=pnas&amp;sortBy=Earliest&amp;target=default" TargetMode="External"/><Relationship Id="rId1119" Type="http://schemas.openxmlformats.org/officeDocument/2006/relationships/hyperlink" Target="https://doi.org/10.1073/pnas.2534317122" TargetMode="External"/><Relationship Id="rId1120" Type="http://schemas.openxmlformats.org/officeDocument/2006/relationships/hyperlink" Target="https://www.science.org/doi/abs/10.1126/sciadv.adz4291?af=R" TargetMode="External"/><Relationship Id="rId1121" Type="http://schemas.openxmlformats.org/officeDocument/2006/relationships/hyperlink" Target="https://doi.org/10.1126/sciadv.adz4291" TargetMode="External"/><Relationship Id="rId1122" Type="http://schemas.openxmlformats.org/officeDocument/2006/relationships/hyperlink" Target="https://www.science.org/doi/abs/10.1126/sciadv.adz2429?af=R" TargetMode="External"/><Relationship Id="rId1123" Type="http://schemas.openxmlformats.org/officeDocument/2006/relationships/hyperlink" Target="https://doi.org/10.1126/sciadv.adz2429" TargetMode="External"/><Relationship Id="rId1124" Type="http://schemas.openxmlformats.org/officeDocument/2006/relationships/hyperlink" Target="https://www.science.org/doi/abs/10.1126/sciadv.adx6361?af=R" TargetMode="External"/><Relationship Id="rId1125" Type="http://schemas.openxmlformats.org/officeDocument/2006/relationships/hyperlink" Target="https://doi.org/10.1126/sciadv.adx6361" TargetMode="External"/><Relationship Id="rId1126" Type="http://schemas.openxmlformats.org/officeDocument/2006/relationships/hyperlink" Target="https://www.pnas.org/doi/abs/10.1073/pnas.2520608122?mi=eymic2&amp;af=R&amp;access=on&amp;content=articlesChapters&amp;publication=pnas&amp;sortBy=Earliest&amp;target=default" TargetMode="External"/><Relationship Id="rId1127" Type="http://schemas.openxmlformats.org/officeDocument/2006/relationships/hyperlink" Target="https://doi.org/10.1073/pnas.2520608122" TargetMode="External"/><Relationship Id="rId1128" Type="http://schemas.openxmlformats.org/officeDocument/2006/relationships/hyperlink" Target="https://www.science.org/doi/abs/10.1126/sciadv.ady7028?af=R" TargetMode="External"/><Relationship Id="rId1129" Type="http://schemas.openxmlformats.org/officeDocument/2006/relationships/hyperlink" Target="https://doi.org/10.1126/sciadv.ady7028" TargetMode="External"/><Relationship Id="rId1130" Type="http://schemas.openxmlformats.org/officeDocument/2006/relationships/hyperlink" Target="https://www.science.org/doi/abs/10.1126/sciadv.adz9463?af=R" TargetMode="External"/><Relationship Id="rId1131" Type="http://schemas.openxmlformats.org/officeDocument/2006/relationships/hyperlink" Target="https://doi.org/10.1126/sciadv.adz9463" TargetMode="External"/><Relationship Id="rId1132" Type="http://schemas.openxmlformats.org/officeDocument/2006/relationships/hyperlink" Target="https://www.science.org/doi/abs/10.1126/sciadv.adx3010?af=R" TargetMode="External"/><Relationship Id="rId1133" Type="http://schemas.openxmlformats.org/officeDocument/2006/relationships/hyperlink" Target="https://doi.org/10.1126/sciadv.adx3010" TargetMode="External"/><Relationship Id="rId1134" Type="http://schemas.openxmlformats.org/officeDocument/2006/relationships/hyperlink" Target="https://www.science.org/doi/abs/10.1126/sciadv.aea4268?af=R" TargetMode="External"/><Relationship Id="rId1135" Type="http://schemas.openxmlformats.org/officeDocument/2006/relationships/hyperlink" Target="https://doi.org/10.1126/sciadv.aea4268" TargetMode="External"/><Relationship Id="rId1136" Type="http://schemas.openxmlformats.org/officeDocument/2006/relationships/hyperlink" Target="https://www.science.org/doi/abs/10.1126/sciadv.adz7600?af=R" TargetMode="External"/><Relationship Id="rId1137" Type="http://schemas.openxmlformats.org/officeDocument/2006/relationships/hyperlink" Target="https://doi.org/10.1126/sciadv.adz7600" TargetMode="External"/><Relationship Id="rId1138" Type="http://schemas.openxmlformats.org/officeDocument/2006/relationships/hyperlink" Target="https://www.pnas.org/doi/abs/10.1073/pnas.2521089122?mi=eymic2&amp;af=R&amp;access=on&amp;content=articlesChapters&amp;publication=pnas&amp;sortBy=Earliest&amp;target=default" TargetMode="External"/><Relationship Id="rId1139" Type="http://schemas.openxmlformats.org/officeDocument/2006/relationships/hyperlink" Target="https://doi.org/10.1073/pnas.2521089122" TargetMode="External"/><Relationship Id="rId1140" Type="http://schemas.openxmlformats.org/officeDocument/2006/relationships/hyperlink" Target="https://www.science.org/doi/abs/10.1126/sciadv.adt4916?af=R" TargetMode="External"/><Relationship Id="rId1141" Type="http://schemas.openxmlformats.org/officeDocument/2006/relationships/hyperlink" Target="https://doi.org/10.1126/sciadv.adt4916" TargetMode="External"/><Relationship Id="rId1142" Type="http://schemas.openxmlformats.org/officeDocument/2006/relationships/hyperlink" Target="https://www.science.org/doi/abs/10.1126/sciadv.adz5445?af=R" TargetMode="External"/><Relationship Id="rId1143" Type="http://schemas.openxmlformats.org/officeDocument/2006/relationships/hyperlink" Target="https://doi.org/10.1126/sciadv.adz5445" TargetMode="External"/><Relationship Id="rId1144" Type="http://schemas.openxmlformats.org/officeDocument/2006/relationships/hyperlink" Target="https://www.pnas.org/doi/abs/10.1073/pnas.2522515122?mi=eymic2&amp;af=R&amp;access=on&amp;content=articlesChapters&amp;publication=pnas&amp;sortBy=Earliest&amp;target=default" TargetMode="External"/><Relationship Id="rId1145" Type="http://schemas.openxmlformats.org/officeDocument/2006/relationships/hyperlink" Target="https://doi.org/10.1073/pnas.2522515122" TargetMode="External"/><Relationship Id="rId1146" Type="http://schemas.openxmlformats.org/officeDocument/2006/relationships/hyperlink" Target="https://www.science.org/doi/abs/10.1126/sciadv.adu4026?af=R" TargetMode="External"/><Relationship Id="rId1147" Type="http://schemas.openxmlformats.org/officeDocument/2006/relationships/hyperlink" Target="https://doi.org/10.1126/sciadv.adu4026" TargetMode="External"/><Relationship Id="rId1148" Type="http://schemas.openxmlformats.org/officeDocument/2006/relationships/hyperlink" Target="https://www.pnas.org/doi/abs/10.1073/pnas.2534338122?mi=eymic2&amp;af=R&amp;access=on&amp;content=articlesChapters&amp;publication=pnas&amp;sortBy=Earliest&amp;target=default" TargetMode="External"/><Relationship Id="rId1149" Type="http://schemas.openxmlformats.org/officeDocument/2006/relationships/hyperlink" Target="https://doi.org/10.1073/pnas.2534338122" TargetMode="External"/><Relationship Id="rId1150" Type="http://schemas.openxmlformats.org/officeDocument/2006/relationships/hyperlink" Target="https://www.science.org/doi/abs/10.1126/sciadv.adz6824?af=R" TargetMode="External"/><Relationship Id="rId1151" Type="http://schemas.openxmlformats.org/officeDocument/2006/relationships/hyperlink" Target="https://doi.org/10.1126/sciadv.adz6824" TargetMode="External"/><Relationship Id="rId1152" Type="http://schemas.openxmlformats.org/officeDocument/2006/relationships/hyperlink" Target="https://www.science.org/doi/abs/10.1126/sciadv.adw7471?af=R" TargetMode="External"/><Relationship Id="rId1153" Type="http://schemas.openxmlformats.org/officeDocument/2006/relationships/hyperlink" Target="https://doi.org/10.1126/sciadv.adw7471" TargetMode="External"/><Relationship Id="rId1154" Type="http://schemas.openxmlformats.org/officeDocument/2006/relationships/hyperlink" Target="https://www.science.org/doi/abs/10.1126/sciadv.aea2468?af=R" TargetMode="External"/><Relationship Id="rId1155" Type="http://schemas.openxmlformats.org/officeDocument/2006/relationships/hyperlink" Target="https://doi.org/10.1126/sciadv.aea2468" TargetMode="External"/><Relationship Id="rId1156" Type="http://schemas.openxmlformats.org/officeDocument/2006/relationships/hyperlink" Target="https://www.science.org/doi/abs/10.1126/sciadv.adx7406?af=R" TargetMode="External"/><Relationship Id="rId1157" Type="http://schemas.openxmlformats.org/officeDocument/2006/relationships/hyperlink" Target="https://doi.org/10.1126/sciadv.adx7406" TargetMode="External"/><Relationship Id="rId1158" Type="http://schemas.openxmlformats.org/officeDocument/2006/relationships/hyperlink" Target="https://www.science.org/doi/abs/10.1126/sciadv.adx2398?af=R" TargetMode="External"/><Relationship Id="rId1159" Type="http://schemas.openxmlformats.org/officeDocument/2006/relationships/hyperlink" Target="https://doi.org/10.1126/sciadv.adx2398" TargetMode="External"/><Relationship Id="rId1160" Type="http://schemas.openxmlformats.org/officeDocument/2006/relationships/hyperlink" Target="https://www.science.org/doi/abs/10.1126/sciadv.aeb1017?af=R" TargetMode="External"/><Relationship Id="rId1161" Type="http://schemas.openxmlformats.org/officeDocument/2006/relationships/hyperlink" Target="https://doi.org/10.1126/sciadv.aeb1017" TargetMode="External"/><Relationship Id="rId1162" Type="http://schemas.openxmlformats.org/officeDocument/2006/relationships/hyperlink" Target="https://www.science.org/doi/abs/10.1126/sciadv.aeb0929?af=R" TargetMode="External"/><Relationship Id="rId1163" Type="http://schemas.openxmlformats.org/officeDocument/2006/relationships/hyperlink" Target="https://doi.org/10.1126/sciadv.aeb0929" TargetMode="External"/><Relationship Id="rId1164" Type="http://schemas.openxmlformats.org/officeDocument/2006/relationships/hyperlink" Target="https://www.science.org/doi/abs/10.1126/sciadv.adx8068?af=R" TargetMode="External"/><Relationship Id="rId1165" Type="http://schemas.openxmlformats.org/officeDocument/2006/relationships/hyperlink" Target="https://doi.org/10.1126/sciadv.adx8068" TargetMode="External"/><Relationship Id="rId1166" Type="http://schemas.openxmlformats.org/officeDocument/2006/relationships/hyperlink" Target="https://www.pnas.org/doi/abs/10.1073/pnas.2518589122?mi=eymic2&amp;af=R&amp;access=on&amp;content=articlesChapters&amp;publication=pnas&amp;sortBy=Earliest&amp;target=default" TargetMode="External"/><Relationship Id="rId1167" Type="http://schemas.openxmlformats.org/officeDocument/2006/relationships/hyperlink" Target="https://doi.org/10.1073/pnas.2518589122" TargetMode="External"/><Relationship Id="rId1168" Type="http://schemas.openxmlformats.org/officeDocument/2006/relationships/hyperlink" Target="https://www.pnas.org/doi/abs/10.1073/pnas.2533731122?mi=eymic2&amp;af=R&amp;access=on&amp;content=articlesChapters&amp;publication=pnas&amp;sortBy=Earliest&amp;target=default" TargetMode="External"/><Relationship Id="rId1169" Type="http://schemas.openxmlformats.org/officeDocument/2006/relationships/hyperlink" Target="https://doi.org/10.1073/pnas.2533731122" TargetMode="External"/><Relationship Id="rId1170" Type="http://schemas.openxmlformats.org/officeDocument/2006/relationships/hyperlink" Target="https://www.science.org/doi/abs/10.1126/sciadv.aeb0206?af=R" TargetMode="External"/><Relationship Id="rId1171" Type="http://schemas.openxmlformats.org/officeDocument/2006/relationships/hyperlink" Target="https://doi.org/10.1126/sciadv.aeb0206" TargetMode="External"/><Relationship Id="rId1172" Type="http://schemas.openxmlformats.org/officeDocument/2006/relationships/hyperlink" Target="https://www.science.org/doi/abs/10.1126/sciadv.aeb0337?af=R" TargetMode="External"/><Relationship Id="rId1173" Type="http://schemas.openxmlformats.org/officeDocument/2006/relationships/hyperlink" Target="https://doi.org/10.1126/sciadv.aeb0337" TargetMode="External"/><Relationship Id="rId1174" Type="http://schemas.openxmlformats.org/officeDocument/2006/relationships/hyperlink" Target="https://www.science.org/doi/abs/10.1126/sciadv.aea8647?af=R" TargetMode="External"/><Relationship Id="rId1175" Type="http://schemas.openxmlformats.org/officeDocument/2006/relationships/hyperlink" Target="https://doi.org/10.1126/sciadv.aea8647" TargetMode="External"/><Relationship Id="rId1176" Type="http://schemas.openxmlformats.org/officeDocument/2006/relationships/hyperlink" Target="https://www.science.org/doi/abs/10.1126/sciadv.aea8105?af=R" TargetMode="External"/><Relationship Id="rId1177" Type="http://schemas.openxmlformats.org/officeDocument/2006/relationships/hyperlink" Target="https://doi.org/10.1126/sciadv.aea8105" TargetMode="External"/><Relationship Id="rId1178" Type="http://schemas.openxmlformats.org/officeDocument/2006/relationships/hyperlink" Target="https://www.science.org/doi/abs/10.1126/sciadv.aea6007?af=R" TargetMode="External"/><Relationship Id="rId1179" Type="http://schemas.openxmlformats.org/officeDocument/2006/relationships/hyperlink" Target="https://doi.org/10.1126/sciadv.aea6007" TargetMode="External"/><Relationship Id="rId1180" Type="http://schemas.openxmlformats.org/officeDocument/2006/relationships/hyperlink" Target="https://www.science.org/doi/abs/10.1126/sciadv.aea4965?af=R" TargetMode="External"/><Relationship Id="rId1181" Type="http://schemas.openxmlformats.org/officeDocument/2006/relationships/hyperlink" Target="https://doi.org/10.1126/sciadv.aea4965" TargetMode="External"/><Relationship Id="rId1182" Type="http://schemas.openxmlformats.org/officeDocument/2006/relationships/hyperlink" Target="https://www.science.org/doi/abs/10.1126/sciadv.aea8707?af=R" TargetMode="External"/><Relationship Id="rId1183" Type="http://schemas.openxmlformats.org/officeDocument/2006/relationships/hyperlink" Target="https://doi.org/10.1126/sciadv.aea8707" TargetMode="External"/><Relationship Id="rId1184" Type="http://schemas.openxmlformats.org/officeDocument/2006/relationships/hyperlink" Target="https://www.science.org/doi/abs/10.1126/sciadv.adz1888?af=R" TargetMode="External"/><Relationship Id="rId1185" Type="http://schemas.openxmlformats.org/officeDocument/2006/relationships/hyperlink" Target="https://doi.org/10.1126/sciadv.adz1888" TargetMode="External"/><Relationship Id="rId1186" Type="http://schemas.openxmlformats.org/officeDocument/2006/relationships/hyperlink" Target="https://onlinelibrary.wiley.com/doi/10.1002/anie.202526116?af=R" TargetMode="External"/><Relationship Id="rId1187" Type="http://schemas.openxmlformats.org/officeDocument/2006/relationships/hyperlink" Target="https://doi.org/10.1002/anie.202526116" TargetMode="External"/><Relationship Id="rId1188" Type="http://schemas.openxmlformats.org/officeDocument/2006/relationships/hyperlink" Target="https://onlinelibrary.wiley.com/doi/10.1002/anie.202520140?af=R" TargetMode="External"/><Relationship Id="rId1189" Type="http://schemas.openxmlformats.org/officeDocument/2006/relationships/hyperlink" Target="https://doi.org/10.1002/anie.202520140" TargetMode="External"/><Relationship Id="rId1190" Type="http://schemas.openxmlformats.org/officeDocument/2006/relationships/hyperlink" Target="https://onlinelibrary.wiley.com/doi/10.1002/anie.202519662?af=R" TargetMode="External"/><Relationship Id="rId1191" Type="http://schemas.openxmlformats.org/officeDocument/2006/relationships/hyperlink" Target="https://doi.org/10.1002/anie.202519662" TargetMode="External"/><Relationship Id="rId1192" Type="http://schemas.openxmlformats.org/officeDocument/2006/relationships/hyperlink" Target="https://onlinelibrary.wiley.com/doi/10.1002/anie.202515811?af=R" TargetMode="External"/><Relationship Id="rId1193" Type="http://schemas.openxmlformats.org/officeDocument/2006/relationships/hyperlink" Target="https://doi.org/10.1002/anie.202515811" TargetMode="External"/><Relationship Id="rId1194" Type="http://schemas.openxmlformats.org/officeDocument/2006/relationships/hyperlink" Target="https://advanced.onlinelibrary.wiley.com/doi/10.1002/adma.202510948?af=R" TargetMode="External"/><Relationship Id="rId1195" Type="http://schemas.openxmlformats.org/officeDocument/2006/relationships/hyperlink" Target="https://doi.org/10.1002/adma.202510948" TargetMode="External"/><Relationship Id="rId1196" Type="http://schemas.openxmlformats.org/officeDocument/2006/relationships/hyperlink" Target="https://onlinelibrary.wiley.com/doi/10.1002/anie.202522708?af=R" TargetMode="External"/><Relationship Id="rId1197" Type="http://schemas.openxmlformats.org/officeDocument/2006/relationships/hyperlink" Target="https://doi.org/10.1002/anie.202522708" TargetMode="External"/><Relationship Id="rId1198" Type="http://schemas.openxmlformats.org/officeDocument/2006/relationships/hyperlink" Target="https://advanced.onlinelibrary.wiley.com/doi/10.1002/adma.202518652?af=R" TargetMode="External"/><Relationship Id="rId1199" Type="http://schemas.openxmlformats.org/officeDocument/2006/relationships/hyperlink" Target="https://doi.org/10.1002/adma.202518652" TargetMode="External"/><Relationship Id="rId1200" Type="http://schemas.openxmlformats.org/officeDocument/2006/relationships/hyperlink" Target="https://advanced.onlinelibrary.wiley.com/doi/10.1002/adma.202517450?af=R" TargetMode="External"/><Relationship Id="rId1201" Type="http://schemas.openxmlformats.org/officeDocument/2006/relationships/hyperlink" Target="https://doi.org/10.1002/adma.202517450" TargetMode="External"/><Relationship Id="rId1202" Type="http://schemas.openxmlformats.org/officeDocument/2006/relationships/hyperlink" Target="https://advanced.onlinelibrary.wiley.com/doi/10.1002/adma.202519875?af=R" TargetMode="External"/><Relationship Id="rId1203" Type="http://schemas.openxmlformats.org/officeDocument/2006/relationships/hyperlink" Target="https://doi.org/10.1002/adma.202519875" TargetMode="External"/><Relationship Id="rId1204" Type="http://schemas.openxmlformats.org/officeDocument/2006/relationships/hyperlink" Target="https://advanced.onlinelibrary.wiley.com/doi/10.1002/adma.202512099?af=R" TargetMode="External"/><Relationship Id="rId1205" Type="http://schemas.openxmlformats.org/officeDocument/2006/relationships/hyperlink" Target="https://doi.org/10.1002/adma.202512099" TargetMode="External"/><Relationship Id="rId1206" Type="http://schemas.openxmlformats.org/officeDocument/2006/relationships/hyperlink" Target="https://advanced.onlinelibrary.wiley.com/doi/10.1002/adma.202516632?af=R" TargetMode="External"/><Relationship Id="rId1207" Type="http://schemas.openxmlformats.org/officeDocument/2006/relationships/hyperlink" Target="https://doi.org/10.1002/adma.202516632" TargetMode="External"/><Relationship Id="rId1208" Type="http://schemas.openxmlformats.org/officeDocument/2006/relationships/hyperlink" Target="https://advanced.onlinelibrary.wiley.com/doi/10.1002/adma.202518371?af=R" TargetMode="External"/><Relationship Id="rId1209" Type="http://schemas.openxmlformats.org/officeDocument/2006/relationships/hyperlink" Target="https://doi.org/10.1002/adma.202518371" TargetMode="External"/><Relationship Id="rId1210" Type="http://schemas.openxmlformats.org/officeDocument/2006/relationships/hyperlink" Target="https://advanced.onlinelibrary.wiley.com/doi/10.1002/adma.202519965?af=R" TargetMode="External"/><Relationship Id="rId1211" Type="http://schemas.openxmlformats.org/officeDocument/2006/relationships/hyperlink" Target="https://doi.org/10.1002/adma.202519965" TargetMode="External"/><Relationship Id="rId1212" Type="http://schemas.openxmlformats.org/officeDocument/2006/relationships/hyperlink" Target="https://advanced.onlinelibrary.wiley.com/doi/10.1002/adma.202519198?af=R" TargetMode="External"/><Relationship Id="rId1213" Type="http://schemas.openxmlformats.org/officeDocument/2006/relationships/hyperlink" Target="https://doi.org/10.1002/adma.202519198" TargetMode="External"/><Relationship Id="rId1214" Type="http://schemas.openxmlformats.org/officeDocument/2006/relationships/hyperlink" Target="https://advanced.onlinelibrary.wiley.com/doi/10.1002/adma.202521092?af=R" TargetMode="External"/><Relationship Id="rId1215" Type="http://schemas.openxmlformats.org/officeDocument/2006/relationships/hyperlink" Target="https://doi.org/10.1002/adma.202521092" TargetMode="External"/><Relationship Id="rId1216" Type="http://schemas.openxmlformats.org/officeDocument/2006/relationships/hyperlink" Target="https://onlinelibrary.wiley.com/doi/10.1002/anie.202522076?af=R" TargetMode="External"/><Relationship Id="rId1217" Type="http://schemas.openxmlformats.org/officeDocument/2006/relationships/hyperlink" Target="https://doi.org/10.1002/anie.202522076" TargetMode="External"/><Relationship Id="rId1218" Type="http://schemas.openxmlformats.org/officeDocument/2006/relationships/hyperlink" Target="https://onlinelibrary.wiley.com/doi/10.1002/anie.202523737?af=R" TargetMode="External"/><Relationship Id="rId1219" Type="http://schemas.openxmlformats.org/officeDocument/2006/relationships/hyperlink" Target="https://doi.org/10.1002/anie.202523737" TargetMode="External"/><Relationship Id="rId1220" Type="http://schemas.openxmlformats.org/officeDocument/2006/relationships/hyperlink" Target="http://dx.doi.org/10.1021/acsenergylett.5c03547" TargetMode="External"/><Relationship Id="rId1221" Type="http://schemas.openxmlformats.org/officeDocument/2006/relationships/hyperlink" Target="https://doi.org/10.1021/acsenergylett.5c03547" TargetMode="External"/><Relationship Id="rId1222" Type="http://schemas.openxmlformats.org/officeDocument/2006/relationships/hyperlink" Target="http://dx.doi.org/10.1021/acs.chemrev.5c00454" TargetMode="External"/><Relationship Id="rId1223" Type="http://schemas.openxmlformats.org/officeDocument/2006/relationships/hyperlink" Target="https://doi.org/10.1021/acs.chemrev.5c00454" TargetMode="External"/><Relationship Id="rId1224" Type="http://schemas.openxmlformats.org/officeDocument/2006/relationships/hyperlink" Target="http://dx.doi.org/10.1021/jacs.5c16501" TargetMode="External"/><Relationship Id="rId1225" Type="http://schemas.openxmlformats.org/officeDocument/2006/relationships/hyperlink" Target="https://doi.org/10.1021/jacs.5c16501" TargetMode="External"/><Relationship Id="rId1226" Type="http://schemas.openxmlformats.org/officeDocument/2006/relationships/hyperlink" Target="http://dx.doi.org/10.1021/acsenergylett.5c03380" TargetMode="External"/><Relationship Id="rId1227" Type="http://schemas.openxmlformats.org/officeDocument/2006/relationships/hyperlink" Target="https://doi.org/10.1021/acsenergylett.5c03380" TargetMode="External"/><Relationship Id="rId1228" Type="http://schemas.openxmlformats.org/officeDocument/2006/relationships/hyperlink" Target="http://dx.doi.org/10.1021/jacs.5c10379" TargetMode="External"/><Relationship Id="rId1229" Type="http://schemas.openxmlformats.org/officeDocument/2006/relationships/hyperlink" Target="https://doi.org/10.1021/jacs.5c10379" TargetMode="External"/><Relationship Id="rId1230" Type="http://schemas.openxmlformats.org/officeDocument/2006/relationships/hyperlink" Target="http://dx.doi.org/10.1021/jacs.5c18768" TargetMode="External"/><Relationship Id="rId1231" Type="http://schemas.openxmlformats.org/officeDocument/2006/relationships/hyperlink" Target="https://doi.org/10.1021/jacs.5c18768" TargetMode="External"/><Relationship Id="rId1232" Type="http://schemas.openxmlformats.org/officeDocument/2006/relationships/hyperlink" Target="http://dx.doi.org/10.1021/jacs.5c16299" TargetMode="External"/><Relationship Id="rId1233" Type="http://schemas.openxmlformats.org/officeDocument/2006/relationships/hyperlink" Target="https://doi.org/10.1021/jacs.5c16299" TargetMode="External"/><Relationship Id="rId1234" Type="http://schemas.openxmlformats.org/officeDocument/2006/relationships/hyperlink" Target="http://dx.doi.org/10.1021/jacs.5c16361" TargetMode="External"/><Relationship Id="rId1235" Type="http://schemas.openxmlformats.org/officeDocument/2006/relationships/hyperlink" Target="https://doi.org/10.1021/jacs.5c16361" TargetMode="External"/><Relationship Id="rId1236" Type="http://schemas.openxmlformats.org/officeDocument/2006/relationships/hyperlink" Target="http://dx.doi.org/10.1021/acsenergylett.5c03382" TargetMode="External"/><Relationship Id="rId1237" Type="http://schemas.openxmlformats.org/officeDocument/2006/relationships/hyperlink" Target="https://doi.org/10.1021/acsenergylett.5c03382" TargetMode="External"/><Relationship Id="rId1238" Type="http://schemas.openxmlformats.org/officeDocument/2006/relationships/hyperlink" Target="http://dx.doi.org/10.1021/jacs.5c14652" TargetMode="External"/><Relationship Id="rId1239" Type="http://schemas.openxmlformats.org/officeDocument/2006/relationships/hyperlink" Target="https://doi.org/10.1021/jacs.5c14652" TargetMode="External"/><Relationship Id="rId1240" Type="http://schemas.openxmlformats.org/officeDocument/2006/relationships/hyperlink" Target="http://dx.doi.org/10.1021/jacs.5c19047" TargetMode="External"/><Relationship Id="rId1241" Type="http://schemas.openxmlformats.org/officeDocument/2006/relationships/hyperlink" Target="https://doi.org/10.1021/jacs.5c19047" TargetMode="External"/><Relationship Id="rId1242" Type="http://schemas.openxmlformats.org/officeDocument/2006/relationships/hyperlink" Target="http://dx.doi.org/10.1021/jacs.5c10591" TargetMode="External"/><Relationship Id="rId1243" Type="http://schemas.openxmlformats.org/officeDocument/2006/relationships/hyperlink" Target="https://doi.org/10.1021/jacs.5c10591" TargetMode="External"/><Relationship Id="rId1244" Type="http://schemas.openxmlformats.org/officeDocument/2006/relationships/hyperlink" Target="http://dx.doi.org/10.1021/jacs.5c16009" TargetMode="External"/><Relationship Id="rId1245" Type="http://schemas.openxmlformats.org/officeDocument/2006/relationships/hyperlink" Target="https://doi.org/10.1021/jacs.5c16009" TargetMode="External"/><Relationship Id="rId1246" Type="http://schemas.openxmlformats.org/officeDocument/2006/relationships/hyperlink" Target="http://dx.doi.org/10.1021/jacs.5c19758" TargetMode="External"/><Relationship Id="rId1247" Type="http://schemas.openxmlformats.org/officeDocument/2006/relationships/hyperlink" Target="https://doi.org/10.1021/jacs.5c19758" TargetMode="External"/><Relationship Id="rId1248" Type="http://schemas.openxmlformats.org/officeDocument/2006/relationships/hyperlink" Target="http://dx.doi.org/10.1021/jacs.5c18427" TargetMode="External"/><Relationship Id="rId1249" Type="http://schemas.openxmlformats.org/officeDocument/2006/relationships/hyperlink" Target="https://doi.org/10.1021/jacs.5c18427" TargetMode="External"/><Relationship Id="rId1250" Type="http://schemas.openxmlformats.org/officeDocument/2006/relationships/hyperlink" Target="http://dx.doi.org/10.1021/jacs.5c16824" TargetMode="External"/><Relationship Id="rId1251" Type="http://schemas.openxmlformats.org/officeDocument/2006/relationships/hyperlink" Target="https://doi.org/10.1021/jacs.5c16824" TargetMode="External"/><Relationship Id="rId1252" Type="http://schemas.openxmlformats.org/officeDocument/2006/relationships/hyperlink" Target="https://www.nature.com/articles/s41467-025-67480-3" TargetMode="External"/><Relationship Id="rId1253" Type="http://schemas.openxmlformats.org/officeDocument/2006/relationships/hyperlink" Target="https://www.nature.com/articles/s41467-025-67435-8" TargetMode="External"/><Relationship Id="rId1254" Type="http://schemas.openxmlformats.org/officeDocument/2006/relationships/hyperlink" Target="https://www.nature.com/articles/s41467-025-66377-5" TargetMode="External"/><Relationship Id="rId1255" Type="http://schemas.openxmlformats.org/officeDocument/2006/relationships/hyperlink" Target="https://www.sciencedirect.com/science/article/pii/S0306261925019488?dgcid=rss_sd_all" TargetMode="External"/><Relationship Id="rId1256" Type="http://schemas.openxmlformats.org/officeDocument/2006/relationships/hyperlink" Target="https://www.nature.com/articles/s41467-025-67247-w" TargetMode="External"/><Relationship Id="rId1257" Type="http://schemas.openxmlformats.org/officeDocument/2006/relationships/hyperlink" Target="https://www.sciencedirect.com/science/article/pii/S1369702125005322?dgcid=rss_sd_all" TargetMode="External"/><Relationship Id="rId1258" Type="http://schemas.openxmlformats.org/officeDocument/2006/relationships/hyperlink" Target="https://www.nature.com/articles/s41467-025-64766-4" TargetMode="External"/><Relationship Id="rId1259" Type="http://schemas.openxmlformats.org/officeDocument/2006/relationships/hyperlink" Target="https://www.nature.com/articles/s41467-025-67640-5" TargetMode="External"/><Relationship Id="rId1260" Type="http://schemas.openxmlformats.org/officeDocument/2006/relationships/hyperlink" Target="https://www.sciencedirect.com/science/article/pii/S0306261925019452?dgcid=rss_sd_all" TargetMode="External"/><Relationship Id="rId1261" Type="http://schemas.openxmlformats.org/officeDocument/2006/relationships/hyperlink" Target="https://www.sciencedirect.com/science/article/pii/S0306261925020185?dgcid=rss_sd_all" TargetMode="External"/><Relationship Id="rId1262" Type="http://schemas.openxmlformats.org/officeDocument/2006/relationships/hyperlink" Target="https://www.sciencedirect.com/science/article/pii/S0306261925019993?dgcid=rss_sd_all" TargetMode="External"/><Relationship Id="rId1263" Type="http://schemas.openxmlformats.org/officeDocument/2006/relationships/hyperlink" Target="https://www.nature.com/articles/s41467-025-67678-5" TargetMode="External"/><Relationship Id="rId1264" Type="http://schemas.openxmlformats.org/officeDocument/2006/relationships/hyperlink" Target="https://www.nature.com/articles/s41467-025-67753-x" TargetMode="External"/><Relationship Id="rId1265" Type="http://schemas.openxmlformats.org/officeDocument/2006/relationships/hyperlink" Target="https://www.sciencedirect.com/science/article/pii/S0306261925019385?dgcid=rss_sd_all" TargetMode="External"/><Relationship Id="rId1266" Type="http://schemas.openxmlformats.org/officeDocument/2006/relationships/hyperlink" Target="https://www.sciencedirect.com/science/article/pii/S0306261925019890?dgcid=rss_sd_all" TargetMode="External"/><Relationship Id="rId1267" Type="http://schemas.openxmlformats.org/officeDocument/2006/relationships/hyperlink" Target="https://www.sciencedirect.com/science/article/pii/S0306261925019944?dgcid=rss_sd_all" TargetMode="External"/><Relationship Id="rId1268" Type="http://schemas.openxmlformats.org/officeDocument/2006/relationships/hyperlink" Target="https://onlinelibrary.wiley.com/doi/10.1002/anie.202521361?af=R" TargetMode="External"/><Relationship Id="rId1269" Type="http://schemas.openxmlformats.org/officeDocument/2006/relationships/hyperlink" Target="https://doi.org/10.1002/anie.202521361" TargetMode="External"/><Relationship Id="rId1270" Type="http://schemas.openxmlformats.org/officeDocument/2006/relationships/hyperlink" Target="https://onlinelibrary.wiley.com/doi/10.1002/anie.202523022?af=R" TargetMode="External"/><Relationship Id="rId1271" Type="http://schemas.openxmlformats.org/officeDocument/2006/relationships/hyperlink" Target="https://doi.org/10.1002/anie.202523022" TargetMode="External"/><Relationship Id="rId1272" Type="http://schemas.openxmlformats.org/officeDocument/2006/relationships/hyperlink" Target="https://advanced.onlinelibrary.wiley.com/doi/10.1002/adma.202517683?af=R" TargetMode="External"/><Relationship Id="rId1273" Type="http://schemas.openxmlformats.org/officeDocument/2006/relationships/hyperlink" Target="https://doi.org/10.1002/adma.202517683" TargetMode="External"/><Relationship Id="rId1274" Type="http://schemas.openxmlformats.org/officeDocument/2006/relationships/hyperlink" Target="https://advanced.onlinelibrary.wiley.com/doi/10.1002/aenm.202504796?af=R" TargetMode="External"/><Relationship Id="rId1275" Type="http://schemas.openxmlformats.org/officeDocument/2006/relationships/hyperlink" Target="https://doi.org/10.1002/aenm.202504796" TargetMode="External"/><Relationship Id="rId1276" Type="http://schemas.openxmlformats.org/officeDocument/2006/relationships/hyperlink" Target="https://advanced.onlinelibrary.wiley.com/doi/10.1002/adma.202518940?af=R" TargetMode="External"/><Relationship Id="rId1277" Type="http://schemas.openxmlformats.org/officeDocument/2006/relationships/hyperlink" Target="https://doi.org/10.1002/adma.202518940" TargetMode="External"/><Relationship Id="rId1278" Type="http://schemas.openxmlformats.org/officeDocument/2006/relationships/hyperlink" Target="https://advanced.onlinelibrary.wiley.com/doi/10.1002/adma.202518382?af=R" TargetMode="External"/><Relationship Id="rId1279" Type="http://schemas.openxmlformats.org/officeDocument/2006/relationships/hyperlink" Target="https://doi.org/10.1002/adma.202518382" TargetMode="External"/><Relationship Id="rId1280" Type="http://schemas.openxmlformats.org/officeDocument/2006/relationships/hyperlink" Target="https://onlinelibrary.wiley.com/doi/10.1002/anie.202514105?af=R" TargetMode="External"/><Relationship Id="rId1281" Type="http://schemas.openxmlformats.org/officeDocument/2006/relationships/hyperlink" Target="https://doi.org/10.1002/anie.202514105" TargetMode="External"/><Relationship Id="rId1282" Type="http://schemas.openxmlformats.org/officeDocument/2006/relationships/hyperlink" Target="https://advanced.onlinelibrary.wiley.com/doi/10.1002/adma.202512456?af=R" TargetMode="External"/><Relationship Id="rId1283" Type="http://schemas.openxmlformats.org/officeDocument/2006/relationships/hyperlink" Target="https://doi.org/10.1002/adma.202512456" TargetMode="External"/><Relationship Id="rId1284" Type="http://schemas.openxmlformats.org/officeDocument/2006/relationships/hyperlink" Target="https://onlinelibrary.wiley.com/doi/10.1002/anie.202522512?af=R" TargetMode="External"/><Relationship Id="rId1285" Type="http://schemas.openxmlformats.org/officeDocument/2006/relationships/hyperlink" Target="https://doi.org/10.1002/anie.202522512" TargetMode="External"/><Relationship Id="rId1286" Type="http://schemas.openxmlformats.org/officeDocument/2006/relationships/hyperlink" Target="https://advanced.onlinelibrary.wiley.com/doi/10.1002/adma.202511262?af=R" TargetMode="External"/><Relationship Id="rId1287" Type="http://schemas.openxmlformats.org/officeDocument/2006/relationships/hyperlink" Target="https://doi.org/10.1002/adma.202511262" TargetMode="External"/><Relationship Id="rId1288" Type="http://schemas.openxmlformats.org/officeDocument/2006/relationships/hyperlink" Target="http://dx.doi.org/10.1021/jacs.5c18146" TargetMode="External"/><Relationship Id="rId1289" Type="http://schemas.openxmlformats.org/officeDocument/2006/relationships/hyperlink" Target="https://doi.org/10.1021/jacs.5c18146" TargetMode="External"/><Relationship Id="rId1290" Type="http://schemas.openxmlformats.org/officeDocument/2006/relationships/hyperlink" Target="http://dx.doi.org/10.1021/jacs.5c16333" TargetMode="External"/><Relationship Id="rId1291" Type="http://schemas.openxmlformats.org/officeDocument/2006/relationships/hyperlink" Target="https://doi.org/10.1021/jacs.5c16333" TargetMode="External"/><Relationship Id="rId1292" Type="http://schemas.openxmlformats.org/officeDocument/2006/relationships/hyperlink" Target="http://dx.doi.org/10.1021/jacs.5c16416" TargetMode="External"/><Relationship Id="rId1293" Type="http://schemas.openxmlformats.org/officeDocument/2006/relationships/hyperlink" Target="https://doi.org/10.1021/jacs.5c16416" TargetMode="External"/><Relationship Id="rId1294" Type="http://schemas.openxmlformats.org/officeDocument/2006/relationships/hyperlink" Target="https://www.nature.com/articles/s41467-025-67589-5" TargetMode="External"/><Relationship Id="rId1295" Type="http://schemas.openxmlformats.org/officeDocument/2006/relationships/hyperlink" Target="https://www.nature.com/articles/s41467-025-67645-0" TargetMode="External"/><Relationship Id="rId1296" Type="http://schemas.openxmlformats.org/officeDocument/2006/relationships/hyperlink" Target="https://www.nature.com/articles/s41467-025-67673-w" TargetMode="External"/><Relationship Id="rId1297" Type="http://schemas.openxmlformats.org/officeDocument/2006/relationships/hyperlink" Target="https://www.nature.com/articles/s41467-025-67720-6" TargetMode="External"/><Relationship Id="rId1298" Type="http://schemas.openxmlformats.org/officeDocument/2006/relationships/hyperlink" Target="https://www.sciencedirect.com/science/article/pii/S0301421525005531?dgcid=rss_sd_all" TargetMode="External"/><Relationship Id="rId1299" Type="http://schemas.openxmlformats.org/officeDocument/2006/relationships/hyperlink" Target="https://www.sciencedirect.com/science/article/pii/S0306261925020203?dgcid=rss_sd_all" TargetMode="External"/><Relationship Id="rId1300" Type="http://schemas.openxmlformats.org/officeDocument/2006/relationships/hyperlink" Target="https://www.sciencedirect.com/science/article/pii/S0306261925020240?dgcid=rss_sd_all" TargetMode="External"/><Relationship Id="rId1301" Type="http://schemas.openxmlformats.org/officeDocument/2006/relationships/hyperlink" Target="https://www.sciencedirect.com/science/article/pii/S0306261925020355?dgcid=rss_sd_all" TargetMode="External"/><Relationship Id="rId1302" Type="http://schemas.openxmlformats.org/officeDocument/2006/relationships/hyperlink" Target="https://www.nature.com/articles/s41467-025-67789-z" TargetMode="External"/><Relationship Id="rId1303" Type="http://schemas.openxmlformats.org/officeDocument/2006/relationships/hyperlink" Target="https://www.nature.com/articles/s41467-025-67800-7" TargetMode="External"/><Relationship Id="rId1304" Type="http://schemas.openxmlformats.org/officeDocument/2006/relationships/hyperlink" Target="https://www.nature.com/articles/s41467-025-67843-w" TargetMode="External"/><Relationship Id="rId1305" Type="http://schemas.openxmlformats.org/officeDocument/2006/relationships/hyperlink" Target="https://www.nature.com/articles/s41467-025-67501-1" TargetMode="External"/><Relationship Id="rId1306" Type="http://schemas.openxmlformats.org/officeDocument/2006/relationships/hyperlink" Target="https://www.sciencedirect.com/science/article/pii/S030142152500552X?dgcid=rss_sd_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