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2026-02-06</w:t>
      </w:r>
    </w:p>
    <w:p>
      <w:pPr>
        <w:spacing w:before="160" w:after="40" w:line="240" w:lineRule="auto"/>
      </w:pPr>
      <w:r>
        <w:rPr>
          <w:b/>
        </w:rPr>
        <w:t xml:space="preserve">[1] </w:t>
      </w:r>
      <w:hyperlink r:id="rId9">
        <w:r>
          <w:rPr>
            <w:color w:val="1155CC"/>
            <w:u w:val="single"/>
          </w:rPr>
          <w:t>调整神经免疫系统,以扩大第二次近红外光模拟乳腺癌治疗</w:t>
        </w:r>
      </w:hyperlink>
    </w:p>
    <w:p>
      <w:pPr>
        <w:spacing w:before="0" w:after="80"/>
      </w:pPr>
      <w:r>
        <w:rPr>
          <w:i/>
          <w:sz w:val="20"/>
        </w:rPr>
        <w:t>EN: Demountable quinoidal semiconductor nanobackpacks modulate neuro-immune for amplifying second near-infrared photoimmunotherapy of breast cancer</w:t>
      </w:r>
    </w:p>
    <w:p>
      <w:pPr>
        <w:spacing w:before="0" w:after="120"/>
      </w:pPr>
      <w:r>
        <w:rPr>
          <w:b/>
        </w:rPr>
        <w:t xml:space="preserve">Source: </w:t>
      </w:r>
      <w:r>
        <w:t>ScienceDirect Publication: Materials Today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根据N/P比率控制锂离子电池组的锂电镀机制调查</w:t>
        </w:r>
      </w:hyperlink>
    </w:p>
    <w:p>
      <w:pPr>
        <w:spacing w:before="0" w:after="80"/>
      </w:pPr>
      <w:r>
        <w:rPr>
          <w:i/>
          <w:sz w:val="20"/>
        </w:rPr>
        <w:t>EN: Investigation of lithium plating mechanism based on N/P ratio controlled lithium-ion batteries</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在半-2D混合的千草枯中 室温极地顿凝结</w:t>
        </w:r>
      </w:hyperlink>
    </w:p>
    <w:p>
      <w:pPr>
        <w:spacing w:before="0" w:after="80"/>
      </w:pPr>
      <w:r>
        <w:rPr>
          <w:i/>
          <w:sz w:val="20"/>
        </w:rPr>
        <w:t>EN: Room-temperature polariton condensate in a quasi-2D hybrid perovskite</w:t>
      </w:r>
    </w:p>
    <w:p>
      <w:pPr>
        <w:spacing w:before="0" w:after="120"/>
      </w:pPr>
      <w:r>
        <w:rPr>
          <w:b/>
        </w:rPr>
        <w:t xml:space="preserve">Source: </w:t>
      </w:r>
      <w:r>
        <w:t>Nature Communications</w:t>
      </w:r>
      <w:r>
        <w:t xml:space="preserve">    </w:t>
      </w:r>
      <w:r>
        <w:rPr>
          <w:b/>
        </w:rPr>
        <w:t xml:space="preserve">Pub date: </w:t>
      </w:r>
      <w:r>
        <w:t>2026-01-31 00:00:00+00:00</w:t>
      </w:r>
    </w:p>
    <w:p>
      <w:pPr>
        <w:spacing w:before="0" w:after="120"/>
      </w:pPr>
      <w:r>
        <w:rPr>
          <w:b/>
        </w:rPr>
        <w:t xml:space="preserve">Notes: </w:t>
      </w:r>
      <w:r>
        <w:t>abstract_source=nature_html</w:t>
      </w:r>
    </w:p>
    <w:p>
      <w:pPr>
        <w:spacing w:before="0" w:after="80" w:lineRule="auto" w:line="276"/>
      </w:pPr>
      <w:r>
        <w:rPr>
          <w:b/>
        </w:rPr>
        <w:t xml:space="preserve">摘要（ZH）: </w:t>
      </w:r>
      <w:r>
        <w:t>准二二二D卤化百草枯是化学合成的量子井堆的成份,具有巨大的刺激性振动剂强力、金枪鱼可排放光谱和非常大的异质装配能量。虽然这些特性使准二二D卤化百草枯成为在准二二D千伏丁酯中进行室温极地对极地对地热、bosonic condenation和极地基拉拉的有希望的平台,但迄今在环境条件下仍然难以找到。在这里,我们展示了在开放的光学微型中,半二D-陆基-Popper iodide perovskite(BA2(MA)2Pb3I10 的机械外层晶体中,室温性腔凝聚变异异质异聚变异质凝聚变异异聚度,探测出强烈的非线性反应。干涉测量测量测量结果证实了光谱。</w:t>
      </w:r>
    </w:p>
    <w:p>
      <w:pPr>
        <w:spacing w:before="0" w:after="200" w:lineRule="auto" w:line="276"/>
      </w:pPr>
      <w:r>
        <w:rPr>
          <w:b/>
        </w:rPr>
        <w:t xml:space="preserve">Abstract (EN): </w:t>
      </w:r>
      <w:r>
        <w:t>Quasi-2D halide perovskites are chemically synthesized realizations of quantum well stacks with giant exciton oscillator strengths, tunable emission spectra, and very large exciton binding energies. While these features render quasi-2D halide perovskites a promising platform for room-temperature polaritonics, bosonic condensation and polariton lasing in quasi-2D perovskites have so far remained elusive at ambient conditions. Here, we demonstrate room-temperature cavity exciton-polariton condensation in mechanically exfoliated crystals of the quasi-2D Ruddlesden-Popper iodide perovskite (BA)2(MA)2Pb3I10 in an open optical microcavity. We observe a polariton condensation threshold of 0.41 µJ cm−2 per pulse and detect a strong non-linear response. Interferometric measurements confirm the spontaneous emergence of spatial coherence across the condensate with an associated first-order autocorrelation reaching 0.6 with 1 ps coherence time and an effective de Broglie wavelength of 13 µm. Our results lay the foundation for a new class of room-temperature polariton lasers based on quasi-2D halide perovskites with great potential for hetero-integration with other van-der-Waals materials and combination with photonic crystals or waveguides.</w:t>
      </w:r>
    </w:p>
    <w:p>
      <w:pPr>
        <w:spacing w:before="120" w:after="120"/>
      </w:pPr>
      <w:r>
        <w:rPr>
          <w:sz w:val="18"/>
        </w:rPr>
        <w:t>——————————————————————————————————————————————————————————————————————</w:t>
      </w:r>
    </w:p>
    <w:p>
      <w:pPr>
        <w:spacing w:before="160" w:after="40" w:line="240" w:lineRule="auto"/>
      </w:pPr>
      <w:r>
        <w:rPr>
          <w:b/>
        </w:rPr>
        <w:t xml:space="preserve">[4] </w:t>
      </w:r>
      <w:hyperlink r:id="rId12">
        <w:r>
          <w:rPr>
            <w:color w:val="1155CC"/>
            <w:u w:val="single"/>
          </w:rPr>
          <w:t>具有厌异连续体的内在神经元表层的垂直手动排放</w:t>
        </w:r>
      </w:hyperlink>
    </w:p>
    <w:p>
      <w:pPr>
        <w:spacing w:before="0" w:after="80"/>
      </w:pPr>
      <w:r>
        <w:rPr>
          <w:i/>
          <w:sz w:val="20"/>
        </w:rPr>
        <w:t>EN: Vertical chiral emission from an intrinsically achiral metasurface enabled with anisotropic continuum</w:t>
      </w:r>
    </w:p>
    <w:p>
      <w:pPr>
        <w:spacing w:before="0" w:after="120"/>
      </w:pPr>
      <w:r>
        <w:rPr>
          <w:b/>
        </w:rPr>
        <w:t xml:space="preserve">Source: </w:t>
      </w:r>
      <w:r>
        <w:t>Nature Communications</w:t>
      </w:r>
      <w:r>
        <w:t xml:space="preserve">    </w:t>
      </w:r>
      <w:r>
        <w:rPr>
          <w:b/>
        </w:rPr>
        <w:t xml:space="preserve">Pub date: </w:t>
      </w:r>
      <w:r>
        <w:t>2026-01-31 00:00:00+00:00</w:t>
      </w:r>
    </w:p>
    <w:p>
      <w:pPr>
        <w:spacing w:before="0" w:after="120"/>
      </w:pPr>
      <w:r>
        <w:rPr>
          <w:b/>
        </w:rPr>
        <w:t xml:space="preserve">Notes: </w:t>
      </w:r>
      <w:r>
        <w:t>abstract_source=nature_html</w:t>
      </w:r>
    </w:p>
    <w:p>
      <w:pPr>
        <w:spacing w:before="0" w:after="80" w:lineRule="auto" w:line="276"/>
      </w:pPr>
      <w:r>
        <w:rPr>
          <w:b/>
        </w:rPr>
        <w:t xml:space="preserve">摘要（ZH）: </w:t>
      </w:r>
      <w:r>
        <w:t>操纵排放的两极分化对于极化的荧光和悬浮、热辐射控制、立体化学和脊柱体等先进应用至关重要。现有的产生循环两极化排放的方法主要依赖真正有手性的纳米结构,据认为,四点的远场两极化需要飞机外对称分解。 这就提出了一个问题:一个内在的、能保护飞机外对称性产生的对称性排放的神经元表层?在这里,我们引入了厌食连续体的概念,被定义为一个连续状态,对原形两极事件表现出不同的反应,作为本质上的非立体元表层的新自由度。在这种元表层中,出手的导排放来自外形表层。</w:t>
      </w:r>
    </w:p>
    <w:p>
      <w:pPr>
        <w:spacing w:before="0" w:after="200" w:lineRule="auto" w:line="276"/>
      </w:pPr>
      <w:r>
        <w:rPr>
          <w:b/>
        </w:rPr>
        <w:t xml:space="preserve">Abstract (EN): </w:t>
      </w:r>
      <w:r>
        <w:t>Manipulating emission polarization is crucial for advanced applications such as polarized fluorescence and lasing, thermal radiation control, stereochemistry and spintronics. Existing approaches for generating circularly polarized emission primarily rely on nanostructures with true chirality, where the far-field polarization at the Γ point is believed to require out-of-plane symmetry breaking. This raises a question: can an intrinsically achiral metasurface that preserves out-of-plane symmetry generate chiral emission? Here, we introduce the concept of anisotropic continuum, defined as a continuum state exhibiting distinct responses for orthogonal polarizations of incidence, as a new degree of freedom for intrinsically achiral metasurfaces. In such metasurfaces, chiral emission arises from manipulating the anisotropic continuum together with the metasurface’s in-plane perturbations. Degrees of circular polarization of 0.83 for upward emission and −0.9 for downward emission are achieved experimentally by integrating the fabricated silicon metasurface with fluorescent organic dyes. Our findings not only address a long-standing gap in the understanding of structural chirality, but also open new opportunities for high-performance applications in polarized fluorescence and thermal emission.</w:t>
      </w:r>
    </w:p>
    <w:p>
      <w:pPr>
        <w:spacing w:before="120" w:after="120"/>
      </w:pPr>
      <w:r>
        <w:rPr>
          <w:sz w:val="18"/>
        </w:rPr>
        <w:t>——————————————————————————————————————————————————————————————————————</w:t>
      </w:r>
    </w:p>
    <w:p>
      <w:pPr>
        <w:spacing w:before="160" w:after="40" w:line="240" w:lineRule="auto"/>
      </w:pPr>
      <w:r>
        <w:rPr>
          <w:b/>
        </w:rPr>
        <w:t xml:space="preserve">[5] </w:t>
      </w:r>
      <w:hyperlink r:id="rId13">
        <w:r>
          <w:rPr>
            <w:color w:val="1155CC"/>
            <w:u w:val="single"/>
          </w:rPr>
          <w:t>协同操作和维护,使沿海风能的利用机会管理具有生命周期意识的离岸风能</w:t>
        </w:r>
      </w:hyperlink>
    </w:p>
    <w:p>
      <w:pPr>
        <w:spacing w:before="0" w:after="80"/>
      </w:pPr>
      <w:r>
        <w:rPr>
          <w:i/>
          <w:sz w:val="20"/>
        </w:rPr>
        <w:t>EN: Synergistic operation and maintenance enabling lifecycle-aware opportunistic management of offshore wind energy</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
        <w:r>
          <w:rPr>
            <w:color w:val="1155CC"/>
            <w:u w:val="single"/>
          </w:rPr>
          <w:t>利用循环的生殖器细胞在异性同位素骨化病人体内循环进行细胞异常转归的早期发现和修复</w:t>
        </w:r>
      </w:hyperlink>
    </w:p>
    <w:p>
      <w:pPr>
        <w:spacing w:before="0" w:after="80"/>
      </w:pPr>
      <w:r>
        <w:rPr>
          <w:i/>
          <w:sz w:val="20"/>
        </w:rPr>
        <w:t>EN: Early detection of aberrant cell fate and repair using circulating progenitor cells in patients with heterotopic ossification</w:t>
      </w:r>
    </w:p>
    <w:p>
      <w:pPr>
        <w:spacing w:before="0" w:after="120"/>
      </w:pPr>
      <w:r>
        <w:rPr>
          <w:b/>
        </w:rPr>
        <w:t xml:space="preserve">Source: </w:t>
      </w:r>
      <w:r>
        <w:t>Nature Communications</w:t>
      </w:r>
      <w:r>
        <w:t xml:space="preserve">    </w:t>
      </w:r>
      <w:r>
        <w:rPr>
          <w:b/>
        </w:rPr>
        <w:t xml:space="preserve">Pub date: </w:t>
      </w:r>
      <w:r>
        <w:t>2026-01-31 00:00:00+00:00</w:t>
      </w:r>
    </w:p>
    <w:p>
      <w:pPr>
        <w:spacing w:before="0" w:after="120"/>
      </w:pPr>
      <w:r>
        <w:rPr>
          <w:b/>
        </w:rPr>
        <w:t xml:space="preserve">Notes: </w:t>
      </w:r>
      <w:r>
        <w:t>abstract_source=nature_html</w:t>
      </w:r>
    </w:p>
    <w:p>
      <w:pPr>
        <w:spacing w:before="0" w:after="80" w:lineRule="auto" w:line="276"/>
      </w:pPr>
      <w:r>
        <w:rPr>
          <w:b/>
        </w:rPr>
        <w:t xml:space="preserve">摘要（ZH）: </w:t>
      </w:r>
      <w:r>
        <w:t>目前的诊断方法在严重烧伤、创伤和联合替换手术后才检测HO,这限制了早期干预的机会。在这项研究中,我们表明,循环的中转子细胞(cMPCs)是使用正在更换臀部的病人的微氟化二氟化异丙基芯片和创伤性HO的老鼠模型分离的,在严重烧伤、创伤和联合替换手术之后,是一种衰弱的并发症,在严重烧伤、创伤和联合替换手术之后即出现。目前的诊断方法只有在大幅度进展后才能检测HO,这限制了早期干预的机会。我们在这项研究中表明,循环的中转子细胞(cMPCs)是使用正在更换臀部的病人的微氟化二氟化异丙酯和创伤性HO模型隔离的,早在放射检测到6小时后41天就显示出HO的基因表现。CMPCs的RNA测序使基于液体生物-心理HO风险预测模型得以发展,达到90%的敏感度和100%的人类对象特性。此外,检测到的模型还检测到了90%。</w:t>
      </w:r>
    </w:p>
    <w:p>
      <w:pPr>
        <w:spacing w:before="0" w:after="200" w:lineRule="auto" w:line="276"/>
      </w:pPr>
      <w:r>
        <w:rPr>
          <w:b/>
        </w:rPr>
        <w:t xml:space="preserve">Abstract (EN): </w:t>
      </w:r>
      <w:r>
        <w:t>Heterotopic ossification (HO), the abnormal formation of bone in soft tissues, is a debilitating complication that occurs after severe burns, trauma, and joint replacement surgery. Current diagnostic methods detect HO only after substantial progression, limiting opportunities for early intervention. In this study, we show that circulating mesenchymal progenitor cells (cMPCs), isolated using a microfluidic iChip from patients undergoing hip replacement and a mouse model of traumatic HO, exhibit HO-associated gene expression as early as 6 hours post-injury—41 days before radiographic detection. RNA sequencing of cMPCs enabled development of a liquid biopsy-based HO risk prediction model, achieving up to 90% sensitivity and 100% specificity in human subjects. Furthermore, the model detected significant reductions in HO risk following prophylactic treatment, correlating with decreased HO volume. These findings establish a noninvasive platform for early detection and monitoring of HO and suggest broader utility for diseases involving aberrant mesenchymal cell fate. This approach enables high-throughput screening of at-risk patients and real-time assessment of therapeutic efficacy.</w:t>
      </w:r>
    </w:p>
    <w:p>
      <w:pPr>
        <w:spacing w:before="120" w:after="120"/>
      </w:pPr>
      <w:r>
        <w:rPr>
          <w:sz w:val="18"/>
        </w:rPr>
        <w:t>——————————————————————————————————————————————————————————————————————</w:t>
      </w:r>
    </w:p>
    <w:p>
      <w:pPr>
        <w:spacing w:before="160" w:after="40" w:line="240" w:lineRule="auto"/>
      </w:pPr>
      <w:r>
        <w:rPr>
          <w:b/>
        </w:rPr>
        <w:t xml:space="preserve">[7] </w:t>
      </w:r>
      <w:hyperlink r:id="rId15">
        <w:r>
          <w:rPr>
            <w:color w:val="1155CC"/>
            <w:u w:val="single"/>
          </w:rPr>
          <w:t>通过混合氢溶液,使硬到缓解部门去碳化途径</w:t>
        </w:r>
      </w:hyperlink>
    </w:p>
    <w:p>
      <w:pPr>
        <w:spacing w:before="0" w:after="80"/>
      </w:pPr>
      <w:r>
        <w:rPr>
          <w:i/>
          <w:sz w:val="20"/>
        </w:rPr>
        <w:t>EN: Decarbonization pathways of Hard-to-Abate sectors through hydrogen blending solutions</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
        <w:r>
          <w:rPr>
            <w:color w:val="1155CC"/>
            <w:u w:val="single"/>
          </w:rPr>
          <w:t>风力农场电力优化的Cyclic yaw控制:斯特劳哈尔号的作用、农场配置和动荡强度</w:t>
        </w:r>
      </w:hyperlink>
    </w:p>
    <w:p>
      <w:pPr>
        <w:spacing w:before="0" w:after="80"/>
      </w:pPr>
      <w:r>
        <w:rPr>
          <w:i/>
          <w:sz w:val="20"/>
        </w:rPr>
        <w:t>EN: Cyclic yaw control for wind farm power optimization: The role of Strouhal number, farm configuration, and turbulence intensity</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
        <w:r>
          <w:rPr>
            <w:color w:val="1155CC"/>
            <w:u w:val="single"/>
          </w:rPr>
          <w:t>以造票人为基础的能源社区动态适应模型预测控制模型预测控制</w:t>
        </w:r>
      </w:hyperlink>
    </w:p>
    <w:p>
      <w:pPr>
        <w:spacing w:before="0" w:after="80"/>
      </w:pPr>
      <w:r>
        <w:rPr>
          <w:i/>
          <w:sz w:val="20"/>
        </w:rPr>
        <w:t>EN: Dynamic adaptive model predictive control for prosumers-based energy communities</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8">
        <w:r>
          <w:rPr>
            <w:color w:val="1155CC"/>
            <w:u w:val="single"/>
          </w:rPr>
          <w:t>促进在100%可再生的欧洲扩大传播的激励合作计划</w:t>
        </w:r>
      </w:hyperlink>
    </w:p>
    <w:p>
      <w:pPr>
        <w:spacing w:before="0" w:after="80"/>
      </w:pPr>
      <w:r>
        <w:rPr>
          <w:i/>
          <w:sz w:val="20"/>
        </w:rPr>
        <w:t>EN: An incentivized cooperative scheme for transmission expansion in a 100% renewable Europe</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9">
        <w:r>
          <w:rPr>
            <w:color w:val="1155CC"/>
            <w:u w:val="single"/>
          </w:rPr>
          <w:t>通过现场和动态交流战略,建立等级生物制药系统,使多成分协同协同固定</w:t>
        </w:r>
      </w:hyperlink>
    </w:p>
    <w:p>
      <w:pPr>
        <w:spacing w:before="0" w:after="80"/>
      </w:pPr>
      <w:r>
        <w:rPr>
          <w:i/>
          <w:sz w:val="20"/>
        </w:rPr>
        <w:t>EN: Multicomponent synergistic immobilization via in-situ and dynamic exchange strategies for constructing hierarchical biopharmaceuticals</w:t>
      </w:r>
    </w:p>
    <w:p>
      <w:pPr>
        <w:spacing w:before="0" w:after="120"/>
      </w:pPr>
      <w:r>
        <w:rPr>
          <w:b/>
        </w:rPr>
        <w:t xml:space="preserve">Source: </w:t>
      </w:r>
      <w:r>
        <w:t>Nature Communications</w:t>
      </w:r>
      <w:r>
        <w:t xml:space="preserve">    </w:t>
      </w:r>
      <w:r>
        <w:rPr>
          <w:b/>
        </w:rPr>
        <w:t xml:space="preserve">Pub date: </w:t>
      </w:r>
      <w:r>
        <w:t>2026-01-31 00:00:00+00:00</w:t>
      </w:r>
    </w:p>
    <w:p>
      <w:pPr>
        <w:spacing w:before="0" w:after="120"/>
      </w:pPr>
      <w:r>
        <w:rPr>
          <w:b/>
        </w:rPr>
        <w:t xml:space="preserve">Notes: </w:t>
      </w:r>
      <w:r>
        <w:t>abstract_source=nature_html</w:t>
      </w:r>
    </w:p>
    <w:p>
      <w:pPr>
        <w:spacing w:before="0" w:after="80" w:lineRule="auto" w:line="276"/>
      </w:pPr>
      <w:r>
        <w:rPr>
          <w:b/>
        </w:rPr>
        <w:t xml:space="preserve">摘要（ZH）: </w:t>
      </w:r>
      <w:r>
        <w:t>事实证明,多成分生物微生物分子的等级固定化是建设先进生物制药的有利协议,但仍然面临着艰巨的挑战。 由此,我们创新了一种多成分协同固定化方法,将现场方法与结构转化促进的动态交换方法相结合,在一个灵活的雌性激素框架(ZPF)平台中,以构建多成分生物制药。深入的机制调查显示,蛋白质表面的特殊功能组(例如,碳文基、硫氢基、蛋白质)可显著促进ZPF的动态结构转型,并允许通过动态交换方法在ZPF晶体表面有效固定蛋白。</w:t>
      </w:r>
    </w:p>
    <w:p>
      <w:pPr>
        <w:spacing w:before="0" w:after="200" w:lineRule="auto" w:line="276"/>
      </w:pPr>
      <w:r>
        <w:rPr>
          <w:b/>
        </w:rPr>
        <w:t xml:space="preserve">Abstract (EN): </w:t>
      </w:r>
      <w:r>
        <w:t>Hierarchical immobilization of multicomponent biomacromolecules has been demonstrated to be a favorable protocol for constructing advanced biopharmaceuticals, but still with formidable challenges. Herein, we innovate a multicomponent synergistic immobilization approach combining an in-situ method with a structural-transformation-promoted dynamic exchange method in a flexible zeolitic pyrimidine framework (ZPF) platform to construct multicomponent biopharmaceuticals. In-depth mechanism investigation reveals that special functional groups (e.g., carboxyl, sulfhydryl, imidazolyl) on protein surface can significantly promote the dynamic structural transformation of ZPF and allow for the efficient immobilization of proteins on the surface of ZPF crystals via dynamic exchange approach. By combining with the in-situ method, which can immobilize biomacromolecules in the inner part of ZPF crystals, multicomponent biomacromolecules can be regionally localized within ZPF crystals. This controlled spatial preparation provides substantial advantages over conventional core-shell architectures for cascading enzyme immobilization and enables the development of advanced anticancer agents demonstrating enhanced therapeutic efficacy for female Balb/c nu mice. Moreover, this platform can also generate highly efficient hierarchical antibacterial formulations to significantly enhance the wound-healing process of male Sprague-Dawley (SD) rats. This study provides a revolution to immobilize multicomponent biomacromolecules and represents an innovative and effective platform of biopharmaceuticals with immense potential for anticancer and antibacterial formulations.</w:t>
      </w:r>
    </w:p>
    <w:p>
      <w:pPr>
        <w:spacing w:before="120" w:after="120"/>
      </w:pPr>
      <w:r>
        <w:rPr>
          <w:sz w:val="18"/>
        </w:rPr>
        <w:t>——————————————————————————————————————————————————————————————————————</w:t>
      </w:r>
    </w:p>
    <w:p>
      <w:pPr>
        <w:spacing w:before="160" w:after="40" w:line="240" w:lineRule="auto"/>
      </w:pPr>
      <w:r>
        <w:rPr>
          <w:b/>
        </w:rPr>
        <w:t xml:space="preserve">[12] </w:t>
      </w:r>
      <w:hyperlink r:id="rId20">
        <w:r>
          <w:rPr>
            <w:color w:val="1155CC"/>
            <w:u w:val="single"/>
          </w:rPr>
          <w:t>向基于生物的塑料包装的过渡暴露了复杂的气候-生物多样性的权衡取舍。</w:t>
        </w:r>
      </w:hyperlink>
    </w:p>
    <w:p>
      <w:pPr>
        <w:spacing w:before="0" w:after="80"/>
      </w:pPr>
      <w:r>
        <w:rPr>
          <w:i/>
          <w:sz w:val="20"/>
        </w:rPr>
        <w:t>EN: Transition to bio-based plastic packaging reveals complex climate–biodiversity trade-offs</w:t>
      </w:r>
    </w:p>
    <w:p>
      <w:pPr>
        <w:spacing w:before="0" w:after="120"/>
      </w:pPr>
      <w:r>
        <w:rPr>
          <w:b/>
        </w:rPr>
        <w:t xml:space="preserve">Source: </w:t>
      </w:r>
      <w:r>
        <w:t>Nature Communications</w:t>
      </w:r>
      <w:r>
        <w:t xml:space="preserve">    </w:t>
      </w:r>
      <w:r>
        <w:rPr>
          <w:b/>
        </w:rPr>
        <w:t xml:space="preserve">Pub date: </w:t>
      </w:r>
      <w:r>
        <w:t>2026-01-31 00:00:00+00:00</w:t>
      </w:r>
    </w:p>
    <w:p>
      <w:pPr>
        <w:spacing w:before="0" w:after="120"/>
      </w:pPr>
      <w:r>
        <w:rPr>
          <w:b/>
        </w:rPr>
        <w:t xml:space="preserve">Notes: </w:t>
      </w:r>
      <w:r>
        <w:t>abstract_source=nature_html</w:t>
      </w:r>
    </w:p>
    <w:p>
      <w:pPr>
        <w:spacing w:before="0" w:after="80" w:lineRule="auto" w:line="276"/>
      </w:pPr>
      <w:r>
        <w:rPr>
          <w:b/>
        </w:rPr>
        <w:t xml:space="preserve">摘要（ZH）: </w:t>
      </w:r>
      <w:r>
        <w:t>塑料是造成全球温室气体排放和生物多样性丧失的一个主要因素,包装约占欧洲塑料生产量的40%,以生物为基础的塑料往往作为一种气候友好型替代物加以推广,但其更广泛的环境影响仍然不明确。在这里,我们对化石和生物为基础的塑料包装物进行统一的生命周期评估,将生命末期归宿和塑料渗漏结合起来。我们发现,虽然以生物为基础的塑料减少温室气体排放,但增加生态系统的损害,主要是由土地利用驱动的。在产品一级,结果对原料来源和废物管理十分敏感。如果管理不当,环境上持久性的以生物为基础的塑料对生态系统的损害有重大贡献。</w:t>
      </w:r>
    </w:p>
    <w:p>
      <w:pPr>
        <w:spacing w:before="0" w:after="200" w:lineRule="auto" w:line="276"/>
      </w:pPr>
      <w:r>
        <w:rPr>
          <w:b/>
        </w:rPr>
        <w:t xml:space="preserve">Abstract (EN): </w:t>
      </w:r>
      <w:r>
        <w:t>Plastics are a major contributor to global greenhouse gas emissions and biodiversity loss, with packaging accounting for around 40% of European plastic production. Bio-based plastics are often promoted as a climate-friendly alternative, yet their broader environmental implications remain unclear. Here, we conduct a harmonized life cycle assessment of fossil- and bio-based plastic packaging, integrating end-of-life fate and plastic leakage. We find that while bio-based plastics reduce greenhouse gas emissions, they increase ecosystem damage, primarily driven by land use. At the product level, outcomes are sensitive to feedstock origin and waste management. When mismanaged, environmentally persistent bio-based plastics contribute substantially to ecosystem damage. Scaling scenarios for Europe show that even complete substitution with bio-based plastics cannot offset the environmental burden of continued demand growth. Only strong demand-side measures, particularly demand reduction and improved circularity, can mitigate trade-offs across climate change and biodiversity, calling for a shift from material substitution to systemic interventions in production and consumption.</w:t>
      </w:r>
    </w:p>
    <w:p>
      <w:pPr>
        <w:spacing w:before="120" w:after="120"/>
      </w:pPr>
      <w:r>
        <w:rPr>
          <w:sz w:val="18"/>
        </w:rPr>
        <w:t>——————————————————————————————————————————————————————————————————————</w:t>
      </w:r>
    </w:p>
    <w:p>
      <w:pPr>
        <w:spacing w:before="160" w:after="40" w:line="240" w:lineRule="auto"/>
      </w:pPr>
      <w:r>
        <w:rPr>
          <w:b/>
        </w:rPr>
        <w:t xml:space="preserve">[13] </w:t>
      </w:r>
      <w:hyperlink r:id="rId21">
        <w:r>
          <w:rPr>
            <w:color w:val="1155CC"/>
            <w:u w:val="single"/>
          </w:rPr>
          <w:t>采用混合数据模型驱动方法,对各种分布式分布式能源资源进行时间分离的电力灵活度综合组合</w:t>
        </w:r>
      </w:hyperlink>
    </w:p>
    <w:p>
      <w:pPr>
        <w:spacing w:before="0" w:after="80"/>
      </w:pPr>
      <w:r>
        <w:rPr>
          <w:i/>
          <w:sz w:val="20"/>
        </w:rPr>
        <w:t>EN: A hybrid data-model driven approach for time-decoupled power flexibility aggregation of heterogeneous distributed energy resources</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2">
        <w:r>
          <w:rPr>
            <w:color w:val="1155CC"/>
            <w:u w:val="single"/>
          </w:rPr>
          <w:t>在分层选举YCl中在Fermi一级实验实现dice-latice平板带</w:t>
        </w:r>
      </w:hyperlink>
    </w:p>
    <w:p>
      <w:pPr>
        <w:spacing w:before="0" w:after="80"/>
      </w:pPr>
      <w:r>
        <w:rPr>
          <w:i/>
          <w:sz w:val="20"/>
        </w:rPr>
        <w:t>EN: Experimental realization of dice-lattice flat band at the Fermi level in layered electride YCl</w:t>
      </w:r>
    </w:p>
    <w:p>
      <w:pPr>
        <w:spacing w:before="0" w:after="120"/>
      </w:pPr>
      <w:r>
        <w:rPr>
          <w:b/>
        </w:rPr>
        <w:t xml:space="preserve">Source: </w:t>
      </w:r>
      <w:r>
        <w:t>Nature Communications</w:t>
      </w:r>
      <w:r>
        <w:t xml:space="preserve">    </w:t>
      </w:r>
      <w:r>
        <w:rPr>
          <w:b/>
        </w:rPr>
        <w:t xml:space="preserve">Pub date: </w:t>
      </w:r>
      <w:r>
        <w:t>2026-01-31 00:00:00+00:00</w:t>
      </w:r>
    </w:p>
    <w:p>
      <w:pPr>
        <w:spacing w:before="0" w:after="120"/>
      </w:pPr>
      <w:r>
        <w:rPr>
          <w:b/>
        </w:rPr>
        <w:t xml:space="preserve">Notes: </w:t>
      </w:r>
      <w:r>
        <w:t>abstract_source=nature_html</w:t>
      </w:r>
    </w:p>
    <w:p>
      <w:pPr>
        <w:spacing w:before="0" w:after="80" w:lineRule="auto" w:line="276"/>
      </w:pPr>
      <w:r>
        <w:rPr>
          <w:b/>
        </w:rPr>
        <w:t xml:space="preserve">摘要（ZH）: </w:t>
      </w:r>
      <w:r>
        <w:t>平平电子波段, 电子在电动能量上压过电子的相互作用, 有希望获得异国相关物理学。  dice lattice 长期以来一直被理论化成一组带状带状带状, 具有有趣的波段地形学。 然而, 至今尚未发现任何材料可以容纳 dice lattice 的典型平板带状带状。 这里, 使用角溶解光离光分光谱( ARPES), 我们发现在范德华尔斯( VdW) 选区的EF 中, 发现一个 dice- latice 平板带 [ YCl] 2+: 2 e- 。 在这个系统中, Y deconfine 的超值电子来自 cation 框架, 以形成构成 dice latice 的双组。 我们的ARPES 测量结果明确确定了在 YCl 的 dice-latice 频带, 包括一个几乎不分散的波段 。</w:t>
      </w:r>
    </w:p>
    <w:p>
      <w:pPr>
        <w:spacing w:before="0" w:after="200" w:lineRule="auto" w:line="276"/>
      </w:pPr>
      <w:r>
        <w:rPr>
          <w:b/>
        </w:rPr>
        <w:t xml:space="preserve">Abstract (EN): </w:t>
      </w:r>
      <w:r>
        <w:t>Flat electronic bands, where interactions among electrons overwhelm their kinetic energies, hold the promise for exotic correlation physics. The dice lattice has long been theorized as a host of flat bands with intriguing band topology. However, to date, no material has ever been found to host the characteristic flat bands of a dice lattice. Here, using angle-resolved photoemission spectroscopy (ARPES), we discover a dice-lattice flat band at EF in the van der Waals (vdW) electride [YCl]2+: 2e-. In this system, excess valence electrons from Y deconfine from the cation framework to form an interstitial anionic electron lattice that constitutes the dice lattice. Our ARPES measurements unambiguously identify two sets of dice-lattice bands in YCl, including a nearly dispersionless band at the Fermi level. The near-EF electronic structure observed in ARPES, which consists of the flat bands and other dispersive band features, find excellent agreement with first-principles calculations and is well captured by a simple dice-lattice model. Our findings thus end the long quest of a real dice flat band material and establish vdW electride YCl as a prototype of dice metals. Our results further demonstrate the anionic electron lattice as a novel scheme for realizing lattice geometries and electronic structures rare to find in conventional crystalline systems.</w:t>
      </w:r>
    </w:p>
    <w:p>
      <w:pPr>
        <w:spacing w:before="120" w:after="120"/>
      </w:pPr>
      <w:r>
        <w:rPr>
          <w:sz w:val="18"/>
        </w:rPr>
        <w:t>——————————————————————————————————————————————————————————————————————</w:t>
      </w:r>
    </w:p>
    <w:p>
      <w:pPr>
        <w:spacing w:before="160" w:after="40" w:line="240" w:lineRule="auto"/>
      </w:pPr>
      <w:r>
        <w:rPr>
          <w:b/>
        </w:rPr>
        <w:t xml:space="preserve">[15] </w:t>
      </w:r>
      <w:hyperlink r:id="rId23">
        <w:r>
          <w:rPr>
            <w:color w:val="1155CC"/>
            <w:u w:val="single"/>
          </w:rPr>
          <w:t>重新将核受体用于反应灵敏的液态凝聚液凝聚器形成和基因管制</w:t>
        </w:r>
      </w:hyperlink>
    </w:p>
    <w:p>
      <w:pPr>
        <w:spacing w:before="0" w:after="80"/>
      </w:pPr>
      <w:r>
        <w:rPr>
          <w:i/>
          <w:sz w:val="20"/>
        </w:rPr>
        <w:t>EN: Repurposing nuclear receptors for ligand-responsive liquid condensate formation and gene regulation</w:t>
      </w:r>
    </w:p>
    <w:p>
      <w:pPr>
        <w:spacing w:before="0" w:after="120"/>
      </w:pPr>
      <w:r>
        <w:rPr>
          <w:b/>
        </w:rPr>
        <w:t xml:space="preserve">Source: </w:t>
      </w:r>
      <w:r>
        <w:t>Nature Communications</w:t>
      </w:r>
      <w:r>
        <w:t xml:space="preserve">    </w:t>
      </w:r>
      <w:r>
        <w:rPr>
          <w:b/>
        </w:rPr>
        <w:t xml:space="preserve">Pub date: </w:t>
      </w:r>
      <w:r>
        <w:t>2026-01-31 00:00:00+00:00</w:t>
      </w:r>
    </w:p>
    <w:p>
      <w:pPr>
        <w:spacing w:before="0" w:after="120"/>
      </w:pPr>
      <w:r>
        <w:rPr>
          <w:b/>
        </w:rPr>
        <w:t xml:space="preserve">Notes: </w:t>
      </w:r>
      <w:r>
        <w:t>abstract_source=nature_html</w:t>
      </w:r>
    </w:p>
    <w:p>
      <w:pPr>
        <w:spacing w:before="0" w:after="80" w:lineRule="auto" w:line="276"/>
      </w:pPr>
      <w:r>
        <w:rPr>
          <w:b/>
        </w:rPr>
        <w:t xml:space="preserve">摘要（ZH）: </w:t>
      </w:r>
      <w:r>
        <w:t>细胞通过蛋白质互动网络调节过程。大多数化学诱发二极化(CID)系统对外生分子作出反应,限制了与内生信号的融合。在这里,我们重新使用核受体(NR)有约束性域(LBDs)和共引爆器来开发荷尔蒙或临床核准的对药物有反应的CIDs。此外,我们利用TRβ、VDR、RARγ、ERβ和GR2的LBDs,用TIF2共活体浸泡剂来设计CIDs,我们建造了对三异体苯乙烯、维生素D、retinocial酸、Estrogen、corotol及其对立体作出反应的CIDS。这些CIDS为基因调控提供了双输入转录开关。此外,我们设计了荷尔蒙反应液体-液体相分离(LLPS)凝聚点,在超过关键互动阈值时能放大转录。</w:t>
      </w:r>
    </w:p>
    <w:p>
      <w:pPr>
        <w:spacing w:before="0" w:after="200" w:lineRule="auto" w:line="276"/>
      </w:pPr>
      <w:r>
        <w:rPr>
          <w:b/>
        </w:rPr>
        <w:t xml:space="preserve">Abstract (EN): </w:t>
      </w:r>
      <w:r>
        <w:t>Cells regulate processes through protein interaction networks. Most chemically induced dimerization (CID) systems respond to exogenous molecules, limiting integration with endogenous signaling. Here, we repurpose nuclear receptor (NR) ligand-binding domains (LBDs) and coactivators to develop hormone- or clinically approved drug-responsive CIDs. Using the LBDs of TRβ, VDR, RARγ, ERβ, and GR2 with a TIF2 coactivator peptide, we constructed CIDs responsive to triiodothyronine, vitamin D, retinoic acid, estrogen, cortisol, and their antagonists. These CIDs enable two-input transcriptional switches for gene regulation. Furthermore, we design hormone-responsive liquid-liquid phase-separated (LLPS) condensates that strongly amplify transcription when exceeding a critical interaction threshold. These functional LLPS condensates provide a tunable platform for transcriptional control with up to several hundred-fold activation. Our findings offer an approach for integrating synthetic biology with physiological signaling, advancing applications in gene circuits, biosensing, and therapeutics through ligand-controlled LLPS formation.</w:t>
      </w:r>
    </w:p>
    <w:p>
      <w:pPr>
        <w:spacing w:before="120" w:after="120"/>
      </w:pPr>
      <w:r>
        <w:rPr>
          <w:sz w:val="18"/>
        </w:rPr>
        <w:t>——————————————————————————————————————————————————————————————————————</w:t>
      </w:r>
    </w:p>
    <w:p>
      <w:pPr>
        <w:spacing w:before="160" w:after="40" w:line="240" w:lineRule="auto"/>
      </w:pPr>
      <w:r>
        <w:rPr>
          <w:b/>
        </w:rPr>
        <w:t xml:space="preserve">[16] </w:t>
      </w:r>
      <w:hyperlink r:id="rId24">
        <w:r>
          <w:rPr>
            <w:color w:val="1155CC"/>
            <w:u w:val="single"/>
          </w:rPr>
          <w:t>即时城市外表光电池光电效应潜在评估:任意规划前景的端至端深层学习框架</w:t>
        </w:r>
      </w:hyperlink>
    </w:p>
    <w:p>
      <w:pPr>
        <w:spacing w:before="0" w:after="80"/>
      </w:pPr>
      <w:r>
        <w:rPr>
          <w:i/>
          <w:sz w:val="20"/>
        </w:rPr>
        <w:t>EN: Instantaneous urban facade PV potential assessment: An end-to-end deep learning framework for arbitrary planning horizons</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5">
        <w:r>
          <w:rPr>
            <w:color w:val="1155CC"/>
            <w:u w:val="single"/>
          </w:rPr>
          <w:t>经合组织国家中的善政和能源安全:环境政策严格性发挥的调解作用</w:t>
        </w:r>
      </w:hyperlink>
    </w:p>
    <w:p>
      <w:pPr>
        <w:spacing w:before="0" w:after="80"/>
      </w:pPr>
      <w:r>
        <w:rPr>
          <w:i/>
          <w:sz w:val="20"/>
        </w:rPr>
        <w:t>EN: Good governance and energy security in OECD countries: The mediating role of environmental policy stringency</w:t>
      </w:r>
    </w:p>
    <w:p>
      <w:pPr>
        <w:spacing w:before="0" w:after="120"/>
      </w:pPr>
      <w:r>
        <w:rPr>
          <w:b/>
        </w:rPr>
        <w:t xml:space="preserve">Source: </w:t>
      </w:r>
      <w:r>
        <w:t>ScienceDirect Publication: Energy Policy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6">
        <w:r>
          <w:rPr>
            <w:color w:val="1155CC"/>
            <w:u w:val="single"/>
          </w:rPr>
          <w:t>非洲特别经济区和能源贫穷:超出原定目的的外溢效应</w:t>
        </w:r>
      </w:hyperlink>
    </w:p>
    <w:p>
      <w:pPr>
        <w:spacing w:before="0" w:after="80"/>
      </w:pPr>
      <w:r>
        <w:rPr>
          <w:i/>
          <w:sz w:val="20"/>
        </w:rPr>
        <w:t>EN: Special economic zones and energy poverty in Africa: spillover effects beyond their initial purpose</w:t>
      </w:r>
    </w:p>
    <w:p>
      <w:pPr>
        <w:spacing w:before="0" w:after="120"/>
      </w:pPr>
      <w:r>
        <w:rPr>
          <w:b/>
        </w:rPr>
        <w:t xml:space="preserve">Source: </w:t>
      </w:r>
      <w:r>
        <w:t>ScienceDirect Publication: Energy Policy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7">
        <w:r>
          <w:rPr>
            <w:color w:val="1155CC"/>
            <w:u w:val="single"/>
          </w:rPr>
          <w:t>通过以热电联结为基础的废物热利用,促进电网互动数据数据中心-脱盐协调</w:t>
        </w:r>
      </w:hyperlink>
    </w:p>
    <w:p>
      <w:pPr>
        <w:spacing w:before="0" w:after="80"/>
      </w:pPr>
      <w:r>
        <w:rPr>
          <w:i/>
          <w:sz w:val="20"/>
        </w:rPr>
        <w:t>EN: Enabling grid-interactive data center-desalination coordination through thermo-electric coupling-based waste heat utilization</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8">
        <w:r>
          <w:rPr>
            <w:color w:val="1155CC"/>
            <w:u w:val="single"/>
          </w:rPr>
          <w:t>在通往中国碳中和的低碳过渡路径下的煤炭发电资产单位级搁浅资产</w:t>
        </w:r>
      </w:hyperlink>
    </w:p>
    <w:p>
      <w:pPr>
        <w:spacing w:before="0" w:after="80"/>
      </w:pPr>
      <w:r>
        <w:rPr>
          <w:i/>
          <w:sz w:val="20"/>
        </w:rPr>
        <w:t>EN: Unit-level stranded asset of coal power under low-carbon transition pathways toward China's carbon neutrality</w:t>
      </w:r>
    </w:p>
    <w:p>
      <w:pPr>
        <w:spacing w:before="0" w:after="120"/>
      </w:pPr>
      <w:r>
        <w:rPr>
          <w:b/>
        </w:rPr>
        <w:t xml:space="preserve">Source: </w:t>
      </w:r>
      <w:r>
        <w:t>ScienceDirect Publication: Energy Policy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29">
        <w:r>
          <w:rPr>
            <w:color w:val="1155CC"/>
            <w:u w:val="single"/>
          </w:rPr>
          <w:t>可逆4mAh cm-2无AEM-无Cu-Li型电池的工程坚固的硫化电池堆</w:t>
        </w:r>
      </w:hyperlink>
    </w:p>
    <w:p>
      <w:pPr>
        <w:spacing w:before="0" w:after="80"/>
      </w:pPr>
      <w:r>
        <w:rPr>
          <w:i/>
          <w:sz w:val="20"/>
        </w:rPr>
        <w:t>EN: Engineering robust solvation sheath for reversible 4 mAh cm−2 AEM-free Cu–Li batteries</w:t>
      </w:r>
    </w:p>
    <w:p>
      <w:pPr>
        <w:spacing w:before="0" w:after="120"/>
      </w:pPr>
      <w:r>
        <w:rPr>
          <w:b/>
        </w:rPr>
        <w:t xml:space="preserve">Source: </w:t>
      </w:r>
      <w:r>
        <w:t>ScienceDirect Publication: Materials Today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30">
        <w:r>
          <w:rPr>
            <w:color w:val="1155CC"/>
            <w:u w:val="single"/>
          </w:rPr>
          <w:t>燃料电池能源管理战略:趋势绘图和算法进步的Word2Vec驱动的理论计量框架</w:t>
        </w:r>
      </w:hyperlink>
    </w:p>
    <w:p>
      <w:pPr>
        <w:spacing w:before="0" w:after="80"/>
      </w:pPr>
      <w:r>
        <w:rPr>
          <w:i/>
          <w:sz w:val="20"/>
        </w:rPr>
        <w:t>EN: Fuel cell energy management strategies (FCEMS): a Word2Vec-driven bibliometric framework for trend mapping and algorithmic advancements</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1">
        <w:r>
          <w:rPr>
            <w:color w:val="1155CC"/>
            <w:u w:val="single"/>
          </w:rPr>
          <w:t>使用水下车辆对接和充电的波能转换器的性能和可行性评估</w:t>
        </w:r>
      </w:hyperlink>
    </w:p>
    <w:p>
      <w:pPr>
        <w:spacing w:before="0" w:after="80"/>
      </w:pPr>
      <w:r>
        <w:rPr>
          <w:i/>
          <w:sz w:val="20"/>
        </w:rPr>
        <w:t>EN: Performance and feasibility assessment of a wave energy converter with underwater vehicle docking and charging</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2">
        <w:r>
          <w:rPr>
            <w:color w:val="1155CC"/>
            <w:u w:val="single"/>
          </w:rPr>
          <w:t>Nd1-xSrxNiO2 无限镍镍超导体中超浮积密度和过渡温度之间的相关关系</w:t>
        </w:r>
      </w:hyperlink>
    </w:p>
    <w:p>
      <w:pPr>
        <w:spacing w:before="0" w:after="80"/>
      </w:pPr>
      <w:r>
        <w:rPr>
          <w:i/>
          <w:sz w:val="20"/>
        </w:rPr>
        <w:t>EN: Correlation between superfluid density and transition temperature in infinite-layer nickelate superconductor Nd1-xSrxNiO2</w:t>
      </w:r>
    </w:p>
    <w:p>
      <w:pPr>
        <w:spacing w:before="0" w:after="120"/>
      </w:pPr>
      <w:r>
        <w:rPr>
          <w:b/>
        </w:rPr>
        <w:t xml:space="preserve">Source: </w:t>
      </w:r>
      <w:r>
        <w:t>National Science Review Advance Access</w:t>
      </w:r>
      <w:r>
        <w:t xml:space="preserve">    </w:t>
      </w:r>
      <w:r>
        <w:rPr>
          <w:b/>
        </w:rPr>
        <w:t xml:space="preserve">Pub date: </w:t>
      </w:r>
      <w:r>
        <w:t>2026-01-31 00:00:00+00:00</w:t>
      </w:r>
      <w:r>
        <w:t xml:space="preserve">    </w:t>
      </w:r>
      <w:r>
        <w:rPr>
          <w:b/>
        </w:rPr>
        <w:t xml:space="preserve">DOI: </w:t>
      </w:r>
      <w:hyperlink r:id="rId33">
        <w:r>
          <w:rPr>
            <w:color w:val="1155CC"/>
            <w:u w:val="single"/>
          </w:rPr>
          <w:t>10.1093/nsr/nwag068/8450192</w:t>
        </w:r>
      </w:hyperlink>
    </w:p>
    <w:p>
      <w:pPr>
        <w:spacing w:before="0" w:after="120"/>
      </w:pPr>
      <w:r>
        <w:rPr>
          <w:b/>
        </w:rPr>
        <w:t xml:space="preserve">Notes: </w:t>
      </w:r>
      <w:r>
        <w:t>abstract_source=rss_oup</w:t>
      </w:r>
    </w:p>
    <w:p>
      <w:pPr>
        <w:spacing w:before="0" w:after="80" w:lineRule="auto" w:line="276"/>
      </w:pPr>
      <w:r>
        <w:rPr>
          <w:b/>
        </w:rPr>
        <w:t xml:space="preserve">摘要（ZH）: </w:t>
      </w:r>
      <w:r>
        <w:t>零温度超浮积密度之间强烈的关联性</w:t>
      </w:r>
    </w:p>
    <w:p>
      <w:pPr>
        <w:spacing w:before="0" w:after="200" w:lineRule="auto" w:line="276"/>
      </w:pPr>
      <w:r>
        <w:rPr>
          <w:b/>
        </w:rPr>
        <w:t xml:space="preserve">Abstract (EN): </w:t>
      </w:r>
      <w:r>
        <w:t>A strong correlation between zero-temperature superfluid density (ρ</w:t>
      </w:r>
    </w:p>
    <w:p>
      <w:pPr>
        <w:spacing w:before="120" w:after="120"/>
      </w:pPr>
      <w:r>
        <w:rPr>
          <w:sz w:val="18"/>
        </w:rPr>
        <w:t>——————————————————————————————————————————————————————————————————————</w:t>
      </w:r>
    </w:p>
    <w:p>
      <w:pPr>
        <w:spacing w:before="160" w:after="40" w:line="240" w:lineRule="auto"/>
      </w:pPr>
      <w:r>
        <w:rPr>
          <w:b/>
        </w:rPr>
        <w:t xml:space="preserve">[25] </w:t>
      </w:r>
      <w:hyperlink r:id="rId34">
        <w:r>
          <w:rPr>
            <w:color w:val="1155CC"/>
            <w:u w:val="single"/>
          </w:rPr>
          <w:t>AI-驱动的加速催化剂设计多剂合作</w:t>
        </w:r>
      </w:hyperlink>
    </w:p>
    <w:p>
      <w:pPr>
        <w:spacing w:before="0" w:after="80"/>
      </w:pPr>
      <w:r>
        <w:rPr>
          <w:i/>
          <w:sz w:val="20"/>
        </w:rPr>
        <w:t>EN: AI-driven multi-agent collaborations for accelerating catalyst design</w:t>
      </w:r>
    </w:p>
    <w:p>
      <w:pPr>
        <w:spacing w:before="0" w:after="120"/>
      </w:pPr>
      <w:r>
        <w:rPr>
          <w:b/>
        </w:rPr>
        <w:t xml:space="preserve">Source: </w:t>
      </w:r>
      <w:r>
        <w:t>National Science Review Advance Access</w:t>
      </w:r>
      <w:r>
        <w:t xml:space="preserve">    </w:t>
      </w:r>
      <w:r>
        <w:rPr>
          <w:b/>
        </w:rPr>
        <w:t xml:space="preserve">Pub date: </w:t>
      </w:r>
      <w:r>
        <w:t>2026-01-31 00:00:00+00:00</w:t>
      </w:r>
      <w:r>
        <w:t xml:space="preserve">    </w:t>
      </w:r>
      <w:r>
        <w:rPr>
          <w:b/>
        </w:rPr>
        <w:t xml:space="preserve">DOI: </w:t>
      </w:r>
      <w:hyperlink r:id="rId35">
        <w:r>
          <w:rPr>
            <w:color w:val="1155CC"/>
            <w:u w:val="single"/>
          </w:rPr>
          <w:t>10.1093/nsr/nwag067/8450177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36">
        <w:r>
          <w:rPr>
            <w:color w:val="1155CC"/>
            <w:u w:val="single"/>
          </w:rPr>
          <w:t>用于绿色氢生产的高分辨率高分辨率动态建模和技术经济优化离网光电解电解-BESS系统的绿色氢生产技术-经济优化</w:t>
        </w:r>
      </w:hyperlink>
    </w:p>
    <w:p>
      <w:pPr>
        <w:spacing w:before="0" w:after="80"/>
      </w:pPr>
      <w:r>
        <w:rPr>
          <w:i/>
          <w:sz w:val="20"/>
        </w:rPr>
        <w:t>EN: High-resolution dynamic modeling and techno-economic optimization of off-grid PV–electrolysis–BESS systems for green hydrogen production</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37">
        <w:r>
          <w:rPr>
            <w:color w:val="1155CC"/>
            <w:u w:val="single"/>
          </w:rPr>
          <w:t>持续学习多种认知功能,利用脑激励时间发展机制</w:t>
        </w:r>
      </w:hyperlink>
    </w:p>
    <w:p>
      <w:pPr>
        <w:spacing w:before="0" w:after="80"/>
      </w:pPr>
      <w:r>
        <w:rPr>
          <w:i/>
          <w:sz w:val="20"/>
        </w:rPr>
        <w:t>EN: Continual Learning of Multiple Cognitive Functions with Brain-inspired Temporal Development Mechanism</w:t>
      </w:r>
    </w:p>
    <w:p>
      <w:pPr>
        <w:spacing w:before="0" w:after="120"/>
      </w:pPr>
      <w:r>
        <w:rPr>
          <w:b/>
        </w:rPr>
        <w:t xml:space="preserve">Source: </w:t>
      </w:r>
      <w:r>
        <w:t>National Science Review Advance Access</w:t>
      </w:r>
      <w:r>
        <w:t xml:space="preserve">    </w:t>
      </w:r>
      <w:r>
        <w:rPr>
          <w:b/>
        </w:rPr>
        <w:t xml:space="preserve">Pub date: </w:t>
      </w:r>
      <w:r>
        <w:t>2026-01-31 00:00:00+00:00</w:t>
      </w:r>
      <w:r>
        <w:t xml:space="preserve">    </w:t>
      </w:r>
      <w:r>
        <w:rPr>
          <w:b/>
        </w:rPr>
        <w:t xml:space="preserve">DOI: </w:t>
      </w:r>
      <w:hyperlink r:id="rId38">
        <w:r>
          <w:rPr>
            <w:color w:val="1155CC"/>
            <w:u w:val="single"/>
          </w:rPr>
          <w:t>10.1093/nsr/nwag066/8450195</w:t>
        </w:r>
      </w:hyperlink>
    </w:p>
    <w:p>
      <w:pPr>
        <w:spacing w:before="0" w:after="120"/>
      </w:pPr>
      <w:r>
        <w:rPr>
          <w:b/>
        </w:rPr>
        <w:t xml:space="preserve">Notes: </w:t>
      </w:r>
      <w:r>
        <w:t>abstract_source=rss_oup</w:t>
      </w:r>
    </w:p>
    <w:p>
      <w:pPr>
        <w:spacing w:before="0" w:after="80" w:lineRule="auto" w:line="276"/>
      </w:pPr>
      <w:r>
        <w:rPr>
          <w:b/>
        </w:rPr>
        <w:t xml:space="preserve">摘要（ZH）: </w:t>
      </w:r>
      <w:r>
        <w:t>目前人工智能网络的认知功能与网络规模的指数性增长相关联,而人类大脑可以持续学习数百个认知功能,但能量消耗量却非常低。 这一优势部分来自大脑跨区域的时间发展机制,即从基础地区到先进地区的连接逐步形成、重组和调整,促进知识转移和防止网络冗余。 受这些功能的启发,我们建议通过大脑激励的时空发展机制(TD-MCL)持续学习多重认知功能,使认知能力从简单到复杂的概念-摩托互动(PMI)任务得以提高。 该模型推动远程的连续演化。</w:t>
      </w:r>
    </w:p>
    <w:p>
      <w:pPr>
        <w:spacing w:before="0" w:after="200" w:lineRule="auto" w:line="276"/>
      </w:pPr>
      <w:r>
        <w:rPr>
          <w:b/>
        </w:rPr>
        <w:t xml:space="preserve">Abstract (EN): </w:t>
      </w:r>
      <w:r>
        <w:t>Cognitive functions in current artificial intelligence networks are tied to the exponential increase in network scale, whereas the human brain can continuously learn hundreds of cognitive functions with remarkably low energy consumption. This advantage partly arises from the brain’s cross-regional temporal development mechanisms, where the progressive formation, reorganization, and pruning of connections from basic to advanced regions, facilitate knowledge transfer and prevent network redundancy. Inspired by these, we propose the Continual Learning of Multiple Cognitive Functions with Brain-inspired Temporal Development Mechanism(TD-MCL), enabling cognitive enhancement from simple to complex in Perception-Motor-Interaction (PMI) tasks. The model drives sequential evolution of long-range inter-module connections to facilitate positive knowledge transfer, and uses feedback-guided local inhibition/pruning to eliminate prior task redundancies, reducing energy consumption while preserving acquired knowledge. Experiments on the proposed cross-domain PMI dataset and general datasets (CIFAR100, ImageNet) show that the proposed method can achieve continual learning capabilities while reducing network scale, without introducing regularization, replay, or freezing strategies, and achieving superior accuracy on new tasks compared to direct learning. The proposed method shows that the brain’s developmental mechanisms offer a valuable reference for exploring biologically plausible, low-energy enhancements of general cognitive abilities.</w:t>
      </w:r>
    </w:p>
    <w:p>
      <w:pPr>
        <w:spacing w:before="120" w:after="120"/>
      </w:pPr>
      <w:r>
        <w:rPr>
          <w:sz w:val="18"/>
        </w:rPr>
        <w:t>——————————————————————————————————————————————————————————————————————</w:t>
      </w:r>
    </w:p>
    <w:p>
      <w:pPr>
        <w:spacing w:before="160" w:after="40" w:line="240" w:lineRule="auto"/>
      </w:pPr>
      <w:r>
        <w:rPr>
          <w:b/>
        </w:rPr>
        <w:t xml:space="preserve">[28] </w:t>
      </w:r>
      <w:hyperlink r:id="rId39">
        <w:r>
          <w:rPr>
            <w:color w:val="1155CC"/>
            <w:u w:val="single"/>
          </w:rPr>
          <w:t>高效率超过20%的非dod 热 Exciton 蓝色 有机发光光二极管,效率超过20%</w:t>
        </w:r>
      </w:hyperlink>
    </w:p>
    <w:p>
      <w:pPr>
        <w:spacing w:before="0" w:after="80"/>
      </w:pPr>
      <w:r>
        <w:rPr>
          <w:i/>
          <w:sz w:val="20"/>
        </w:rPr>
        <w:t>EN: Non-doped hot exciton blue organic light-emitting diodes with efficiency over 20%</w:t>
      </w:r>
    </w:p>
    <w:p>
      <w:pPr>
        <w:spacing w:before="0" w:after="120"/>
      </w:pPr>
      <w:r>
        <w:rPr>
          <w:b/>
        </w:rPr>
        <w:t xml:space="preserve">Source: </w:t>
      </w:r>
      <w:r>
        <w:t>National Science Review Advance Access</w:t>
      </w:r>
      <w:r>
        <w:t xml:space="preserve">    </w:t>
      </w:r>
      <w:r>
        <w:rPr>
          <w:b/>
        </w:rPr>
        <w:t xml:space="preserve">Pub date: </w:t>
      </w:r>
      <w:r>
        <w:t>2026-01-31 00:00:00+00:00</w:t>
      </w:r>
      <w:r>
        <w:t xml:space="preserve">    </w:t>
      </w:r>
      <w:r>
        <w:rPr>
          <w:b/>
        </w:rPr>
        <w:t xml:space="preserve">DOI: </w:t>
      </w:r>
      <w:hyperlink r:id="rId40">
        <w:r>
          <w:rPr>
            <w:color w:val="1155CC"/>
            <w:u w:val="single"/>
          </w:rPr>
          <w:t>10.1093/nsr/nwag056/8450190</w:t>
        </w:r>
      </w:hyperlink>
    </w:p>
    <w:p>
      <w:pPr>
        <w:spacing w:before="0" w:after="120"/>
      </w:pPr>
      <w:r>
        <w:rPr>
          <w:b/>
        </w:rPr>
        <w:t xml:space="preserve">Notes: </w:t>
      </w:r>
      <w:r>
        <w:t>abstract_source=rss_oup</w:t>
      </w:r>
    </w:p>
    <w:p>
      <w:pPr>
        <w:spacing w:before="0" w:after="80" w:lineRule="auto" w:line="276"/>
      </w:pPr>
      <w:r>
        <w:rPr>
          <w:b/>
        </w:rPr>
        <w:t xml:space="preserve">摘要（ZH）: </w:t>
      </w:r>
      <w:r>
        <w:t>宿主客人用药是有机光排放二极管(OLEDs)的主流技术。 使用单一材料进行电子迁移和兴奋发光的非dod OLEDs,使用单一材料进行电子迁移和兴奋发光,承诺简化准备,但缺乏有效的排放层材料,因为刺激物(特别是长寿命三倍的刺激物)的浓度被消除。本研究比较了两种新型异构体排放物(p)。</w:t>
      </w:r>
    </w:p>
    <w:p>
      <w:pPr>
        <w:spacing w:before="0" w:after="200" w:lineRule="auto" w:line="276"/>
      </w:pPr>
      <w:r>
        <w:rPr>
          <w:b/>
        </w:rPr>
        <w:t xml:space="preserve">Abstract (EN): </w:t>
      </w:r>
      <w:r>
        <w:t>Host-guest doping is the mainstream technology for organic light emitting diodes (OLEDs). Non-doped OLEDs, using a single material for both electron migration and exciton luminescence, promise simplified preparation but lack efficient emitting layer materials due to concentration quenching of excitons (especially long-lifetime triplet excitons). This study compares two novel isomeric emitters (p</w:t>
      </w:r>
    </w:p>
    <w:p>
      <w:pPr>
        <w:spacing w:before="120" w:after="120"/>
      </w:pPr>
      <w:r>
        <w:rPr>
          <w:sz w:val="18"/>
        </w:rPr>
        <w:t>——————————————————————————————————————————————————————————————————————</w:t>
      </w:r>
    </w:p>
    <w:p>
      <w:pPr>
        <w:spacing w:before="160" w:after="40" w:line="240" w:lineRule="auto"/>
      </w:pPr>
      <w:r>
        <w:rPr>
          <w:b/>
        </w:rPr>
        <w:t xml:space="preserve">[29] </w:t>
      </w:r>
      <w:hyperlink r:id="rId41">
        <w:r>
          <w:rPr>
            <w:color w:val="1155CC"/>
            <w:u w:val="single"/>
          </w:rPr>
          <w:t>智同法溶解:极低温电池极地梯度战略</w:t>
        </w:r>
      </w:hyperlink>
    </w:p>
    <w:p>
      <w:pPr>
        <w:spacing w:before="0" w:after="80"/>
      </w:pPr>
      <w:r>
        <w:rPr>
          <w:i/>
          <w:sz w:val="20"/>
        </w:rPr>
        <w:t>EN: Homogenising solvation: a polarity-gradient strategy for extreme cryogenic batteries</w:t>
      </w:r>
    </w:p>
    <w:p>
      <w:pPr>
        <w:spacing w:before="0" w:after="120"/>
      </w:pPr>
      <w:r>
        <w:rPr>
          <w:b/>
        </w:rPr>
        <w:t xml:space="preserve">Source: </w:t>
      </w:r>
      <w:r>
        <w:t>National Science Review Advance Access</w:t>
      </w:r>
      <w:r>
        <w:t xml:space="preserve">    </w:t>
      </w:r>
      <w:r>
        <w:rPr>
          <w:b/>
        </w:rPr>
        <w:t xml:space="preserve">Pub date: </w:t>
      </w:r>
      <w:r>
        <w:t>2026-01-31 00:00:00+00:00</w:t>
      </w:r>
      <w:r>
        <w:t xml:space="preserve">    </w:t>
      </w:r>
      <w:r>
        <w:rPr>
          <w:b/>
        </w:rPr>
        <w:t xml:space="preserve">DOI: </w:t>
      </w:r>
      <w:hyperlink r:id="rId42">
        <w:r>
          <w:rPr>
            <w:color w:val="1155CC"/>
            <w:u w:val="single"/>
          </w:rPr>
          <w:t>10.1093/nsr/nwag060/8450183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43">
        <w:r>
          <w:rPr>
            <w:color w:val="1155CC"/>
            <w:u w:val="single"/>
          </w:rPr>
          <w:t>考虑储备要求的地点边边边排放率计算</w:t>
        </w:r>
      </w:hyperlink>
    </w:p>
    <w:p>
      <w:pPr>
        <w:spacing w:before="0" w:after="80"/>
      </w:pPr>
      <w:r>
        <w:rPr>
          <w:i/>
          <w:sz w:val="20"/>
        </w:rPr>
        <w:t>EN: Locational marginal emission rates calculation considering reserve requirements</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44">
        <w:r>
          <w:rPr>
            <w:color w:val="1155CC"/>
            <w:u w:val="single"/>
          </w:rPr>
          <w:t>NPP-GPT:利用预先培训的大型语言模型预测核电厂运行参数</w:t>
        </w:r>
      </w:hyperlink>
    </w:p>
    <w:p>
      <w:pPr>
        <w:spacing w:before="0" w:after="80"/>
      </w:pPr>
      <w:r>
        <w:rPr>
          <w:i/>
          <w:sz w:val="20"/>
        </w:rPr>
        <w:t>EN: NPP-GPT: Forecasting nuclear power plants operating parameters using pre-trained large language model</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45">
        <w:r>
          <w:rPr>
            <w:color w:val="1155CC"/>
            <w:u w:val="single"/>
          </w:rPr>
          <w:t>为低碳过渡提供效率驱动的减税,低碳过渡:一个跨进进进进进进进式游戏方法</w:t>
        </w:r>
      </w:hyperlink>
    </w:p>
    <w:p>
      <w:pPr>
        <w:spacing w:before="0" w:after="80"/>
      </w:pPr>
      <w:r>
        <w:rPr>
          <w:i/>
          <w:sz w:val="20"/>
        </w:rPr>
        <w:t>EN: Efficiency-driven tax rebates for low-carbon transition: A translog–evolutionary game approach</w:t>
      </w:r>
    </w:p>
    <w:p>
      <w:pPr>
        <w:spacing w:before="0" w:after="120"/>
      </w:pPr>
      <w:r>
        <w:rPr>
          <w:b/>
        </w:rPr>
        <w:t xml:space="preserve">Source: </w:t>
      </w:r>
      <w:r>
        <w:t>ScienceDirect Publication: Applied Energy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46">
        <w:r>
          <w:rPr>
            <w:color w:val="1155CC"/>
            <w:u w:val="single"/>
          </w:rPr>
          <w:t>衡量已安装的可再生能力对就业的影响</w:t>
        </w:r>
      </w:hyperlink>
    </w:p>
    <w:p>
      <w:pPr>
        <w:spacing w:before="0" w:after="80"/>
      </w:pPr>
      <w:r>
        <w:rPr>
          <w:i/>
          <w:sz w:val="20"/>
        </w:rPr>
        <w:t>EN: Measuring the impact of installed renewable capacity on employment</w:t>
      </w:r>
    </w:p>
    <w:p>
      <w:pPr>
        <w:spacing w:before="0" w:after="120"/>
      </w:pPr>
      <w:r>
        <w:rPr>
          <w:b/>
        </w:rPr>
        <w:t xml:space="preserve">Source: </w:t>
      </w:r>
      <w:r>
        <w:t>ScienceDirect Publication: Energy Policy</w:t>
      </w:r>
      <w:r>
        <w:t xml:space="preserve">    </w:t>
      </w:r>
      <w:r>
        <w:rPr>
          <w:b/>
        </w:rPr>
        <w:t xml:space="preserve">Pub date: </w:t>
      </w:r>
      <w:r>
        <w:t>2026-01-31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47">
        <w:r>
          <w:rPr>
            <w:color w:val="1155CC"/>
            <w:u w:val="single"/>
          </w:rPr>
          <w:t>消除在生物合合体交汇处从隧道向类似班达运输的过渡</w:t>
        </w:r>
      </w:hyperlink>
    </w:p>
    <w:p>
      <w:pPr>
        <w:spacing w:before="0" w:after="80"/>
      </w:pPr>
      <w:r>
        <w:rPr>
          <w:i/>
          <w:sz w:val="20"/>
        </w:rPr>
        <w:t>EN: Deciphering the Transition From Tunneling to Band‐Like Transport in Protein‐Templated Biohybrid Junctions</w:t>
      </w:r>
    </w:p>
    <w:p>
      <w:pPr>
        <w:spacing w:before="0" w:after="120"/>
      </w:pPr>
      <w:r>
        <w:rPr>
          <w:b/>
        </w:rPr>
        <w:t xml:space="preserve">Source: </w:t>
      </w:r>
      <w:r>
        <w:t>Wiley: Angewandte Chemie International Edition: Table of Contents</w:t>
      </w:r>
      <w:r>
        <w:t xml:space="preserve">    </w:t>
      </w:r>
      <w:r>
        <w:rPr>
          <w:b/>
        </w:rPr>
        <w:t xml:space="preserve">Pub date: </w:t>
      </w:r>
      <w:r>
        <w:t>2026-01-31 06:01:43+00:00</w:t>
      </w:r>
      <w:r>
        <w:t xml:space="preserve">    </w:t>
      </w:r>
      <w:r>
        <w:rPr>
          <w:b/>
        </w:rPr>
        <w:t xml:space="preserve">DOI: </w:t>
      </w:r>
      <w:hyperlink r:id="rId48">
        <w:r>
          <w:rPr>
            <w:color w:val="1155CC"/>
            <w:u w:val="single"/>
          </w:rPr>
          <w:t>10.1002/anie.202525930</w:t>
        </w:r>
      </w:hyperlink>
    </w:p>
    <w:p>
      <w:pPr>
        <w:spacing w:before="0" w:after="120"/>
      </w:pPr>
      <w:r>
        <w:rPr>
          <w:b/>
        </w:rPr>
        <w:t xml:space="preserve">Notes: </w:t>
      </w:r>
      <w:r>
        <w:t>abstract_source=crossref</w:t>
      </w:r>
    </w:p>
    <w:p>
      <w:pPr>
        <w:spacing w:before="0" w:after="80" w:lineRule="auto" w:line="276"/>
      </w:pPr>
      <w:r>
        <w:rPr>
          <w:b/>
        </w:rPr>
        <w:t xml:space="preserve">摘要（ZH）: </w:t>
      </w:r>
      <w:r>
        <w:t>ABSTACT Protein Portein-plated金属纳米集束(MNCs)为将生物脚架的结构精度与原子精密金属岩芯的量电子特性结合起来提供了一个独特的战略,尽管有这一承诺,但指导这种生物环状系统收费运输的基本原则仍然有限,我们在此报告对Au/BSAMNCs/Au Nanowire交叉口的电子运输进行了系统调查,这些交叉口包括一系列牛排血清相册(BSA)+tremeded的铜、银和金的金属纳米集(CuNC、AgNC和ANC),混合式混成的混成比比BSA本地交叉口的目前产量增加了17倍。</w:t>
      </w:r>
    </w:p>
    <w:p>
      <w:pPr>
        <w:spacing w:before="0" w:after="200" w:lineRule="auto" w:line="276"/>
      </w:pPr>
      <w:r>
        <w:rPr>
          <w:b/>
        </w:rPr>
        <w:t xml:space="preserve">Abstract (EN): </w:t>
      </w:r>
      <w:r>
        <w:t>Protein‐templated metal nanoclusters (MNCs) offer a unique strategy for integrating the structural precision of biological scaffolds with the quantum electronic characteristics of atomically precise metallic cores. Despite this promise, the fundamental principles governing charge transport in such biohybrid systems remain limited. Here, we report a systematic investigation of electron transport in Au/BSA‐MNCs/Au Nanowire junctions incorporating a series of bovine serum albumin (BSA)‐templated metal nanoclusters of copper, silver, and gold (CuNC, AgNC, and AuNC). Incorporation of MNCs yields up to a 17‐fold increase in current relative to native BSA junctions. The conductivity follows the trend AuNC &amp;gt; AgNC &amp;gt; CuNC, a disparity that fragment‐level Density Functional Theory (DFT) analysis attributes to the greater structural robustness and enhanced orbital delocalization of AuNC and AgNC, which together facilitate stronger electronic coupling with proximal protein residues. Temperature‐dependent charge transport measurements (I‐V‐T) further reveal a systematic evolution from tunneling‐dominated to increasingly band‐like transport across the BSA‐MNC series, governed by the extent of electronic delocalization imparted by the metal core. Collectively, these findings provide molecular‐level insight into charge transport in protein‐templated MNCs and establish structure‐property design principles for the next‐generation bioelectronic materials.</w:t>
      </w:r>
    </w:p>
    <w:p>
      <w:pPr>
        <w:spacing w:before="120" w:after="120"/>
      </w:pPr>
      <w:r>
        <w:rPr>
          <w:sz w:val="18"/>
        </w:rPr>
        <w:t>——————————————————————————————————————————————————————————————————————</w:t>
      </w:r>
    </w:p>
    <w:p>
      <w:pPr>
        <w:spacing w:before="160" w:after="40" w:line="240" w:lineRule="auto"/>
      </w:pPr>
      <w:r>
        <w:rPr>
          <w:b/>
        </w:rPr>
        <w:t xml:space="preserve">[35] </w:t>
      </w:r>
      <w:hyperlink r:id="rId49">
        <w:r>
          <w:rPr>
            <w:color w:val="1155CC"/>
            <w:u w:val="single"/>
          </w:rPr>
          <w:t>将单Atom Cu推动电动催化减少高浓度和低浓度CO2到甲醇的电极化</w:t>
        </w:r>
      </w:hyperlink>
    </w:p>
    <w:p>
      <w:pPr>
        <w:spacing w:before="0" w:after="80"/>
      </w:pPr>
      <w:r>
        <w:rPr>
          <w:i/>
          <w:sz w:val="20"/>
        </w:rPr>
        <w:t>EN: Electron Cloud Polarization of Single‐Atom Cu Boosts Electrocatalytic Reduction of High‐ and Low‐Concentration CO2 to Methanol</w:t>
      </w:r>
    </w:p>
    <w:p>
      <w:pPr>
        <w:spacing w:before="0" w:after="120"/>
      </w:pPr>
      <w:r>
        <w:rPr>
          <w:b/>
        </w:rPr>
        <w:t xml:space="preserve">Source: </w:t>
      </w:r>
      <w:r>
        <w:t>Wiley: Angewandte Chemie International Edition: Table of Contents</w:t>
      </w:r>
      <w:r>
        <w:t xml:space="preserve">    </w:t>
      </w:r>
      <w:r>
        <w:rPr>
          <w:b/>
        </w:rPr>
        <w:t xml:space="preserve">Pub date: </w:t>
      </w:r>
      <w:r>
        <w:t>2026-01-31 06:05:00+00:00</w:t>
      </w:r>
      <w:r>
        <w:t xml:space="preserve">    </w:t>
      </w:r>
      <w:r>
        <w:rPr>
          <w:b/>
        </w:rPr>
        <w:t xml:space="preserve">DOI: </w:t>
      </w:r>
      <w:hyperlink r:id="rId50">
        <w:r>
          <w:rPr>
            <w:color w:val="1155CC"/>
            <w:u w:val="single"/>
          </w:rPr>
          <w:t>10.1002/anie.202523844</w:t>
        </w:r>
      </w:hyperlink>
    </w:p>
    <w:p>
      <w:pPr>
        <w:spacing w:before="0" w:after="120"/>
      </w:pPr>
      <w:r>
        <w:rPr>
          <w:b/>
        </w:rPr>
        <w:t xml:space="preserve">Notes: </w:t>
      </w:r>
      <w:r>
        <w:t>abstract_source=crossref</w:t>
      </w:r>
    </w:p>
    <w:p>
      <w:pPr>
        <w:spacing w:before="0" w:after="80" w:lineRule="auto" w:line="276"/>
      </w:pPr>
      <w:r>
        <w:rPr>
          <w:b/>
        </w:rPr>
        <w:t xml:space="preserve">摘要（ZH）: </w:t>
      </w:r>
      <w:r>
        <w:t>ABSTRACT 利用可再生能源,以变化不定的浓度使用可再生能源,将CO2从工业废气中工业用排放气体转化为甲醇,这种转化变化变化变化对减少CO2排放量和生产有价值的化学原料至关重要,然而,线性非极性CO2分子活化能力薄弱以及关键质子相混合电子转移步骤的能量差异很大,这些挑战使得现有催化剂很难同时达到高密度和高选择性。</w:t>
      </w:r>
    </w:p>
    <w:p>
      <w:pPr>
        <w:spacing w:before="0" w:after="200" w:lineRule="auto" w:line="276"/>
      </w:pPr>
      <w:r>
        <w:rPr>
          <w:b/>
        </w:rPr>
        <w:t xml:space="preserve">Abstract (EN): </w:t>
      </w:r>
      <w:r>
        <w:t>Catalysis of the conversion of CO</w:t>
      </w:r>
      <w:r>
        <w:rPr>
          <w:vertAlign w:val="subscript"/>
        </w:rPr>
        <w:t>2</w:t>
      </w:r>
      <w:r>
        <w:t>from industrial exhaust gases to methanol at dynamically varying concentrations using renewable electrical energy is crucial for reducing CO</w:t>
      </w:r>
      <w:r>
        <w:rPr>
          <w:vertAlign w:val="subscript"/>
        </w:rPr>
        <w:t>2</w:t>
      </w:r>
      <w:r>
        <w:t>emissions and producing valuable chemical feedstocks. However, the challenges associated with the weak activation of linear nonpolar CO</w:t>
      </w:r>
      <w:r>
        <w:rPr>
          <w:vertAlign w:val="subscript"/>
        </w:rPr>
        <w:t>2</w:t>
      </w:r>
      <w:r>
        <w:t>molecules and the high energy difference of key proton‐coupled electron transfer steps make it difficult for existing catalysts to simultaneously achieve a high current density and a high selectivity. Herein, we report a strategy for regulating electron polarization in a Cu single‐atom catalyst (CuN</w:t>
      </w:r>
      <w:r>
        <w:rPr>
          <w:vertAlign w:val="subscript"/>
        </w:rPr>
        <w:t>3</w:t>
      </w:r>
      <w:r>
        <w:t>‐C) to achieve efficient electrocatalytic reduction of high‐ and low‐concentration CO</w:t>
      </w:r>
      <w:r>
        <w:rPr>
          <w:vertAlign w:val="subscript"/>
        </w:rPr>
        <w:t>2</w:t>
      </w:r>
      <w:r>
        <w:t>to CH</w:t>
      </w:r>
      <w:r>
        <w:rPr>
          <w:vertAlign w:val="subscript"/>
        </w:rPr>
        <w:t>3</w:t>
      </w:r>
      <w:r>
        <w:t>OH. For both high‐concentration or low‐concentration CO</w:t>
      </w:r>
      <w:r>
        <w:rPr>
          <w:vertAlign w:val="subscript"/>
        </w:rPr>
        <w:t>2</w:t>
      </w:r>
      <w:r>
        <w:t>used as the feedstock, the CuN</w:t>
      </w:r>
      <w:r>
        <w:rPr>
          <w:vertAlign w:val="subscript"/>
        </w:rPr>
        <w:t>3</w:t>
      </w:r>
      <w:r>
        <w:t>‐C catalyst achieves a current density exceeding −450 mA cm</w:t>
      </w:r>
      <w:r>
        <w:t xml:space="preserve"> </w:t>
      </w:r>
      <w:r>
        <w:t>−2</w:t>
      </w:r>
      <w:r>
        <w:t xml:space="preserve"> </w:t>
      </w:r>
      <w:r>
        <w:t>, a Faradaic efficiency of 80% for methanol production, and record‐high production rate of 0.57 µmol s</w:t>
      </w:r>
      <w:r>
        <w:t xml:space="preserve"> </w:t>
      </w:r>
      <w:r>
        <w:t>−1</w:t>
      </w:r>
      <w:r>
        <w:t xml:space="preserve"> </w:t>
      </w:r>
      <w:r>
        <w:t>cm</w:t>
      </w:r>
      <w:r>
        <w:t xml:space="preserve"> </w:t>
      </w:r>
      <w:r>
        <w:t>−2</w:t>
      </w:r>
      <w:r>
        <w:t xml:space="preserve"> </w:t>
      </w:r>
      <w:r>
        <w:t>. In situ characterization and theoretical calculations jointly show that strong electron polarization of the CuN</w:t>
      </w:r>
      <w:r>
        <w:rPr>
          <w:vertAlign w:val="subscript"/>
        </w:rPr>
        <w:t>3</w:t>
      </w:r>
      <w:r>
        <w:t>‐C catalyst facilitates more effective CO</w:t>
      </w:r>
      <w:r>
        <w:rPr>
          <w:vertAlign w:val="subscript"/>
        </w:rPr>
        <w:t>2</w:t>
      </w:r>
      <w:r>
        <w:t>activation and preferential *CO hydrogenation toward *CHO and *CHOH. This study provides a strategy for designing highly efficient catalysts for the conversion of CO</w:t>
      </w:r>
      <w:r>
        <w:rPr>
          <w:vertAlign w:val="subscript"/>
        </w:rPr>
        <w:t>2</w:t>
      </w:r>
      <w:r>
        <w:t>to methanol via electronic polarization modulation.</w:t>
      </w:r>
    </w:p>
    <w:p>
      <w:pPr>
        <w:spacing w:before="120" w:after="120"/>
      </w:pPr>
      <w:r>
        <w:rPr>
          <w:sz w:val="18"/>
        </w:rPr>
        <w:t>——————————————————————————————————————————————————————————————————————</w:t>
      </w:r>
    </w:p>
    <w:p>
      <w:pPr>
        <w:spacing w:before="160" w:after="40" w:line="240" w:lineRule="auto"/>
      </w:pPr>
      <w:r>
        <w:rPr>
          <w:b/>
        </w:rPr>
        <w:t xml:space="preserve">[36] </w:t>
      </w:r>
      <w:hyperlink r:id="rId51">
        <w:r>
          <w:rPr>
            <w:color w:val="1155CC"/>
            <w:u w:val="single"/>
          </w:rPr>
          <w:t>用于减少高可立性锂金属原极的聚硫化物寄生虫反应反应的调节锂键</w:t>
        </w:r>
      </w:hyperlink>
    </w:p>
    <w:p>
      <w:pPr>
        <w:spacing w:before="0" w:after="80"/>
      </w:pPr>
      <w:r>
        <w:rPr>
          <w:i/>
          <w:sz w:val="20"/>
        </w:rPr>
        <w:t>EN: Regulating Lithium Bond to Reduce Polysulfide Parasitic Reactivity for High‐Stability Lithium Metal Anode</w:t>
      </w:r>
    </w:p>
    <w:p>
      <w:pPr>
        <w:spacing w:before="0" w:after="120"/>
      </w:pPr>
      <w:r>
        <w:rPr>
          <w:b/>
        </w:rPr>
        <w:t xml:space="preserve">Source: </w:t>
      </w:r>
      <w:r>
        <w:t>Wiley: Angewandte Chemie International Edition: Table of Contents</w:t>
      </w:r>
      <w:r>
        <w:t xml:space="preserve">    </w:t>
      </w:r>
      <w:r>
        <w:rPr>
          <w:b/>
        </w:rPr>
        <w:t xml:space="preserve">Pub date: </w:t>
      </w:r>
      <w:r>
        <w:t>2026-01-31 06:05:34+00:00</w:t>
      </w:r>
      <w:r>
        <w:t xml:space="preserve">    </w:t>
      </w:r>
      <w:r>
        <w:rPr>
          <w:b/>
        </w:rPr>
        <w:t xml:space="preserve">DOI: </w:t>
      </w:r>
      <w:hyperlink r:id="rId52">
        <w:r>
          <w:rPr>
            <w:color w:val="1155CC"/>
            <w:u w:val="single"/>
          </w:rPr>
          <w:t>10.1002/anie.202522034</w:t>
        </w:r>
      </w:hyperlink>
    </w:p>
    <w:p>
      <w:pPr>
        <w:spacing w:before="0" w:after="120"/>
      </w:pPr>
      <w:r>
        <w:rPr>
          <w:b/>
        </w:rPr>
        <w:t xml:space="preserve">Notes: </w:t>
      </w:r>
      <w:r>
        <w:t>abstract_source=crossref</w:t>
      </w:r>
    </w:p>
    <w:p>
      <w:pPr>
        <w:spacing w:before="0" w:after="80" w:lineRule="auto" w:line="276"/>
      </w:pPr>
      <w:r>
        <w:rPr>
          <w:b/>
        </w:rPr>
        <w:t xml:space="preserve">摘要（ZH）: </w:t>
      </w:r>
      <w:r>
        <w:t>ABSTACT 锂-硫(Li-S) 电池作为高能密度能源储存装置具有巨大的潜力,但是,由于聚硫化锂(LiPS)和锂金属阳极之间的寄生反应导致快速循环反应,这些电池的实际应用受到了快速循环失败的阻碍。 在锂结合化学的启发下,我们在此提出一个弱化的碳化互动战略,作为一个新的分子设计原则,以内在地减轻利聚苯乙烯(LiPS)的寄生性反应和以500 Whk 千克-1 水平运行的液态长流Li-S 电池。 具体来说,分子级互动监管是通过使用电极弱化的(NH 4+ ) 引入的分子级互动监管。</w:t>
      </w:r>
    </w:p>
    <w:p>
      <w:pPr>
        <w:spacing w:before="0" w:after="200" w:lineRule="auto" w:line="276"/>
      </w:pPr>
      <w:r>
        <w:rPr>
          <w:b/>
        </w:rPr>
        <w:t xml:space="preserve">Abstract (EN): </w:t>
      </w:r>
      <w:r>
        <w:t>Lithium–sulfur (Li–S) batteries hold great potential as high‐energy‐density energy storage devices, yet their practical application is hindered by rapid cycling failure caused by parasitic reactions between lithium polysulfides (LiPSs) and lithium metal anodes. Inspired by lithium bond chemistry, we herein propose a weak cation interaction strategy as a new molecular design principle to intrinsically mitigate the parasitic reactivity of LiPSs and endow long‐cycling Li–S batteries operating at 500 Wh kg</w:t>
      </w:r>
      <w:r>
        <w:t xml:space="preserve"> </w:t>
      </w:r>
      <w:r>
        <w:t>−1</w:t>
      </w:r>
      <w:r>
        <w:t xml:space="preserve"> </w:t>
      </w:r>
      <w:r>
        <w:t>level. Specifically, molecular‐level interaction regulation is introduced by employing ammonium cation (NH</w:t>
      </w:r>
      <w:r>
        <w:rPr>
          <w:vertAlign w:val="subscript"/>
        </w:rPr>
        <w:t>4</w:t>
      </w:r>
      <w:r>
        <w:t>+</w:t>
      </w:r>
      <w:r>
        <w:t xml:space="preserve"> </w:t>
      </w:r>
      <w:r>
        <w:t>) with weaker polarizing power than Li</w:t>
      </w:r>
      <w:r>
        <w:t xml:space="preserve"> </w:t>
      </w:r>
      <w:r>
        <w:t>+</w:t>
      </w:r>
      <w:r>
        <w:t xml:space="preserve"> </w:t>
      </w:r>
      <w:r>
        <w:t>to interact with LiPSs, thereby attenuating their electrophilicity, elevating their lowest unoccupied molecular orbital energy levels, and suppressing the detrimental parasitic reactions with lithium metal anodes. This regulation strategy markedly prolongs the lifespan of Li–S coin cells from 53 to 149 cycles under harsh conditions of using 4.2 mg cm</w:t>
      </w:r>
      <w:r>
        <w:t xml:space="preserve"> </w:t>
      </w:r>
      <w:r>
        <w:t>−2</w:t>
      </w:r>
      <w:r>
        <w:t xml:space="preserve"> </w:t>
      </w:r>
      <w:r>
        <w:t>‐loading sulfur cathodes and 50 µm‐thick lithium anodes. More importantly, an 8 Ah‐level Li–S pouch cell achieves a high initial energy density of 502 Wh kg</w:t>
      </w:r>
      <w:r>
        <w:t xml:space="preserve"> </w:t>
      </w:r>
      <w:r>
        <w:t>−1</w:t>
      </w:r>
      <w:r>
        <w:t xml:space="preserve"> </w:t>
      </w:r>
      <w:r>
        <w:t>and stable 16 cycles. This work establishes a new weak cation interaction regulation strategy following lithium bond chemistry, offering a generalizable route toward long‐cycling and high‐energy‐density Li–S batteries.</w:t>
      </w:r>
    </w:p>
    <w:p>
      <w:pPr>
        <w:spacing w:before="120" w:after="120"/>
      </w:pPr>
      <w:r>
        <w:rPr>
          <w:sz w:val="18"/>
        </w:rPr>
        <w:t>——————————————————————————————————————————————————————————————————————</w:t>
      </w:r>
    </w:p>
    <w:p>
      <w:pPr>
        <w:spacing w:before="160" w:after="40" w:line="240" w:lineRule="auto"/>
      </w:pPr>
      <w:r>
        <w:rPr>
          <w:b/>
        </w:rPr>
        <w:t xml:space="preserve">[37] </w:t>
      </w:r>
      <w:hyperlink r:id="rId53">
        <w:r>
          <w:rPr>
            <w:color w:val="1155CC"/>
            <w:u w:val="single"/>
          </w:rPr>
          <w:t>用于可穿式电子设备的柔性锌和碘电池</w:t>
        </w:r>
      </w:hyperlink>
    </w:p>
    <w:p>
      <w:pPr>
        <w:spacing w:before="0" w:after="80"/>
      </w:pPr>
      <w:r>
        <w:rPr>
          <w:i/>
          <w:sz w:val="20"/>
        </w:rPr>
        <w:t>EN: Supramolecularly Engineered Flexible Zinc‐Iodine Batteries for Wearable Electronics</w:t>
      </w:r>
    </w:p>
    <w:p>
      <w:pPr>
        <w:spacing w:before="0" w:after="120"/>
      </w:pPr>
      <w:r>
        <w:rPr>
          <w:b/>
        </w:rPr>
        <w:t xml:space="preserve">Source: </w:t>
      </w:r>
      <w:r>
        <w:t>Wiley: Advanced Materials: Table of Contents</w:t>
      </w:r>
      <w:r>
        <w:t xml:space="preserve">    </w:t>
      </w:r>
      <w:r>
        <w:rPr>
          <w:b/>
        </w:rPr>
        <w:t xml:space="preserve">Pub date: </w:t>
      </w:r>
      <w:r>
        <w:t>2026-01-31 06:08:36+00:00</w:t>
      </w:r>
      <w:r>
        <w:t xml:space="preserve">    </w:t>
      </w:r>
      <w:r>
        <w:rPr>
          <w:b/>
        </w:rPr>
        <w:t xml:space="preserve">DOI: </w:t>
      </w:r>
      <w:hyperlink r:id="rId54">
        <w:r>
          <w:rPr>
            <w:color w:val="1155CC"/>
            <w:u w:val="single"/>
          </w:rPr>
          <w:t>10.1002/adma.202521374</w:t>
        </w:r>
      </w:hyperlink>
    </w:p>
    <w:p>
      <w:pPr>
        <w:spacing w:before="0" w:after="120"/>
      </w:pPr>
      <w:r>
        <w:rPr>
          <w:b/>
        </w:rPr>
        <w:t xml:space="preserve">Notes: </w:t>
      </w:r>
      <w:r>
        <w:t>abstract_source=crossref</w:t>
      </w:r>
    </w:p>
    <w:p>
      <w:pPr>
        <w:spacing w:before="0" w:after="80" w:lineRule="auto" w:line="276"/>
      </w:pPr>
      <w:r>
        <w:rPr>
          <w:b/>
        </w:rPr>
        <w:t xml:space="preserve">摘要（ZH）: </w:t>
      </w:r>
      <w:r>
        <w:t>ABSTACT 弹性水溶锌碘电池(AZIBs)由于其内在安全和成本效益,已成为可磨损电子设备中动力源的有希望的候选对象,然而,在变形中的锌阳极和电解解管之间的电化学和机械界面不稳定,使得AZIBs在实际应用中无法可靠地发挥作用。在这里,我们提出了一个协同的超分子互动工程战略,利用氢结合、离子和协作互动,通过建立多丙烯酰胺-二甲基甘油(PATT)电化液凝胶(PATTS),同时加强相互粘合,减少水活动,并促进离子运输。与PATT,Znnni合作,建立了Znni。</w:t>
      </w:r>
    </w:p>
    <w:p>
      <w:pPr>
        <w:spacing w:before="0" w:after="200" w:lineRule="auto" w:line="276"/>
      </w:pPr>
      <w:r>
        <w:rPr>
          <w:b/>
        </w:rPr>
        <w:t xml:space="preserve">Abstract (EN): </w:t>
      </w:r>
      <w:r>
        <w:t>Flexible aqueous zinc‐iodine batteries (AZIBs) have emerged as promising candidates for the power source in wearable electronics, owing to their intrinsic safety and cost‐effectiveness. However, electrochemical and mechanical interface instability between zinc anodes and electrolytes under deformation prevent the reliable performance of AZIBs in practical applications. Here, we present a synergistic supramolecular interactions engineering strategy utilizing hydrogen bonding, ion‐dipole, and coordination interactions to enhance interfacial stability by creating a polyacrylamide‐trehalose‐ dimethylglycine (PATT) hydrogel electrolyte with strengthened interfacial adhesion, reduced water activity, and facilitated ion transport. With PATT, Zn||ZnI</w:t>
      </w:r>
      <w:r>
        <w:rPr>
          <w:vertAlign w:val="subscript"/>
        </w:rPr>
        <w:t>2</w:t>
      </w:r>
      <w:r>
        <w:t>cell delivers an areal capacity of 4.2 mAh cm</w:t>
      </w:r>
      <w:r>
        <w:t xml:space="preserve"> </w:t>
      </w:r>
      <w:r>
        <w:t>−</w:t>
      </w:r>
      <w:r>
        <w:rPr>
          <w:vertAlign w:val="subscript"/>
        </w:rPr>
        <w:t>2</w:t>
      </w:r>
      <w:r>
        <w:t>with 85.2% retention after 6000 h, while multilayer pouch cell maintains 1.2 Ah with 92.3% retention over 175 cycles. Excellent mechanical resilience and electrochemical stability of Zn||ZnI</w:t>
      </w:r>
      <w:r>
        <w:rPr>
          <w:vertAlign w:val="subscript"/>
        </w:rPr>
        <w:t>2</w:t>
      </w:r>
      <w:r>
        <w:t>cells are further observed under successive loading cycles of bending and stretching. The strain‐sensing capability of PATT hydrogel is also investigated, thereby enabling the energy supply and hand motion capture with monolithic material. A smart glove for virtual reality interaction is demonstrated to highlight the potential of PATT hydrogel in achieving mechanical‐robust wearable electronics.</w:t>
      </w:r>
    </w:p>
    <w:p>
      <w:pPr>
        <w:spacing w:before="120" w:after="120"/>
      </w:pPr>
      <w:r>
        <w:rPr>
          <w:sz w:val="18"/>
        </w:rPr>
        <w:t>——————————————————————————————————————————————————————————————————————</w:t>
      </w:r>
    </w:p>
    <w:p>
      <w:pPr>
        <w:spacing w:before="160" w:after="40" w:line="240" w:lineRule="auto"/>
      </w:pPr>
      <w:r>
        <w:rPr>
          <w:b/>
        </w:rPr>
        <w:t xml:space="preserve">[38] </w:t>
      </w:r>
      <w:hyperlink r:id="rId55">
        <w:r>
          <w:rPr>
            <w:color w:val="1155CC"/>
            <w:u w:val="single"/>
          </w:rPr>
          <w:t>Pyridine Into Pyrroprole 转型</w:t>
        </w:r>
      </w:hyperlink>
    </w:p>
    <w:p>
      <w:pPr>
        <w:spacing w:before="0" w:after="80"/>
      </w:pPr>
      <w:r>
        <w:rPr>
          <w:i/>
          <w:sz w:val="20"/>
        </w:rPr>
        <w:t>EN: Pyridine Into Pyrrole Transformation Induced Within the Confinement of the Macrocycle</w:t>
      </w:r>
    </w:p>
    <w:p>
      <w:pPr>
        <w:spacing w:before="0" w:after="120"/>
      </w:pPr>
      <w:r>
        <w:rPr>
          <w:b/>
        </w:rPr>
        <w:t xml:space="preserve">Source: </w:t>
      </w:r>
      <w:r>
        <w:t>Wiley: Angewandte Chemie International Edition: Table of Contents</w:t>
      </w:r>
      <w:r>
        <w:t xml:space="preserve">    </w:t>
      </w:r>
      <w:r>
        <w:rPr>
          <w:b/>
        </w:rPr>
        <w:t xml:space="preserve">Pub date: </w:t>
      </w:r>
      <w:r>
        <w:t>2026-01-31 06:09:53+00:00</w:t>
      </w:r>
      <w:r>
        <w:t xml:space="preserve">    </w:t>
      </w:r>
      <w:r>
        <w:rPr>
          <w:b/>
        </w:rPr>
        <w:t xml:space="preserve">DOI: </w:t>
      </w:r>
      <w:hyperlink r:id="rId56">
        <w:r>
          <w:rPr>
            <w:color w:val="1155CC"/>
            <w:u w:val="single"/>
          </w:rPr>
          <w:t>10.1002/anie.202525506</w:t>
        </w:r>
      </w:hyperlink>
    </w:p>
    <w:p>
      <w:pPr>
        <w:spacing w:before="0" w:after="120"/>
      </w:pPr>
      <w:r>
        <w:rPr>
          <w:b/>
        </w:rPr>
        <w:t xml:space="preserve">Notes: </w:t>
      </w:r>
      <w:r>
        <w:t>abstract_source=crossref</w:t>
      </w:r>
    </w:p>
    <w:p>
      <w:pPr>
        <w:spacing w:before="0" w:after="80" w:lineRule="auto" w:line="276"/>
      </w:pPr>
      <w:r>
        <w:rPr>
          <w:b/>
        </w:rPr>
        <w:t xml:space="preserve">摘要（ZH）: </w:t>
      </w:r>
      <w:r>
        <w:t>环状环状环状。 这一转变属于一种独特的反应类别,具有芳香结构裂缝的基本特征。 通过调查N confused pyripophrin 与银和金离子的异常协调化学,我们观察了这一过程,并获得了若干显示显著反作用的复合体。 这包括C-O 键的可逆裂和外金属离子的选择性解裂。</w:t>
      </w:r>
    </w:p>
    <w:p>
      <w:pPr>
        <w:spacing w:before="0" w:after="200" w:lineRule="auto" w:line="276"/>
      </w:pPr>
      <w:r>
        <w:rPr>
          <w:b/>
        </w:rPr>
        <w:t xml:space="preserve">Abstract (EN): </w:t>
      </w:r>
      <w:r>
        <w:t>The pyridine contracted to form the pyrrole ring. This transformation belongs to a unique class of reactions with the fundamental characteristic of the cleavage of the aromatic structure. By investigating the unusual coordination chemistry of N‐confused pyriporphyrin with silver and gold ions, we observed this process and obtained several complexes that exhibited remarkable reactivity. This includes the reversible cleavage of C–O bonds and the selective demetallation of the outer metal ion.</w:t>
      </w:r>
    </w:p>
    <w:p>
      <w:pPr>
        <w:spacing w:before="120" w:after="120"/>
      </w:pPr>
      <w:r>
        <w:rPr>
          <w:sz w:val="18"/>
        </w:rPr>
        <w:t>——————————————————————————————————————————————————————————————————————</w:t>
      </w:r>
    </w:p>
    <w:p>
      <w:pPr>
        <w:spacing w:before="160" w:after="40" w:line="240" w:lineRule="auto"/>
      </w:pPr>
      <w:r>
        <w:rPr>
          <w:b/>
        </w:rPr>
        <w:t xml:space="preserve">[39] </w:t>
      </w:r>
      <w:hyperlink r:id="rId57">
        <w:r>
          <w:rPr>
            <w:color w:val="1155CC"/>
            <w:u w:val="single"/>
          </w:rPr>
          <w:t>在整个环境和次零以下条件下高高效储存高效益高水分储存硬碳的多系统建筑架构条例</w:t>
        </w:r>
      </w:hyperlink>
    </w:p>
    <w:p>
      <w:pPr>
        <w:spacing w:before="0" w:after="80"/>
      </w:pPr>
      <w:r>
        <w:rPr>
          <w:i/>
          <w:sz w:val="20"/>
        </w:rPr>
        <w:t>EN: Multi‐Scale Architecture Regulation of Hard Carbons for High‐Efficiency Sodium Storage Across Ambient and Subzero Conditions</w:t>
      </w:r>
    </w:p>
    <w:p>
      <w:pPr>
        <w:spacing w:before="0" w:after="120"/>
      </w:pPr>
      <w:r>
        <w:rPr>
          <w:b/>
        </w:rPr>
        <w:t xml:space="preserve">Source: </w:t>
      </w:r>
      <w:r>
        <w:t>Wiley: Angewandte Chemie International Edition: Table of Contents</w:t>
      </w:r>
      <w:r>
        <w:t xml:space="preserve">    </w:t>
      </w:r>
      <w:r>
        <w:rPr>
          <w:b/>
        </w:rPr>
        <w:t xml:space="preserve">Pub date: </w:t>
      </w:r>
      <w:r>
        <w:t>2026-01-31 06:19:37+00:00</w:t>
      </w:r>
      <w:r>
        <w:t xml:space="preserve">    </w:t>
      </w:r>
      <w:r>
        <w:rPr>
          <w:b/>
        </w:rPr>
        <w:t xml:space="preserve">DOI: </w:t>
      </w:r>
      <w:hyperlink r:id="rId58">
        <w:r>
          <w:rPr>
            <w:color w:val="1155CC"/>
            <w:u w:val="single"/>
          </w:rPr>
          <w:t>10.1002/anie.202525761</w:t>
        </w:r>
      </w:hyperlink>
    </w:p>
    <w:p>
      <w:pPr>
        <w:spacing w:before="0" w:after="120"/>
      </w:pPr>
      <w:r>
        <w:rPr>
          <w:b/>
        </w:rPr>
        <w:t xml:space="preserve">Notes: </w:t>
      </w:r>
      <w:r>
        <w:t>abstract_source=crossref</w:t>
      </w:r>
    </w:p>
    <w:p>
      <w:pPr>
        <w:spacing w:before="0" w:after="80" w:lineRule="auto" w:line="276"/>
      </w:pPr>
      <w:r>
        <w:rPr>
          <w:b/>
        </w:rPr>
        <w:t xml:space="preserve">摘要（ZH）: </w:t>
      </w:r>
      <w:r>
        <w:t>硬碳尽管具有成本效率高的生产成本和前体供应量,但面临来自过度缺陷、封闭的封闭层结构有限和内部不稳定性差的电化学性能限制。 因此,提议了一项多规模结构监管战略,以调整聚合物衍生硬碳的微型和纳米结构结构,在环境和亚零条件下高效储存钠,在环境和亚零条件下高效储存。 热调碳化引导聚磷-二氮(PZS)前体自组成单体微粒,同时在原地形成纳米规模的短程成型图形领域。</w:t>
      </w:r>
    </w:p>
    <w:p>
      <w:pPr>
        <w:spacing w:before="0" w:after="200" w:lineRule="auto" w:line="276"/>
      </w:pPr>
      <w:r>
        <w:rPr>
          <w:b/>
        </w:rPr>
        <w:t xml:space="preserve">Abstract (EN): </w:t>
      </w:r>
      <w:r>
        <w:t>Hard carbons, despite their cost‐efficient production and precursor availability, face critical electrochemical performance constraints from excessive defects, limited closed‐pore structures, and poor interfacial stability. Herein, a multi‐scale structural regulation strategy is proposed to tailor both micro‐ and nanoscale architectures of polymer‐derived hard carbons for efficient sodium storage under both ambient and subzero conditions. The pitch‐modulated carbonization directs the self‐assembly of polyphosphazene (PZS) precursors into monodisperse microparticles while in situ forming nanoscale short‐range‐ordered graphitic domains. The resulting hard carbons integrate enhanced bulk conductivity, abundant closed pores, and defect‐tailored low‐surface‐area microparticles, collectively enabling an inorganic‐rich solid electrolyte interphase (SEI), fast Na</w:t>
      </w:r>
      <w:r>
        <w:t xml:space="preserve"> </w:t>
      </w:r>
      <w:r>
        <w:t>+</w:t>
      </w:r>
      <w:r>
        <w:t xml:space="preserve"> </w:t>
      </w:r>
      <w:r>
        <w:t>transport, and suppressed side reactions. The optimized sample delivers a remarkable reversible capacity (413.7 mAh g</w:t>
      </w:r>
      <w:r>
        <w:t xml:space="preserve"> </w:t>
      </w:r>
      <w:r>
        <w:t>−1</w:t>
      </w:r>
      <w:r>
        <w:t xml:space="preserve"> </w:t>
      </w:r>
      <w:r>
        <w:t>at 0.05 A g</w:t>
      </w:r>
      <w:r>
        <w:t xml:space="preserve"> </w:t>
      </w:r>
      <w:r>
        <w:t>−1</w:t>
      </w:r>
      <w:r>
        <w:t xml:space="preserve"> </w:t>
      </w:r>
      <w:r>
        <w:t>) with high initial Columbic efficiency (ICE) (87.1%) and excellent rate capability. More notably, it demonstrates high reversible capacity and exceptional cycling stability at −20°C, achieving a remarkable capacity retention of 98.8% after 3000 cycles and highlighting its practical viability under extreme conditions. The sodium storage mechanisms and accelerated kinetics are revealed through various in situ characterizations and computational techniques, providing deep insights into microstructure tailoring of hard carbons for high‐performance sodium‐ion batteries (SIBs).</w:t>
      </w:r>
    </w:p>
    <w:p>
      <w:pPr>
        <w:spacing w:before="120" w:after="120"/>
      </w:pPr>
      <w:r>
        <w:rPr>
          <w:sz w:val="18"/>
        </w:rPr>
        <w:t>——————————————————————————————————————————————————————————————————————</w:t>
      </w:r>
    </w:p>
    <w:p>
      <w:pPr>
        <w:spacing w:before="160" w:after="40" w:line="240" w:lineRule="auto"/>
      </w:pPr>
      <w:r>
        <w:rPr>
          <w:b/>
        </w:rPr>
        <w:t xml:space="preserve">[40] </w:t>
      </w:r>
      <w:hyperlink r:id="rId59">
        <w:r>
          <w:rPr>
            <w:color w:val="1155CC"/>
            <w:u w:val="single"/>
          </w:rPr>
          <w:t>通过De Novo Isoquinoline Formatication 进行的平日宏观循环平面选择性合成</w:t>
        </w:r>
      </w:hyperlink>
    </w:p>
    <w:p>
      <w:pPr>
        <w:spacing w:before="0" w:after="80"/>
      </w:pPr>
      <w:r>
        <w:rPr>
          <w:i/>
          <w:sz w:val="20"/>
        </w:rPr>
        <w:t>EN: Rhodium‐Catalyzed Enantioselective Synthesis of Planar‐Chiral Macrocycles via De Novo Isoquinoline Formation</w:t>
      </w:r>
    </w:p>
    <w:p>
      <w:pPr>
        <w:spacing w:before="0" w:after="120"/>
      </w:pPr>
      <w:r>
        <w:rPr>
          <w:b/>
        </w:rPr>
        <w:t xml:space="preserve">Source: </w:t>
      </w:r>
      <w:r>
        <w:t>Wiley: Angewandte Chemie International Edition: Table of Contents</w:t>
      </w:r>
      <w:r>
        <w:t xml:space="preserve">    </w:t>
      </w:r>
      <w:r>
        <w:rPr>
          <w:b/>
        </w:rPr>
        <w:t xml:space="preserve">Pub date: </w:t>
      </w:r>
      <w:r>
        <w:t>2026-01-31 06:27:05+00:00</w:t>
      </w:r>
      <w:r>
        <w:t xml:space="preserve">    </w:t>
      </w:r>
      <w:r>
        <w:rPr>
          <w:b/>
        </w:rPr>
        <w:t xml:space="preserve">DOI: </w:t>
      </w:r>
      <w:hyperlink r:id="rId60">
        <w:r>
          <w:rPr>
            <w:color w:val="1155CC"/>
            <w:u w:val="single"/>
          </w:rPr>
          <w:t>10.1002/anie.202525396</w:t>
        </w:r>
      </w:hyperlink>
    </w:p>
    <w:p>
      <w:pPr>
        <w:spacing w:before="0" w:after="120"/>
      </w:pPr>
      <w:r>
        <w:rPr>
          <w:b/>
        </w:rPr>
        <w:t xml:space="preserve">Notes: </w:t>
      </w:r>
      <w:r>
        <w:t>abstract_source=crossref</w:t>
      </w:r>
    </w:p>
    <w:p>
      <w:pPr>
        <w:spacing w:before="0" w:after="80" w:lineRule="auto" w:line="276"/>
      </w:pPr>
      <w:r>
        <w:rPr>
          <w:b/>
        </w:rPr>
        <w:t xml:space="preserve">摘要（ZH）: </w:t>
      </w:r>
      <w:r>
        <w:t>芳香环ABSTRACT De novo 形成芳香环是一种具有吸引力的战略,可以进行天体选择性合成,但是它适用于有计划的宏观循环,仍然具有挑战性。在这里,我们报告通过新等离子线构造,对有计划的宏观循环进行正对的选择性合成。这种方法的特点是高度的对等选择性(高达96% ee),再选择性(至 &amp; gt;20:1 rr)和功能性群体容忍,提供一系列基于等离子的宏观环流异构体。此外,通过该产品的毫米级反应和后适应过程,验证了这一议定书的合成效用。机械学研究,包括除化同位素标签、动能同位素效应和DFT计算,支持C-H等离子细胞。</w:t>
      </w:r>
    </w:p>
    <w:p>
      <w:pPr>
        <w:spacing w:before="0" w:after="200" w:lineRule="auto" w:line="276"/>
      </w:pPr>
      <w:r>
        <w:rPr>
          <w:b/>
        </w:rPr>
        <w:t xml:space="preserve">Abstract (EN): </w:t>
      </w:r>
      <w:r>
        <w:t>De novo formation of the aromatic ring is an attractive strategy for atroposelective synthesis, but its application to planar‐chiral macrocycles remains challenging. Herein, we report a rhodium‐catalyzed enantioselective synthesis of planar‐chiral macrocycles via de novo isoquinoline construction. This method is characterized by high levels of enantioselectivity (up to 96% ee), regioselectivity (up to &amp;gt;20:1 rr), and functional group tolerance, providing a series of isoquinoline‐based macrocyclic atropisomers. Furthermore, the synthetic utility of this protocol is validated via a mmol‐scale reaction and post‐modification process of the product. Mechanistic studies, including deuterium labeling, kinetic isotope effect, and DFT calculations, support C─H bond cleavage as the rate‐determining step and elucidate the origin of the stereoselectivity.</w:t>
      </w:r>
    </w:p>
    <w:p>
      <w:pPr>
        <w:spacing w:before="120" w:after="120"/>
      </w:pPr>
      <w:r>
        <w:rPr>
          <w:sz w:val="18"/>
        </w:rPr>
        <w:t>——————————————————————————————————————————————————————————————————————</w:t>
      </w:r>
    </w:p>
    <w:p>
      <w:pPr>
        <w:spacing w:before="160" w:after="40" w:line="240" w:lineRule="auto"/>
      </w:pPr>
      <w:r>
        <w:rPr>
          <w:b/>
        </w:rPr>
        <w:t xml:space="preserve">[41] </w:t>
      </w:r>
      <w:hyperlink r:id="rId61">
        <w:r>
          <w:rPr>
            <w:color w:val="1155CC"/>
            <w:u w:val="single"/>
          </w:rPr>
          <w:t>高效和稳定倒置 Perovskite太阳能电池组的有机煤晶层除尘消毒:关于表面处理的非二DPerovskites战略</w:t>
        </w:r>
      </w:hyperlink>
    </w:p>
    <w:p>
      <w:pPr>
        <w:spacing w:before="0" w:after="80"/>
      </w:pPr>
      <w:r>
        <w:rPr>
          <w:i/>
          <w:sz w:val="20"/>
        </w:rPr>
        <w:t>EN: Defect Passivation with Organic Co‐Crystal Layers for Efficient and Stable Inverted Perovskite Solar Cells: A Non‐2D‐Perovskites Strategy for Surface Treatments</w:t>
      </w:r>
    </w:p>
    <w:p>
      <w:pPr>
        <w:spacing w:before="0" w:after="120"/>
      </w:pPr>
      <w:r>
        <w:rPr>
          <w:b/>
        </w:rPr>
        <w:t xml:space="preserve">Source: </w:t>
      </w:r>
      <w:r>
        <w:t>Wiley: Advanced Materials: Table of Contents</w:t>
      </w:r>
      <w:r>
        <w:t xml:space="preserve">    </w:t>
      </w:r>
      <w:r>
        <w:rPr>
          <w:b/>
        </w:rPr>
        <w:t xml:space="preserve">Pub date: </w:t>
      </w:r>
      <w:r>
        <w:t>2026-01-31 06:34:55+00:00</w:t>
      </w:r>
      <w:r>
        <w:t xml:space="preserve">    </w:t>
      </w:r>
      <w:r>
        <w:rPr>
          <w:b/>
        </w:rPr>
        <w:t xml:space="preserve">DOI: </w:t>
      </w:r>
      <w:hyperlink r:id="rId62">
        <w:r>
          <w:rPr>
            <w:color w:val="1155CC"/>
            <w:u w:val="single"/>
          </w:rPr>
          <w:t>10.1002/adma.202519138</w:t>
        </w:r>
      </w:hyperlink>
    </w:p>
    <w:p>
      <w:pPr>
        <w:spacing w:before="0" w:after="120"/>
      </w:pPr>
      <w:r>
        <w:rPr>
          <w:b/>
        </w:rPr>
        <w:t xml:space="preserve">Notes: </w:t>
      </w:r>
      <w:r>
        <w:t>abstract_source=crossref</w:t>
      </w:r>
    </w:p>
    <w:p>
      <w:pPr>
        <w:spacing w:before="0" w:after="80" w:lineRule="auto" w:line="276"/>
      </w:pPr>
      <w:r>
        <w:rPr>
          <w:b/>
        </w:rPr>
        <w:t xml:space="preserve">摘要（ZH）: </w:t>
      </w:r>
      <w:r>
        <w:t>由于湿化学沉降法造成的低维活性表面缺陷对倒转的百草枯太阳能电池的性能和稳定性产生消极影响;通常用大型有机铵盐处理百草枯胶片,这样可以在百草枯胶片上形成2D的百草枯;然而,低维的百草枯具有低电载体流动性和结构稳定性差的特点;为解决这些问题,我们在本工作底膜上引入有机的有机共吸层,而不是2D的百草枯胶片,通过强化氢化网络有效消化地表缺陷,抑制非辐射性再组合,增强非半导体型芯。</w:t>
      </w:r>
    </w:p>
    <w:p>
      <w:pPr>
        <w:spacing w:before="0" w:after="200" w:lineRule="auto" w:line="276"/>
      </w:pPr>
      <w:r>
        <w:rPr>
          <w:b/>
        </w:rPr>
        <w:t xml:space="preserve">Abstract (EN): </w:t>
      </w:r>
      <w:r>
        <w:t>Surface defects caused by the wet‐chemical deposition method negatively affect the performance and stability of inverted perovskite solar cells (PSCs). It is common to post treat perovskite films with large‐sized organic ammonium salts, which allow for the formation of 2D perovskites on top of the perovskite films. However, the low‐dimensional perovskites feature a low charge carrier mobility and poor structural stability. To address these issues, we introduce an organic co‐crystal layer rather than 2D perovskites on top of the perovskite film in this work. This co‐crystal layer effectively passivates the surface defects through a reinforced hydrogen‐bonding network, suppresses non‐radiative recombination, enhances n‐type semiconductor characteristics, increases electron mobility and facilitates charge carrier transport in the perovskite films. As a result, the PSCs based on this layer achieve a champion power conversion efficiency (PCE) of 26.35% with enhanced short‐circuit current (</w:t>
      </w:r>
      <w:r>
        <w:t xml:space="preserve"> </w:t>
      </w:r>
      <w:r>
        <w:t>J</w:t>
      </w:r>
      <w:r>
        <w:t xml:space="preserve"> </w:t>
      </w:r>
      <w:r>
        <w:t>SC</w:t>
      </w:r>
      <w:r>
        <w:t xml:space="preserve"> </w:t>
      </w:r>
      <w:r>
        <w:t>) and open circuit voltage (</w:t>
      </w:r>
      <w:r>
        <w:t xml:space="preserve"> </w:t>
      </w:r>
      <w:r>
        <w:t>V</w:t>
      </w:r>
      <w:r>
        <w:t xml:space="preserve"> </w:t>
      </w:r>
      <w:r>
        <w:t>OC</w:t>
      </w:r>
      <w:r>
        <w:t xml:space="preserve"> </w:t>
      </w:r>
      <w:r>
        <w:t>). Furthermore, the nonencapsulated device exhibits excellent thermal and moisture‐resisted stability, manifesting in 80% initial PCE retention under heat stress of 85°C for 1392 h and 88% initial PCE retention after exposure to air with ∼50% RH for 2040 h. This work provides a novel strategy to passivate the surface defects of perovskite films beyond the formation of 2D perovskites for inverted PSCs.</w:t>
      </w:r>
    </w:p>
    <w:p>
      <w:pPr>
        <w:spacing w:before="120" w:after="120"/>
      </w:pPr>
      <w:r>
        <w:rPr>
          <w:sz w:val="18"/>
        </w:rPr>
        <w:t>——————————————————————————————————————————————————————————————————————</w:t>
      </w:r>
    </w:p>
    <w:p>
      <w:pPr>
        <w:spacing w:before="160" w:after="40" w:line="240" w:lineRule="auto"/>
      </w:pPr>
      <w:r>
        <w:rPr>
          <w:b/>
        </w:rPr>
        <w:t xml:space="preserve">[42] </w:t>
      </w:r>
      <w:hyperlink r:id="rId63">
        <w:r>
          <w:rPr>
            <w:color w:val="1155CC"/>
            <w:u w:val="single"/>
          </w:rPr>
          <w:t>氧化铁电中的奇拉尔波贝</w:t>
        </w:r>
      </w:hyperlink>
    </w:p>
    <w:p>
      <w:pPr>
        <w:spacing w:before="0" w:after="80"/>
      </w:pPr>
      <w:r>
        <w:rPr>
          <w:i/>
          <w:sz w:val="20"/>
        </w:rPr>
        <w:t>EN: Multistate Polar Chiral Bobbers in Oxide Ferroelectrics</w:t>
      </w:r>
    </w:p>
    <w:p>
      <w:pPr>
        <w:spacing w:before="0" w:after="120"/>
      </w:pPr>
      <w:r>
        <w:rPr>
          <w:b/>
        </w:rPr>
        <w:t xml:space="preserve">Source: </w:t>
      </w:r>
      <w:r>
        <w:t>Wiley: Advanced Materials: Table of Contents</w:t>
      </w:r>
      <w:r>
        <w:t xml:space="preserve">    </w:t>
      </w:r>
      <w:r>
        <w:rPr>
          <w:b/>
        </w:rPr>
        <w:t xml:space="preserve">Pub date: </w:t>
      </w:r>
      <w:r>
        <w:t>2026-01-31 06:36:08+00:00</w:t>
      </w:r>
      <w:r>
        <w:t xml:space="preserve">    </w:t>
      </w:r>
      <w:r>
        <w:rPr>
          <w:b/>
        </w:rPr>
        <w:t xml:space="preserve">DOI: </w:t>
      </w:r>
      <w:hyperlink r:id="rId64">
        <w:r>
          <w:rPr>
            <w:color w:val="1155CC"/>
            <w:u w:val="single"/>
          </w:rPr>
          <w:t>10.1002/adma.202510518</w:t>
        </w:r>
      </w:hyperlink>
    </w:p>
    <w:p>
      <w:pPr>
        <w:spacing w:before="0" w:after="120"/>
      </w:pPr>
      <w:r>
        <w:rPr>
          <w:b/>
        </w:rPr>
        <w:t xml:space="preserve">Notes: </w:t>
      </w:r>
      <w:r>
        <w:t>abstract_source=crossref</w:t>
      </w:r>
    </w:p>
    <w:p>
      <w:pPr>
        <w:spacing w:before="0" w:after="80" w:lineRule="auto" w:line="276"/>
      </w:pPr>
      <w:r>
        <w:rPr>
          <w:b/>
        </w:rPr>
        <w:t xml:space="preserve">摘要（ZH）: </w:t>
      </w:r>
      <w:r>
        <w:t>电离氧化物中的ABSTACT极地表在将来的电子设备中,例如高密度非挥发性内存和逻辑装置等,具有潜在应用潜力。然而,在多州储存中的应用仍然基本上没有探索,因为可获取的表层状态有限。在这里,我们通过将相位模拟与偏差-校正传输电子显微镜相结合,报告了超条件(1-11)中极地手性白鲸系列(PbTiO 3) 。我们发现,手动鲸可以展示八个不同的状态,这些状态可以适用于超过传统的二进制(0/1)编码的多州储存。极地手性鲸可以很容易地被操纵。</w:t>
      </w:r>
    </w:p>
    <w:p>
      <w:pPr>
        <w:spacing w:before="0" w:after="200" w:lineRule="auto" w:line="276"/>
      </w:pPr>
      <w:r>
        <w:rPr>
          <w:b/>
        </w:rPr>
        <w:t xml:space="preserve">Abstract (EN): </w:t>
      </w:r>
      <w:r>
        <w:t>Polar topologies in ferroelectric oxides have potential applications in future electronic devices, such as high‐density non‐volatile memory and logic devices. However, their application in multistate storage remains largely unexplored, because the number of accessible topological states is limited. Here, we report a family of polar chiral bobbers in ultrathin (111)‐oriented ferroelectric PbTiO</w:t>
      </w:r>
      <w:r>
        <w:rPr>
          <w:vertAlign w:val="subscript"/>
        </w:rPr>
        <w:t>3</w:t>
      </w:r>
      <w:r>
        <w:t>films by combining phase‐field simulations with aberration‐corrected transmission electron microscopy. We find that a chiral bobber can exhibit eight distinct states, which can be applied to multistate storage exceeding the traditional binary (0/1) encoding. The polar chiral bobber can be easily manipulated with low energy to enable transitions between different states. These results suggest that polar chiral bobbers represent one of the promising candidates for applications in next‐generation topological electronics, advanced memory, and quantum computing.</w:t>
      </w:r>
    </w:p>
    <w:p>
      <w:pPr>
        <w:spacing w:before="120" w:after="120"/>
      </w:pPr>
      <w:r>
        <w:rPr>
          <w:sz w:val="18"/>
        </w:rPr>
        <w:t>——————————————————————————————————————————————————————————————————————</w:t>
      </w:r>
    </w:p>
    <w:p>
      <w:pPr>
        <w:spacing w:before="160" w:after="40" w:line="240" w:lineRule="auto"/>
      </w:pPr>
      <w:r>
        <w:rPr>
          <w:b/>
        </w:rPr>
        <w:t xml:space="preserve">[43] </w:t>
      </w:r>
      <w:hyperlink r:id="rId65">
        <w:r>
          <w:rPr>
            <w:color w:val="1155CC"/>
            <w:u w:val="single"/>
          </w:rPr>
          <w:t>Van der Waals Ferrozer Electra CInP2S6 以多螺旋体为基础的多概率计算器</w:t>
        </w:r>
      </w:hyperlink>
    </w:p>
    <w:p>
      <w:pPr>
        <w:spacing w:before="0" w:after="80"/>
      </w:pPr>
      <w:r>
        <w:rPr>
          <w:i/>
          <w:sz w:val="20"/>
        </w:rPr>
        <w:t>EN: Van der Waals Ferroelectric CuInP2S6‐based Multi‐slope In‐memory Probabilistic Computing</w:t>
      </w:r>
    </w:p>
    <w:p>
      <w:pPr>
        <w:spacing w:before="0" w:after="120"/>
      </w:pPr>
      <w:r>
        <w:rPr>
          <w:b/>
        </w:rPr>
        <w:t xml:space="preserve">Source: </w:t>
      </w:r>
      <w:r>
        <w:t>Wiley: Advanced Materials: Table of Contents</w:t>
      </w:r>
      <w:r>
        <w:t xml:space="preserve">    </w:t>
      </w:r>
      <w:r>
        <w:rPr>
          <w:b/>
        </w:rPr>
        <w:t xml:space="preserve">Pub date: </w:t>
      </w:r>
      <w:r>
        <w:t>2026-01-31 06:38:05+00:00</w:t>
      </w:r>
      <w:r>
        <w:t xml:space="preserve">    </w:t>
      </w:r>
      <w:r>
        <w:rPr>
          <w:b/>
        </w:rPr>
        <w:t xml:space="preserve">DOI: </w:t>
      </w:r>
      <w:hyperlink r:id="rId66">
        <w:r>
          <w:rPr>
            <w:color w:val="1155CC"/>
            <w:u w:val="single"/>
          </w:rPr>
          <w:t>10.1002/adma.202518284</w:t>
        </w:r>
      </w:hyperlink>
    </w:p>
    <w:p>
      <w:pPr>
        <w:spacing w:before="0" w:after="120"/>
      </w:pPr>
      <w:r>
        <w:rPr>
          <w:b/>
        </w:rPr>
        <w:t xml:space="preserve">Notes: </w:t>
      </w:r>
      <w:r>
        <w:t>abstract_source=crossref</w:t>
      </w:r>
    </w:p>
    <w:p>
      <w:pPr>
        <w:spacing w:before="0" w:after="80" w:lineRule="auto" w:line="276"/>
      </w:pPr>
      <w:r>
        <w:rPr>
          <w:b/>
        </w:rPr>
        <w:t xml:space="preserve">摘要（ZH）: </w:t>
      </w:r>
      <w:r>
        <w:t>ABSTACT 概率概率比(pbit)是概率计算(计算)的基本构件和核心元素。但是,将比子生成和存储存储物理分离,在常规的比子构造结构中造成记忆瓶颈。我们报告实验性地将可挥发的可挥发性随机比子生成和非挥发性内存功能结合到一个单一的模拟装置中,以实现与Van der Waals 铁电 CuInP 2 S 6(CIPS)的皮层。将Cu + 离子的随机移位和物质在外部电场下的再管理性极化,拟议的装置ac。</w:t>
      </w:r>
    </w:p>
    <w:p>
      <w:pPr>
        <w:spacing w:before="0" w:after="200" w:lineRule="auto" w:line="276"/>
      </w:pPr>
      <w:r>
        <w:rPr>
          <w:b/>
        </w:rPr>
        <w:t xml:space="preserve">Abstract (EN): </w:t>
      </w:r>
      <w:r>
        <w:t>Probabilistic bit (p‐bit) is the fundamental building block and core element of probabilistic computing (p‐computing). However, physical separation of bit generation and memory storage creates a memory bottleneck in conventional p‐computing architectures. We report on experimentally integrating voltage‐tunable stochastic bit generation and non‐volatile memory functionalities within a single in‐memory device to realize a p‐bit with van der Waals ferroelectric CuInP</w:t>
      </w:r>
      <w:r>
        <w:rPr>
          <w:vertAlign w:val="subscript"/>
        </w:rPr>
        <w:t>2</w:t>
      </w:r>
      <w:r>
        <w:t>S</w:t>
      </w:r>
      <w:r>
        <w:rPr>
          <w:vertAlign w:val="subscript"/>
        </w:rPr>
        <w:t>6</w:t>
      </w:r>
      <w:r>
        <w:t>(CIPS). Leveraging the stochastic displacement of Cu</w:t>
      </w:r>
      <w:r>
        <w:t xml:space="preserve"> </w:t>
      </w:r>
      <w:r>
        <w:t>+</w:t>
      </w:r>
      <w:r>
        <w:t xml:space="preserve"> </w:t>
      </w:r>
      <w:r>
        <w:t>ions and the material's remanent polarization under an external electric field, the proposed device achieves stable random bit retention (&amp;gt;1000 s) with low power consumption (∼75 nW). This eliminates the need for data transfer between separate memory and logic units, thereby enabling efficient in‐memory p‐computing with improved system‐level performance. In‐memory p‐computing outperforms conventional p‐computing in device‐to‐system‐level NP‐hard simulations, reducing time‐complexity from O(n</w:t>
      </w:r>
      <w:r>
        <w:rPr>
          <w:vertAlign w:val="subscript"/>
        </w:rPr>
        <w:t>2</w:t>
      </w:r>
      <w:r>
        <w:t>) to O(n</w:t>
      </w:r>
      <w:r>
        <w:t xml:space="preserve"> </w:t>
      </w:r>
      <w:r>
        <w:t>1.5</w:t>
      </w:r>
      <w:r>
        <w:t xml:space="preserve"> </w:t>
      </w:r>
      <w:r>
        <w:t>). Notably, the sigmoid slope of the probabilistic output is dynamically tuned by varying the CIPS layer thickness, enabling adaptive control over exploration–exploitation characteristics. Broader slopes facilitate initial exploration, whereas steeper slopes support rapid convergence in later stages. Sigmoid slope tunability over a wide dynamic range (6.17–38.41) reduces convergence steps by 400‐fold, highlighting the potential of CIPS‐based p‐bit as a compact, energy‐efficient platform for scalable and adaptive p‐computing.</w:t>
      </w:r>
    </w:p>
    <w:p>
      <w:pPr>
        <w:spacing w:before="120" w:after="120"/>
      </w:pPr>
      <w:r>
        <w:rPr>
          <w:sz w:val="18"/>
        </w:rPr>
        <w:t>——————————————————————————————————————————————————————————————————————</w:t>
      </w:r>
    </w:p>
    <w:p>
      <w:pPr>
        <w:spacing w:before="160" w:after="40" w:line="240" w:lineRule="auto"/>
      </w:pPr>
      <w:r>
        <w:rPr>
          <w:b/>
        </w:rPr>
        <w:t xml:space="preserve">[44] </w:t>
      </w:r>
      <w:hyperlink r:id="rId67">
        <w:r>
          <w:rPr>
            <w:color w:val="1155CC"/>
            <w:u w:val="single"/>
          </w:rPr>
          <w:t>[ASAP] 将自组聚的摩尔库尔限制排放的抽取量非有意增加和经变通改置在以Sn-Pb为基础的Perovskite太阳能电池室</w:t>
        </w:r>
      </w:hyperlink>
    </w:p>
    <w:p>
      <w:pPr>
        <w:spacing w:before="0" w:after="80"/>
      </w:pPr>
      <w:r>
        <w:rPr>
          <w:i/>
          <w:sz w:val="20"/>
        </w:rPr>
        <w:t>EN: [ASAP] Unintended Additive-Mediated Relocation of Self-Assembling Molecules Limits Charge Extraction in Sn–Pb-Based Perovskite Solar Cells</w:t>
      </w:r>
    </w:p>
    <w:p>
      <w:pPr>
        <w:spacing w:before="0" w:after="120"/>
      </w:pPr>
      <w:r>
        <w:rPr>
          <w:b/>
        </w:rPr>
        <w:t xml:space="preserve">Source: </w:t>
      </w:r>
      <w:r>
        <w:t>ACS Energy Letters: Latest Articles (ACS Publications)</w:t>
      </w:r>
      <w:r>
        <w:t xml:space="preserve">    </w:t>
      </w:r>
      <w:r>
        <w:rPr>
          <w:b/>
        </w:rPr>
        <w:t xml:space="preserve">Pub date: </w:t>
      </w:r>
      <w:r>
        <w:t>2026-01-31 14:26:28+00:00</w:t>
      </w:r>
      <w:r>
        <w:t xml:space="preserve">    </w:t>
      </w:r>
      <w:r>
        <w:rPr>
          <w:b/>
        </w:rPr>
        <w:t xml:space="preserve">DOI: </w:t>
      </w:r>
      <w:hyperlink r:id="rId68">
        <w:r>
          <w:rPr>
            <w:color w:val="1155CC"/>
            <w:u w:val="single"/>
          </w:rPr>
          <w:t>10.1021/acsenergylett.5c03875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69">
        <w:r>
          <w:rPr>
            <w:color w:val="1155CC"/>
            <w:u w:val="single"/>
          </w:rPr>
          <w:t>[ASAP] 晶体和不态纳MOCl4(M = Nb, Ta)固态电解解液中对等纳离传导的微生物机理</w:t>
        </w:r>
      </w:hyperlink>
    </w:p>
    <w:p>
      <w:pPr>
        <w:spacing w:before="0" w:after="80"/>
      </w:pPr>
      <w:r>
        <w:rPr>
          <w:i/>
          <w:sz w:val="20"/>
        </w:rPr>
        <w:t>EN: [ASAP] Microscopic Mechanisms of Superionic Na-ion Conductivity in Crystalline and Amorphous NaMOCl4 (M = Nb, Ta) Solid Electrolytes</w:t>
      </w:r>
    </w:p>
    <w:p>
      <w:pPr>
        <w:spacing w:before="0" w:after="120"/>
      </w:pPr>
      <w:r>
        <w:rPr>
          <w:b/>
        </w:rPr>
        <w:t xml:space="preserve">Source: </w:t>
      </w:r>
      <w:r>
        <w:t>ACS Energy Letters: Latest Articles (ACS Publications)</w:t>
      </w:r>
      <w:r>
        <w:t xml:space="preserve">    </w:t>
      </w:r>
      <w:r>
        <w:rPr>
          <w:b/>
        </w:rPr>
        <w:t xml:space="preserve">Pub date: </w:t>
      </w:r>
      <w:r>
        <w:t>2026-01-31 15:00:27+00:00</w:t>
      </w:r>
      <w:r>
        <w:t xml:space="preserve">    </w:t>
      </w:r>
      <w:r>
        <w:rPr>
          <w:b/>
        </w:rPr>
        <w:t xml:space="preserve">DOI: </w:t>
      </w:r>
      <w:hyperlink r:id="rId70">
        <w:r>
          <w:rPr>
            <w:color w:val="1155CC"/>
            <w:u w:val="single"/>
          </w:rPr>
          <w:t>10.1021/acsenergylett.5c03511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71">
        <w:r>
          <w:rPr>
            <w:color w:val="1155CC"/>
            <w:u w:val="single"/>
          </w:rPr>
          <w:t>双级分配强力协调优化整合的能源系统和基于堆叠格游戏的氢加油站</w:t>
        </w:r>
      </w:hyperlink>
    </w:p>
    <w:p>
      <w:pPr>
        <w:spacing w:before="0" w:after="80"/>
      </w:pPr>
      <w:r>
        <w:rPr>
          <w:i/>
          <w:sz w:val="20"/>
        </w:rPr>
        <w:t>EN: Bi-level distributionally robust coordinated optimization of integrateed energy system and hydrogen refueling station based on stackelberg game</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72">
        <w:r>
          <w:rPr>
            <w:color w:val="1155CC"/>
            <w:u w:val="single"/>
          </w:rPr>
          <w:t>从概念到部署:审查电子乙醇的碳到甲醇途径</w:t>
        </w:r>
      </w:hyperlink>
    </w:p>
    <w:p>
      <w:pPr>
        <w:spacing w:before="0" w:after="80"/>
      </w:pPr>
      <w:r>
        <w:rPr>
          <w:i/>
          <w:sz w:val="20"/>
        </w:rPr>
        <w:t>EN: From concept to deployment: A review of carbon-to-methanol pathways for e-methanol</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73">
        <w:r>
          <w:rPr>
            <w:color w:val="1155CC"/>
            <w:u w:val="single"/>
          </w:rPr>
          <w:t>确定纳入混合推进厂供海洋应用的混合推进厂的零排放氨用固体氧化固体燃料电池系统的电-热平衡的电-热平衡特性</w:t>
        </w:r>
      </w:hyperlink>
    </w:p>
    <w:p>
      <w:pPr>
        <w:spacing w:before="0" w:after="80"/>
      </w:pPr>
      <w:r>
        <w:rPr>
          <w:i/>
          <w:sz w:val="20"/>
        </w:rPr>
        <w:t>EN: Characterizing electro-thermal balance of zero-emission ammonia-fed solid oxide fuel cell systems integrated into hybrid propulsion plant for marine applications</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74">
        <w:r>
          <w:rPr>
            <w:color w:val="1155CC"/>
            <w:u w:val="single"/>
          </w:rPr>
          <w:t>采用稳定限制的市场清算和定价办法,协调高可再生能源电力系统的频率和电压安全</w:t>
        </w:r>
      </w:hyperlink>
    </w:p>
    <w:p>
      <w:pPr>
        <w:spacing w:before="0" w:after="80"/>
      </w:pPr>
      <w:r>
        <w:rPr>
          <w:i/>
          <w:sz w:val="20"/>
        </w:rPr>
        <w:t>EN: A stability-constrained market clearing and pricing approach for coordinated frequency and voltage security in high-renewable electric power systems</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 </w:t>
      </w:r>
      <w:hyperlink r:id="rId75">
        <w:r>
          <w:rPr>
            <w:color w:val="1155CC"/>
            <w:u w:val="single"/>
          </w:rPr>
          <w:t>PEMFCs电热降解的定量脱钩:在不对称压力下通过单一的 Sub-10微米针孔的H2交叉</w:t>
        </w:r>
      </w:hyperlink>
    </w:p>
    <w:p>
      <w:pPr>
        <w:spacing w:before="0" w:after="80"/>
      </w:pPr>
      <w:r>
        <w:rPr>
          <w:i/>
          <w:sz w:val="20"/>
        </w:rPr>
        <w:t>EN: Quantitative decoupling of electro-thermal degradation in PEMFCs: H₂ crossover through a single Sub-10 μm pinhole under asymmetric pressure</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 </w:t>
      </w:r>
      <w:hyperlink r:id="rId76">
        <w:r>
          <w:rPr>
            <w:color w:val="1155CC"/>
            <w:u w:val="single"/>
          </w:rPr>
          <w:t>人类时间叶中视觉物体编码的计算单中中子机制</w:t>
        </w:r>
      </w:hyperlink>
    </w:p>
    <w:p>
      <w:pPr>
        <w:spacing w:before="0" w:after="80"/>
      </w:pPr>
      <w:r>
        <w:rPr>
          <w:i/>
          <w:sz w:val="20"/>
        </w:rPr>
        <w:t>EN: Computational single-neuron mechanisms of visual object coding in the human temporal lobe</w:t>
      </w:r>
    </w:p>
    <w:p>
      <w:pPr>
        <w:spacing w:before="0" w:after="120"/>
      </w:pPr>
      <w:r>
        <w:rPr>
          <w:b/>
        </w:rPr>
        <w:t xml:space="preserve">Source: </w:t>
      </w:r>
      <w:r>
        <w:t>Nature Communications</w:t>
      </w:r>
      <w:r>
        <w:t xml:space="preserve">    </w:t>
      </w:r>
      <w:r>
        <w:rPr>
          <w:b/>
        </w:rPr>
        <w:t xml:space="preserve">Pub date: </w:t>
      </w:r>
      <w:r>
        <w:t>2026-02-01 00:00:00+00:00</w:t>
      </w:r>
    </w:p>
    <w:p>
      <w:pPr>
        <w:spacing w:before="0" w:after="120"/>
      </w:pPr>
      <w:r>
        <w:rPr>
          <w:b/>
        </w:rPr>
        <w:t xml:space="preserve">Notes: </w:t>
      </w:r>
      <w:r>
        <w:t>abstract_source=nature_html</w:t>
      </w:r>
    </w:p>
    <w:p>
      <w:pPr>
        <w:spacing w:before="0" w:after="80" w:lineRule="auto" w:line="276"/>
      </w:pPr>
      <w:r>
        <w:rPr>
          <w:b/>
        </w:rPr>
        <w:t xml:space="preserve">摘要（ZH）: </w:t>
      </w:r>
      <w:r>
        <w:t>了解人类大脑如何将视觉物体编码为视觉物体,如何在时间叶上解码神经计算和电路。在这里,我们记录了人类脑内神经计算和电路的时间皮层(VTC)和中间时间叶(MTL)以及MTL中的单中子活动,以调查神经物体编码的计算机制。VTC展示了轴基地物编码,并且可以使用VTC神经轴来构建神经特征空间,在VTC神经轴中,视觉物体按照高水平绝对关系组合在一起。重要的是,MTL神经元在这个VTC神经特征空间中编码了可接受的域,展示了对共同概念和概念相似的物体的选择性反应。因此,这个计算框架可以解释。</w:t>
      </w:r>
    </w:p>
    <w:p>
      <w:pPr>
        <w:spacing w:before="0" w:after="200" w:lineRule="auto" w:line="276"/>
      </w:pPr>
      <w:r>
        <w:rPr>
          <w:b/>
        </w:rPr>
        <w:t xml:space="preserve">Abstract (EN): </w:t>
      </w:r>
      <w:r>
        <w:t>Understanding how the human brain encodes visual objects involves deciphering the neural computations and circuits in the temporal lobe. Here, we recorded intracranial EEG from the human ventral temporal cortex (VTC) and medial temporal lobe (MTL), as well as single-neuron activity in the MTL, to investigate the computational mechanisms of neural object coding. The VTC exhibited axis-based feature coding, and a neural feature space could be constructed using VTC neural axes, within which visual objects clustered according to high-level categorical relationships. Importantly, MTL neurons encoded receptive fields within this VTC neural feature space, exhibiting selective responses to objects that shared perceptual and conceptual similarities. This computational framework, therefore, explains how dense, feature-based representations in the VTC are transformed into sparse, high-level representations in the MTL. We further validated our findings using an additional dataset with different stimuli. Notably, we uncovered the physiological basis of this computational framework by demonstrating VTC-MTL interactions at multiple levels. Together, our neural computational framework provides a mechanistic understanding of the neural processes underlying object recognition.</w:t>
      </w:r>
    </w:p>
    <w:p>
      <w:pPr>
        <w:spacing w:before="120" w:after="120"/>
      </w:pPr>
      <w:r>
        <w:rPr>
          <w:sz w:val="18"/>
        </w:rPr>
        <w:t>——————————————————————————————————————————————————————————————————————</w:t>
      </w:r>
    </w:p>
    <w:p>
      <w:pPr>
        <w:spacing w:before="160" w:after="40" w:line="240" w:lineRule="auto"/>
      </w:pPr>
      <w:r>
        <w:rPr>
          <w:b/>
        </w:rPr>
        <w:t xml:space="preserve">[52] </w:t>
      </w:r>
      <w:hyperlink r:id="rId77">
        <w:r>
          <w:rPr>
            <w:color w:val="1155CC"/>
            <w:u w:val="single"/>
          </w:rPr>
          <w:t>评估作为电动车辆充电站潜在能源捕获系统的CIGS和Cdte薄壁太阳能光伏发电:印度的比较案例研究</w:t>
        </w:r>
      </w:hyperlink>
    </w:p>
    <w:p>
      <w:pPr>
        <w:spacing w:before="0" w:after="80"/>
      </w:pPr>
      <w:r>
        <w:rPr>
          <w:i/>
          <w:sz w:val="20"/>
        </w:rPr>
        <w:t>EN: Assessment of CIGS and CdTe thin-walled solar photovoltaics as potential energy capture Systems for Electric-Vehicle Charging Stations: A comparative case study in India</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 </w:t>
      </w:r>
      <w:hyperlink r:id="rId78">
        <w:r>
          <w:rPr>
            <w:color w:val="1155CC"/>
            <w:u w:val="single"/>
          </w:rPr>
          <w:t>考虑到经济、抗御力和低碳,岛屿分配网络氢能源储存的总体纳什均衡制最佳配置,考虑到经济、抗御力和低碳</w:t>
        </w:r>
      </w:hyperlink>
    </w:p>
    <w:p>
      <w:pPr>
        <w:spacing w:before="0" w:after="80"/>
      </w:pPr>
      <w:r>
        <w:rPr>
          <w:i/>
          <w:sz w:val="20"/>
        </w:rPr>
        <w:t>EN: Generalized Nash equilibrium-based optimal configuration of hydrogen energy storage in island distribution networks considering economy, resilience, and low-carbon</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79">
        <w:r>
          <w:rPr>
            <w:color w:val="1155CC"/>
            <w:u w:val="single"/>
          </w:rPr>
          <w:t>欧洲能否实现无碳化? 对欧盟成员国可持续绿色钢生产绩效的评价</w:t>
        </w:r>
      </w:hyperlink>
    </w:p>
    <w:p>
      <w:pPr>
        <w:spacing w:before="0" w:after="80"/>
      </w:pPr>
      <w:r>
        <w:rPr>
          <w:i/>
          <w:sz w:val="20"/>
        </w:rPr>
        <w:t>EN: Is a carbon-free Europe possible? Evaluation of sustainable green steel production performance in EU member states</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 </w:t>
      </w:r>
      <w:hyperlink r:id="rId80">
        <w:r>
          <w:rPr>
            <w:color w:val="1155CC"/>
            <w:u w:val="single"/>
          </w:rPr>
          <w:t>增强的无人驾驶航空器协助车辆边缘计算系统联合能源和QOS优化的MADDPG框架</w:t>
        </w:r>
      </w:hyperlink>
    </w:p>
    <w:p>
      <w:pPr>
        <w:spacing w:before="0" w:after="80"/>
      </w:pPr>
      <w:r>
        <w:rPr>
          <w:i/>
          <w:sz w:val="20"/>
        </w:rPr>
        <w:t>EN: An enhanced MADDPG framework for joint energy and QoS optimization in UAV-assisted vehicular edge computing system</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 </w:t>
      </w:r>
      <w:hyperlink r:id="rId81">
        <w:r>
          <w:rPr>
            <w:color w:val="1155CC"/>
            <w:u w:val="single"/>
          </w:rPr>
          <w:t>考虑到电池老化和二氧化碳排放量,家用能源系统的最佳时间安排,考虑到电池老化和二氧化碳排放量</w:t>
        </w:r>
      </w:hyperlink>
    </w:p>
    <w:p>
      <w:pPr>
        <w:spacing w:before="0" w:after="80"/>
      </w:pPr>
      <w:r>
        <w:rPr>
          <w:i/>
          <w:sz w:val="20"/>
        </w:rPr>
        <w:t>EN: Optimal scheduling of home energy systems considering battery aging and CO2 emissions</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82">
        <w:r>
          <w:rPr>
            <w:color w:val="1155CC"/>
            <w:u w:val="single"/>
          </w:rPr>
          <w:t>利用推广强化学习,节能温室气候控制</w:t>
        </w:r>
      </w:hyperlink>
    </w:p>
    <w:p>
      <w:pPr>
        <w:spacing w:before="0" w:after="80"/>
      </w:pPr>
      <w:r>
        <w:rPr>
          <w:i/>
          <w:sz w:val="20"/>
        </w:rPr>
        <w:t>EN: Energy-efficient greenhouse climate control with diffusion reinforcement learning</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83">
        <w:r>
          <w:rPr>
            <w:color w:val="1155CC"/>
            <w:u w:val="single"/>
          </w:rPr>
          <w:t>考虑动态交通流量分布动态的能源运输网络复原力改善战略:多型移动应急资源协作安排</w:t>
        </w:r>
      </w:hyperlink>
    </w:p>
    <w:p>
      <w:pPr>
        <w:spacing w:before="0" w:after="80"/>
      </w:pPr>
      <w:r>
        <w:rPr>
          <w:i/>
          <w:sz w:val="20"/>
        </w:rPr>
        <w:t>EN: Coupled energy-transportation network resilience improvement strategy considering dynamic traffic flow distribution: Multi-type Mobile emergency resources collaborative scheduling</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 </w:t>
      </w:r>
      <w:hyperlink r:id="rId84">
        <w:r>
          <w:rPr>
            <w:color w:val="1155CC"/>
            <w:u w:val="single"/>
          </w:rPr>
          <w:t>3D 跨流SOFCs的能源地形学网络建模方法:综合评价多物理学实地结合和协同反应</w:t>
        </w:r>
      </w:hyperlink>
    </w:p>
    <w:p>
      <w:pPr>
        <w:spacing w:before="0" w:after="80"/>
      </w:pPr>
      <w:r>
        <w:rPr>
          <w:i/>
          <w:sz w:val="20"/>
        </w:rPr>
        <w:t>EN: A 3D energy topology network modeling approach for cross-flow SOFCs: comprehensive evaluation of multi-physics field coupling and synergistic responses</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85">
        <w:r>
          <w:rPr>
            <w:color w:val="1155CC"/>
            <w:u w:val="single"/>
          </w:rPr>
          <w:t>对使用贝叶斯优化的高压PEMEC作业的安全和经济权衡</w:t>
        </w:r>
      </w:hyperlink>
    </w:p>
    <w:p>
      <w:pPr>
        <w:spacing w:before="0" w:after="80"/>
      </w:pPr>
      <w:r>
        <w:rPr>
          <w:i/>
          <w:sz w:val="20"/>
        </w:rPr>
        <w:t>EN: Insight into safety and economic trade-offs for high-pressure PEMEC operation using Bayesian optimization</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 </w:t>
      </w:r>
      <w:hyperlink r:id="rId86">
        <w:r>
          <w:rPr>
            <w:color w:val="1155CC"/>
            <w:u w:val="single"/>
          </w:rPr>
          <w:t>通过技术服务业务模式和以碳交易奖励措施实现双级优化,促进广泛参与CCUS系统</w:t>
        </w:r>
      </w:hyperlink>
    </w:p>
    <w:p>
      <w:pPr>
        <w:spacing w:before="0" w:after="80"/>
      </w:pPr>
      <w:r>
        <w:rPr>
          <w:i/>
          <w:sz w:val="20"/>
        </w:rPr>
        <w:t>EN: Promoting broad participation in CCUS system via a technical service business model and bi-level optimization with carbon trading incentives</w:t>
      </w:r>
    </w:p>
    <w:p>
      <w:pPr>
        <w:spacing w:before="0" w:after="120"/>
      </w:pPr>
      <w:r>
        <w:rPr>
          <w:b/>
        </w:rPr>
        <w:t xml:space="preserve">Source: </w:t>
      </w:r>
      <w:r>
        <w:t>ScienceDirect Publication: Energy Policy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87">
        <w:r>
          <w:rPr>
            <w:color w:val="1155CC"/>
            <w:u w:val="single"/>
          </w:rPr>
          <w:t>燃料能源贫穷? 关于毁林在发展中国家的作用的证据</w:t>
        </w:r>
      </w:hyperlink>
    </w:p>
    <w:p>
      <w:pPr>
        <w:spacing w:before="0" w:after="80"/>
      </w:pPr>
      <w:r>
        <w:rPr>
          <w:i/>
          <w:sz w:val="20"/>
        </w:rPr>
        <w:t>EN: Fuelling energy poverty? Evidence on the role of deforestation in developing countries</w:t>
      </w:r>
    </w:p>
    <w:p>
      <w:pPr>
        <w:spacing w:before="0" w:after="120"/>
      </w:pPr>
      <w:r>
        <w:rPr>
          <w:b/>
        </w:rPr>
        <w:t xml:space="preserve">Source: </w:t>
      </w:r>
      <w:r>
        <w:t>ScienceDirect Publication: Energy Policy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88">
        <w:r>
          <w:rPr>
            <w:color w:val="1155CC"/>
            <w:u w:val="single"/>
          </w:rPr>
          <w:t>风力农场分布式数据中心基础设施的节能优化运作:多试剂系统办法</w:t>
        </w:r>
      </w:hyperlink>
    </w:p>
    <w:p>
      <w:pPr>
        <w:spacing w:before="0" w:after="80"/>
      </w:pPr>
      <w:r>
        <w:rPr>
          <w:i/>
          <w:sz w:val="20"/>
        </w:rPr>
        <w:t>EN: Energy-optimized operation of a distributed data center infrastructure located in wind farms: a multi-agent system approach</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89">
        <w:r>
          <w:rPr>
            <w:color w:val="1155CC"/>
            <w:u w:val="single"/>
          </w:rPr>
          <w:t>使用扩大的多物理学数字模型设计和分析高能效大型金属氢氢化氢储存系统</w:t>
        </w:r>
      </w:hyperlink>
    </w:p>
    <w:p>
      <w:pPr>
        <w:spacing w:before="0" w:after="80"/>
      </w:pPr>
      <w:r>
        <w:rPr>
          <w:i/>
          <w:sz w:val="20"/>
        </w:rPr>
        <w:t>EN: Design and analysis of an energy-efficient, large scale metal hydride hydrogen storage system using an extended multi-physics numerical model</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 </w:t>
      </w:r>
      <w:hyperlink r:id="rId90">
        <w:r>
          <w:rPr>
            <w:color w:val="1155CC"/>
            <w:u w:val="single"/>
          </w:rPr>
          <w:t>创新还是收缩? 解除巴西碳税和补贴对排放的影响</w:t>
        </w:r>
      </w:hyperlink>
    </w:p>
    <w:p>
      <w:pPr>
        <w:spacing w:before="0" w:after="80"/>
      </w:pPr>
      <w:r>
        <w:rPr>
          <w:i/>
          <w:sz w:val="20"/>
        </w:rPr>
        <w:t>EN: Innovation or contraction? Unpacking the effects of carbon taxes and subsidies on emissions in Brazil</w:t>
      </w:r>
    </w:p>
    <w:p>
      <w:pPr>
        <w:spacing w:before="0" w:after="120"/>
      </w:pPr>
      <w:r>
        <w:rPr>
          <w:b/>
        </w:rPr>
        <w:t xml:space="preserve">Source: </w:t>
      </w:r>
      <w:r>
        <w:t>ScienceDirect Publication: Energy Policy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 </w:t>
      </w:r>
      <w:hyperlink r:id="rId91">
        <w:r>
          <w:rPr>
            <w:color w:val="1155CC"/>
            <w:u w:val="single"/>
          </w:rPr>
          <w:t>进行规模分析和经济可行性评估,对近海浮动电动船只充电站进行规模分析和经济可行性评估,以促进可持续发展</w:t>
        </w:r>
      </w:hyperlink>
    </w:p>
    <w:p>
      <w:pPr>
        <w:spacing w:before="0" w:after="80"/>
      </w:pPr>
      <w:r>
        <w:rPr>
          <w:i/>
          <w:sz w:val="20"/>
        </w:rPr>
        <w:t>EN: Sizing analysis and economic feasibility evaluations of offshore floating electric vessel charging stations for sustainable development</w:t>
      </w:r>
    </w:p>
    <w:p>
      <w:pPr>
        <w:spacing w:before="0" w:after="120"/>
      </w:pPr>
      <w:r>
        <w:rPr>
          <w:b/>
        </w:rPr>
        <w:t xml:space="preserve">Source: </w:t>
      </w:r>
      <w:r>
        <w:t>ScienceDirect Publication: Applied Energy</w:t>
      </w:r>
      <w:r>
        <w:t xml:space="preserve">    </w:t>
      </w:r>
      <w:r>
        <w:rPr>
          <w:b/>
        </w:rPr>
        <w:t xml:space="preserve">Pub date: </w:t>
      </w:r>
      <w:r>
        <w:t>2026-02-01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92">
        <w:r>
          <w:rPr>
            <w:color w:val="1155CC"/>
            <w:u w:val="single"/>
          </w:rPr>
          <w:t>[ASAP] 表面活性拉耳工程能够促进增长途径的切换和扭转甲状腺中甲状腺类动物的亚甲状腺活动</w:t>
        </w:r>
      </w:hyperlink>
    </w:p>
    <w:p>
      <w:pPr>
        <w:spacing w:before="0" w:after="80"/>
      </w:pPr>
      <w:r>
        <w:rPr>
          <w:i/>
          <w:sz w:val="20"/>
        </w:rPr>
        <w:t>EN: [ASAP] Surfactant-Layer Engineering Enables Growth Pathway Switching and Reversal of Chiroptical Activity in Helicoid Gold Nanocrystals</w:t>
      </w:r>
    </w:p>
    <w:p>
      <w:pPr>
        <w:spacing w:before="0" w:after="120"/>
      </w:pPr>
      <w:r>
        <w:rPr>
          <w:b/>
        </w:rPr>
        <w:t xml:space="preserve">Source: </w:t>
      </w:r>
      <w:r>
        <w:t>Journal of the American Chemical Society: Latest Articles (ACS Publications)</w:t>
      </w:r>
      <w:r>
        <w:t xml:space="preserve">    </w:t>
      </w:r>
      <w:r>
        <w:rPr>
          <w:b/>
        </w:rPr>
        <w:t xml:space="preserve">Pub date: </w:t>
      </w:r>
      <w:r>
        <w:t>2026-02-01 13:53:31+00:00</w:t>
      </w:r>
      <w:r>
        <w:t xml:space="preserve">    </w:t>
      </w:r>
      <w:r>
        <w:rPr>
          <w:b/>
        </w:rPr>
        <w:t xml:space="preserve">DOI: </w:t>
      </w:r>
      <w:hyperlink r:id="rId93">
        <w:r>
          <w:rPr>
            <w:color w:val="1155CC"/>
            <w:u w:val="single"/>
          </w:rPr>
          <w:t>10.1021/jacs.5c20595</w:t>
        </w:r>
      </w:hyperlink>
    </w:p>
    <w:p>
      <w:pPr>
        <w:spacing w:before="0" w:after="120"/>
      </w:pPr>
      <w:r>
        <w:rPr>
          <w:b/>
        </w:rPr>
        <w:t xml:space="preserve">Notes: </w:t>
      </w:r>
      <w:r>
        <w:t>abstract_source=pubmed; must_have_abstract=True</w:t>
      </w:r>
    </w:p>
    <w:p>
      <w:pPr>
        <w:spacing w:before="0" w:after="80" w:lineRule="auto" w:line="276"/>
      </w:pPr>
      <w:r>
        <w:rPr>
          <w:b/>
        </w:rPr>
        <w:t xml:space="preserve">摘要（ZH）: </w:t>
      </w:r>
      <w:r>
        <w:t>精确控制其手性需要合成的进步和对纳米内分泌生长、结构手性以及手动活动之间的相互作用的更深入理解。在这里,我们报告了一个表面活性层工程战略,通过将芳香添加剂,特别是5-溴硅酸(5-BSA)引入合成系统,以细胞作为手力导剂,将芳香添加剂引入合成系统,从而能够转换Au纳米内分泌的生长途径,并逆转肝脏中的有机信号。</w:t>
      </w:r>
    </w:p>
    <w:p>
      <w:pPr>
        <w:spacing w:before="0" w:after="200" w:lineRule="auto" w:line="276"/>
      </w:pPr>
      <w:r>
        <w:rPr>
          <w:b/>
        </w:rPr>
        <w:t xml:space="preserve">Abstract (EN): </w:t>
      </w:r>
      <w:r>
        <w:t>Helicoid gold (Au) nanocrystals exhibit pronounced chiroplasmonic responses arising from their three-dimensional chiral morphology and strong light-matter interactions. Achieving precise control over their chirality requires synthetic advances and a deeper understanding of the interplay among nanocrystal growth, structural chirality, and chiroptical activity. Here, we report a surfactant-layer engineering strategy that enables switching of growth pathways and reversal of chiroptical signals in helicoid Au nanocrystals by introducing aromatic additives, particularly 5-bromosalicylic acid (5-BSA), into a synthesis system using cysteine as chiral inducers. The incorporation of 5-BSA alters the growth pathway of helicoid Au nanocrystals, resulting in a transition in chiral morphology from C4-type pinwheel-like structures to C3-type propeller-like structures, accompanied by a reversal of the g-factor from -0.14 to +0.09. Mechanistic investigations reveal that 5-BSA modulates the surfactant interface, altering the relative growth rates along the ⟨100⟩ and ⟨111⟩ directions and deepening the concaveness of Au nanocrystals, which contributes to the reversal of chiroptical activity and the large g-factors. The strategy is generalizable to diverse aromatic molecules and chiral inducers, enabling the use of a single chiral inducer in one enantiomeric form to produce nanostructures with opposite signs of the chiroptical response. This work provides a flexible synthesis route for chiroplasmonic materials and deepens the mechanistic understanding linking enantioselective anisotropic growth and chiroptical responses.</w:t>
      </w:r>
    </w:p>
    <w:p>
      <w:pPr>
        <w:spacing w:before="120" w:after="120"/>
      </w:pPr>
      <w:r>
        <w:rPr>
          <w:sz w:val="18"/>
        </w:rPr>
        <w:t>——————————————————————————————————————————————————————————————————————</w:t>
      </w:r>
    </w:p>
    <w:p>
      <w:pPr>
        <w:spacing w:before="160" w:after="40" w:line="240" w:lineRule="auto"/>
      </w:pPr>
      <w:r>
        <w:rPr>
          <w:b/>
        </w:rPr>
        <w:t xml:space="preserve">[68] </w:t>
      </w:r>
      <w:hyperlink r:id="rId94">
        <w:r>
          <w:rPr>
            <w:color w:val="1155CC"/>
            <w:u w:val="single"/>
          </w:rPr>
          <w:t>[ASAP] 分子再处理调解者对电化学二氧化碳捕获的脉冲超超强功率测量</w:t>
        </w:r>
      </w:hyperlink>
    </w:p>
    <w:p>
      <w:pPr>
        <w:spacing w:before="0" w:after="80"/>
      </w:pPr>
      <w:r>
        <w:rPr>
          <w:i/>
          <w:sz w:val="20"/>
        </w:rPr>
        <w:t>EN: [ASAP] Pulsed Chronopotentiometry for Electrochemical CO2 Capture with Molecular Redox Mediators</w:t>
      </w:r>
    </w:p>
    <w:p>
      <w:pPr>
        <w:spacing w:before="0" w:after="120"/>
      </w:pPr>
      <w:r>
        <w:rPr>
          <w:b/>
        </w:rPr>
        <w:t xml:space="preserve">Source: </w:t>
      </w:r>
      <w:r>
        <w:t>ACS Energy Letters: Latest Articles (ACS Publications)</w:t>
      </w:r>
      <w:r>
        <w:t xml:space="preserve">    </w:t>
      </w:r>
      <w:r>
        <w:rPr>
          <w:b/>
        </w:rPr>
        <w:t xml:space="preserve">Pub date: </w:t>
      </w:r>
      <w:r>
        <w:t>2026-02-01 13:55:22+00:00</w:t>
      </w:r>
      <w:r>
        <w:t xml:space="preserve">    </w:t>
      </w:r>
      <w:r>
        <w:rPr>
          <w:b/>
        </w:rPr>
        <w:t xml:space="preserve">DOI: </w:t>
      </w:r>
      <w:hyperlink r:id="rId95">
        <w:r>
          <w:rPr>
            <w:color w:val="1155CC"/>
            <w:u w:val="single"/>
          </w:rPr>
          <w:t>10.1021/acsenergylett.5c03844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96">
        <w:r>
          <w:rPr>
            <w:color w:val="1155CC"/>
            <w:u w:val="single"/>
          </w:rPr>
          <w:t>[ASAP] 从机制到计量:将定量透视纳入固体状态电解解液的潮流稳定性</w:t>
        </w:r>
      </w:hyperlink>
    </w:p>
    <w:p>
      <w:pPr>
        <w:spacing w:before="0" w:after="80"/>
      </w:pPr>
      <w:r>
        <w:rPr>
          <w:i/>
          <w:sz w:val="20"/>
        </w:rPr>
        <w:t>EN: [ASAP] From Mechanism to Metrics: Quantitative Insights into Moisture Stability of Solid-State Electrolytes</w:t>
      </w:r>
    </w:p>
    <w:p>
      <w:pPr>
        <w:spacing w:before="0" w:after="120"/>
      </w:pPr>
      <w:r>
        <w:rPr>
          <w:b/>
        </w:rPr>
        <w:t xml:space="preserve">Source: </w:t>
      </w:r>
      <w:r>
        <w:t>ACS Energy Letters: Latest Articles (ACS Publications)</w:t>
      </w:r>
      <w:r>
        <w:t xml:space="preserve">    </w:t>
      </w:r>
      <w:r>
        <w:rPr>
          <w:b/>
        </w:rPr>
        <w:t xml:space="preserve">Pub date: </w:t>
      </w:r>
      <w:r>
        <w:t>2026-02-01 14:57:17+00:00</w:t>
      </w:r>
      <w:r>
        <w:t xml:space="preserve">    </w:t>
      </w:r>
      <w:r>
        <w:rPr>
          <w:b/>
        </w:rPr>
        <w:t xml:space="preserve">DOI: </w:t>
      </w:r>
      <w:hyperlink r:id="rId97">
        <w:r>
          <w:rPr>
            <w:color w:val="1155CC"/>
            <w:u w:val="single"/>
          </w:rPr>
          <w:t>10.1021/acsenergylett.5c03792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98">
        <w:r>
          <w:rPr>
            <w:color w:val="1155CC"/>
            <w:u w:val="single"/>
          </w:rPr>
          <w:t>[ASAP]用聚硫化物反射和反阴极保护自我隔离三极聚合体电解法稳定全固态李-S电池</w:t>
        </w:r>
      </w:hyperlink>
    </w:p>
    <w:p>
      <w:pPr>
        <w:spacing w:before="0" w:after="80"/>
      </w:pPr>
      <w:r>
        <w:rPr>
          <w:i/>
          <w:sz w:val="20"/>
        </w:rPr>
        <w:t>EN: [ASAP] Stabilizing All-Solid-State Li–S Batteries by a Polysulfide-Repelling and Anode-Protecting Self-Segregated Trilayer Polymer Electrolyte</w:t>
      </w:r>
    </w:p>
    <w:p>
      <w:pPr>
        <w:spacing w:before="0" w:after="120"/>
      </w:pPr>
      <w:r>
        <w:rPr>
          <w:b/>
        </w:rPr>
        <w:t xml:space="preserve">Source: </w:t>
      </w:r>
      <w:r>
        <w:t>Journal of the American Chemical Society: Latest Articles (ACS Publications)</w:t>
      </w:r>
      <w:r>
        <w:t xml:space="preserve">    </w:t>
      </w:r>
      <w:r>
        <w:rPr>
          <w:b/>
        </w:rPr>
        <w:t xml:space="preserve">Pub date: </w:t>
      </w:r>
      <w:r>
        <w:t>2026-02-01 18:05:15+00:00</w:t>
      </w:r>
      <w:r>
        <w:t xml:space="preserve">    </w:t>
      </w:r>
      <w:r>
        <w:rPr>
          <w:b/>
        </w:rPr>
        <w:t xml:space="preserve">DOI: </w:t>
      </w:r>
      <w:hyperlink r:id="rId99">
        <w:r>
          <w:rPr>
            <w:color w:val="1155CC"/>
            <w:u w:val="single"/>
          </w:rPr>
          <w:t>10.1021/jacs.5c18042</w:t>
        </w:r>
      </w:hyperlink>
    </w:p>
    <w:p>
      <w:pPr>
        <w:spacing w:before="0" w:after="120"/>
      </w:pPr>
      <w:r>
        <w:rPr>
          <w:b/>
        </w:rPr>
        <w:t xml:space="preserve">Notes: </w:t>
      </w:r>
      <w:r>
        <w:t>abstract_source=pubmed</w:t>
      </w:r>
    </w:p>
    <w:p>
      <w:pPr>
        <w:spacing w:before="0" w:after="80" w:lineRule="auto" w:line="276"/>
      </w:pPr>
      <w:r>
        <w:rPr>
          <w:b/>
        </w:rPr>
        <w:t xml:space="preserve">摘要（ZH）: </w:t>
      </w:r>
      <w:r>
        <w:t>对锂聚硫化物(LIPS)迁移进行合理管理,对于稳定、高能密度的Li-S电池至关重要,我们引入了一种独立、自分离的三层聚合电解解液(TLE),在阴极和阳极界面形成两层纳米硫化物、离子选择性涂层和阴极介面,通过两个不相容的聚合物的自主分离,同时保持高度导导电散体矩阵。在Li-S细胞中,这些涂层同时在硫磺阴极喷出溶解的LIPS,并在不牺牲离子运输的情况下稳定锂电镀和脱入李金属阳极。</w:t>
      </w:r>
    </w:p>
    <w:p>
      <w:pPr>
        <w:spacing w:before="0" w:after="200" w:lineRule="auto" w:line="276"/>
      </w:pPr>
      <w:r>
        <w:rPr>
          <w:b/>
        </w:rPr>
        <w:t xml:space="preserve">Abstract (EN): </w:t>
      </w:r>
      <w:r>
        <w:t>Rational management of lithium polysulfide (LiPS) transport is essential for stable, high-energy-density Li-S batteries. We introduce a freestanding, self-segregated trilayer polymer electrolyte (TLE) that forms two layers of nanometer-thin, ion-selective coatings at the cathode and anode interfaces by autonomous phase separation of two immiscible polymers while preserving a highly conductive bulk matrix. In Li-S cells, these coatings simultaneously repel dissolved LiPS at the sulfur cathode and stabilize lithium plating and stripping at the Li metal anode without sacrificing ion transport. Operando optical cell monitoring and theoretical modeling reveal that the dual-functional coatings are responsible for stable Li metal anode operation and effective shuttle suppression. The TLE enables an initial discharge capacity of 1369 mAh g-1 (81.7% of theoretical) and maintains a stable capacity over 50 cycles at 0.2C. Fabricated by a single-step casting process, this scalable electrolyte membrane offers a practical route to durable, all-solid-state Li-S batteries.</w:t>
      </w:r>
    </w:p>
    <w:p>
      <w:pPr>
        <w:spacing w:before="120" w:after="120"/>
      </w:pPr>
      <w:r>
        <w:rPr>
          <w:sz w:val="18"/>
        </w:rPr>
        <w:t>——————————————————————————————————————————————————————————————————————</w:t>
      </w:r>
    </w:p>
    <w:p>
      <w:pPr>
        <w:spacing w:before="160" w:after="40" w:line="240" w:lineRule="auto"/>
      </w:pPr>
      <w:r>
        <w:rPr>
          <w:b/>
        </w:rPr>
        <w:t xml:space="preserve">[71] </w:t>
      </w:r>
      <w:hyperlink r:id="rId100">
        <w:r>
          <w:rPr>
            <w:color w:val="1155CC"/>
            <w:u w:val="single"/>
          </w:rPr>
          <w:t>[ASAP] 反芳烃性救济 -- -- 计量的分子内电荷转移能够使极地溶剂的高效和稳定的激进排放得以实现</w:t>
        </w:r>
      </w:hyperlink>
    </w:p>
    <w:p>
      <w:pPr>
        <w:spacing w:before="0" w:after="80"/>
      </w:pPr>
      <w:r>
        <w:rPr>
          <w:i/>
          <w:sz w:val="20"/>
        </w:rPr>
        <w:t>EN: [ASAP] Antiaromaticity Relief-Mediated Intramolecular Charge Transfer Enables Efficient and Stable Radical Emission in Polar Solvents</w:t>
      </w:r>
    </w:p>
    <w:p>
      <w:pPr>
        <w:spacing w:before="0" w:after="120"/>
      </w:pPr>
      <w:r>
        <w:rPr>
          <w:b/>
        </w:rPr>
        <w:t xml:space="preserve">Source: </w:t>
      </w:r>
      <w:r>
        <w:t>Journal of the American Chemical Society: Latest Articles (ACS Publications)</w:t>
      </w:r>
      <w:r>
        <w:t xml:space="preserve">    </w:t>
      </w:r>
      <w:r>
        <w:rPr>
          <w:b/>
        </w:rPr>
        <w:t xml:space="preserve">Pub date: </w:t>
      </w:r>
      <w:r>
        <w:t>2026-02-01 18:06:23+00:00</w:t>
      </w:r>
      <w:r>
        <w:t xml:space="preserve">    </w:t>
      </w:r>
      <w:r>
        <w:rPr>
          <w:b/>
        </w:rPr>
        <w:t xml:space="preserve">DOI: </w:t>
      </w:r>
      <w:hyperlink r:id="rId101">
        <w:r>
          <w:rPr>
            <w:color w:val="1155CC"/>
            <w:u w:val="single"/>
          </w:rPr>
          <w:t>10.1021/jacs.5c19217</w:t>
        </w:r>
      </w:hyperlink>
    </w:p>
    <w:p>
      <w:pPr>
        <w:spacing w:before="0" w:after="120"/>
      </w:pPr>
      <w:r>
        <w:rPr>
          <w:b/>
        </w:rPr>
        <w:t xml:space="preserve">Notes: </w:t>
      </w:r>
      <w:r>
        <w:t>abstract_source=pubmed</w:t>
      </w:r>
    </w:p>
    <w:p>
      <w:pPr>
        <w:spacing w:before="0" w:after="80" w:lineRule="auto" w:line="276"/>
      </w:pPr>
      <w:r>
        <w:rPr>
          <w:b/>
        </w:rPr>
        <w:t xml:space="preserve">摘要（ZH）: </w:t>
      </w:r>
      <w:r>
        <w:t>三苯基(三苯基)基已显示出可用于有机光电子和脊柱应用的潜力,然而,由于外生对称碳氢化合物的光度低,实用的三丁基结构的设计仅限于捐助方-激进分子内电荷转移系统,以打破对流的对称,从而导致极地溶剂的低排放和可光化性。在这里,我们合成了一系列基于三(2,4,4,6-三氯苯)甲基(TTTM)的中性基,采用9H-三苯[b,d,f]氨(TBA)环,将20-电子作为捐助群体。与其他基于TTM的D-A基基相反,这些TBA基在发光电效率方面表现出独特和优异的特性(丙硝酸中的56%)和(丙硝酸中的56%)以及</w:t>
      </w:r>
    </w:p>
    <w:p>
      <w:pPr>
        <w:spacing w:before="0" w:after="200" w:lineRule="auto" w:line="276"/>
      </w:pPr>
      <w:r>
        <w:rPr>
          <w:b/>
        </w:rPr>
        <w:t xml:space="preserve">Abstract (EN): </w:t>
      </w:r>
      <w:r>
        <w:t>Triphenylmethyl (trityl) radicals have shown potential for use in organic optoelectronic and spintronic applications. However, due to the poor luminescence of alternant symmetry hydrocarbons, the design of practical trityl structures has been limited to donor-radical intramolecular charge-transfer systems to break the alternant symmetry, which results in poor emission and photostability in polar solvents. Here, we synthesized a series of donor-acceptor (D-A•) neutral radicals based on the tris(2,4,6-trichlorophenyl)methyl (TTM) radical moiety by introducing the 9H-tribenzo[b,d,f]azepine (TBA) ring with 20 π electrons as a donor group. In contrast to other TTM-based D-A• radicals, these TBA radicals exhibit unique and superior properties for luminescent efficiency (56% in acetonitrile) and photostability (t1/2= 4.3 × 105 s, with estimated half-lives reaching up to several days) in polar solvents. Transient absorption (TA) spectra reveal the occurrence of an efficient transformation from the Franck-Condon (FC) state to the zwitterionic resonance intramolecular charge-transfer (ICT) state with a time constant of a few picoseconds. Due to the zwitterionic resonance ICT character, nonradiative decay channels, which are dominated by high-frequency modes (over 1000 cm-1) in TBA radicals, can be efficiently suppressed. The present study highlights the promotion of antiaromaticity relief in luminescent radicals and offers a valuable viewpoint for understanding the ICT excited-state dynamics of D-A-type dyads in polar solvents.</w:t>
      </w:r>
    </w:p>
    <w:p>
      <w:pPr>
        <w:spacing w:before="120" w:after="120"/>
      </w:pPr>
      <w:r>
        <w:rPr>
          <w:sz w:val="18"/>
        </w:rPr>
        <w:t>——————————————————————————————————————————————————————————————————————</w:t>
      </w:r>
    </w:p>
    <w:p>
      <w:pPr>
        <w:spacing w:before="160" w:after="40" w:line="240" w:lineRule="auto"/>
      </w:pPr>
      <w:r>
        <w:rPr>
          <w:b/>
        </w:rPr>
        <w:t xml:space="preserve">[72] </w:t>
      </w:r>
      <w:hyperlink r:id="rId102">
        <w:r>
          <w:rPr>
            <w:color w:val="1155CC"/>
            <w:u w:val="single"/>
          </w:rPr>
          <w:t>[阿 重新思考Zn-I2电池的四电离电碘再处理机制</w:t>
        </w:r>
      </w:hyperlink>
    </w:p>
    <w:p>
      <w:pPr>
        <w:spacing w:before="0" w:after="80"/>
      </w:pPr>
      <w:r>
        <w:rPr>
          <w:i/>
          <w:sz w:val="20"/>
        </w:rPr>
        <w:t>EN: [ASAP] Rethinking the Four-Electron Iodine Redox Mechanism in Zn–I2 Batteries</w:t>
      </w:r>
    </w:p>
    <w:p>
      <w:pPr>
        <w:spacing w:before="0" w:after="120"/>
      </w:pPr>
      <w:r>
        <w:rPr>
          <w:b/>
        </w:rPr>
        <w:t xml:space="preserve">Source: </w:t>
      </w:r>
      <w:r>
        <w:t>ACS Energy Letters: Latest Articles (ACS Publications)</w:t>
      </w:r>
      <w:r>
        <w:t xml:space="preserve">    </w:t>
      </w:r>
      <w:r>
        <w:rPr>
          <w:b/>
        </w:rPr>
        <w:t xml:space="preserve">Pub date: </w:t>
      </w:r>
      <w:r>
        <w:t>2026-02-01 18:29:50+00:00</w:t>
      </w:r>
      <w:r>
        <w:t xml:space="preserve">    </w:t>
      </w:r>
      <w:r>
        <w:rPr>
          <w:b/>
        </w:rPr>
        <w:t xml:space="preserve">DOI: </w:t>
      </w:r>
      <w:hyperlink r:id="rId103">
        <w:r>
          <w:rPr>
            <w:color w:val="1155CC"/>
            <w:u w:val="single"/>
          </w:rPr>
          <w:t>10.1021/acsenergylett.5c03478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104">
        <w:r>
          <w:rPr>
            <w:color w:val="1155CC"/>
            <w:u w:val="single"/>
          </w:rPr>
          <w:t>[ASAP]更正为“通过光化离子光化离子线编辑对本地农药进行低位试金太平修改”</w:t>
        </w:r>
      </w:hyperlink>
    </w:p>
    <w:p>
      <w:pPr>
        <w:spacing w:before="0" w:after="80"/>
      </w:pPr>
      <w:r>
        <w:rPr>
          <w:i/>
          <w:sz w:val="20"/>
        </w:rPr>
        <w:t>EN: [ASAP] Correction to “Late-Stage Tryptophan Modification of Native Peptides through Photochemical Indole-to-Quinazoline Editing”</w:t>
      </w:r>
    </w:p>
    <w:p>
      <w:pPr>
        <w:spacing w:before="0" w:after="120"/>
      </w:pPr>
      <w:r>
        <w:rPr>
          <w:b/>
        </w:rPr>
        <w:t xml:space="preserve">Source: </w:t>
      </w:r>
      <w:r>
        <w:t>Journal of the American Chemical Society: Latest Articles (ACS Publications)</w:t>
      </w:r>
      <w:r>
        <w:t xml:space="preserve">    </w:t>
      </w:r>
      <w:r>
        <w:rPr>
          <w:b/>
        </w:rPr>
        <w:t xml:space="preserve">Pub date: </w:t>
      </w:r>
      <w:r>
        <w:t>2026-02-01 19:38:56+00:00</w:t>
      </w:r>
      <w:r>
        <w:t xml:space="preserve">    </w:t>
      </w:r>
      <w:r>
        <w:rPr>
          <w:b/>
        </w:rPr>
        <w:t xml:space="preserve">DOI: </w:t>
      </w:r>
      <w:hyperlink r:id="rId105">
        <w:r>
          <w:rPr>
            <w:color w:val="1155CC"/>
            <w:u w:val="single"/>
          </w:rPr>
          <w:t>10.1021/jacs.6c00067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 </w:t>
      </w:r>
      <w:hyperlink r:id="rId106">
        <w:r>
          <w:rPr>
            <w:color w:val="1155CC"/>
            <w:u w:val="single"/>
          </w:rPr>
          <w:t>对作为硫redoxin系统酶活动细胞记录器的荧光探测器进行批判性评估</w:t>
        </w:r>
      </w:hyperlink>
    </w:p>
    <w:p>
      <w:pPr>
        <w:spacing w:before="0" w:after="80"/>
      </w:pPr>
      <w:r>
        <w:rPr>
          <w:i/>
          <w:sz w:val="20"/>
        </w:rPr>
        <w:t>EN: A critical assessment of fluorescent probes as cellular reporters for thioredoxin system enzyme activities</w:t>
      </w:r>
    </w:p>
    <w:p>
      <w:pPr>
        <w:spacing w:before="0" w:after="120"/>
      </w:pPr>
      <w:r>
        <w:rPr>
          <w:b/>
        </w:rPr>
        <w:t xml:space="preserve">Source: </w:t>
      </w:r>
      <w:r>
        <w:t>Chem</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Thioredoxin系统是细胞红氧化物控制的关键,也是若干治疗原则的目标,但由于方法上的限制,难以研究。在这里,我们提出化学设计原则,用于在活细胞内开发关于这个系统中酶的活动的探测器。此外,我们评估现有的文献,包括已公布的验证实验,并突出强调对一些探测器的性能的关切。最后,我们提出了一个实验性管道,供未来探测开发之用。</w:t>
      </w:r>
    </w:p>
    <w:p>
      <w:pPr>
        <w:spacing w:before="0" w:after="200" w:lineRule="auto" w:line="276"/>
      </w:pPr>
      <w:r>
        <w:rPr>
          <w:b/>
        </w:rPr>
        <w:t xml:space="preserve">Abstract (EN): </w:t>
      </w:r>
      <w:r>
        <w:t>The thioredoxin system is key for cellular redox control and a target for several therapeutic principles but is difficult to study because of methodological limitations. Here, we present chemical design principles for developing probes reporting on the activities of the enzymes in this system, within live cells. Additionally, we assess existing literature, including published validation experiments, and highlight concerns regarding the performance of some probes. Finally, we present an experimental pipeline for future probe development.</w:t>
      </w:r>
    </w:p>
    <w:p>
      <w:pPr>
        <w:spacing w:before="120" w:after="120"/>
      </w:pPr>
      <w:r>
        <w:rPr>
          <w:sz w:val="18"/>
        </w:rPr>
        <w:t>——————————————————————————————————————————————————————————————————————</w:t>
      </w:r>
    </w:p>
    <w:p>
      <w:pPr>
        <w:spacing w:before="160" w:after="40" w:line="240" w:lineRule="auto"/>
      </w:pPr>
      <w:r>
        <w:rPr>
          <w:b/>
        </w:rPr>
        <w:t xml:space="preserve">[75] </w:t>
      </w:r>
      <w:hyperlink r:id="rId107">
        <w:r>
          <w:rPr>
            <w:color w:val="1155CC"/>
            <w:u w:val="single"/>
          </w:rPr>
          <w:t>第二个近红外近红外含氟磷:合理设计、光光增强战略和成像制导生物医学应用方面的最新进展</w:t>
        </w:r>
      </w:hyperlink>
    </w:p>
    <w:p>
      <w:pPr>
        <w:spacing w:before="0" w:after="80"/>
      </w:pPr>
      <w:r>
        <w:rPr>
          <w:i/>
          <w:sz w:val="20"/>
        </w:rPr>
        <w:t>EN: Second near-infrared fluorophores: Rational design, optical enhancement strategies, and recent advances in imaging-guided biomedical applications</w:t>
      </w:r>
    </w:p>
    <w:p>
      <w:pPr>
        <w:spacing w:before="0" w:after="120"/>
      </w:pPr>
      <w:r>
        <w:rPr>
          <w:b/>
        </w:rPr>
        <w:t xml:space="preserve">Source: </w:t>
      </w:r>
      <w:r>
        <w:t>Chem</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第二个近红外线窗口(NIR-II,1,000-3000纳米)的进展增强了诊断和治疗的无侵袭性以及深层问题的可视化。 本次审查总结了优化NIR-II含氟磷光学特性的战略,并讨论了其临床潜力以及翻译过程中面临的挑战。</w:t>
      </w:r>
    </w:p>
    <w:p>
      <w:pPr>
        <w:spacing w:before="0" w:after="200" w:lineRule="auto" w:line="276"/>
      </w:pPr>
      <w:r>
        <w:rPr>
          <w:b/>
        </w:rPr>
        <w:t xml:space="preserve">Abstract (EN): </w:t>
      </w:r>
      <w:r>
        <w:t>Advances in second near-infrared window (NIR-II, 1,000–3,000 nm) fluorophores have enhanced the non-invasiveness of diagnosis and treatment, as well as deep-tissue visualization. This review summarizes strategies for optimizing the optical properties of NIR-II fluorophores and discusses their clinical potential along with the challenges faced during translation.</w:t>
      </w:r>
    </w:p>
    <w:p>
      <w:pPr>
        <w:spacing w:before="120" w:after="120"/>
      </w:pPr>
      <w:r>
        <w:rPr>
          <w:sz w:val="18"/>
        </w:rPr>
        <w:t>——————————————————————————————————————————————————————————————————————</w:t>
      </w:r>
    </w:p>
    <w:p>
      <w:pPr>
        <w:spacing w:before="160" w:after="40" w:line="240" w:lineRule="auto"/>
      </w:pPr>
      <w:r>
        <w:rPr>
          <w:b/>
        </w:rPr>
        <w:t xml:space="preserve">[76] </w:t>
      </w:r>
      <w:hyperlink r:id="rId108">
        <w:r>
          <w:rPr>
            <w:color w:val="1155CC"/>
            <w:u w:val="single"/>
          </w:rPr>
          <w:t>远距离排放的无光活活性光束聚类无成像群体无光活氟磷</w:t>
        </w:r>
      </w:hyperlink>
    </w:p>
    <w:p>
      <w:pPr>
        <w:spacing w:before="0" w:after="80"/>
      </w:pPr>
      <w:r>
        <w:rPr>
          <w:i/>
          <w:sz w:val="20"/>
        </w:rPr>
        <w:t>EN: Caging-group-free photoactivatable fluorophores with far-red emission</w:t>
      </w:r>
    </w:p>
    <w:p>
      <w:pPr>
        <w:spacing w:before="0" w:after="120"/>
      </w:pPr>
      <w:r>
        <w:rPr>
          <w:b/>
        </w:rPr>
        <w:t xml:space="preserve">Source: </w:t>
      </w:r>
      <w:r>
        <w:t>Chem</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本文报告基于含有9-丙烯基或9-丙基碳基)氨基聚氨酯的1-乙烯-10-硅烷衍生物的光活染,使微量光活染,在荧光显微镜应用中,能够排放680纳米的680纳米,这些染料特别适合活细胞标签,无毒性,并进行无副产品光活,以产生适合STED、PALM或MINFLUX纳米检查技术的亮光光和可光谱氟磷。</w:t>
      </w:r>
    </w:p>
    <w:p>
      <w:pPr>
        <w:spacing w:before="0" w:after="200" w:lineRule="auto" w:line="276"/>
      </w:pPr>
      <w:r>
        <w:rPr>
          <w:b/>
        </w:rPr>
        <w:t xml:space="preserve">Abstract (EN): </w:t>
      </w:r>
      <w:r>
        <w:t>Photoactivatable dyes based on 1-vinyl-10-silaxanthone derivatives containing 9-acylimino or 9-(alkoxycarbonyl)imino groups are reported herein, enabling minimally sized photoactivatable dyes with ≥680 nm emission for fluorescence microscopy applications. These dyes are particularly suitable for live-cell labeling, showing no toxicity, and undergo byproduct-free photoactivation to produce bright and photostable fluorophores suitable for STED, PALM, or MINFLUX nanoscopy techniques.</w:t>
      </w:r>
    </w:p>
    <w:p>
      <w:pPr>
        <w:spacing w:before="120" w:after="120"/>
      </w:pPr>
      <w:r>
        <w:rPr>
          <w:sz w:val="18"/>
        </w:rPr>
        <w:t>——————————————————————————————————————————————————————————————————————</w:t>
      </w:r>
    </w:p>
    <w:p>
      <w:pPr>
        <w:spacing w:before="160" w:after="40" w:line="240" w:lineRule="auto"/>
      </w:pPr>
      <w:r>
        <w:rPr>
          <w:b/>
        </w:rPr>
        <w:t xml:space="preserve">[77] </w:t>
      </w:r>
      <w:hyperlink r:id="rId109">
        <w:r>
          <w:rPr>
            <w:color w:val="1155CC"/>
            <w:u w:val="single"/>
          </w:rPr>
          <w:t>用于金属有机框架生物模拟矿化的基因工程铅化铅化物</w:t>
        </w:r>
      </w:hyperlink>
    </w:p>
    <w:p>
      <w:pPr>
        <w:spacing w:before="0" w:after="80"/>
      </w:pPr>
      <w:r>
        <w:rPr>
          <w:i/>
          <w:sz w:val="20"/>
        </w:rPr>
        <w:t>EN: Genetically engineered peptides for the biomimetic mineralization of metal-organic frameworks</w:t>
      </w:r>
    </w:p>
    <w:p>
      <w:pPr>
        <w:spacing w:before="0" w:after="120"/>
      </w:pPr>
      <w:r>
        <w:rPr>
          <w:b/>
        </w:rPr>
        <w:t xml:space="preserve">Source: </w:t>
      </w:r>
      <w:r>
        <w:t>Chem</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Bradshaw和同事使用phage 显示法,确定活性金属-有机框架具有强烈约束力的铅化物,并通过综合实验模拟方法,确定具体的MOF-Poptide结合相互作用和约束机制,在生物模拟合成过程中,石化物以特定序列方式对MOF晶体和形态产生影响。</w:t>
      </w:r>
    </w:p>
    <w:p>
      <w:pPr>
        <w:spacing w:before="0" w:after="200" w:lineRule="auto" w:line="276"/>
      </w:pPr>
      <w:r>
        <w:rPr>
          <w:b/>
        </w:rPr>
        <w:t xml:space="preserve">Abstract (EN): </w:t>
      </w:r>
      <w:r>
        <w:t>Bradshaw and co-workers use phage display to identify strongly binding peptides for isoreticular metal-organic frameworks (MOFs) and identify both specific MOF-peptide binding interactions and the binding mechanism through a combined experimental-simulation approach. The peptides are demonstrated to influence MOF crystallinity and morphology in a sequence-specific manner during biomimetic synthesis.</w:t>
      </w:r>
    </w:p>
    <w:p>
      <w:pPr>
        <w:spacing w:before="120" w:after="120"/>
      </w:pPr>
      <w:r>
        <w:rPr>
          <w:sz w:val="18"/>
        </w:rPr>
        <w:t>——————————————————————————————————————————————————————————————————————</w:t>
      </w:r>
    </w:p>
    <w:p>
      <w:pPr>
        <w:spacing w:before="160" w:after="40" w:line="240" w:lineRule="auto"/>
      </w:pPr>
      <w:r>
        <w:rPr>
          <w:b/>
        </w:rPr>
        <w:t xml:space="preserve">[78] </w:t>
      </w:r>
      <w:hyperlink r:id="rId110">
        <w:r>
          <w:rPr>
            <w:color w:val="1155CC"/>
            <w:u w:val="single"/>
          </w:rPr>
          <w:t>不同的共价有机框架,作为光redox催化的天线反应堆</w:t>
        </w:r>
      </w:hyperlink>
    </w:p>
    <w:p>
      <w:pPr>
        <w:spacing w:before="0" w:after="80"/>
      </w:pPr>
      <w:r>
        <w:rPr>
          <w:i/>
          <w:sz w:val="20"/>
        </w:rPr>
        <w:t>EN: Divergent covalent organic frameworks as antenna reactors for photoredox catalysis</w:t>
      </w:r>
    </w:p>
    <w:p>
      <w:pPr>
        <w:spacing w:before="0" w:after="120"/>
      </w:pPr>
      <w:r>
        <w:rPr>
          <w:b/>
        </w:rPr>
        <w:t xml:space="preserve">Source: </w:t>
      </w:r>
      <w:r>
        <w:t>Chem</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实施了一项不同的战略,通过使孔墙上的过渡金属综合体无法移动来建造共价有机框架天线反应堆,获得的光活天线反应堆在各种光反射中表现出很有希望的催化性能。</w:t>
      </w:r>
    </w:p>
    <w:p>
      <w:pPr>
        <w:spacing w:before="0" w:after="200" w:lineRule="auto" w:line="276"/>
      </w:pPr>
      <w:r>
        <w:rPr>
          <w:b/>
        </w:rPr>
        <w:t xml:space="preserve">Abstract (EN): </w:t>
      </w:r>
      <w:r>
        <w:t>A divergent strategy is implemented to construct covalent organic framework antenna reactors by immobilizing transition metal complexes on the pore walls. The obtained photoactive antenna reactors exhibit promising catalytic performance for a variety of photoredox reactions.</w:t>
      </w:r>
    </w:p>
    <w:p>
      <w:pPr>
        <w:spacing w:before="120" w:after="120"/>
      </w:pPr>
      <w:r>
        <w:rPr>
          <w:sz w:val="18"/>
        </w:rPr>
        <w:t>——————————————————————————————————————————————————————————————————————</w:t>
      </w:r>
    </w:p>
    <w:p>
      <w:pPr>
        <w:spacing w:before="160" w:after="40" w:line="240" w:lineRule="auto"/>
      </w:pPr>
      <w:r>
        <w:rPr>
          <w:b/>
        </w:rPr>
        <w:t xml:space="preserve">[79] </w:t>
      </w:r>
      <w:hyperlink r:id="rId111">
        <w:r>
          <w:rPr>
            <w:color w:val="1155CC"/>
            <w:u w:val="single"/>
          </w:rPr>
          <w:t>Zn8(CH3(CH3COO)8-硅氧烷反丙烯/丙烷分离的基于集群的金属-有机框架</w:t>
        </w:r>
      </w:hyperlink>
    </w:p>
    <w:p>
      <w:pPr>
        <w:spacing w:before="0" w:after="80"/>
      </w:pPr>
      <w:r>
        <w:rPr>
          <w:i/>
          <w:sz w:val="20"/>
        </w:rPr>
        <w:t>EN: Zn8(CH3COO)8-siloxane cluster-based metal-organic frameworks for inverse propylene/propane separation</w:t>
      </w:r>
    </w:p>
    <w:p>
      <w:pPr>
        <w:spacing w:before="0" w:after="120"/>
      </w:pPr>
      <w:r>
        <w:rPr>
          <w:b/>
        </w:rPr>
        <w:t xml:space="preserve">Source: </w:t>
      </w:r>
      <w:r>
        <w:t>Chem</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Xie、Cao等人采用计算指导方法,确定有选择性地吸附C3H8高于C3H6.的集群。 在各种C3H8选择性混合基金中,Zn8(CH3COO)8-硅氧烷集群混合基金因其高分解潜力、更快的吸附动能和稳健的循环性能而出名。作者们还首次进一步展示了聚合物级C3H6的气体气缸收集。</w:t>
      </w:r>
    </w:p>
    <w:p>
      <w:pPr>
        <w:spacing w:before="0" w:after="200" w:lineRule="auto" w:line="276"/>
      </w:pPr>
      <w:r>
        <w:rPr>
          <w:b/>
        </w:rPr>
        <w:t xml:space="preserve">Abstract (EN): </w:t>
      </w:r>
      <w:r>
        <w:t>Xie, Cao, et al. introduce a computationally guided approach for identifying clusters that selectively adsorb C3H8 over C3H6. Among various C3H8-selective MOFs, the Zn8(CH3COO)8-siloxane-cluster-based MOFs stand out for their superior separation potential, faster adsorption kinetics, and robust cycling performance. The authors further demonstrate, for the first time, the gas-cylinder collection of polymer-grade C3H6.</w:t>
      </w:r>
    </w:p>
    <w:p>
      <w:pPr>
        <w:spacing w:before="120" w:after="120"/>
      </w:pPr>
      <w:r>
        <w:rPr>
          <w:sz w:val="18"/>
        </w:rPr>
        <w:t>——————————————————————————————————————————————————————————————————————</w:t>
      </w:r>
    </w:p>
    <w:p>
      <w:pPr>
        <w:spacing w:before="160" w:after="40" w:line="240" w:lineRule="auto"/>
      </w:pPr>
      <w:r>
        <w:rPr>
          <w:b/>
        </w:rPr>
        <w:t xml:space="preserve">[80] </w:t>
      </w:r>
      <w:hyperlink r:id="rId112">
        <w:r>
          <w:rPr>
            <w:color w:val="1155CC"/>
            <w:u w:val="single"/>
          </w:rPr>
          <w:t>设计、建模和核查无人驾驶航空器的PEMFC动力集成发动机的设计、建模和性能</w:t>
        </w:r>
      </w:hyperlink>
    </w:p>
    <w:p>
      <w:pPr>
        <w:spacing w:before="0" w:after="80"/>
      </w:pPr>
      <w:r>
        <w:rPr>
          <w:i/>
          <w:sz w:val="20"/>
        </w:rPr>
        <w:t>EN: The design, modeling, and performance verification of an integrated PEMFC-powered engine for UAVs</w:t>
      </w:r>
    </w:p>
    <w:p>
      <w:pPr>
        <w:spacing w:before="0" w:after="120"/>
      </w:pPr>
      <w:r>
        <w:rPr>
          <w:b/>
        </w:rPr>
        <w:t xml:space="preserve">Source: </w:t>
      </w:r>
      <w:r>
        <w:t>ScienceDirect Publication: Applied Energy</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 </w:t>
      </w:r>
      <w:hyperlink r:id="rId113">
        <w:r>
          <w:rPr>
            <w:color w:val="1155CC"/>
            <w:u w:val="single"/>
          </w:rPr>
          <w:t>通过动态通过空间共聚而具有创记录的高度不对称因子的循环两极分极性月光</w:t>
        </w:r>
      </w:hyperlink>
    </w:p>
    <w:p>
      <w:pPr>
        <w:spacing w:before="0" w:after="80"/>
      </w:pPr>
      <w:r>
        <w:rPr>
          <w:i/>
          <w:sz w:val="20"/>
        </w:rPr>
        <w:t>EN: Intrinsic circularly polarized luminescence with a record-high dissymmetry factor via dynamic through-space conjugation</w:t>
      </w:r>
    </w:p>
    <w:p>
      <w:pPr>
        <w:spacing w:before="0" w:after="120"/>
      </w:pPr>
      <w:r>
        <w:rPr>
          <w:b/>
        </w:rPr>
        <w:t xml:space="preserve">Source: </w:t>
      </w:r>
      <w:r>
        <w:t>Chem</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传统的CPL设计严重依赖通过粘合和超分子组装,往往限制了动态反应和合成的可及性。通过空间单体合成(n-n TSC)、张氏和同事对兴奋状态进行杠杆化,发现了一种新型的非共价电子互动,在结构简单、非集合的晶体中重新塑造光学和机械特性。超长光谱为这种互动提供了直接证据,使高纪录的CPL活动(glum  0.20)和可逆的硬性调节成为可能,为多功能光学材料提供了一个设计范式,超越了相容框架。</w:t>
      </w:r>
    </w:p>
    <w:p>
      <w:pPr>
        <w:spacing w:before="0" w:after="200" w:lineRule="auto" w:line="276"/>
      </w:pPr>
      <w:r>
        <w:rPr>
          <w:b/>
        </w:rPr>
        <w:t xml:space="preserve">Abstract (EN): </w:t>
      </w:r>
      <w:r>
        <w:t>Traditional CPL design relies heavily on through-bond conjugation and supramolecular assembly, often limiting dynamic responsiveness and synthetic accessibility. Leveraging excited-state through-space lone-pair conjugation (n-n TSC), Zhang and co-workers uncover a new type of non-covalent electronic interaction that reshapes both optical and mechanical properties in a structurally simple, non-assembled crystal. Ultrafast spectroscopy provides direct evidence of this interaction, which enables record-high CPL activity (glum ≈ 0.20) and reversible stiffness modulation, offering a design paradigm for multifunctional photonic materials beyond π-conjugated frameworks.</w:t>
      </w:r>
    </w:p>
    <w:p>
      <w:pPr>
        <w:spacing w:before="120" w:after="120"/>
      </w:pPr>
      <w:r>
        <w:rPr>
          <w:sz w:val="18"/>
        </w:rPr>
        <w:t>——————————————————————————————————————————————————————————————————————</w:t>
      </w:r>
    </w:p>
    <w:p>
      <w:pPr>
        <w:spacing w:before="160" w:after="40" w:line="240" w:lineRule="auto"/>
      </w:pPr>
      <w:r>
        <w:rPr>
          <w:b/>
        </w:rPr>
        <w:t xml:space="preserve">[82] </w:t>
      </w:r>
      <w:hyperlink r:id="rId114">
        <w:r>
          <w:rPr>
            <w:color w:val="1155CC"/>
            <w:u w:val="single"/>
          </w:rPr>
          <w:t>具有快速利+扩散层加速推进高率、长周期、长周期、所有固体状态电池</w:t>
        </w:r>
      </w:hyperlink>
    </w:p>
    <w:p>
      <w:pPr>
        <w:spacing w:before="0" w:after="80"/>
      </w:pPr>
      <w:r>
        <w:rPr>
          <w:i/>
          <w:sz w:val="20"/>
        </w:rPr>
        <w:t>EN: Microstructure-tailored Ni-rich cathode with fast Li+ diffusion layer boosts high-rate and long-cycling all-solid-state batteries</w:t>
      </w:r>
    </w:p>
    <w:p>
      <w:pPr>
        <w:spacing w:before="0" w:after="120"/>
      </w:pPr>
      <w:r>
        <w:rPr>
          <w:b/>
        </w:rPr>
        <w:t xml:space="preserve">Source: </w:t>
      </w:r>
      <w:r>
        <w:t>Joule</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所有固态锂电池(ASSBs)加上尼富和硫化物电解解层,对于高能源密度和安全能源储存有着巨大的希望,然而,在ASBs应用尼富仍面临李氏动能缓慢、内部压力积累和跨轴不稳定等若干挑战。 这项研究展示了一个微结构定制的尼富阴极,配有快速的利+扩散层和原位的Li2CO3涂层,有利于高率和长周期的ASBs。</w:t>
      </w:r>
    </w:p>
    <w:p>
      <w:pPr>
        <w:spacing w:before="0" w:after="200" w:lineRule="auto" w:line="276"/>
      </w:pPr>
      <w:r>
        <w:rPr>
          <w:b/>
        </w:rPr>
        <w:t xml:space="preserve">Abstract (EN): </w:t>
      </w:r>
      <w:r>
        <w:t>All-solid-state lithium batteries (ASSBs) with Ni-rich cathodes and sulfide electrolytes hold immense promise for high energy density and safe energy storage. However, the application of Ni-rich cathodes in ASSBs still encounters several challenges of sluggish Li+ kinetics, internal stress accumulation, and interfacial instability. This study presents a microstructure-tailored Ni-rich cathode with fast Li+ diffusion layer and in situ Li2CO3 coating, enabling high-rate and long-cycling ASSBs.</w:t>
      </w:r>
    </w:p>
    <w:p>
      <w:pPr>
        <w:spacing w:before="120" w:after="120"/>
      </w:pPr>
      <w:r>
        <w:rPr>
          <w:sz w:val="18"/>
        </w:rPr>
        <w:t>——————————————————————————————————————————————————————————————————————</w:t>
      </w:r>
    </w:p>
    <w:p>
      <w:pPr>
        <w:spacing w:before="160" w:after="40" w:line="240" w:lineRule="auto"/>
      </w:pPr>
      <w:r>
        <w:rPr>
          <w:b/>
        </w:rPr>
        <w:t xml:space="preserve">[83] </w:t>
      </w:r>
      <w:hyperlink r:id="rId115">
        <w:r>
          <w:rPr>
            <w:color w:val="1155CC"/>
            <w:u w:val="single"/>
          </w:rPr>
          <w:t>[4] 混合[4] 以乙烯为基础的共水晶:完美的蒸气化学选择性和高效光热转换</w:t>
        </w:r>
      </w:hyperlink>
    </w:p>
    <w:p>
      <w:pPr>
        <w:spacing w:before="0" w:after="80"/>
      </w:pPr>
      <w:r>
        <w:rPr>
          <w:i/>
          <w:sz w:val="20"/>
        </w:rPr>
        <w:t>EN: Hybrid[4]arene-based co-crystals: Perfect vapochromic selectivity and efficient photothermal conversion</w:t>
      </w:r>
    </w:p>
    <w:p>
      <w:pPr>
        <w:spacing w:before="0" w:after="120"/>
      </w:pPr>
      <w:r>
        <w:rPr>
          <w:b/>
        </w:rPr>
        <w:t xml:space="preserve">Source: </w:t>
      </w:r>
      <w:r>
        <w:t>Chem</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这项工作引入了一种新颖的方法来利用有机共晶晶体创造高效的光热材料。 关键发现是,共晶体可以通过吸收蒸气分子来动态调节,这些分子改变其电荷转移特性,以达到高光热转换效率。 这种蒸汽引发的转换是控制材料功能的一个简单而有力的概念。 所展示的共晶体表现出了极佳的稳定性、近红外反应和惊人的光热效率73.5%,使太阳能转换等应用成为可能。</w:t>
      </w:r>
    </w:p>
    <w:p>
      <w:pPr>
        <w:spacing w:before="0" w:after="200" w:lineRule="auto" w:line="276"/>
      </w:pPr>
      <w:r>
        <w:rPr>
          <w:b/>
        </w:rPr>
        <w:t xml:space="preserve">Abstract (EN): </w:t>
      </w:r>
      <w:r>
        <w:t>This work introduces a novel approach to creating efficient photothermal materials using organic co-crystals. The key finding is that co-crystals can be dynamically tuned by absorbing vapor molecules, which alter their charge-transfer properties to achieve high photothermal conversion efficiency. This vapor-induced switching is a simple yet powerful concept for controlling material function. The demonstrated co-crystal exhibits excellent stability, a near-infrared response, and a remarkable 73.5% photothermal efficiency, enabling applications like solar energy conversion.</w:t>
      </w:r>
    </w:p>
    <w:p>
      <w:pPr>
        <w:spacing w:before="120" w:after="120"/>
      </w:pPr>
      <w:r>
        <w:rPr>
          <w:sz w:val="18"/>
        </w:rPr>
        <w:t>——————————————————————————————————————————————————————————————————————</w:t>
      </w:r>
    </w:p>
    <w:p>
      <w:pPr>
        <w:spacing w:before="160" w:after="40" w:line="240" w:lineRule="auto"/>
      </w:pPr>
      <w:r>
        <w:rPr>
          <w:b/>
        </w:rPr>
        <w:t xml:space="preserve">[84] </w:t>
      </w:r>
      <w:hyperlink r:id="rId116">
        <w:r>
          <w:rPr>
            <w:color w:val="1155CC"/>
            <w:u w:val="single"/>
          </w:rPr>
          <w:t>神经液体晶体中多孔的厌异性共聚物可重新配置的自组装</w:t>
        </w:r>
      </w:hyperlink>
    </w:p>
    <w:p>
      <w:pPr>
        <w:spacing w:before="0" w:after="80"/>
      </w:pPr>
      <w:r>
        <w:rPr>
          <w:i/>
          <w:sz w:val="20"/>
        </w:rPr>
        <w:t>EN: Reconfigurable self-assembly of porous anisotropic colloids in nematic liquid crystals</w:t>
      </w:r>
    </w:p>
    <w:p>
      <w:pPr>
        <w:spacing w:before="0" w:after="120"/>
      </w:pPr>
      <w:r>
        <w:rPr>
          <w:b/>
        </w:rPr>
        <w:t xml:space="preserve">Source: </w:t>
      </w:r>
      <w:r>
        <w:t>Matter</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分散在一种非不轴心宿主体流体中的中度共聚体微晶体展示了软物质的不同阶段,同时呈现了热可调的点组对称,这既具有根本意义,也具有应用意义。 以高压Landau理论为基础的模型解释了我们的调查结果,并概括了这种混合的厌食分子对流系统中可能的阶段组织。 潜在应用范围从电子光学到生物探测和光学元物质设计等。</w:t>
      </w:r>
    </w:p>
    <w:p>
      <w:pPr>
        <w:spacing w:before="0" w:after="200" w:lineRule="auto" w:line="276"/>
      </w:pPr>
      <w:r>
        <w:rPr>
          <w:b/>
        </w:rPr>
        <w:t xml:space="preserve">Abstract (EN): </w:t>
      </w:r>
      <w:r>
        <w:t>Mesoporous colloidal microrods dispersed in a uniaxial nematic host fluid exhibit diverse phases of soft matter with thermally reconfigurable point group symmetries, which are of both fundamental and applied interest. The tensorial Landau theory-based model explains our findings and generalizes the possible phase organizations in this hybrid anisotropic molecular-colloidal system. Potential applications range from electro-optics to bio-detection and photonic metamaterial designs.</w:t>
      </w:r>
    </w:p>
    <w:p>
      <w:pPr>
        <w:spacing w:before="120" w:after="120"/>
      </w:pPr>
      <w:r>
        <w:rPr>
          <w:sz w:val="18"/>
        </w:rPr>
        <w:t>——————————————————————————————————————————————————————————————————————</w:t>
      </w:r>
    </w:p>
    <w:p>
      <w:pPr>
        <w:spacing w:before="160" w:after="40" w:line="240" w:lineRule="auto"/>
      </w:pPr>
      <w:r>
        <w:rPr>
          <w:b/>
        </w:rPr>
        <w:t xml:space="preserve">[85] </w:t>
      </w:r>
      <w:hyperlink r:id="rId117">
        <w:r>
          <w:rPr>
            <w:color w:val="1155CC"/>
            <w:u w:val="single"/>
          </w:rPr>
          <w:t>科学发现它的歌歌</w:t>
        </w:r>
      </w:hyperlink>
    </w:p>
    <w:p>
      <w:pPr>
        <w:spacing w:before="0" w:after="80"/>
      </w:pPr>
      <w:r>
        <w:rPr>
          <w:i/>
          <w:sz w:val="20"/>
        </w:rPr>
        <w:t>EN: Science finds its song</w:t>
      </w:r>
    </w:p>
    <w:p>
      <w:pPr>
        <w:spacing w:before="0" w:after="120"/>
      </w:pPr>
      <w:r>
        <w:rPr>
          <w:b/>
        </w:rPr>
        <w:t xml:space="preserve">Source: </w:t>
      </w:r>
      <w:r>
        <w:t>Nature</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[86] </w:t>
      </w:r>
      <w:hyperlink r:id="rId118">
        <w:r>
          <w:rPr>
            <w:color w:val="1155CC"/>
            <w:u w:val="single"/>
          </w:rPr>
          <w:t>由两栖充电器管理者制定双重化学条例,解锁了15,000个锌-溴电池周期</w:t>
        </w:r>
      </w:hyperlink>
    </w:p>
    <w:p>
      <w:pPr>
        <w:spacing w:before="0" w:after="80"/>
      </w:pPr>
      <w:r>
        <w:rPr>
          <w:i/>
          <w:sz w:val="20"/>
        </w:rPr>
        <w:t>EN: Dual-chemistry regulation by an amphiphilic charge moderator unlocks 15,000 cycles in zinc-bromine batteries</w:t>
      </w:r>
    </w:p>
    <w:p>
      <w:pPr>
        <w:spacing w:before="0" w:after="120"/>
      </w:pPr>
      <w:r>
        <w:rPr>
          <w:b/>
        </w:rPr>
        <w:t xml:space="preserve">Source: </w:t>
      </w:r>
      <w:r>
        <w:t>Matter</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锌-溴电池尽管成本低、安全程度高,但面临着溴扩散和锌侧反应等挑战。我们引入了一个两栖充电器主持人,该主持人同时重新分配锌沉降通量和以电锚为锚的溴物种。这一双重监管使固定锌-溴电池能够达到50毫阿赫厘米-2和15 000多个周期,为卤素基电池提供了一个总体战略。</w:t>
      </w:r>
    </w:p>
    <w:p>
      <w:pPr>
        <w:spacing w:before="0" w:after="200" w:lineRule="auto" w:line="276"/>
      </w:pPr>
      <w:r>
        <w:rPr>
          <w:b/>
        </w:rPr>
        <w:t xml:space="preserve">Abstract (EN): </w:t>
      </w:r>
      <w:r>
        <w:t>Despite their low cost and high safety, zinc-bromine batteries face challenges from bromine diffusion and zinc side reactions. We introduce an amphiphilic charge moderator that simultaneously redistributes zinc deposition flux and electrostatically anchors bromine species. This dual-regulation enables static zinc-bromine batteries to achieve 50 mAh cm−2 and over 15,000 cycles, providing a general strategy for halogen-based batteries.</w:t>
      </w:r>
    </w:p>
    <w:p>
      <w:pPr>
        <w:spacing w:before="120" w:after="120"/>
      </w:pPr>
      <w:r>
        <w:rPr>
          <w:sz w:val="18"/>
        </w:rPr>
        <w:t>——————————————————————————————————————————————————————————————————————</w:t>
      </w:r>
    </w:p>
    <w:p>
      <w:pPr>
        <w:spacing w:before="160" w:after="40" w:line="240" w:lineRule="auto"/>
      </w:pPr>
      <w:r>
        <w:rPr>
          <w:b/>
        </w:rPr>
        <w:t xml:space="preserve">[87] </w:t>
      </w:r>
      <w:hyperlink r:id="rId119">
        <w:r>
          <w:rPr>
            <w:color w:val="1155CC"/>
            <w:u w:val="single"/>
          </w:rPr>
          <w:t>用于全电池电池电池电池电池电池特征鉴定的电化学阻力阻力阻力光谱仪</w:t>
        </w:r>
      </w:hyperlink>
    </w:p>
    <w:p>
      <w:pPr>
        <w:spacing w:before="0" w:after="80"/>
      </w:pPr>
      <w:r>
        <w:rPr>
          <w:i/>
          <w:sz w:val="20"/>
        </w:rPr>
        <w:t>EN: Electrochemical impedance spectroscopy for full-cell battery characterization</w:t>
      </w:r>
    </w:p>
    <w:p>
      <w:pPr>
        <w:spacing w:before="0" w:after="120"/>
      </w:pPr>
      <w:r>
        <w:rPr>
          <w:b/>
        </w:rPr>
        <w:t xml:space="preserve">Source: </w:t>
      </w:r>
      <w:r>
        <w:t>Nature Reviews Clean Technology</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 </w:t>
      </w:r>
      <w:hyperlink r:id="rId120">
        <w:r>
          <w:rPr>
            <w:color w:val="1155CC"/>
            <w:u w:val="single"/>
          </w:rPr>
          <w:t>完全自主调制旋</w:t>
        </w:r>
      </w:hyperlink>
    </w:p>
    <w:p>
      <w:pPr>
        <w:spacing w:before="0" w:after="80"/>
      </w:pPr>
      <w:r>
        <w:rPr>
          <w:i/>
          <w:sz w:val="20"/>
        </w:rPr>
        <w:t>EN: Fully autonomous tuning of a spin qubit</w:t>
      </w:r>
    </w:p>
    <w:p>
      <w:pPr>
        <w:spacing w:before="0" w:after="120"/>
      </w:pPr>
      <w:r>
        <w:rPr>
          <w:b/>
        </w:rPr>
        <w:t xml:space="preserve">Source: </w:t>
      </w:r>
      <w:r>
        <w:t>Nature Electronics</w:t>
      </w:r>
      <w:r>
        <w:t xml:space="preserve">    </w:t>
      </w:r>
      <w:r>
        <w:rPr>
          <w:b/>
        </w:rPr>
        <w:t xml:space="preserve">Pub date: </w:t>
      </w:r>
      <w:r>
        <w:t>2026-02-02 00:00:00+00:00</w:t>
      </w:r>
    </w:p>
    <w:p>
      <w:pPr>
        <w:spacing w:before="0" w:after="120"/>
      </w:pPr>
      <w:r>
        <w:rPr>
          <w:b/>
        </w:rPr>
        <w:t xml:space="preserve">Notes: </w:t>
      </w:r>
      <w:r>
        <w:t>abstract_source=nature_html</w:t>
      </w:r>
    </w:p>
    <w:p>
      <w:pPr>
        <w:spacing w:before="0" w:after="80" w:lineRule="auto" w:line="276"/>
      </w:pPr>
      <w:r>
        <w:rPr>
          <w:b/>
        </w:rPr>
        <w:t xml:space="preserve">摘要（ZH）: </w:t>
      </w:r>
      <w:r>
        <w:t>大型半导体量子电路的开发受到高效调控和操作这种电路所遇到的困难的限制。 为这些qubit确定最佳操作条件特别复杂,涉及对广大参数空间的探索。 我们在这里报告半导体qubit的自动调控,从一个封闭的装置到拉比振荡。 我们的方法包括深层学习、贝叶斯优化和计算机视觉技术。 我们用一个-硅核核心-壳纳米电路设备演示了这种自动化。 为了说明完全自动化的潜力,我们要说明Rabi频率和g-因子是如何依赖算法发现的一种qubit的屏门电压的。 我们期望我们的自动化算法是适应的。</w:t>
      </w:r>
    </w:p>
    <w:p>
      <w:pPr>
        <w:spacing w:before="0" w:after="200" w:lineRule="auto" w:line="276"/>
      </w:pPr>
      <w:r>
        <w:rPr>
          <w:b/>
        </w:rPr>
        <w:t xml:space="preserve">Abstract (EN): </w:t>
      </w:r>
      <w:r>
        <w:t>The development of large-scale semiconductor quantum circuits is limited by the difficulties involved in efficiently tuning and operating such circuits. Identifying optimal operating conditions for these qubits is, in particular, complex and involves the exploration of vast parameter spaces. Here we report the autonomous tuning of a semiconductor qubit, from a grounded device to Rabi oscillations. Our approach integrates deep learning, Bayesian optimization and computer vision techniques. We demonstrate this automation in a germanium–silicon core–shell nanowire device. To illustrate the potential of full automation, we characterize how the Rabi frequency and g-factor depend on barrier gate voltages for one of the qubits found by the algorithm. We expect our automation algorithm to be applicable to a range of semiconductor qubit devices, allowing for the statistical studies of qubit-quality metrics.</w:t>
      </w:r>
    </w:p>
    <w:p>
      <w:pPr>
        <w:spacing w:before="120" w:after="120"/>
      </w:pPr>
      <w:r>
        <w:rPr>
          <w:sz w:val="18"/>
        </w:rPr>
        <w:t>——————————————————————————————————————————————————————————————————————</w:t>
      </w:r>
    </w:p>
    <w:p>
      <w:pPr>
        <w:spacing w:before="160" w:after="40" w:line="240" w:lineRule="auto"/>
      </w:pPr>
      <w:r>
        <w:rPr>
          <w:b/>
        </w:rPr>
        <w:t xml:space="preserve">[89] </w:t>
      </w:r>
      <w:hyperlink r:id="rId121">
        <w:r>
          <w:rPr>
            <w:color w:val="1155CC"/>
            <w:u w:val="single"/>
          </w:rPr>
          <w:t>一种广泛保护性抗体,针对伽马黑猩猩病毒gB</w:t>
        </w:r>
      </w:hyperlink>
    </w:p>
    <w:p>
      <w:pPr>
        <w:spacing w:before="0" w:after="80"/>
      </w:pPr>
      <w:r>
        <w:rPr>
          <w:i/>
          <w:sz w:val="20"/>
        </w:rPr>
        <w:t>EN: A broadly protective antibody targeting gammaherpesvirus gB</w:t>
      </w:r>
    </w:p>
    <w:p>
      <w:pPr>
        <w:spacing w:before="0" w:after="120"/>
      </w:pPr>
      <w:r>
        <w:rPr>
          <w:b/>
        </w:rPr>
        <w:t xml:space="preserve">Source: </w:t>
      </w:r>
      <w:r>
        <w:t>Nature</w:t>
      </w:r>
      <w:r>
        <w:t xml:space="preserve">    </w:t>
      </w:r>
      <w:r>
        <w:rPr>
          <w:b/>
        </w:rPr>
        <w:t xml:space="preserve">Pub date: </w:t>
      </w:r>
      <w:r>
        <w:t>2026-02-02 00:00:00+00:00</w:t>
      </w:r>
    </w:p>
    <w:p>
      <w:pPr>
        <w:spacing w:before="0" w:after="120"/>
      </w:pPr>
      <w:r>
        <w:rPr>
          <w:b/>
        </w:rPr>
        <w:t xml:space="preserve">Notes: </w:t>
      </w:r>
      <w:r>
        <w:t>abstract_source=nature_html</w:t>
      </w:r>
    </w:p>
    <w:p>
      <w:pPr>
        <w:spacing w:before="0" w:after="80" w:lineRule="auto" w:line="276"/>
      </w:pPr>
      <w:r>
        <w:rPr>
          <w:b/>
        </w:rPr>
        <w:t xml:space="preserve">摘要（ZH）: </w:t>
      </w:r>
      <w:r>
        <w:t>Gampherpes病毒是寄生虫病毒的子家族,与甲型和乙型肝脏病毒有区别的植物遗传,其成因亚型有其特征,包括Epstein-Barr病毒和Kaposi的沙科马相关的寄生虫病毒1。它广泛感染人类和其他脊椎动物,并造成各种疾病和恶性2,3. 然而,没有为每种类型或整个家庭提供具体的抗病毒剂。 gB是感染寄生虫病毒的常见聚变蛋白活性,是广泛疫苗开发的理想目标,而缺乏作为普遍抗原的gB基础则阻碍了这种努力4。在这里,我们首次报告一个抗体Fab5对广泛的gB捆绑和交叉基因病毒中和交叉基因病毒的分子基础。这个抗体对真实的病毒提供了有效的保护。</w:t>
      </w:r>
    </w:p>
    <w:p>
      <w:pPr>
        <w:spacing w:before="0" w:after="200" w:lineRule="auto" w:line="276"/>
      </w:pPr>
      <w:r>
        <w:rPr>
          <w:b/>
        </w:rPr>
        <w:t xml:space="preserve">Abstract (EN): </w:t>
      </w:r>
      <w:r>
        <w:t>Gammaherpesvirus is a subfamily of herpesvirus, distinct phylogenetically from alpha- and betaherpesvirus and featured by its oncogenic subtypes, including Epstein-Barr virus and Kaposi’s sarcoma-associated herpesvirus1. It broadly infects humans and other vertebrate animals and causes various diseases and malignancies2,3. However, no specific antiviral agents are available for each type or the whole family. gB is the common fusion protein vital for herpesvirus infection and an ideal target for broad vaccine development, while the lack of basis for gB as a universal antigen hinders such effort4. Here, we report the molecular basis for broad gB binding and cross-genus virus neutralization by an antibody Fab5 for the first time. This antibody confers effective protection against authentic virus challenges in immune-competent mice, non-human primates, and humanized mice with murine, rhesus, and human gammaherpesvirus. Cryo-EM structures revealed that Fab5 targeted a conservative and vulnerable epitope of gammaherpesvirus gB and antigenically exposed across pre- or post-fusion status. This finding not only demonstrates Fab5 as cross-genus antibody broadly reactive against gammaherpesvirus infection and pathogenesis progression, but offers insights into potential common mechanisms for herpesvirus infection and facilitates the development of broad-spectrum vaccines against the gammaherpesvirus.</w:t>
      </w:r>
    </w:p>
    <w:p>
      <w:pPr>
        <w:spacing w:before="120" w:after="120"/>
      </w:pPr>
      <w:r>
        <w:rPr>
          <w:sz w:val="18"/>
        </w:rPr>
        <w:t>——————————————————————————————————————————————————————————————————————</w:t>
      </w:r>
    </w:p>
    <w:p>
      <w:pPr>
        <w:spacing w:before="160" w:after="40" w:line="240" w:lineRule="auto"/>
      </w:pPr>
      <w:r>
        <w:rPr>
          <w:b/>
        </w:rPr>
        <w:t xml:space="preserve">[90] </w:t>
      </w:r>
      <w:hyperlink r:id="rId122">
        <w:r>
          <w:rPr>
            <w:color w:val="1155CC"/>
            <w:u w:val="single"/>
          </w:rPr>
          <w:t>校正: 专辑编织了一种天然宿主防御机制,</w:t>
        </w:r>
      </w:hyperlink>
    </w:p>
    <w:p>
      <w:pPr>
        <w:spacing w:before="0" w:after="80"/>
      </w:pPr>
      <w:r>
        <w:rPr>
          <w:i/>
          <w:sz w:val="20"/>
        </w:rPr>
        <w:t>EN: Author Correction: Albumin orchestrates a natural host defence mechanism against mucormycosis</w:t>
      </w:r>
    </w:p>
    <w:p>
      <w:pPr>
        <w:spacing w:before="0" w:after="120"/>
      </w:pPr>
      <w:r>
        <w:rPr>
          <w:b/>
        </w:rPr>
        <w:t xml:space="preserve">Source: </w:t>
      </w:r>
      <w:r>
        <w:t>Nature</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[91] </w:t>
      </w:r>
      <w:hyperlink r:id="rId123">
        <w:r>
          <w:rPr>
            <w:color w:val="1155CC"/>
            <w:u w:val="single"/>
          </w:rPr>
          <w:t>可缩放量量中继器长寿命远程离子缠绕</w:t>
        </w:r>
      </w:hyperlink>
    </w:p>
    <w:p>
      <w:pPr>
        <w:spacing w:before="0" w:after="80"/>
      </w:pPr>
      <w:r>
        <w:rPr>
          <w:i/>
          <w:sz w:val="20"/>
        </w:rPr>
        <w:t>EN: Long-lived remote ion-ion entanglement for scalable quantum repeaters</w:t>
      </w:r>
    </w:p>
    <w:p>
      <w:pPr>
        <w:spacing w:before="0" w:after="120"/>
      </w:pPr>
      <w:r>
        <w:rPr>
          <w:b/>
        </w:rPr>
        <w:t xml:space="preserve">Source: </w:t>
      </w:r>
      <w:r>
        <w:t>Nature</w:t>
      </w:r>
      <w:r>
        <w:t xml:space="preserve">    </w:t>
      </w:r>
      <w:r>
        <w:rPr>
          <w:b/>
        </w:rPr>
        <w:t xml:space="preserve">Pub date: </w:t>
      </w:r>
      <w:r>
        <w:t>2026-02-02 00:00:00+00:00</w:t>
      </w:r>
    </w:p>
    <w:p>
      <w:pPr>
        <w:spacing w:before="0" w:after="120"/>
      </w:pPr>
      <w:r>
        <w:rPr>
          <w:b/>
        </w:rPr>
        <w:t xml:space="preserve">Notes: </w:t>
      </w:r>
      <w:r>
        <w:t>abstract_source=nature_html</w:t>
      </w:r>
    </w:p>
    <w:p>
      <w:pPr>
        <w:spacing w:before="0" w:after="80" w:lineRule="auto" w:line="276"/>
      </w:pPr>
      <w:r>
        <w:rPr>
          <w:b/>
        </w:rPr>
        <w:t xml:space="preserve">摘要（ZH）: </w:t>
      </w:r>
      <w:r>
        <w:t>将量子通信、量子计量学和分布式量子计算结合起来的量子网络可以提供安全和高效的信息传输、高分辨率感测以及信息处理的指数加速。 1 信息处理的加速速度。 长距离的确定性纠缠分布是可缩缩量网络2 - 5的先决条件。 然而,光纤的指数式光子丧失禁止高效和确定性纠缠分布。 量子中继器6,包括缠绕互换4,7,8和缠绕净9 - 11与量子记忆,为克服纤维基量子网络中的这一限制提供了最有希望的手段。 尽管做出了许多开创性的努力12 - 25,但作为远程记忆-模拟缠绕剂,一个关键的瓶颈仍然存在。</w:t>
      </w:r>
    </w:p>
    <w:p>
      <w:pPr>
        <w:spacing w:before="0" w:after="200" w:lineRule="auto" w:line="276"/>
      </w:pPr>
      <w:r>
        <w:rPr>
          <w:b/>
        </w:rPr>
        <w:t xml:space="preserve">Abstract (EN): </w:t>
      </w:r>
      <w:r>
        <w:t>Quantum networks, integrating quantum communication, quantum metrology, and distributed quantum computing, could provide secure and efficient information transfer, high-resolution sensing, and an exponential speed-up in information processing1. Deterministic entanglement distribution over long distances is a prerequisite for scalable quantum networks2–5. However, the exponential photon loss in optical fibres prohibits efficient and deterministic entanglement distribution. Quantum repeaters6, incorporating entanglement swapping4,7,8 and entanglement purification9–11 with quantum memories, offer the most promising means to overcome this limitation in fibre-based quantum networks. Despite numerous pioneering efforts12–25, a critical bottleneck remains, as remote memory-memory entanglement suffers from decoherence more rapidly than it can be established and purified over long distances. Here, we demonstrate memory-memory entanglement between two nodes connected by 10 km of spooled fibre surviving beyond the average entanglement establishment time. This is enabled by the development of long-lived trapped-ion memories, an efficient telecom interface, and a high-visibility single-photon entanglement protocol26,27. As an application, we report a proof-of-principle device-independent quantum key distributio (DI-QKD) demonstration with finite-size analysis over 10 km and a positive key rate over 101 km in the asymptotic limit, with both distances exceeding previous work by more than two orders of magnitude28–30. Our work provides a critical building block for quantum repeaters and marks an important step toward scalable quantum networks.</w:t>
      </w:r>
    </w:p>
    <w:p>
      <w:pPr>
        <w:spacing w:before="120" w:after="120"/>
      </w:pPr>
      <w:r>
        <w:rPr>
          <w:sz w:val="18"/>
        </w:rPr>
        <w:t>——————————————————————————————————————————————————————————————————————</w:t>
      </w:r>
    </w:p>
    <w:p>
      <w:pPr>
        <w:spacing w:before="160" w:after="40" w:line="240" w:lineRule="auto"/>
      </w:pPr>
      <w:r>
        <w:rPr>
          <w:b/>
        </w:rPr>
        <w:t xml:space="preserve">[92] </w:t>
      </w:r>
      <w:hyperlink r:id="rId124">
        <w:r>
          <w:rPr>
            <w:color w:val="1155CC"/>
            <w:u w:val="single"/>
          </w:rPr>
          <w:t>Van der Waals 节能电子设备材料</w:t>
        </w:r>
      </w:hyperlink>
    </w:p>
    <w:p>
      <w:pPr>
        <w:spacing w:before="0" w:after="80"/>
      </w:pPr>
      <w:r>
        <w:rPr>
          <w:i/>
          <w:sz w:val="20"/>
        </w:rPr>
        <w:t>EN: Van der Waals materials for energy-efficient electronic devices</w:t>
      </w:r>
    </w:p>
    <w:p>
      <w:pPr>
        <w:spacing w:before="0" w:after="120"/>
      </w:pPr>
      <w:r>
        <w:rPr>
          <w:b/>
        </w:rPr>
        <w:t xml:space="preserve">Source: </w:t>
      </w:r>
      <w:r>
        <w:t>Nature Reviews Materials</w:t>
      </w:r>
      <w:r>
        <w:t xml:space="preserve">    </w:t>
      </w:r>
      <w:r>
        <w:rPr>
          <w:b/>
        </w:rPr>
        <w:t xml:space="preserve">Pub date: </w:t>
      </w:r>
      <w:r>
        <w:t>2026-02-02 00:00:00+00:00</w:t>
      </w:r>
    </w:p>
    <w:p>
      <w:pPr>
        <w:spacing w:before="0" w:after="120"/>
      </w:pPr>
      <w:r>
        <w:rPr>
          <w:b/>
        </w:rPr>
        <w:t xml:space="preserve">Notes: </w:t>
      </w:r>
      <w:r>
        <w:t>abstract_source=nature_html</w:t>
      </w:r>
    </w:p>
    <w:p>
      <w:pPr>
        <w:spacing w:before="0" w:after="80" w:lineRule="auto" w:line="276"/>
      </w:pPr>
      <w:r>
        <w:rPr>
          <w:b/>
        </w:rPr>
        <w:t xml:space="preserve">摘要（ZH）: </w:t>
      </w:r>
      <w:r>
        <w:t>自从发明了第一个基于的晶晶体管以来,各种3D半导体、金属和绝缘器被广泛用作综合逻辑和记忆装置的构件,然而,基于这些3D材料的电子装置的能源消耗继续增加,特别是在人造智能等新兴模式中,这引起了对技术进步长期可持续性的关切。为了克服这一限制,建议将原子稀薄的范德华材料纳入电子装置,因为它们独特的结构、电子和多形态特性可以使新的机制能够提高装置的能源效率。我们在这里讨论传统的3D材料电子所面临的基本挑战。</w:t>
      </w:r>
    </w:p>
    <w:p>
      <w:pPr>
        <w:spacing w:before="0" w:after="200" w:lineRule="auto" w:line="276"/>
      </w:pPr>
      <w:r>
        <w:rPr>
          <w:b/>
        </w:rPr>
        <w:t xml:space="preserve">Abstract (EN): </w:t>
      </w:r>
      <w:r>
        <w:t>Since the invention of the first transistor based on germanium, a wide range of 3D semiconductors, metals and insulators have been used as building blocks for integrated logic and memory devices. However, the energy consumption of electronic devices based on these 3D materials has continued to increase, particularly in emerging paradigms such as artificial intelligence, raising concerns about the long-term sustainability of technological advancement. To overcome this limitation, incorporating atomically thin van der Waals materials into electronic devices has been proposed, as their unique structural, electronic and polymorphic properties could enable new mechanisms to enhance device energy efficiency. Here, we discuss fundamental challenges faced by conventional 3D-material-based electronics and present how van der Waals materials can be used to address these limitations for energy-efficient device architectures. We conclude by summarizing the key challenges that remain and outlining strategic directions to bridge the gap between fundamental materials science and practical device applications for sustainable, energy-efficient devices.</w:t>
      </w:r>
    </w:p>
    <w:p>
      <w:pPr>
        <w:spacing w:before="120" w:after="120"/>
      </w:pPr>
      <w:r>
        <w:rPr>
          <w:sz w:val="18"/>
        </w:rPr>
        <w:t>——————————————————————————————————————————————————————————————————————</w:t>
      </w:r>
    </w:p>
    <w:p>
      <w:pPr>
        <w:spacing w:before="160" w:after="40" w:line="240" w:lineRule="auto"/>
      </w:pPr>
      <w:r>
        <w:rPr>
          <w:b/>
        </w:rPr>
        <w:t xml:space="preserve">[93] </w:t>
      </w:r>
      <w:hyperlink r:id="rId125">
        <w:r>
          <w:rPr>
            <w:color w:val="1155CC"/>
            <w:u w:val="single"/>
          </w:rPr>
          <w:t>酶微型泡泡机器人</w:t>
        </w:r>
      </w:hyperlink>
    </w:p>
    <w:p>
      <w:pPr>
        <w:spacing w:before="0" w:after="80"/>
      </w:pPr>
      <w:r>
        <w:rPr>
          <w:i/>
          <w:sz w:val="20"/>
        </w:rPr>
        <w:t>EN: Enzymatic microbubble robots</w:t>
      </w:r>
    </w:p>
    <w:p>
      <w:pPr>
        <w:spacing w:before="0" w:after="120"/>
      </w:pPr>
      <w:r>
        <w:rPr>
          <w:b/>
        </w:rPr>
        <w:t xml:space="preserve">Source: </w:t>
      </w:r>
      <w:r>
        <w:t>Nature Nanotechnology</w:t>
      </w:r>
      <w:r>
        <w:t xml:space="preserve">    </w:t>
      </w:r>
      <w:r>
        <w:rPr>
          <w:b/>
        </w:rPr>
        <w:t xml:space="preserve">Pub date: </w:t>
      </w:r>
      <w:r>
        <w:t>2026-02-02 00:00:00+00:00</w:t>
      </w:r>
    </w:p>
    <w:p>
      <w:pPr>
        <w:spacing w:before="0" w:after="120"/>
      </w:pPr>
      <w:r>
        <w:rPr>
          <w:b/>
        </w:rPr>
        <w:t xml:space="preserve">Notes: </w:t>
      </w:r>
      <w:r>
        <w:t>abstract_source=nature_html</w:t>
      </w:r>
    </w:p>
    <w:p>
      <w:pPr>
        <w:spacing w:before="0" w:after="80" w:lineRule="auto" w:line="276"/>
      </w:pPr>
      <w:r>
        <w:rPr>
          <w:b/>
        </w:rPr>
        <w:t xml:space="preserve">摘要（ZH）: </w:t>
      </w:r>
      <w:r>
        <w:t>微型和纳米机器人的开发扩大了生物医学应用中对智能多功能机器的需求,但大多数微热带系统都为达到这些应用所需的属性而挣扎。在这里,我们引入了酶微型泡沫机器人,这些机器人展示了可控运动、生物降解性增强、活体成像高反差、以及疾病地点的有效瞄准和渗透。这些微型机器人的特征是天然蛋白壳,这些蛋白壳经过泌尿素的改良,可以分解用于自主推进的生物可用尿素,而内部微泡则作为深组织成像和导航的超声波成像对比剂。磁纳米粒集成使得成像引导磁控运动和催化酶功能化法得以实现。</w:t>
      </w:r>
    </w:p>
    <w:p>
      <w:pPr>
        <w:spacing w:before="0" w:after="200" w:lineRule="auto" w:line="276"/>
      </w:pPr>
      <w:r>
        <w:rPr>
          <w:b/>
        </w:rPr>
        <w:t xml:space="preserve">Abstract (EN): </w:t>
      </w:r>
      <w:r>
        <w:t>The development of micro- and nanorobots has amplified the demand for intelligent multifunctional machines in biomedical applications, but most microrobotic systems struggle to achieve the attributes needed for those applications. Here we introduce enzymatic microbubble robots that exhibit steerable motion, enhanced biodegradability, high in vivo imaging contrast, and effective targeting and penetration of disease sites. These microrobots feature natural protein shells modified with urease to decompose bioavailable urea for autonomous propulsion, whereas an internal microbubble serves as an ultrasound imaging contrast agent for deep tissue imaging and navigation. Magnetic nanoparticle integration enables imaging-guided magnetically controlled motion and catalase functionalization facilitates chemotactic movement towards hydrogen peroxide gradients, directing robots to tumour sites. Focused ultrasound triggers robot shell collapse and inertial cavitation of the released microbubbles, creating mechanical forces that enhance therapeutic payload penetration. In vivo studies validate the tumour-targeting and therapeutic efficacy of these robots, demonstrating enhanced antitumour effects. This multifunctional microbubble robotic platform has the potential to transform medical interventions and precision therapies.</w:t>
      </w:r>
    </w:p>
    <w:p>
      <w:pPr>
        <w:spacing w:before="120" w:after="120"/>
      </w:pPr>
      <w:r>
        <w:rPr>
          <w:sz w:val="18"/>
        </w:rPr>
        <w:t>——————————————————————————————————————————————————————————————————————</w:t>
      </w:r>
    </w:p>
    <w:p>
      <w:pPr>
        <w:spacing w:before="160" w:after="40" w:line="240" w:lineRule="auto"/>
      </w:pPr>
      <w:r>
        <w:rPr>
          <w:b/>
        </w:rPr>
        <w:t xml:space="preserve">[94] </w:t>
      </w:r>
      <w:hyperlink r:id="rId126">
        <w:r>
          <w:rPr>
            <w:color w:val="1155CC"/>
            <w:u w:val="single"/>
          </w:rPr>
          <w:t>在微氟化物中用于直接从样本中进行抗微生物敏感度测试的超快速纳米纳米成膜色度计色测量</w:t>
        </w:r>
      </w:hyperlink>
    </w:p>
    <w:p>
      <w:pPr>
        <w:spacing w:before="0" w:after="80"/>
      </w:pPr>
      <w:r>
        <w:rPr>
          <w:i/>
          <w:sz w:val="20"/>
        </w:rPr>
        <w:t>EN: Ultra-rapid nanoplasmonic colorimetry in microfluidics for antimicrobial susceptibility testing directly from specimens</w:t>
      </w:r>
    </w:p>
    <w:p>
      <w:pPr>
        <w:spacing w:before="0" w:after="120"/>
      </w:pPr>
      <w:r>
        <w:rPr>
          <w:b/>
        </w:rPr>
        <w:t xml:space="preserve">Source: </w:t>
      </w:r>
      <w:r>
        <w:t>Nature Nanotechnology</w:t>
      </w:r>
      <w:r>
        <w:t xml:space="preserve">    </w:t>
      </w:r>
      <w:r>
        <w:rPr>
          <w:b/>
        </w:rPr>
        <w:t xml:space="preserve">Pub date: </w:t>
      </w:r>
      <w:r>
        <w:t>2026-02-02 00:00:00+00:00</w:t>
      </w:r>
    </w:p>
    <w:p>
      <w:pPr>
        <w:spacing w:before="0" w:after="120"/>
      </w:pPr>
      <w:r>
        <w:rPr>
          <w:b/>
        </w:rPr>
        <w:t xml:space="preserve">Notes: </w:t>
      </w:r>
      <w:r>
        <w:t>abstract_source=nature_html</w:t>
      </w:r>
    </w:p>
    <w:p>
      <w:pPr>
        <w:spacing w:before="0" w:after="80" w:lineRule="auto" w:line="276"/>
      </w:pPr>
      <w:r>
        <w:rPr>
          <w:b/>
        </w:rPr>
        <w:t xml:space="preserve">摘要（ZH）: </w:t>
      </w:r>
      <w:r>
        <w:t>快速识别病原细菌及其抗抗药性苯型的抗微生物易感测试技术对于应对抗微生物抗药性危机至关重要,有助于及时做出准确的抗生素治疗决定。我们提供了一个基于微氟dics中纳米平板色色测量的模块式自动平台,用于平行的AST(QolorPhAST)细菌识别和血清特征分析,从而在检测速度方面实现八倍的快速提高。科勒PHAST将直接样本中的药物易感特征分析时间从几天到几分钟减少,绕过标准临床AST工作流程中通常需要的隔夜文化和病原体隔离。该方法得到了涵盖10个细菌物种和34个物种的广泛微生物病原体的验证。</w:t>
      </w:r>
    </w:p>
    <w:p>
      <w:pPr>
        <w:spacing w:before="0" w:after="200" w:lineRule="auto" w:line="276"/>
      </w:pPr>
      <w:r>
        <w:rPr>
          <w:b/>
        </w:rPr>
        <w:t xml:space="preserve">Abstract (EN): </w:t>
      </w:r>
      <w:r>
        <w:t>Antimicrobial susceptibility testing (AST) technologies that rapidly identify pathogenic bacteria and their resistance phenotypes are critical in addressing the antimicrobial resistance crisis, enabling timely and precise antibiotic treatment decisions. We present a modular automated platform based on nanoplasmonic colorimetry in microfluidics for parallel bacterial identification and phenotypic profiling of AST (QolorPhAST), achieving an eightfold enhancement in detection rapidity. QolorPhAST reduces drug susceptibility profiling times in direct specimens from days to minutes, bypassing overnight cultures and pathogen isolation typically required in standard clinical AST workflows. The approach was validated with a broad range of microbial pathogens, spanning 10 bacterial species and 34 strains across various antibiotic concentrations to identify pathogens and antibiotic minimal inhibitory concentrations in a multiplexed fashion. In a proof-of-concept clinical study, QolorPhAST was tested with a cohort of blinded patient samples suspected of urinary tract infections, achieving 100% accuracy in species identification, an average categorical agreement of 91.81% and an average essential agreement of 86.4%, with a turnaround time of 36 min from specimen introduction to result. The study suggests that QolorPhAST, with its ease of use and cost-effectiveness, can be a transformative solution to address the antimicrobial resistance burden.</w:t>
      </w:r>
    </w:p>
    <w:p>
      <w:pPr>
        <w:spacing w:before="120" w:after="120"/>
      </w:pPr>
      <w:r>
        <w:rPr>
          <w:sz w:val="18"/>
        </w:rPr>
        <w:t>——————————————————————————————————————————————————————————————————————</w:t>
      </w:r>
    </w:p>
    <w:p>
      <w:pPr>
        <w:spacing w:before="160" w:after="40" w:line="240" w:lineRule="auto"/>
      </w:pPr>
      <w:r>
        <w:rPr>
          <w:b/>
        </w:rPr>
        <w:t xml:space="preserve">[95] </w:t>
      </w:r>
      <w:hyperlink r:id="rId127">
        <w:r>
          <w:rPr>
            <w:color w:val="1155CC"/>
            <w:u w:val="single"/>
          </w:rPr>
          <w:t>电动双层加压白金电极综合模型</w:t>
        </w:r>
      </w:hyperlink>
    </w:p>
    <w:p>
      <w:pPr>
        <w:spacing w:before="0" w:after="80"/>
      </w:pPr>
      <w:r>
        <w:rPr>
          <w:i/>
          <w:sz w:val="20"/>
        </w:rPr>
        <w:t>EN: A comprehensive model for the electric double layer of stepped platinum electrodes</w:t>
      </w:r>
    </w:p>
    <w:p>
      <w:pPr>
        <w:spacing w:before="0" w:after="120"/>
      </w:pPr>
      <w:r>
        <w:rPr>
          <w:b/>
        </w:rPr>
        <w:t xml:space="preserve">Source: </w:t>
      </w:r>
      <w:r>
        <w:t>Nature Chemistry</w:t>
      </w:r>
      <w:r>
        <w:t xml:space="preserve">    </w:t>
      </w:r>
      <w:r>
        <w:rPr>
          <w:b/>
        </w:rPr>
        <w:t xml:space="preserve">Pub date: </w:t>
      </w:r>
      <w:r>
        <w:t>2026-02-02 00:00:00+00:00</w:t>
      </w:r>
    </w:p>
    <w:p>
      <w:pPr>
        <w:spacing w:before="0" w:after="120"/>
      </w:pPr>
      <w:r>
        <w:rPr>
          <w:b/>
        </w:rPr>
        <w:t xml:space="preserve">Notes: </w:t>
      </w:r>
      <w:r>
        <w:t>abstract_source=nature_html</w:t>
      </w:r>
    </w:p>
    <w:p>
      <w:pPr>
        <w:spacing w:before="0" w:after="80" w:lineRule="auto" w:line="276"/>
      </w:pPr>
      <w:r>
        <w:rPr>
          <w:b/>
        </w:rPr>
        <w:t xml:space="preserve">摘要（ZH）: </w:t>
      </w:r>
      <w:r>
        <w:t>了解Pt 级电极电极电极的电极双电层(EDL)对于理解与电催化有关的Pt电极的反应环境至关重要。 Pt电极通常由表面方向、步骤和缺陷的复杂组合组成。在这里,我们通过以(110)-或(100)型步骤定期扰动(111)以(110)或(100)型步骤来系统调查这些表面的电极双层结构。我们发现,0.1 mmM HClO4中的差分电电电电电电电电电电极最小值对结构非常敏感。我们把这一观察归因于 H2O离异性(110)和(100)方形之间的内在差异。我们确认,使用连续模型,Cd、min(Ed、min)的潜力接近于(110)支离式塞尔的零免费Epzfc的潜力。</w:t>
      </w:r>
    </w:p>
    <w:p>
      <w:pPr>
        <w:spacing w:before="0" w:after="200" w:lineRule="auto" w:line="276"/>
      </w:pPr>
      <w:r>
        <w:rPr>
          <w:b/>
        </w:rPr>
        <w:t xml:space="preserve">Abstract (EN): </w:t>
      </w:r>
      <w:r>
        <w:t>Understanding the electric double layer (EDL) of stepped Pt electrodes is crucial for comprehending the reaction environment for electrocatalytically relevant Pt electrodes, which typically comprise a complex mixture of facet orientations, steps and defects. Here we systematically investigate the EDL structure of these surfaces by periodically perturbing (111) terraces by either (110)- or (100)-type steps. We find that the minimum in the differential capacitance Cd,min in 0.1 mM HClO4 is highly structure sensitive. We attribute this observation to inherent differences in affinity for H2O dissociation between (110) and (100) facets. Using a continuum model, we confirm that the potential of Cd,min (Ed,min) closely approximates the potential of zero free charge Epzfc for the (110)-stepped series. Together with ab initio molecular dynamics simulations, we reveal that OHads at step sites leads to a different step-density-dependent trend between Epzfc and the work function. Our approach yields a unified picture of the EDL structure on stepped Pt surfaces, bridging the gap between model single-crystal surfaces and practically relevant heterogeneous Pt electrodes.</w:t>
      </w:r>
    </w:p>
    <w:p>
      <w:pPr>
        <w:spacing w:before="120" w:after="120"/>
      </w:pPr>
      <w:r>
        <w:rPr>
          <w:sz w:val="18"/>
        </w:rPr>
        <w:t>——————————————————————————————————————————————————————————————————————</w:t>
      </w:r>
    </w:p>
    <w:p>
      <w:pPr>
        <w:spacing w:before="160" w:after="40" w:line="240" w:lineRule="auto"/>
      </w:pPr>
      <w:r>
        <w:rPr>
          <w:b/>
        </w:rPr>
        <w:t xml:space="preserve">[96] </w:t>
      </w:r>
      <w:hyperlink r:id="rId128">
        <w:r>
          <w:rPr>
            <w:color w:val="1155CC"/>
            <w:u w:val="single"/>
          </w:rPr>
          <w:t>合成动态转录框架及其应用</w:t>
        </w:r>
      </w:hyperlink>
    </w:p>
    <w:p>
      <w:pPr>
        <w:spacing w:before="0" w:after="80"/>
      </w:pPr>
      <w:r>
        <w:rPr>
          <w:i/>
          <w:sz w:val="20"/>
        </w:rPr>
        <w:t>EN: Synthetic dynamic transcription frameworks and their applications</w:t>
      </w:r>
    </w:p>
    <w:p>
      <w:pPr>
        <w:spacing w:before="0" w:after="120"/>
      </w:pPr>
      <w:r>
        <w:rPr>
          <w:b/>
        </w:rPr>
        <w:t xml:space="preserve">Source: </w:t>
      </w:r>
      <w:r>
        <w:t>Nature Chemistry</w:t>
      </w:r>
      <w:r>
        <w:t xml:space="preserve">    </w:t>
      </w:r>
      <w:r>
        <w:rPr>
          <w:b/>
        </w:rPr>
        <w:t xml:space="preserve">Pub date: </w:t>
      </w:r>
      <w:r>
        <w:t>2026-02-02 00:00:00+00:00</w:t>
      </w:r>
    </w:p>
    <w:p>
      <w:pPr>
        <w:spacing w:before="0" w:after="120"/>
      </w:pPr>
      <w:r>
        <w:rPr>
          <w:b/>
        </w:rPr>
        <w:t xml:space="preserve">Notes: </w:t>
      </w:r>
      <w:r>
        <w:t>abstract_source=nature_html</w:t>
      </w:r>
    </w:p>
    <w:p>
      <w:pPr>
        <w:spacing w:before="0" w:after="80" w:lineRule="auto" w:line="276"/>
      </w:pPr>
      <w:r>
        <w:rPr>
          <w:b/>
        </w:rPr>
        <w:t xml:space="preserve">摘要（ZH）: </w:t>
      </w:r>
      <w:r>
        <w:t>生物转录利用由转录因子和辅助环境提示调节的动态机械来控制多种生物过程。转录机的管制不当导致多种遗传疾病和疾病。这里我们讨论DNA纳米结构和电路在开发模拟动态特征的合成体外转录框架时的应用,这些特征包括:可转换的由地形屏障阻碍转录、揭示瞬时消散动动动能的转录机、以及由反馈环驱动的双轨程序或流体转录回路,为探索和验证本地转录及其潜在生物应用的机制铺平了道路。</w:t>
      </w:r>
    </w:p>
    <w:p>
      <w:pPr>
        <w:spacing w:before="0" w:after="200" w:lineRule="auto" w:line="276"/>
      </w:pPr>
      <w:r>
        <w:rPr>
          <w:b/>
        </w:rPr>
        <w:t xml:space="preserve">Abstract (EN): </w:t>
      </w:r>
      <w:r>
        <w:t>Biological transcription uses dynamic machinery modulated by transcription factors and auxiliary environmental cues to control multiple biological processes. Misregulation of the transcription machinery leads to diverse genetic disorders and diseases. Here we discuss the application of DNA nanostructures and circuits in developing synthetic in vitro transcription frameworks that mimic dynamic features, such as switchable blockage of transcription by topological barriers, transcription machineries revealing transient dissipative kinetics, and bistable programs or oscillatory transcription circuits driven by feedback loops, paving the way to exploring and validating mechanisms in native transcription and their potential biological applications. Possible applications of the transcription frameworks for sensing, and future perspectives for autonomous therapeutics and the design of artificial cells, are discussed.</w:t>
      </w:r>
    </w:p>
    <w:p>
      <w:pPr>
        <w:spacing w:before="120" w:after="120"/>
      </w:pPr>
      <w:r>
        <w:rPr>
          <w:sz w:val="18"/>
        </w:rPr>
        <w:t>——————————————————————————————————————————————————————————————————————</w:t>
      </w:r>
    </w:p>
    <w:p>
      <w:pPr>
        <w:spacing w:before="160" w:after="40" w:line="240" w:lineRule="auto"/>
      </w:pPr>
      <w:r>
        <w:rPr>
          <w:b/>
        </w:rPr>
        <w:t xml:space="preserve">[97] </w:t>
      </w:r>
      <w:hyperlink r:id="rId129">
        <w:r>
          <w:rPr>
            <w:color w:val="1155CC"/>
            <w:u w:val="single"/>
          </w:rPr>
          <w:t>作者更正: 缩小潜入动态与 Sunda 巨形壳长期强度之间的差距</w:t>
        </w:r>
      </w:hyperlink>
    </w:p>
    <w:p>
      <w:pPr>
        <w:spacing w:before="0" w:after="80"/>
      </w:pPr>
      <w:r>
        <w:rPr>
          <w:i/>
          <w:sz w:val="20"/>
        </w:rPr>
        <w:t>EN: Author Correction: Bridging the gap between subduction dynamics and the long-term strength of the Sunda megathrust</w:t>
      </w:r>
    </w:p>
    <w:p>
      <w:pPr>
        <w:spacing w:before="0" w:after="120"/>
      </w:pPr>
      <w:r>
        <w:rPr>
          <w:b/>
        </w:rPr>
        <w:t xml:space="preserve">Source: </w:t>
      </w:r>
      <w:r>
        <w:t>Nature Communications</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[98] </w:t>
      </w:r>
      <w:hyperlink r:id="rId130">
        <w:r>
          <w:rPr>
            <w:color w:val="1155CC"/>
            <w:u w:val="single"/>
          </w:rPr>
          <w:t>作者更正: 以岩浆形式采样的红氧化缓冲下海底海洋结壳中含氧含氧钻石形成的证据</w:t>
        </w:r>
      </w:hyperlink>
    </w:p>
    <w:p>
      <w:pPr>
        <w:spacing w:before="0" w:after="80"/>
      </w:pPr>
      <w:r>
        <w:rPr>
          <w:i/>
          <w:sz w:val="20"/>
        </w:rPr>
        <w:t>EN: Author Correction: Evidence for oxygen-conserving diamond formation in redox-buffered subducted oceanic crust sampled as eclogite</w:t>
      </w:r>
    </w:p>
    <w:p>
      <w:pPr>
        <w:spacing w:before="0" w:after="120"/>
      </w:pPr>
      <w:r>
        <w:rPr>
          <w:b/>
        </w:rPr>
        <w:t xml:space="preserve">Source: </w:t>
      </w:r>
      <w:r>
        <w:t>Nature Communications</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[99] </w:t>
      </w:r>
      <w:hyperlink r:id="rId131">
        <w:r>
          <w:rPr>
            <w:color w:val="1155CC"/>
            <w:u w:val="single"/>
          </w:rPr>
          <w:t>作者更正: 扭曲的α-MOO3的中红外手力和手力热排放</w:t>
        </w:r>
      </w:hyperlink>
    </w:p>
    <w:p>
      <w:pPr>
        <w:spacing w:before="0" w:after="80"/>
      </w:pPr>
      <w:r>
        <w:rPr>
          <w:i/>
          <w:sz w:val="20"/>
        </w:rPr>
        <w:t>EN: Author Correction: Mid-infrared chirality and chiral thermal emission from twisted α-MoO3</w:t>
      </w:r>
    </w:p>
    <w:p>
      <w:pPr>
        <w:spacing w:before="0" w:after="120"/>
      </w:pPr>
      <w:r>
        <w:rPr>
          <w:b/>
        </w:rPr>
        <w:t xml:space="preserve">Source: </w:t>
      </w:r>
      <w:r>
        <w:t>Nature Communications</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[100] </w:t>
      </w:r>
      <w:hyperlink r:id="rId132">
        <w:r>
          <w:rPr>
            <w:color w:val="1155CC"/>
            <w:u w:val="single"/>
          </w:rPr>
          <w:t>以AI为基础的多组特征分析显示,对心血管疾病个性化预测的辅助性血球作用是补充性的。</w:t>
        </w:r>
      </w:hyperlink>
    </w:p>
    <w:p>
      <w:pPr>
        <w:spacing w:before="0" w:after="80"/>
      </w:pPr>
      <w:r>
        <w:rPr>
          <w:i/>
          <w:sz w:val="20"/>
        </w:rPr>
        <w:t>EN: AI-based multiomics profiling reveals complementary omics contributions to personalized prediction of cardiovascular disease</w:t>
      </w:r>
    </w:p>
    <w:p>
      <w:pPr>
        <w:spacing w:before="0" w:after="120"/>
      </w:pPr>
      <w:r>
        <w:rPr>
          <w:b/>
        </w:rPr>
        <w:t xml:space="preserve">Source: </w:t>
      </w:r>
      <w:r>
        <w:t>Nature Communications</w:t>
      </w:r>
      <w:r>
        <w:t xml:space="preserve">    </w:t>
      </w:r>
      <w:r>
        <w:rPr>
          <w:b/>
        </w:rPr>
        <w:t xml:space="preserve">Pub date: </w:t>
      </w:r>
      <w:r>
        <w:t>2026-02-02 00:00:00+00:00</w:t>
      </w:r>
    </w:p>
    <w:p>
      <w:pPr>
        <w:spacing w:before="0" w:after="120"/>
      </w:pPr>
      <w:r>
        <w:rPr>
          <w:b/>
        </w:rPr>
        <w:t xml:space="preserve">Notes: </w:t>
      </w:r>
      <w:r>
        <w:t>abstract_source=nature_html</w:t>
      </w:r>
    </w:p>
    <w:p>
      <w:pPr>
        <w:spacing w:before="0" w:after="80" w:lineRule="auto" w:line="276"/>
      </w:pPr>
      <w:r>
        <w:rPr>
          <w:b/>
        </w:rPr>
        <w:t xml:space="preserve">摘要（ZH）: </w:t>
      </w:r>
      <w:r>
        <w:t>基因组学、代谢基因和蛋白质组学提供了心血管疾病风险的补充洞察力。 利用英国生物库数据,我们引入了多任务深学习框架“心电数”这个多任务深度学习框架,通过剖析2920个蛋白和168个代谢物,学习六种最常见的细胞群(CVD)特定疾病(ProScore)和代谢物(MetScore)的风险分数。 实验表明,ProScore和MetScore是强大的唯一CVD风险预测器(C-index范围:ProScore:0.69-0.82,MetScore:0.64-0.74),并且能够显著提高CVD在疾病发病前15年的风险预测,同时结合临床数据,将C-index增加0.05-0.102.。 这些研究结果表明,将多组特征分析纳入临床实践可以改善个人个人的风险。</w:t>
      </w:r>
    </w:p>
    <w:p>
      <w:pPr>
        <w:spacing w:before="0" w:after="200" w:lineRule="auto" w:line="276"/>
      </w:pPr>
      <w:r>
        <w:rPr>
          <w:b/>
        </w:rPr>
        <w:t xml:space="preserve">Abstract (EN): </w:t>
      </w:r>
      <w:r>
        <w:t>Genomics, metabolomics, and proteomics offer complementary insights into cardiovascular disease (CVD) risk. Leveraging UK Biobank data, we introduce the CardiOmicScore, a multitask deep learning framework, to learn disease-specific proteomic (ProScore) and metabolomic (MetScore) risk scores for the six most common CVDs by profiling 2920 proteins and 168 metabolites. Experiments demonstrate that ProScore and MetScore are strong sole CVD risk predictors (C-index range: 0.69–0.82 for ProScore and 0.64–0.74 for MetScore), and can significantly enhance risk prediction across CVDs up to 15 years prior to disease onset when combined with clinical data, increasing the C-index by 0.005–0.102. These findings suggest that incorporating multiomics profiling into clinical practice can improve personalized risk assessments at early stages. CardiOmicScore also identifies important CVD-related proteins and metabolites, which represent promising data-driven pathways, calling for further external validation, to develop novel biomarkers and targeted therapies, facilitating precision medicine for primary prevention of CVDs.</w:t>
      </w:r>
    </w:p>
    <w:p>
      <w:pPr>
        <w:spacing w:before="120" w:after="120"/>
      </w:pPr>
      <w:r>
        <w:rPr>
          <w:sz w:val="18"/>
        </w:rPr>
        <w:t>——————————————————————————————————————————————————————————————————————</w:t>
      </w:r>
    </w:p>
    <w:p>
      <w:pPr>
        <w:spacing w:before="160" w:after="40" w:line="240" w:lineRule="auto"/>
      </w:pPr>
      <w:r>
        <w:rPr>
          <w:b/>
        </w:rPr>
        <w:t xml:space="preserve">[101] </w:t>
      </w:r>
      <w:hyperlink r:id="rId133">
        <w:r>
          <w:rPr>
            <w:color w:val="1155CC"/>
            <w:u w:val="single"/>
          </w:rPr>
          <w:t>出版出版商校正:机器学习预测仪表规模的实验室地震</w:t>
        </w:r>
      </w:hyperlink>
    </w:p>
    <w:p>
      <w:pPr>
        <w:spacing w:before="0" w:after="80"/>
      </w:pPr>
      <w:r>
        <w:rPr>
          <w:i/>
          <w:sz w:val="20"/>
        </w:rPr>
        <w:t>EN: Publisher Correction: Machine learning predicts meter-scale laboratory earthquakes</w:t>
      </w:r>
    </w:p>
    <w:p>
      <w:pPr>
        <w:spacing w:before="0" w:after="120"/>
      </w:pPr>
      <w:r>
        <w:rPr>
          <w:b/>
        </w:rPr>
        <w:t xml:space="preserve">Source: </w:t>
      </w:r>
      <w:r>
        <w:t>Nature Communications</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[102] </w:t>
      </w:r>
      <w:hyperlink r:id="rId134">
        <w:r>
          <w:rPr>
            <w:color w:val="1155CC"/>
            <w:u w:val="single"/>
          </w:rPr>
          <w:t>每日简报:科学家探究历史的气味</w:t>
        </w:r>
      </w:hyperlink>
    </w:p>
    <w:p>
      <w:pPr>
        <w:spacing w:before="0" w:after="80"/>
      </w:pPr>
      <w:r>
        <w:rPr>
          <w:i/>
          <w:sz w:val="20"/>
        </w:rPr>
        <w:t>EN: Daily briefing: Scientists delve into the smells of history</w:t>
      </w:r>
    </w:p>
    <w:p>
      <w:pPr>
        <w:spacing w:before="0" w:after="120"/>
      </w:pPr>
      <w:r>
        <w:rPr>
          <w:b/>
        </w:rPr>
        <w:t xml:space="preserve">Source: </w:t>
      </w:r>
      <w:r>
        <w:t>Nature</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[103] </w:t>
      </w:r>
      <w:hyperlink r:id="rId135">
        <w:r>
          <w:rPr>
            <w:color w:val="1155CC"/>
            <w:u w:val="single"/>
          </w:rPr>
          <w:t>利用超声波读心术。科学是否站得住脚?</w:t>
        </w:r>
      </w:hyperlink>
    </w:p>
    <w:p>
      <w:pPr>
        <w:spacing w:before="0" w:after="80"/>
      </w:pPr>
      <w:r>
        <w:rPr>
          <w:i/>
          <w:sz w:val="20"/>
        </w:rPr>
        <w:t>EN: OpenAI-backed firm to use ultrasound to read minds. Does the science stand up?</w:t>
      </w:r>
    </w:p>
    <w:p>
      <w:pPr>
        <w:spacing w:before="0" w:after="120"/>
      </w:pPr>
      <w:r>
        <w:rPr>
          <w:b/>
        </w:rPr>
        <w:t xml:space="preserve">Source: </w:t>
      </w:r>
      <w:r>
        <w:t>Nature</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[104] </w:t>
      </w:r>
      <w:hyperlink r:id="rId136">
        <w:r>
          <w:rPr>
            <w:color w:val="1155CC"/>
            <w:u w:val="single"/>
          </w:rPr>
          <w:t>影响健康的人会让我们生病吗?</w:t>
        </w:r>
      </w:hyperlink>
    </w:p>
    <w:p>
      <w:pPr>
        <w:spacing w:before="0" w:after="80"/>
      </w:pPr>
      <w:r>
        <w:rPr>
          <w:i/>
          <w:sz w:val="20"/>
        </w:rPr>
        <w:t>EN: Are health influencers making us sick?</w:t>
      </w:r>
    </w:p>
    <w:p>
      <w:pPr>
        <w:spacing w:before="0" w:after="120"/>
      </w:pPr>
      <w:r>
        <w:rPr>
          <w:b/>
        </w:rPr>
        <w:t xml:space="preserve">Source: </w:t>
      </w:r>
      <w:r>
        <w:t>Nature</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[105] </w:t>
      </w:r>
      <w:hyperlink r:id="rId137">
        <w:r>
          <w:rPr>
            <w:color w:val="1155CC"/>
            <w:u w:val="single"/>
          </w:rPr>
          <w:t>看到太阳像海豚一样扩张和收缩 — — 1月最好的科学图像</w:t>
        </w:r>
      </w:hyperlink>
    </w:p>
    <w:p>
      <w:pPr>
        <w:spacing w:before="0" w:after="80"/>
      </w:pPr>
      <w:r>
        <w:rPr>
          <w:i/>
          <w:sz w:val="20"/>
        </w:rPr>
        <w:t>EN: See the Sun expand and contract like a pufferfish — January’s best science images</w:t>
      </w:r>
    </w:p>
    <w:p>
      <w:pPr>
        <w:spacing w:before="0" w:after="120"/>
      </w:pPr>
      <w:r>
        <w:rPr>
          <w:b/>
        </w:rPr>
        <w:t xml:space="preserve">Source: </w:t>
      </w:r>
      <w:r>
        <w:t>Nature</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[106] </w:t>
      </w:r>
      <w:hyperlink r:id="rId138">
        <w:r>
          <w:rPr>
            <w:color w:val="1155CC"/>
            <w:u w:val="single"/>
          </w:rPr>
          <w:t>大赦国际是否已经掌握了人类层面的情报?</w:t>
        </w:r>
      </w:hyperlink>
    </w:p>
    <w:p>
      <w:pPr>
        <w:spacing w:before="0" w:after="80"/>
      </w:pPr>
      <w:r>
        <w:rPr>
          <w:i/>
          <w:sz w:val="20"/>
        </w:rPr>
        <w:t>EN: Does AI already have human-level intelligence? The evidence is clear</w:t>
      </w:r>
    </w:p>
    <w:p>
      <w:pPr>
        <w:spacing w:before="0" w:after="120"/>
      </w:pPr>
      <w:r>
        <w:rPr>
          <w:b/>
        </w:rPr>
        <w:t xml:space="preserve">Source: </w:t>
      </w:r>
      <w:r>
        <w:t>Nature</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[107] </w:t>
      </w:r>
      <w:hyperlink r:id="rId139">
        <w:r>
          <w:rPr>
            <w:color w:val="1155CC"/>
            <w:u w:val="single"/>
          </w:rPr>
          <w:t>此日记合法吗? 此工具可以帮助您决定</w:t>
        </w:r>
      </w:hyperlink>
    </w:p>
    <w:p>
      <w:pPr>
        <w:spacing w:before="0" w:after="80"/>
      </w:pPr>
      <w:r>
        <w:rPr>
          <w:i/>
          <w:sz w:val="20"/>
        </w:rPr>
        <w:t>EN: Is this journal legitimate? This tool can help you decide</w:t>
      </w:r>
    </w:p>
    <w:p>
      <w:pPr>
        <w:spacing w:before="0" w:after="120"/>
      </w:pPr>
      <w:r>
        <w:rPr>
          <w:b/>
        </w:rPr>
        <w:t xml:space="preserve">Source: </w:t>
      </w:r>
      <w:r>
        <w:t>Nature</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[108] </w:t>
      </w:r>
      <w:hyperlink r:id="rId140">
        <w:r>
          <w:rPr>
            <w:color w:val="1155CC"/>
            <w:u w:val="single"/>
          </w:rPr>
          <w:t>中国与外国科学强国的关系正在迅速变化</w:t>
        </w:r>
      </w:hyperlink>
    </w:p>
    <w:p>
      <w:pPr>
        <w:spacing w:before="0" w:after="80"/>
      </w:pPr>
      <w:r>
        <w:rPr>
          <w:i/>
          <w:sz w:val="20"/>
        </w:rPr>
        <w:t>EN: China’s relationship with foreign scientific powers is changing rapidly</w:t>
      </w:r>
    </w:p>
    <w:p>
      <w:pPr>
        <w:spacing w:before="0" w:after="120"/>
      </w:pPr>
      <w:r>
        <w:rPr>
          <w:b/>
        </w:rPr>
        <w:t xml:space="preserve">Source: </w:t>
      </w:r>
      <w:r>
        <w:t>Nature</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141">
        <w:r>
          <w:rPr>
            <w:color w:val="1155CC"/>
            <w:u w:val="single"/>
          </w:rPr>
          <w:t>热固热梯度多孔纳米复合泡沫可产生自燃冷热掩罩</w:t>
        </w:r>
      </w:hyperlink>
    </w:p>
    <w:p>
      <w:pPr>
        <w:spacing w:before="0" w:after="80"/>
      </w:pPr>
      <w:r>
        <w:rPr>
          <w:i/>
          <w:sz w:val="20"/>
        </w:rPr>
        <w:t>EN: Thermal-rectified gradient porous nanocomposite foam enables spontaneous-cooling thermal camouflage</w:t>
      </w:r>
    </w:p>
    <w:p>
      <w:pPr>
        <w:spacing w:before="0" w:after="120"/>
      </w:pPr>
      <w:r>
        <w:rPr>
          <w:b/>
        </w:rPr>
        <w:t xml:space="preserve">Source: </w:t>
      </w:r>
      <w:r>
        <w:t>Matter</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通过静电场驱动的静电场梯度聚合物,制作了一种在甲基苯含量和多孔性中具有连续双梯度的梯度多孔纳米复合泡沫,该泡沫的双梯度结构能够产生热校正能力,从而将超热热从阳光照射的富含甲基苯的表面转移到辐射冷却的聚合物富集面,以缓解户外用途的热积累,确保在以直接阳光和高温为特征的具有挑战性的户外环境中确保可靠的自燃冷热伪装。</w:t>
      </w:r>
    </w:p>
    <w:p>
      <w:pPr>
        <w:spacing w:before="0" w:after="200" w:lineRule="auto" w:line="276"/>
      </w:pPr>
      <w:r>
        <w:rPr>
          <w:b/>
        </w:rPr>
        <w:t xml:space="preserve">Abstract (EN): </w:t>
      </w:r>
      <w:r>
        <w:t>A gradient porous nanocomposite foam with a continuous dual gradient in MXene content and porosity is prepared through electrostatic field-driven gradient polymerization. The dual-gradient architecture of the foam enables thermal rectification capabilities, thereby redirecting excess heat from the sunlight-exposed MXene-rich surface to the radiatively cooled polymer-rich side to mitigate heat buildup in outdoor uses, ensuring reliable spontaneous-cooling thermal camouflage in challenging outdoor environments characterized by direct sunlight and high temperatures.</w:t>
      </w:r>
    </w:p>
    <w:p>
      <w:pPr>
        <w:spacing w:before="120" w:after="120"/>
      </w:pPr>
      <w:r>
        <w:rPr>
          <w:sz w:val="18"/>
        </w:rPr>
        <w:t>——————————————————————————————————————————————————————————————————————</w:t>
      </w:r>
    </w:p>
    <w:p>
      <w:pPr>
        <w:spacing w:before="160" w:after="40" w:line="240" w:lineRule="auto"/>
      </w:pPr>
      <w:r>
        <w:rPr>
          <w:b/>
        </w:rPr>
        <w:t xml:space="preserve">[110] </w:t>
      </w:r>
      <w:hyperlink r:id="rId142">
        <w:r>
          <w:rPr>
            <w:color w:val="1155CC"/>
            <w:u w:val="single"/>
          </w:rPr>
          <w:t>用于高效电催化氨氧化的超硬Pt纳米立方体的超快、固固固合成合成</w:t>
        </w:r>
      </w:hyperlink>
    </w:p>
    <w:p>
      <w:pPr>
        <w:spacing w:before="0" w:after="80"/>
      </w:pPr>
      <w:r>
        <w:rPr>
          <w:i/>
          <w:sz w:val="20"/>
        </w:rPr>
        <w:t>EN: Ultrafast, groove-confined synthesis of ultrafine Pt nanocubes for efficient electrocatalytic ammonia oxidation</w:t>
      </w:r>
    </w:p>
    <w:p>
      <w:pPr>
        <w:spacing w:before="0" w:after="120"/>
      </w:pPr>
      <w:r>
        <w:rPr>
          <w:b/>
        </w:rPr>
        <w:t xml:space="preserve">Source: </w:t>
      </w:r>
      <w:r>
        <w:t>Matter</w:t>
      </w:r>
      <w:r>
        <w:t xml:space="preserve">    </w:t>
      </w:r>
      <w:r>
        <w:rPr>
          <w:b/>
        </w:rPr>
        <w:t xml:space="preserve">Pub date: </w:t>
      </w:r>
      <w:r>
        <w:t>2026-02-02 00:00:00+00:00</w:t>
      </w:r>
    </w:p>
    <w:p>
      <w:pPr>
        <w:spacing w:before="0" w:after="120"/>
      </w:pPr>
      <w:r>
        <w:rPr>
          <w:b/>
        </w:rPr>
        <w:t xml:space="preserve">Notes: </w:t>
      </w:r>
      <w:r>
        <w:t>abstract_source=rss_cell</w:t>
      </w:r>
    </w:p>
    <w:p>
      <w:pPr>
        <w:spacing w:before="0" w:after="80" w:lineRule="auto" w:line="276"/>
      </w:pPr>
      <w:r>
        <w:rPr>
          <w:b/>
        </w:rPr>
        <w:t xml:space="preserve">摘要（ZH）: </w:t>
      </w:r>
      <w:r>
        <w:t>聚氯乙烯(Pt NCs)在单壁碳纳米管(SWCNT)捆包的槽中,用快速加热和冷却法制备了聚氨酯(ZQ2.0 nm) {100} 的顶部顶部Pt纳米立方体(Pt NCs),作为指导Pt NCs沿SWCNT轴增长的模板,而氧气稳定了 {100}的侧面。 由此形成的聚氯乙烯(Pt NCs)显示出惊人的大规模活动、低发机潜力和氨氧化反应的特殊耐久性,从而超过了大多数报告的电子催化剂。</w:t>
      </w:r>
    </w:p>
    <w:p>
      <w:pPr>
        <w:spacing w:before="0" w:after="200" w:lineRule="auto" w:line="276"/>
      </w:pPr>
      <w:r>
        <w:rPr>
          <w:b/>
        </w:rPr>
        <w:t xml:space="preserve">Abstract (EN): </w:t>
      </w:r>
      <w:r>
        <w:t>Ultrafine (∼2.0 nm) {100} facets-dominant Pt nanocubes (Pt NCs) anchored at the grooves of single-wall carbon nanotube (SWCNT) bundles were prepared using a fast heating and cooling method. The grooves act as a template to guide the growth of Pt NCs along the SWCNT axis, while oxygen stabilizes the {100} facets. The resulting Pt NCs exhibit remarkable high mass activity, low onset potential, and exceptional durability for ammonia oxidation reaction, thus surpassing most reported electrocatalysts.</w:t>
      </w:r>
    </w:p>
    <w:p>
      <w:pPr>
        <w:spacing w:before="120" w:after="120"/>
      </w:pPr>
      <w:r>
        <w:rPr>
          <w:sz w:val="18"/>
        </w:rPr>
        <w:t>——————————————————————————————————————————————————————————————————————</w:t>
      </w:r>
    </w:p>
    <w:p>
      <w:pPr>
        <w:spacing w:before="160" w:after="40" w:line="240" w:lineRule="auto"/>
      </w:pPr>
      <w:r>
        <w:rPr>
          <w:b/>
        </w:rPr>
        <w:t xml:space="preserve">[111] </w:t>
      </w:r>
      <w:hyperlink r:id="rId143">
        <w:r>
          <w:rPr>
            <w:color w:val="1155CC"/>
            <w:u w:val="single"/>
          </w:rPr>
          <w:t>扭曲的两维反极磁网中的超级摩尔旋质质体</w:t>
        </w:r>
      </w:hyperlink>
    </w:p>
    <w:p>
      <w:pPr>
        <w:spacing w:before="0" w:after="80"/>
      </w:pPr>
      <w:r>
        <w:rPr>
          <w:i/>
          <w:sz w:val="20"/>
        </w:rPr>
        <w:t>EN: Super-moiré spin textures in twisted two-dimensional antiferromagnets</w:t>
      </w:r>
    </w:p>
    <w:p>
      <w:pPr>
        <w:spacing w:before="0" w:after="120"/>
      </w:pPr>
      <w:r>
        <w:rPr>
          <w:b/>
        </w:rPr>
        <w:t xml:space="preserve">Source: </w:t>
      </w:r>
      <w:r>
        <w:t>Nature Nanotechnology</w:t>
      </w:r>
      <w:r>
        <w:t xml:space="preserve">    </w:t>
      </w:r>
      <w:r>
        <w:rPr>
          <w:b/>
        </w:rPr>
        <w:t xml:space="preserve">Pub date: </w:t>
      </w:r>
      <w:r>
        <w:t>2026-02-02 00:00:00+00:00</w:t>
      </w:r>
    </w:p>
    <w:p>
      <w:pPr>
        <w:spacing w:before="0" w:after="120"/>
      </w:pPr>
      <w:r>
        <w:rPr>
          <w:b/>
        </w:rPr>
        <w:t xml:space="preserve">Notes: </w:t>
      </w:r>
      <w:r>
        <w:t>abstract_source=nature_html</w:t>
      </w:r>
    </w:p>
    <w:p>
      <w:pPr>
        <w:spacing w:before="0" w:after="80" w:lineRule="auto" w:line="276"/>
      </w:pPr>
      <w:r>
        <w:rPr>
          <w:b/>
        </w:rPr>
        <w:t xml:space="preserve">摘要（ZH）: </w:t>
      </w:r>
      <w:r>
        <w:t>堆积的二维层材料为设计电子和磁状态提供了一个平台。一般而言,所产生的状态,如moiré磁性学等,在moiré单元细胞的长度尺度上有一个周期周期。这里我们通过扫描氮真空显微镜,研究扭曲的双双双铬三iodide的磁顺序。我们观测的是超越单摩尔单元细胞的长程磁质质谱,我们把摩尔单元的磁质状态置于超摩尔磁状态。在小转角上,自发磁质质的大小以转角增加,与底部摩尔波长相反。在1.1°扭曲装置中,旋转质尺寸达到最高约300纳米,其数量大于底部摩尔波长,并在上斜角消失。</w:t>
      </w:r>
    </w:p>
    <w:p>
      <w:pPr>
        <w:spacing w:before="0" w:after="200" w:lineRule="auto" w:line="276"/>
      </w:pPr>
      <w:r>
        <w:rPr>
          <w:b/>
        </w:rPr>
        <w:t xml:space="preserve">Abstract (EN): </w:t>
      </w:r>
      <w:r>
        <w:t>Stacking two-dimensional layered materials offers a platform to engineer electronic and magnetic states. In general, the resulting states—such as moiré magnetism—have a periodicity at the length scale of the moiré unit cell. Here we study magnetic order in twisted double-bilayer chromium triiodide by means of scanning nitrogen-vacancy microscopy. We observe long-range magnetic textures extending beyond the single moiré unit cell, which we dub a super-moiré magnetic state. At small twist angles, the size of the spontaneous magnetic texture increases with twist angle, opposite to the underlying moiré wavelength. The spin-texture size reaches a maximum of about 300 nm in 1.1° twisted devices, an order of magnitude larger than the underlying moiré wavelength, and vanishes at twist angles above 2°. The obtained magnetic field maps suggest the formation of antiferromagnetic Néel-type skyrmions spanning multiple moiré cells. The twist-angle-dependent study, combined with large-scale atomistic Monte Carlo simulations, suggests that the magnetic competition between the Dzyaloshinskii–Moriya interaction, magnetic anisotropy and exchange interactions—which all depend on the relative rotation of the layers—produces the topological textures that emerge in the super-moiré spin order.</w:t>
      </w:r>
    </w:p>
    <w:p>
      <w:pPr>
        <w:spacing w:before="120" w:after="120"/>
      </w:pPr>
      <w:r>
        <w:rPr>
          <w:sz w:val="18"/>
        </w:rPr>
        <w:t>——————————————————————————————————————————————————————————————————————</w:t>
      </w:r>
    </w:p>
    <w:p>
      <w:pPr>
        <w:spacing w:before="160" w:after="40" w:line="240" w:lineRule="auto"/>
      </w:pPr>
      <w:r>
        <w:rPr>
          <w:b/>
        </w:rPr>
        <w:t xml:space="preserve">[112] </w:t>
      </w:r>
      <w:hyperlink r:id="rId144">
        <w:r>
          <w:rPr>
            <w:color w:val="1155CC"/>
            <w:u w:val="single"/>
          </w:rPr>
          <w:t>如何学习笔迹如何训练大脑: 曲解战争背后的科学</w:t>
        </w:r>
      </w:hyperlink>
    </w:p>
    <w:p>
      <w:pPr>
        <w:spacing w:before="0" w:after="80"/>
      </w:pPr>
      <w:r>
        <w:rPr>
          <w:i/>
          <w:sz w:val="20"/>
        </w:rPr>
        <w:t>EN: How learning handwriting trains the brain: the science behind the cursive wars</w:t>
      </w:r>
    </w:p>
    <w:p>
      <w:pPr>
        <w:spacing w:before="0" w:after="120"/>
      </w:pPr>
      <w:r>
        <w:rPr>
          <w:b/>
        </w:rPr>
        <w:t xml:space="preserve">Source: </w:t>
      </w:r>
      <w:r>
        <w:t>Nature</w:t>
      </w:r>
      <w:r>
        <w:t xml:space="preserve">    </w:t>
      </w:r>
      <w:r>
        <w:rPr>
          <w:b/>
        </w:rPr>
        <w:t xml:space="preserve">Pub date: </w:t>
      </w:r>
      <w:r>
        <w:t>2026-02-02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145">
        <w:r>
          <w:rPr>
            <w:color w:val="1155CC"/>
            <w:u w:val="single"/>
          </w:rPr>
          <w:t>在Hf0.5Zr0.5O.5O2号Hf0.5Zr0.5O2号由现场Lanthanum Doping所启用的电磁膜中进行后天兼容低压电动操作</w:t>
        </w:r>
      </w:hyperlink>
    </w:p>
    <w:p>
      <w:pPr>
        <w:spacing w:before="0" w:after="80"/>
      </w:pPr>
      <w:r>
        <w:rPr>
          <w:i/>
          <w:sz w:val="20"/>
        </w:rPr>
        <w:t>EN: Back-End-of-Line-Compatible Low-Voltage Operation in Hf0.5Zr0.5O2 Ferroelectric Film Enabled by in-situ Lanthanum Doping</w:t>
      </w:r>
    </w:p>
    <w:p>
      <w:pPr>
        <w:spacing w:before="0" w:after="120"/>
      </w:pPr>
      <w:r>
        <w:rPr>
          <w:b/>
        </w:rPr>
        <w:t xml:space="preserve">Source: </w:t>
      </w:r>
      <w:r>
        <w:t>National Science Review Advance Access</w:t>
      </w:r>
      <w:r>
        <w:t xml:space="preserve">    </w:t>
      </w:r>
      <w:r>
        <w:rPr>
          <w:b/>
        </w:rPr>
        <w:t xml:space="preserve">Pub date: </w:t>
      </w:r>
      <w:r>
        <w:t>2026-02-02 00:00:00+00:00</w:t>
      </w:r>
      <w:r>
        <w:t xml:space="preserve">    </w:t>
      </w:r>
      <w:r>
        <w:rPr>
          <w:b/>
        </w:rPr>
        <w:t xml:space="preserve">DOI: </w:t>
      </w:r>
      <w:hyperlink r:id="rId146">
        <w:r>
          <w:rPr>
            <w:color w:val="1155CC"/>
            <w:u w:val="single"/>
          </w:rPr>
          <w:t>10.1093/nsr/nwag049/8454928</w:t>
        </w:r>
      </w:hyperlink>
    </w:p>
    <w:p>
      <w:pPr>
        <w:spacing w:before="0" w:after="120"/>
      </w:pPr>
      <w:r>
        <w:rPr>
          <w:b/>
        </w:rPr>
        <w:t xml:space="preserve">Notes: </w:t>
      </w:r>
      <w:r>
        <w:t>abstract_source=rss_oup</w:t>
      </w:r>
    </w:p>
    <w:p>
      <w:pPr>
        <w:spacing w:before="0" w:after="80" w:lineRule="auto" w:line="276"/>
      </w:pPr>
      <w:r>
        <w:rPr>
          <w:b/>
        </w:rPr>
        <w:t xml:space="preserve">摘要（ZH）: </w:t>
      </w:r>
      <w:r>
        <w:t>HfO2-基于HfO2-基于HfO2-基于HfO2的铁电装置由于其亚三纳米可缩缩缩性和强大的铁电特性,在非挥发性记忆中引起极大关注。</w:t>
      </w:r>
    </w:p>
    <w:p>
      <w:pPr>
        <w:spacing w:before="0" w:after="200" w:lineRule="auto" w:line="276"/>
      </w:pPr>
      <w:r>
        <w:rPr>
          <w:b/>
        </w:rPr>
        <w:t xml:space="preserve">Abstract (EN): </w:t>
      </w:r>
      <w:r>
        <w:t>HfO2-based ferroelectric devices have attracted substantial attention in non-volatile memories due to their sub-3 nm scalability and robust ferroelectric properties. However, challenges such as double remanent polarization (2P</w:t>
      </w:r>
    </w:p>
    <w:p>
      <w:pPr>
        <w:spacing w:before="120" w:after="120"/>
      </w:pPr>
      <w:r>
        <w:rPr>
          <w:sz w:val="18"/>
        </w:rPr>
        <w:t>——————————————————————————————————————————————————————————————————————</w:t>
      </w:r>
    </w:p>
    <w:p>
      <w:pPr>
        <w:spacing w:before="160" w:after="40" w:line="240" w:lineRule="auto"/>
      </w:pPr>
      <w:r>
        <w:rPr>
          <w:b/>
        </w:rPr>
        <w:t xml:space="preserve">[114] </w:t>
      </w:r>
      <w:hyperlink r:id="rId147">
        <w:r>
          <w:rPr>
            <w:color w:val="1155CC"/>
            <w:u w:val="single"/>
          </w:rPr>
          <w:t>用moir半导体模拟赫伯德模型</w:t>
        </w:r>
      </w:hyperlink>
    </w:p>
    <w:p>
      <w:pPr>
        <w:spacing w:before="0" w:after="80"/>
      </w:pPr>
      <w:r>
        <w:rPr>
          <w:i/>
          <w:sz w:val="20"/>
        </w:rPr>
        <w:t>EN: Simulating the Hubbard model with moir√© semiconductors</w:t>
      </w:r>
    </w:p>
    <w:p>
      <w:pPr>
        <w:spacing w:before="0" w:after="120"/>
      </w:pPr>
      <w:r>
        <w:rPr>
          <w:b/>
        </w:rPr>
        <w:t xml:space="preserve">Source: </w:t>
      </w:r>
      <w:r>
        <w:t>National Science Review Advance Access</w:t>
      </w:r>
      <w:r>
        <w:t xml:space="preserve">    </w:t>
      </w:r>
      <w:r>
        <w:rPr>
          <w:b/>
        </w:rPr>
        <w:t xml:space="preserve">Pub date: </w:t>
      </w:r>
      <w:r>
        <w:t>2026-02-02 00:00:00+00:00</w:t>
      </w:r>
      <w:r>
        <w:t xml:space="preserve">    </w:t>
      </w:r>
      <w:r>
        <w:rPr>
          <w:b/>
        </w:rPr>
        <w:t xml:space="preserve">DOI: </w:t>
      </w:r>
      <w:hyperlink r:id="rId148">
        <w:r>
          <w:rPr>
            <w:color w:val="1155CC"/>
            <w:u w:val="single"/>
          </w:rPr>
          <w:t>10.1093/nsr/nwag069/8454919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[115] </w:t>
      </w:r>
      <w:hyperlink r:id="rId149">
        <w:r>
          <w:rPr>
            <w:color w:val="1155CC"/>
            <w:u w:val="single"/>
          </w:rPr>
          <w:t>通过纳米红外成像,对混合百草枯混杂混杂混杂的活性成像带的FA+/MA+离子迁移合作性FA+/MA+离子迁移进行量化</w:t>
        </w:r>
      </w:hyperlink>
    </w:p>
    <w:p>
      <w:pPr>
        <w:spacing w:before="0" w:after="80"/>
      </w:pPr>
      <w:r>
        <w:rPr>
          <w:i/>
          <w:sz w:val="20"/>
        </w:rPr>
        <w:t>EN: Quantifying cooperative FA+/MA+ ion migration in mixed perovskites via nano-infrared imaging</w:t>
      </w:r>
    </w:p>
    <w:p>
      <w:pPr>
        <w:spacing w:before="0" w:after="120"/>
      </w:pPr>
      <w:r>
        <w:rPr>
          <w:b/>
        </w:rPr>
        <w:t xml:space="preserve">Source: </w:t>
      </w:r>
      <w:r>
        <w:t>National Science Review Advance Access</w:t>
      </w:r>
      <w:r>
        <w:t xml:space="preserve">    </w:t>
      </w:r>
      <w:r>
        <w:rPr>
          <w:b/>
        </w:rPr>
        <w:t xml:space="preserve">Pub date: </w:t>
      </w:r>
      <w:r>
        <w:t>2026-02-02 00:00:00+00:00</w:t>
      </w:r>
      <w:r>
        <w:t xml:space="preserve">    </w:t>
      </w:r>
      <w:r>
        <w:rPr>
          <w:b/>
        </w:rPr>
        <w:t xml:space="preserve">DOI: </w:t>
      </w:r>
      <w:hyperlink r:id="rId150">
        <w:r>
          <w:rPr>
            <w:color w:val="1155CC"/>
            <w:u w:val="single"/>
          </w:rPr>
          <w:t>10.1093/nsr/nwag071/8454922</w:t>
        </w:r>
      </w:hyperlink>
    </w:p>
    <w:p>
      <w:pPr>
        <w:spacing w:before="0" w:after="120"/>
      </w:pPr>
      <w:r>
        <w:rPr>
          <w:b/>
        </w:rPr>
        <w:t xml:space="preserve">Notes: </w:t>
      </w:r>
      <w:r>
        <w:t>abstract_source=rss_oup</w:t>
      </w:r>
    </w:p>
    <w:p>
      <w:pPr>
        <w:spacing w:before="0" w:after="80" w:lineRule="auto" w:line="276"/>
      </w:pPr>
      <w:r>
        <w:rPr>
          <w:b/>
        </w:rPr>
        <w:t xml:space="preserve">摘要（ZH）: </w:t>
      </w:r>
      <w:r>
        <w:t>Ion移徙在杂交百草枯太阳能电池的运行稳定性和效率方面发挥着关键作用,然而,直接和具体物种对移动电离体进行量化仍然具有挑战性。在这里,我们使用红外光光诱发力显微镜(IR-PiFM)调查MAPbI3、FAPbI3、FAPbI3和FA0.5MA0.05PBI3中的MA+和FA+的迁移动态,这些技术允许对化学特性高和时间分辨率高的个别电离体进行纳米比例测绘和实时跟踪。我们的结果显示成份和位置依赖离子运输行为:MA+显示纯MAPBI3中的流动性较高,其扩散在混合化系统中受到极大抑制。令人惊讶的是,FA+和MA+在FA0.5MA0.05PBI3中的迁移率相似,建议采用一种混合法。</w:t>
      </w:r>
    </w:p>
    <w:p>
      <w:pPr>
        <w:spacing w:before="0" w:after="200" w:lineRule="auto" w:line="276"/>
      </w:pPr>
      <w:r>
        <w:rPr>
          <w:b/>
        </w:rPr>
        <w:t xml:space="preserve">Abstract (EN): </w:t>
      </w:r>
      <w:r>
        <w:t>Ion migration plays a critical role in the operational stability and efficiency of hybrid perovskite solar cells, yet direct and species-specific quantification of mobile cations remains challenging. Here, we employ infrared photo-induced force microscopy (IR-PiFM) to investigate the migration dynamics of MA+ and FA+ in MAPbI3, FAPbI3, and FA0.5MA0.5PbI3. These techniques allow nanoscale mapping and real-time tracking of individual cations with high chemical specificity and 250 Œºs temporal resolution. Our results reveal composition- and location-dependent ion transport behavior: while MA+ exhibits higher mobility in pure MAPbI3, its diffusion is significantly suppressed in the mixed-cation system. Surprisingly, FA+ and MA+ in FA0.5MA0.5PbI3 exhibit similar migration rates, suggesting a cooperative migration mechanism. Density functional theory calculations support this interpretation, showing that A-site mixing alters lattice symmetry and raises migration barriers through steric and electrostatic interactions. Bias-dependent nano-IR imaging and open-circuit voltage measurements further show that mixed-cation perovskites confine cation motion and suppress bulk migration, leading to stabilized internal fields and improved voltage performance. These results provide direct evidence for cooperative cation migration dynamics in mixed A-cation perovskites and demonstrate that controlled cation mobility, rather than complete immobilization, may be key to achieving both efficiency and operational durability in perovskite optoelectronics.</w:t>
      </w:r>
    </w:p>
    <w:p>
      <w:pPr>
        <w:spacing w:before="120" w:after="120"/>
      </w:pPr>
      <w:r>
        <w:rPr>
          <w:sz w:val="18"/>
        </w:rPr>
        <w:t>——————————————————————————————————————————————————————————————————————</w:t>
      </w:r>
    </w:p>
    <w:p>
      <w:pPr>
        <w:spacing w:before="160" w:after="40" w:line="240" w:lineRule="auto"/>
      </w:pPr>
      <w:r>
        <w:rPr>
          <w:b/>
        </w:rPr>
        <w:t xml:space="preserve">[116] </w:t>
      </w:r>
      <w:hyperlink r:id="rId151">
        <w:r>
          <w:rPr>
            <w:color w:val="1155CC"/>
            <w:u w:val="single"/>
          </w:rPr>
          <w:t>从太阳能电池到记忆体:卤化百草枯作为神经形态电子学平台</w:t>
        </w:r>
      </w:hyperlink>
    </w:p>
    <w:p>
      <w:pPr>
        <w:spacing w:before="0" w:after="80"/>
      </w:pPr>
      <w:r>
        <w:rPr>
          <w:i/>
          <w:sz w:val="20"/>
        </w:rPr>
        <w:t>EN: From solar cells to memristors: halide perovskites as a platform for neuromorphic electronics</w:t>
      </w:r>
    </w:p>
    <w:p>
      <w:pPr>
        <w:spacing w:before="0" w:after="120"/>
      </w:pPr>
      <w:r>
        <w:rPr>
          <w:b/>
        </w:rPr>
        <w:t xml:space="preserve">Source: </w:t>
      </w:r>
      <w:r>
        <w:t>RSC - Chem. Soc. Rev. latest articles</w:t>
      </w:r>
      <w:r>
        <w:t xml:space="preserve">    </w:t>
      </w:r>
      <w:r>
        <w:rPr>
          <w:b/>
        </w:rPr>
        <w:t xml:space="preserve">Pub date: </w:t>
      </w:r>
      <w:r>
        <w:t>2026-02-02 00:00:00+00:00</w:t>
      </w:r>
    </w:p>
    <w:p>
      <w:pPr>
        <w:spacing w:before="0" w:after="120"/>
      </w:pPr>
      <w:r>
        <w:rPr>
          <w:b/>
        </w:rPr>
        <w:t xml:space="preserve">Notes: </w:t>
      </w:r>
      <w:r>
        <w:t>abstract_source=rsc_html</w:t>
      </w:r>
    </w:p>
    <w:p>
      <w:pPr>
        <w:spacing w:before="0" w:after="80" w:lineRule="auto" w:line="276"/>
      </w:pPr>
      <w:r>
        <w:rPr>
          <w:b/>
        </w:rPr>
        <w:t xml:space="preserve">摘要（ZH）: </w:t>
      </w:r>
      <w:r>
        <w:t>光检测器、光电光伏和发光二极管等光释放二极管等光电子装置广泛承认卤化百草枯。 关键是,它们作为混合电离电子半导体的独特性最近将其定位为极有希望的神经形态计算材料,这就需要专门审查这一迅速出现的领域。 本次全面审查首先将百草枯的晶体结构与由此形成的光电子和离子特性之间的关系联系起来,而后者是分子功能的基础。 然后我们系统地讨论卤化全氟化物的优点、操作机制和定性技术。 在严格审查最新设备之后,我们分析了关键差距。</w:t>
      </w:r>
    </w:p>
    <w:p>
      <w:pPr>
        <w:spacing w:before="0" w:after="200" w:lineRule="auto" w:line="276"/>
      </w:pPr>
      <w:r>
        <w:rPr>
          <w:b/>
        </w:rPr>
        <w:t xml:space="preserve">Abstract (EN): </w:t>
      </w:r>
      <w:r>
        <w:t>Halide perovskites are widely recognized for optoelectronic devices such as photodetectors, photovoltaics, and light emitting diodes. Crucially, their unique characteristic as a mixed ionic-electronic semiconductor has recently positioned them as a highly promising material for neuromorphic computing, which necessitates a dedicated review of this rapidly emerging field. This comprehensive review first correlates the relationship between the perovskite's crystal structure and its resulting optoelectronic and ionic properties, which underpins memristor functionality. We then systematically discuss the figure of merit, operating mechanisms, and characterization techniques for halide perovskite memristors. After critically reviewing the state-of-the-art devices, we analyze the critical gap between lab-scale systems and real-world applications, specifically tackling the challenges of crossbar array implementation and discussing various neuromorphic applications. Finally, we detail an outlook, highlighting persistent hurdles like endurance and stability as well as identifying key research directions, such as high-throughput experimentation and customizing devices based on the necessary trade-off between response time, energy, and retention to realize practical, next-generation neuromorphic hardware.</w:t>
      </w:r>
    </w:p>
    <w:p>
      <w:pPr>
        <w:spacing w:before="120" w:after="120"/>
      </w:pPr>
      <w:r>
        <w:rPr>
          <w:sz w:val="18"/>
        </w:rPr>
        <w:t>——————————————————————————————————————————————————————————————————————</w:t>
      </w:r>
    </w:p>
    <w:p>
      <w:pPr>
        <w:spacing w:before="160" w:after="40" w:line="240" w:lineRule="auto"/>
      </w:pPr>
      <w:r>
        <w:rPr>
          <w:b/>
        </w:rPr>
        <w:t xml:space="preserve">[117] </w:t>
      </w:r>
      <w:hyperlink r:id="rId152">
        <w:r>
          <w:rPr>
            <w:color w:val="1155CC"/>
            <w:u w:val="single"/>
          </w:rPr>
          <w:t>在Cationic Covalent 有机框架中引入的代用第二相互作用重新规划了Ion Perm选择性</w:t>
        </w:r>
      </w:hyperlink>
    </w:p>
    <w:p>
      <w:pPr>
        <w:spacing w:before="0" w:after="80"/>
      </w:pPr>
      <w:r>
        <w:rPr>
          <w:i/>
          <w:sz w:val="20"/>
        </w:rPr>
        <w:t>EN: Substituent‐Induced Secondary Interactions Reprogram Ion Permselectivity in Cationic Covalent Organic Framework Membranes</w:t>
      </w:r>
    </w:p>
    <w:p>
      <w:pPr>
        <w:spacing w:before="0" w:after="120"/>
      </w:pPr>
      <w:r>
        <w:rPr>
          <w:b/>
        </w:rPr>
        <w:t xml:space="preserve">Source: </w:t>
      </w:r>
      <w:r>
        <w:t>Wiley: Angewandte Chemie International Edition: Table of Contents</w:t>
      </w:r>
      <w:r>
        <w:t xml:space="preserve">    </w:t>
      </w:r>
      <w:r>
        <w:rPr>
          <w:b/>
        </w:rPr>
        <w:t xml:space="preserve">Pub date: </w:t>
      </w:r>
      <w:r>
        <w:t>2026-02-02 04:58:42+00:00</w:t>
      </w:r>
      <w:r>
        <w:t xml:space="preserve">    </w:t>
      </w:r>
      <w:r>
        <w:rPr>
          <w:b/>
        </w:rPr>
        <w:t xml:space="preserve">DOI: </w:t>
      </w:r>
      <w:hyperlink r:id="rId153">
        <w:r>
          <w:rPr>
            <w:color w:val="1155CC"/>
            <w:u w:val="single"/>
          </w:rPr>
          <w:t>10.1002/anie.202523731</w:t>
        </w:r>
      </w:hyperlink>
    </w:p>
    <w:p>
      <w:pPr>
        <w:spacing w:before="0" w:after="120"/>
      </w:pPr>
      <w:r>
        <w:rPr>
          <w:b/>
        </w:rPr>
        <w:t xml:space="preserve">Notes: </w:t>
      </w:r>
      <w:r>
        <w:t>abstract_source=crossref</w:t>
      </w:r>
    </w:p>
    <w:p>
      <w:pPr>
        <w:spacing w:before="0" w:after="80" w:lineRule="auto" w:line="276"/>
      </w:pPr>
      <w:r>
        <w:rPr>
          <w:b/>
        </w:rPr>
        <w:t xml:space="preserve">摘要（ZH）: </w:t>
      </w:r>
      <w:r>
        <w:t>ABSTACT 精密调制合成膜膜中的离子过量选择性对于推进分离和能源转换技术至关重要。 在这里,我们证明中性替代成分可以通过引入与长宽库层力量相竞争的二级局部互动,重新规划二次共价有机框架(COF)膜的内在离子选择性。使用以三氨基二氮基二氮基二氟甲烷为模型的COF系统,我们系统地将1,3,5-四丁基苯乙烯连接器的替代成分数量和类型区分开来。 引入的替代成分产生了二次互动,调节了二聚苯基和氯-氯-反作用。 当两种或两种以上氢基时,我们系统地区分了1,3,5-四丁基链接器的替代成分的数量和类型。</w:t>
      </w:r>
    </w:p>
    <w:p>
      <w:pPr>
        <w:spacing w:before="0" w:after="200" w:lineRule="auto" w:line="276"/>
      </w:pPr>
      <w:r>
        <w:rPr>
          <w:b/>
        </w:rPr>
        <w:t xml:space="preserve">Abstract (EN): </w:t>
      </w:r>
      <w:r>
        <w:t>Precise modulation of ion permselectivity in synthetic membranes is crucial for advancing separation and energy conversion technologies. Here, we demonstrate that neutral substituents can reprogram the intrinsic ion selectivity of cationic covalent organic framework (COF) membranes by introducing secondary local interactions that compete with long‐range Coulombic forces. Using triaminoguanidinium‐based COFs as a model system, we systematically varied both the number and type of substituents on 1,3,5‐trialdehyde linkers. The introduced substituents generated secondary interactions that modulated the primary Coulombic interactions between guanidinium cations and Cl</w:t>
      </w:r>
      <w:r>
        <w:t xml:space="preserve"> </w:t>
      </w:r>
      <w:r>
        <w:t>–</w:t>
      </w:r>
      <w:r>
        <w:t xml:space="preserve"> </w:t>
      </w:r>
      <w:r>
        <w:t>counterions. When two or more hydroxyl groups were present on the aldehyde linkers, these interactions immobilized anions and inverted the effective surface potential from positive to negative, thereby switching the transport polarity from anion‐ to cation‐selective behavior. In contrast, methoxy substitution weakened Coulombic interactions, enhancing anion selectivity. This tunable control over the local chemical microenvironment enabled programmable and reversible ion permselectivity without altering the permanent framework charge. Leveraging this mechanism, we achieved record‐high ionic thermoelectric performance, 25.9 W m</w:t>
      </w:r>
      <w:r>
        <w:t xml:space="preserve"> </w:t>
      </w:r>
      <w:r>
        <w:t>−2</w:t>
      </w:r>
      <w:r>
        <w:t xml:space="preserve"> </w:t>
      </w:r>
      <w:r>
        <w:t>for a single membrane and 39.1 W m</w:t>
      </w:r>
      <w:r>
        <w:t xml:space="preserve"> </w:t>
      </w:r>
      <w:r>
        <w:t>−</w:t>
      </w:r>
      <w:r>
        <w:rPr>
          <w:vertAlign w:val="subscript"/>
        </w:rPr>
        <w:t>2</w:t>
      </w:r>
      <w:r>
        <w:t>for a stacked configuration under a 50 K temperature gradient. This work establishes substituent‐mediated secondary interactions as a general and powerful strategy for programming ion transport, bridging biological selectivity principles with the design of adaptive COF‐based membranes for energy harvesting and separation.</w:t>
      </w:r>
    </w:p>
    <w:p>
      <w:pPr>
        <w:spacing w:before="120" w:after="120"/>
      </w:pPr>
      <w:r>
        <w:rPr>
          <w:sz w:val="18"/>
        </w:rPr>
        <w:t>——————————————————————————————————————————————————————————————————————</w:t>
      </w:r>
    </w:p>
    <w:p>
      <w:pPr>
        <w:spacing w:before="160" w:after="40" w:line="240" w:lineRule="auto"/>
      </w:pPr>
      <w:r>
        <w:rPr>
          <w:b/>
        </w:rPr>
        <w:t xml:space="preserve">[118] </w:t>
      </w:r>
      <w:hyperlink r:id="rId154">
        <w:r>
          <w:rPr>
            <w:color w:val="1155CC"/>
            <w:u w:val="single"/>
          </w:rPr>
          <w:t>Van der Waals Antiferromagnet中与磁顺序结合的原子溶解声波动力学</w:t>
        </w:r>
      </w:hyperlink>
    </w:p>
    <w:p>
      <w:pPr>
        <w:spacing w:before="0" w:after="80"/>
      </w:pPr>
      <w:r>
        <w:rPr>
          <w:i/>
          <w:sz w:val="20"/>
        </w:rPr>
        <w:t>EN: Atomically Resolved Acoustic Dynamics Coupled with Magnetic Order in a Van der Waals Antiferromagnet</w:t>
      </w:r>
    </w:p>
    <w:p>
      <w:pPr>
        <w:spacing w:before="0" w:after="120"/>
      </w:pPr>
      <w:r>
        <w:rPr>
          <w:b/>
        </w:rPr>
        <w:t xml:space="preserve">Source: </w:t>
      </w:r>
      <w:r>
        <w:t>Wiley: Advanced Materials: Table of Contents</w:t>
      </w:r>
      <w:r>
        <w:t xml:space="preserve">    </w:t>
      </w:r>
      <w:r>
        <w:rPr>
          <w:b/>
        </w:rPr>
        <w:t xml:space="preserve">Pub date: </w:t>
      </w:r>
      <w:r>
        <w:t>2026-02-02 05:01:10+00:00</w:t>
      </w:r>
      <w:r>
        <w:t xml:space="preserve">    </w:t>
      </w:r>
      <w:r>
        <w:rPr>
          <w:b/>
        </w:rPr>
        <w:t xml:space="preserve">DOI: </w:t>
      </w:r>
      <w:hyperlink r:id="rId155">
        <w:r>
          <w:rPr>
            <w:color w:val="1155CC"/>
            <w:u w:val="single"/>
          </w:rPr>
          <w:t>10.1002/adma.202522280</w:t>
        </w:r>
      </w:hyperlink>
    </w:p>
    <w:p>
      <w:pPr>
        <w:spacing w:before="0" w:after="120"/>
      </w:pPr>
      <w:r>
        <w:rPr>
          <w:b/>
        </w:rPr>
        <w:t xml:space="preserve">Notes: </w:t>
      </w:r>
      <w:r>
        <w:t>abstract_source=crossref</w:t>
      </w:r>
    </w:p>
    <w:p>
      <w:pPr>
        <w:spacing w:before="0" w:after="80" w:lineRule="auto" w:line="276"/>
      </w:pPr>
      <w:r>
        <w:rPr>
          <w:b/>
        </w:rPr>
        <w:t xml:space="preserve">摘要（ZH）: </w:t>
      </w:r>
      <w:r>
        <w:t>在Van der Waals(VdW)磁材料中,ABSTACT 磁性磁性磁性结合磁性材料磁性结合使自由度的旋转度和宽度之间具有独特的相互作用。在磁性转换过程中,用原子和纤维二分解对弹性反应进行定性,对于指导磁性可金枪鱼活性器和带状脊柱装置的设计至关重要。这里,在自由电子激光器中使用的超快X射线分解显示,VdW 反纤维磁网 FePS 3 中声音光谱模式的原子流移、波矢量和分散关系与磁顺序相结合,通过跟踪Néel 温度的光学引力,在平面和Bragg 顶点外跟踪(在Néel 温度的光学引力上,超快(在Néel ) 的光学峰值(在Néel) 上(在Neel) 3 的光学峰值(在Neel 3 上) 。</w:t>
      </w:r>
    </w:p>
    <w:p>
      <w:pPr>
        <w:spacing w:before="0" w:after="200" w:lineRule="auto" w:line="276"/>
      </w:pPr>
      <w:r>
        <w:rPr>
          <w:b/>
        </w:rPr>
        <w:t xml:space="preserve">Abstract (EN): </w:t>
      </w:r>
      <w:r>
        <w:t>Magnetoelastic coupling in van der Waals (vdW) magnetic materials enables a unique interplay between the spin and lattice degrees of freedom. Characterizing the elastic responses with atomic and femtosecond resolution across the magnetic transition is essential for guiding the design of magnetically tunable actuators and strain‐mediated spintronic devices. Here, ultrafast X‐ray diffraction employed at a free‐electron laser reveals that the atomic displacements, wave vectors, and dispersion relations of acoustic phonon modes in a vdW antiferromagnet FePS</w:t>
      </w:r>
      <w:r>
        <w:rPr>
          <w:vertAlign w:val="subscript"/>
        </w:rPr>
        <w:t>3</w:t>
      </w:r>
      <w:r>
        <w:t>are coupled with the magnetic order, by tracking both in‐plane and out‐of‐plane Bragg peaks upon optical excitation across the Néel temperature (</w:t>
      </w:r>
      <w:r>
        <w:t xml:space="preserve"> </w:t>
      </w:r>
      <w:r>
        <w:t>T</w:t>
      </w:r>
      <w:r>
        <w:t xml:space="preserve"> </w:t>
      </w:r>
      <w:r>
        <w:t>N</w:t>
      </w:r>
      <w:r>
        <w:t xml:space="preserve"> </w:t>
      </w:r>
      <w:r>
        <w:t>). One transverse mode shows that a quasi‐out‐of‐plane atomic displacement undergoes a significant directional change across</w:t>
      </w:r>
      <w:r>
        <w:t xml:space="preserve"> </w:t>
      </w:r>
      <w:r>
        <w:t>T</w:t>
      </w:r>
      <w:r>
        <w:t xml:space="preserve"> </w:t>
      </w:r>
      <w:r>
        <w:t>N</w:t>
      </w:r>
      <w:r>
        <w:t xml:space="preserve"> </w:t>
      </w:r>
      <w:r>
        <w:t>. Its quasi‐in‐plane wave vector is derived by comparing the measured sound velocity and the first‐principles calculations. The other transverse mode is an interlayer shear acoustic mode whose amplitude is strongly enhanced in the antiferromagnetic phase, exhibiting eight times stronger amplitude than the longitudinal acoustic mode below</w:t>
      </w:r>
      <w:r>
        <w:t xml:space="preserve"> </w:t>
      </w:r>
      <w:r>
        <w:t>T</w:t>
      </w:r>
      <w:r>
        <w:t xml:space="preserve"> </w:t>
      </w:r>
      <w:r>
        <w:t>N</w:t>
      </w:r>
      <w:r>
        <w:t xml:space="preserve"> </w:t>
      </w:r>
      <w:r>
        <w:t>. The atomically resolved characterization of acoustic phonon dynamics that couple with magnetic ordering opens opportunities for harnessing unique magnetoelastic coupling in vdW magnets on ultrafast timescales.</w:t>
      </w:r>
    </w:p>
    <w:p>
      <w:pPr>
        <w:spacing w:before="120" w:after="120"/>
      </w:pPr>
      <w:r>
        <w:rPr>
          <w:sz w:val="18"/>
        </w:rPr>
        <w:t>——————————————————————————————————————————————————————————————————————</w:t>
      </w:r>
    </w:p>
    <w:p>
      <w:pPr>
        <w:spacing w:before="160" w:after="40" w:line="240" w:lineRule="auto"/>
      </w:pPr>
      <w:r>
        <w:rPr>
          <w:b/>
        </w:rPr>
        <w:t xml:space="preserve">[119] </w:t>
      </w:r>
      <w:hyperlink r:id="rId156">
        <w:r>
          <w:rPr>
            <w:color w:val="1155CC"/>
            <w:u w:val="single"/>
          </w:rPr>
          <w:t>通过主办国和客客客三三合国的启动,动态可调色双室室温度光度</w:t>
        </w:r>
      </w:hyperlink>
    </w:p>
    <w:p>
      <w:pPr>
        <w:spacing w:before="0" w:after="80"/>
      </w:pPr>
      <w:r>
        <w:rPr>
          <w:i/>
          <w:sz w:val="20"/>
        </w:rPr>
        <w:t>EN: Dynamic Color‐Tunable Dual Room Temperature Phosphorescence via Activation of Both Host and Guest Triplet States</w:t>
      </w:r>
    </w:p>
    <w:p>
      <w:pPr>
        <w:spacing w:before="0" w:after="120"/>
      </w:pPr>
      <w:r>
        <w:rPr>
          <w:b/>
        </w:rPr>
        <w:t xml:space="preserve">Source: </w:t>
      </w:r>
      <w:r>
        <w:t>Wiley: Angewandte Chemie International Edition: Table of Contents</w:t>
      </w:r>
      <w:r>
        <w:t xml:space="preserve">    </w:t>
      </w:r>
      <w:r>
        <w:rPr>
          <w:b/>
        </w:rPr>
        <w:t xml:space="preserve">Pub date: </w:t>
      </w:r>
      <w:r>
        <w:t>2026-02-02 05:01:20+00:00</w:t>
      </w:r>
      <w:r>
        <w:t xml:space="preserve">    </w:t>
      </w:r>
      <w:r>
        <w:rPr>
          <w:b/>
        </w:rPr>
        <w:t xml:space="preserve">DOI: </w:t>
      </w:r>
      <w:hyperlink r:id="rId157">
        <w:r>
          <w:rPr>
            <w:color w:val="1155CC"/>
            <w:u w:val="single"/>
          </w:rPr>
          <w:t>10.1002/anie.5567761</w:t>
        </w:r>
      </w:hyperlink>
    </w:p>
    <w:p>
      <w:pPr>
        <w:spacing w:before="0" w:after="120"/>
      </w:pPr>
      <w:r>
        <w:rPr>
          <w:b/>
        </w:rPr>
        <w:t xml:space="preserve">Notes: </w:t>
      </w:r>
      <w:r>
        <w:t>abstract_source=crossref</w:t>
      </w:r>
    </w:p>
    <w:p>
      <w:pPr>
        <w:spacing w:before="0" w:after="80" w:lineRule="auto" w:line="276"/>
      </w:pPr>
      <w:r>
        <w:rPr>
          <w:b/>
        </w:rPr>
        <w:t xml:space="preserve">摘要（ZH）: </w:t>
      </w:r>
      <w:r>
        <w:t>ABSTACT ABSTACT 东道方和嘉宾的双有机室温光磷化(RTP)的设计仍是一项重大挑战,因为大多数有机剂量系统一般都能让宾客或宿主成为单一的静电荧光发射源。 我们在这里报告了一个宿主 — — 众人双光色系统,其特点是动态金枪鱼颜色、可控宿主磷化比率以及广泛的金枪鱼寿命18.8-472米。 这种独特的性能是由宿主和嘉宾之间的双向三重能量传输过程促成的,这不仅激活宿主分子的RTP,而且还导致磷化物从673纳米到528纳米的蓝色转移,CIE的染色性坐标从0.51,0.45,到0.40米,0.57米不等。 更重要的是,烷基的染色性坐标从0.40到0.57不等。</w:t>
      </w:r>
    </w:p>
    <w:p>
      <w:pPr>
        <w:spacing w:before="0" w:after="200" w:lineRule="auto" w:line="276"/>
      </w:pPr>
      <w:r>
        <w:rPr>
          <w:b/>
        </w:rPr>
        <w:t xml:space="preserve">Abstract (EN): </w:t>
      </w:r>
      <w:r>
        <w:t>The design of dual organic room‐temperature phosphorescence (RTP) from both the host and guest remains a significant challenge, as most organic doping systems generally enable either the guest or the host to serve as a single static phosphorescent emitter. Here we report a host–guest dual RTP system featuring dynamically tunable colors, controllable host‐to‐guest phosphorescence ratios, and widely tunable lifetimes of 18.8–472 ms. This unique performance is enabled by bidirectional triplet energy transfer processes between host and guest, which not only activates RTP of the host molecules but also induces a blue shift of the phosphorescence from 673 to 528 nm, with CIE chromaticity coordinates ranging from (0.51, 0.45) to (0.40, 0.57). More importantly, alkyl ring groups effectively modulate the triplet energy levels of the identical π‐conjugated host molecules at the aggregate level, resulting in the lowest triplet energy levels of host crystals ranging from 2.88 to 2.53 eV. This work provides a unique insight into achieving dual RTP in organic doping systems and holds great potential for applications in multilevel information encryption and optoelectronics research.</w:t>
      </w:r>
    </w:p>
    <w:p>
      <w:pPr>
        <w:spacing w:before="120" w:after="120"/>
      </w:pPr>
      <w:r>
        <w:rPr>
          <w:sz w:val="18"/>
        </w:rPr>
        <w:t>——————————————————————————————————————————————————————————————————————</w:t>
      </w:r>
    </w:p>
    <w:p>
      <w:pPr>
        <w:spacing w:before="160" w:after="40" w:line="240" w:lineRule="auto"/>
      </w:pPr>
      <w:r>
        <w:rPr>
          <w:b/>
        </w:rPr>
        <w:t xml:space="preserve">[120] </w:t>
      </w:r>
      <w:hyperlink r:id="rId158">
        <w:r>
          <w:rPr>
            <w:color w:val="1155CC"/>
            <w:u w:val="single"/>
          </w:rPr>
          <w:t>通过适应性三相复合催化剂催化剂,与甘油酚加价结合使用的可持续氨电合成物</w:t>
        </w:r>
      </w:hyperlink>
    </w:p>
    <w:p>
      <w:pPr>
        <w:spacing w:before="0" w:after="80"/>
      </w:pPr>
      <w:r>
        <w:rPr>
          <w:i/>
          <w:sz w:val="20"/>
        </w:rPr>
        <w:t>EN: Sustainable Ammonia Electrosynthesis Coupled With Glycerol Valorization via an Adaptive Tri‐Component Catalyst</w:t>
      </w:r>
    </w:p>
    <w:p>
      <w:pPr>
        <w:spacing w:before="0" w:after="120"/>
      </w:pPr>
      <w:r>
        <w:rPr>
          <w:b/>
        </w:rPr>
        <w:t xml:space="preserve">Source: </w:t>
      </w:r>
      <w:r>
        <w:t>Wiley: Angewandte Chemie International Edition: Table of Contents</w:t>
      </w:r>
      <w:r>
        <w:t xml:space="preserve">    </w:t>
      </w:r>
      <w:r>
        <w:rPr>
          <w:b/>
        </w:rPr>
        <w:t xml:space="preserve">Pub date: </w:t>
      </w:r>
      <w:r>
        <w:t>2026-02-02 05:01:22+00:00</w:t>
      </w:r>
      <w:r>
        <w:t xml:space="preserve">    </w:t>
      </w:r>
      <w:r>
        <w:rPr>
          <w:b/>
        </w:rPr>
        <w:t xml:space="preserve">DOI: </w:t>
      </w:r>
      <w:hyperlink r:id="rId159">
        <w:r>
          <w:rPr>
            <w:color w:val="1155CC"/>
            <w:u w:val="single"/>
          </w:rPr>
          <w:t>10.1002/anie.202522014</w:t>
        </w:r>
      </w:hyperlink>
    </w:p>
    <w:p>
      <w:pPr>
        <w:spacing w:before="0" w:after="120"/>
      </w:pPr>
      <w:r>
        <w:rPr>
          <w:b/>
        </w:rPr>
        <w:t xml:space="preserve">Notes: </w:t>
      </w:r>
      <w:r>
        <w:t>abstract_source=crossref</w:t>
      </w:r>
    </w:p>
    <w:p>
      <w:pPr>
        <w:spacing w:before="0" w:after="80" w:lineRule="auto" w:line="276"/>
      </w:pPr>
      <w:r>
        <w:rPr>
          <w:b/>
        </w:rPr>
        <w:t xml:space="preserve">摘要（ZH）: </w:t>
      </w:r>
      <w:r>
        <w:t>ABSTACT 电化学硝酸盐的减少是可持续氨(NH 3)生产的一个大有希望的途径,然而其实际部署却受到状态电催化剂和不成熟系统结构效率有限的限制。 在这里,我们报告了一个通用铜-镍-tungsten 三角元素通过相继的微波热液沉降路线联动电催化剂。 在脉冲电解条件下,催化剂产生惊人的法拉达效率97.1 %, 创纪录的高氨产量率为43.87毫克-1厘米-2。</w:t>
      </w:r>
    </w:p>
    <w:p>
      <w:pPr>
        <w:spacing w:before="0" w:after="200" w:lineRule="auto" w:line="276"/>
      </w:pPr>
      <w:r>
        <w:rPr>
          <w:b/>
        </w:rPr>
        <w:t xml:space="preserve">Abstract (EN): </w:t>
      </w:r>
      <w:r>
        <w:t>Electrochemical nitrate reduction represents a promising route for sustainable ammonia (NH</w:t>
      </w:r>
      <w:r>
        <w:rPr>
          <w:vertAlign w:val="subscript"/>
        </w:rPr>
        <w:t>3</w:t>
      </w:r>
      <w:r>
        <w:t>) production, yet its practical deployment is constrained by the limited efficiency of state‐of‐the‐art electrocatalysts and immature system architectures. Here, we report a generalist copper–nickel–tungsten tri‐component tandem electrocatalyst via a sequential microwave‐hydrothermal deposition route. Under pulsed electrolysis conditions, the catalyst delivers a remarkable Faradaic efficiency of 97.1% and a record‐high ammonia yield rate of 43.87 mg h</w:t>
      </w:r>
      <w:r>
        <w:t xml:space="preserve"> </w:t>
      </w:r>
      <w:r>
        <w:t>−1</w:t>
      </w:r>
      <w:r>
        <w:t xml:space="preserve"> </w:t>
      </w:r>
      <w:r>
        <w:t>cm</w:t>
      </w:r>
      <w:r>
        <w:t xml:space="preserve"> </w:t>
      </w:r>
      <w:r>
        <w:t>−2</w:t>
      </w:r>
      <w:r>
        <w:t xml:space="preserve"> </w:t>
      </w:r>
      <w:r>
        <w:t>. Online differential electrochemical mass spectrometry (DEMS) identifies key intermediates and associated pathways, while density functional theory (DFT) calculations elucidate the cooperative roles of each component: the copper component facilitates nitrate adsorption and deoxygenation, the nickel component promotes water dissociation for steady *H supply, and the tungsten component serves as a dynamic *H reservoir. This synergy efficiently suppresses hydrogen evolution and enhances ammonia selectivity. Furthermore, coupling with glycerol valorization (to formic acid) as the anodic reaction demonstrates the potential for energy‐efficient ammonia electrosynthesis. Collectively, this work offers both design strategies and mechanistic understanding for next‐generation multi‐component tandem electrocatalysts targeting advanced nitrogen‐based chemical synthesis.</w:t>
      </w:r>
    </w:p>
    <w:p>
      <w:pPr>
        <w:spacing w:before="120" w:after="120"/>
      </w:pPr>
      <w:r>
        <w:rPr>
          <w:sz w:val="18"/>
        </w:rPr>
        <w:t>——————————————————————————————————————————————————————————————————————</w:t>
      </w:r>
    </w:p>
    <w:p>
      <w:pPr>
        <w:spacing w:before="160" w:after="40" w:line="240" w:lineRule="auto"/>
      </w:pPr>
      <w:r>
        <w:rPr>
          <w:b/>
        </w:rPr>
        <w:t xml:space="preserve">[121] </w:t>
      </w:r>
      <w:hyperlink r:id="rId160">
        <w:r>
          <w:rPr>
            <w:color w:val="1155CC"/>
            <w:u w:val="single"/>
          </w:rPr>
          <w:t>Perovskite太阳能电池高性能掩埋界面的 AlOx 选择性原子层沉积面积</w:t>
        </w:r>
      </w:hyperlink>
    </w:p>
    <w:p>
      <w:pPr>
        <w:spacing w:before="0" w:after="80"/>
      </w:pPr>
      <w:r>
        <w:rPr>
          <w:i/>
          <w:sz w:val="20"/>
        </w:rPr>
        <w:t>EN: Area‐Selective Atomic Layer Deposition of AlOx at the Buried Interface for High‐Performance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2026-02-02 05:08:23+00:00</w:t>
      </w:r>
      <w:r>
        <w:t xml:space="preserve">    </w:t>
      </w:r>
      <w:r>
        <w:rPr>
          <w:b/>
        </w:rPr>
        <w:t xml:space="preserve">DOI: </w:t>
      </w:r>
      <w:hyperlink r:id="rId161">
        <w:r>
          <w:rPr>
            <w:color w:val="1155CC"/>
            <w:u w:val="single"/>
          </w:rPr>
          <w:t>10.1002/anie.202516537</w:t>
        </w:r>
      </w:hyperlink>
    </w:p>
    <w:p>
      <w:pPr>
        <w:spacing w:before="0" w:after="120"/>
      </w:pPr>
      <w:r>
        <w:rPr>
          <w:b/>
        </w:rPr>
        <w:t xml:space="preserve">Notes: </w:t>
      </w:r>
      <w:r>
        <w:t>abstract_source=crossref</w:t>
      </w:r>
    </w:p>
    <w:p>
      <w:pPr>
        <w:spacing w:before="0" w:after="80" w:lineRule="auto" w:line="276"/>
      </w:pPr>
      <w:r>
        <w:rPr>
          <w:b/>
        </w:rPr>
        <w:t xml:space="preserve">摘要（ZH）: </w:t>
      </w:r>
      <w:r>
        <w:t>自组装单层(SAM)已经证明,在提高百草枯太阳能电池(PSC)的性能方面,具有巨大的潜力,但是,其不完整的表面覆盖暴露了NiOx表面的缺陷点,导致有害非放射性再组合,加剧百草枯降解。为了克服这些限制,我们制定了一个区域选择性原子层沉积战略(ASALD),在保护所覆盖的区域的同时,在暴露的NiOx表面沉积超超薄ALO x层,同时保护所覆盖的区域。这种方法通过阻止NiO之间的直接接触,有效地抑制了电源再组合。</w:t>
      </w:r>
    </w:p>
    <w:p>
      <w:pPr>
        <w:spacing w:before="0" w:after="200" w:lineRule="auto" w:line="276"/>
      </w:pPr>
      <w:r>
        <w:rPr>
          <w:b/>
        </w:rPr>
        <w:t xml:space="preserve">Abstract (EN): </w:t>
      </w:r>
      <w:r>
        <w:t>Self‐assembled monolayers (SAM) have demonstrated significant potential for enhancing the performance of perovskite solar cells (PSCs). However, their incomplete surface coverage exposes defect sites on the NiO</w:t>
      </w:r>
      <w:r>
        <w:t xml:space="preserve"> </w:t>
      </w:r>
      <w:r>
        <w:t>x</w:t>
      </w:r>
      <w:r>
        <w:t xml:space="preserve"> </w:t>
      </w:r>
      <w:r>
        <w:t>surface, leading to detrimental non‐radiative recombination and exacerbating the perovskite degradation. To overcome these limitations, we developed a strategy of area‐selective atomic layer deposition (AS‐ALD) that precisely deposits an ultrathin AlO</w:t>
      </w:r>
      <w:r>
        <w:t xml:space="preserve"> </w:t>
      </w:r>
      <w:r>
        <w:t>x</w:t>
      </w:r>
      <w:r>
        <w:t xml:space="preserve"> </w:t>
      </w:r>
      <w:r>
        <w:t>layer on exposed NiO</w:t>
      </w:r>
      <w:r>
        <w:t xml:space="preserve"> </w:t>
      </w:r>
      <w:r>
        <w:t>x</w:t>
      </w:r>
      <w:r>
        <w:t xml:space="preserve"> </w:t>
      </w:r>
      <w:r>
        <w:t>surfaces while preserving SAM‐covered areas. This approach effectively suppresses charge recombination by blocking direct contact between NiO</w:t>
      </w:r>
      <w:r>
        <w:t xml:space="preserve"> </w:t>
      </w:r>
      <w:r>
        <w:t>x</w:t>
      </w:r>
      <w:r>
        <w:t xml:space="preserve"> </w:t>
      </w:r>
      <w:r>
        <w:t>and the perovskite while leveraging the intrinsic negative fixed charges in AlO</w:t>
      </w:r>
      <w:r>
        <w:t xml:space="preserve"> </w:t>
      </w:r>
      <w:r>
        <w:t>x</w:t>
      </w:r>
      <w:r>
        <w:t xml:space="preserve"> </w:t>
      </w:r>
      <w:r>
        <w:t>to attract holes and repel electrons. Importantly, the SAM‐covered areas remain unaffected, ensuring unhindered carrier extraction. Additionally, the deposited AlO</w:t>
      </w:r>
      <w:r>
        <w:t xml:space="preserve"> </w:t>
      </w:r>
      <w:r>
        <w:t>x</w:t>
      </w:r>
      <w:r>
        <w:t xml:space="preserve"> </w:t>
      </w:r>
      <w:r>
        <w:t>reduces the deleterious Ni</w:t>
      </w:r>
      <w:r>
        <w:t xml:space="preserve"> </w:t>
      </w:r>
      <w:r>
        <w:t>4+</w:t>
      </w:r>
      <w:r>
        <w:t xml:space="preserve"> </w:t>
      </w:r>
      <w:r>
        <w:t>content, which can readily trigger perovskite decomposition, thereby significantly enhancing device performance and stability. As a result, the PCE of PSCs increased to 26.41%, with perovskite modules achieving 20.88% efficiency over a 64.68 cm</w:t>
      </w:r>
      <w:r>
        <w:rPr>
          <w:vertAlign w:val="subscript"/>
        </w:rPr>
        <w:t>2</w:t>
      </w:r>
      <w:r>
        <w:t>active area. Device stability significantly improved with ∼ 95% initial PCE retained after 1500 h dark storage (ISOS‐D‐1), ∼ 80% after 800 h at 85°C (ISOS‐D‐2), ∼ 85% after 48 thermal cycles (ISOS‐T‐1), and ∼ 90% after 1300 h continuous 1‐sun illumination (ISOS‐L‐1, MPPT).</w:t>
      </w:r>
    </w:p>
    <w:p>
      <w:pPr>
        <w:spacing w:before="120" w:after="120"/>
      </w:pPr>
      <w:r>
        <w:rPr>
          <w:sz w:val="18"/>
        </w:rPr>
        <w:t>——————————————————————————————————————————————————————————————————————</w:t>
      </w:r>
    </w:p>
    <w:p>
      <w:pPr>
        <w:spacing w:before="160" w:after="40" w:line="240" w:lineRule="auto"/>
      </w:pPr>
      <w:r>
        <w:rPr>
          <w:b/>
        </w:rPr>
        <w:t xml:space="preserve">[122] </w:t>
      </w:r>
      <w:hyperlink r:id="rId162">
        <w:r>
          <w:rPr>
            <w:color w:val="1155CC"/>
            <w:u w:val="single"/>
          </w:rPr>
          <w:t>与七边形化卡巴佐罗和斯皮罗拉罗登机装置一起的博伦-尼本多恢复框架,使极长寿命长的窄带绿色环环导装置得以使用</w:t>
        </w:r>
      </w:hyperlink>
    </w:p>
    <w:p>
      <w:pPr>
        <w:spacing w:before="0" w:after="80"/>
      </w:pPr>
      <w:r>
        <w:rPr>
          <w:i/>
          <w:sz w:val="20"/>
        </w:rPr>
        <w:t>EN: Boron‐Nitrogen Multi‐Resonance Framework With Heptagon‐Fused Carbazole and Spiro‐Locking Units Enables Extremely Long‐Lifetime Narrowband Green OLEDs</w:t>
      </w:r>
    </w:p>
    <w:p>
      <w:pPr>
        <w:spacing w:before="0" w:after="120"/>
      </w:pPr>
      <w:r>
        <w:rPr>
          <w:b/>
        </w:rPr>
        <w:t xml:space="preserve">Source: </w:t>
      </w:r>
      <w:r>
        <w:t>Wiley: Angewandte Chemie International Edition: Table of Contents</w:t>
      </w:r>
      <w:r>
        <w:t xml:space="preserve">    </w:t>
      </w:r>
      <w:r>
        <w:rPr>
          <w:b/>
        </w:rPr>
        <w:t xml:space="preserve">Pub date: </w:t>
      </w:r>
      <w:r>
        <w:t>2026-02-02 05:09:27+00:00</w:t>
      </w:r>
      <w:r>
        <w:t xml:space="preserve">    </w:t>
      </w:r>
      <w:r>
        <w:rPr>
          <w:b/>
        </w:rPr>
        <w:t xml:space="preserve">DOI: </w:t>
      </w:r>
      <w:hyperlink r:id="rId163">
        <w:r>
          <w:rPr>
            <w:color w:val="1155CC"/>
            <w:u w:val="single"/>
          </w:rPr>
          <w:t>10.1002/anie.202523800</w:t>
        </w:r>
      </w:hyperlink>
    </w:p>
    <w:p>
      <w:pPr>
        <w:spacing w:before="0" w:after="120"/>
      </w:pPr>
      <w:r>
        <w:rPr>
          <w:b/>
        </w:rPr>
        <w:t xml:space="preserve">Notes: </w:t>
      </w:r>
      <w:r>
        <w:t>abstract_source=crossref</w:t>
      </w:r>
    </w:p>
    <w:p>
      <w:pPr>
        <w:spacing w:before="0" w:after="80" w:lineRule="auto" w:line="276"/>
      </w:pPr>
      <w:r>
        <w:rPr>
          <w:b/>
        </w:rPr>
        <w:t xml:space="preserve">摘要（ZH）: </w:t>
      </w:r>
      <w:r>
        <w:t>实现高效率、窄排放带宽和长期运行稳定性的ABSTALACT:同时实现高效率、窄排放带宽和长期运行稳定性对于超高清晰度(UHD)显示的有机光释放二极管(OLEDs)来说仍是一项重大挑战。 我们在此报告一个协同分子设计,将原氮-氮-基多共振反应(MR)框架与扩展的七氮-氟化碳酸酯(HpCzz)和二苯碳酸酯(DBCzz)(DBz)和22nm(0.080 eV)相融合,并辅之以一个螺旋锁结构。这一双重战略可以增强分子刻性,抑制振动性交融,并提高化学稳定性。由此产生的排放物,DBCzBüFl和HpCzBFl,在半量为26(0.114 eV)和22nm(0.080 eV)之间展示了窄的绿色排放。基于HpCzBüFl的OLEDs。</w:t>
      </w:r>
    </w:p>
    <w:p>
      <w:pPr>
        <w:spacing w:before="0" w:after="200" w:lineRule="auto" w:line="276"/>
      </w:pPr>
      <w:r>
        <w:rPr>
          <w:b/>
        </w:rPr>
        <w:t xml:space="preserve">Abstract (EN): </w:t>
      </w:r>
      <w:r>
        <w:t>Achieving high efficiency, narrow emission bandwidth, and long operational stability simultaneously remains a major challenge for organic light‐emitting diodes (OLEDs) in ultra‐high‐definition (UHD) displays. Herein, we report a synergistic molecular design integrating boron–nitrogen‐based multiple resonance (MR) frameworks with π‐extended heptagon‐fused carbazole (HpCz) and dibenzo‐carbazole (DBCz) units, reinforced by a spiro‐locking architecture. This dual strategy enhances molecular rigidity, suppresses vibronic coupling, and improves chemical stability. The resulting emitters, DBCzB‐Fl and HpCzB‐Fl, exhibit narrow green emission with full‐widths at half‐maximum of 26 (0.114 eV) and 22 nm (0.080 eV), respectively. OLEDs based on HpCzB‐Fl achieve an external quantum efficiency of 27.7%, a current efficiency of 113.0 cd·A</w:t>
      </w:r>
      <w:r>
        <w:t xml:space="preserve"> </w:t>
      </w:r>
      <w:r>
        <w:t>−1</w:t>
      </w:r>
      <w:r>
        <w:t xml:space="preserve"> </w:t>
      </w:r>
      <w:r>
        <w:t>, a power efficiency of 126.8 lm·W</w:t>
      </w:r>
      <w:r>
        <w:t xml:space="preserve"> </w:t>
      </w:r>
      <w:r>
        <w:t>−1</w:t>
      </w:r>
      <w:r>
        <w:t xml:space="preserve"> </w:t>
      </w:r>
      <w:r>
        <w:t>, and an operational lifetime (LT</w:t>
      </w:r>
      <w:r>
        <w:rPr>
          <w:vertAlign w:val="subscript"/>
        </w:rPr>
        <w:t>90</w:t>
      </w:r>
      <w:r>
        <w:t>at 1000 cd·m</w:t>
      </w:r>
      <w:r>
        <w:t xml:space="preserve"> </w:t>
      </w:r>
      <w:r>
        <w:t>−2</w:t>
      </w:r>
      <w:r>
        <w:t xml:space="preserve"> </w:t>
      </w:r>
      <w:r>
        <w:t>) of 17811 h, which is 2.3 times longer than its DBCz analogue. The superior performance and stability arise from the HpCz–spiro synergy, offering a robust design paradigm for stabilizing MR frameworks while maintaining spectral precision for next‐generation UHD display technologies.</w:t>
      </w:r>
    </w:p>
    <w:p>
      <w:pPr>
        <w:spacing w:before="120" w:after="120"/>
      </w:pPr>
      <w:r>
        <w:rPr>
          <w:sz w:val="18"/>
        </w:rPr>
        <w:t>——————————————————————————————————————————————————————————————————————</w:t>
      </w:r>
    </w:p>
    <w:p>
      <w:pPr>
        <w:spacing w:before="160" w:after="40" w:line="240" w:lineRule="auto"/>
      </w:pPr>
      <w:r>
        <w:rPr>
          <w:b/>
        </w:rPr>
        <w:t xml:space="preserve">[123] </w:t>
      </w:r>
      <w:hyperlink r:id="rId164">
        <w:r>
          <w:rPr>
            <w:color w:val="1155CC"/>
            <w:u w:val="single"/>
          </w:rPr>
          <w:t>高效纯水分拆最佳光电分离和地质子环流</w:t>
        </w:r>
      </w:hyperlink>
    </w:p>
    <w:p>
      <w:pPr>
        <w:spacing w:before="0" w:after="80"/>
      </w:pPr>
      <w:r>
        <w:rPr>
          <w:i/>
          <w:sz w:val="20"/>
        </w:rPr>
        <w:t>EN: Piezoelectric Polarization Optimized Photocharge Separation and Surface Proton Cycling for Efficient Pure Water Splitting</w:t>
      </w:r>
    </w:p>
    <w:p>
      <w:pPr>
        <w:spacing w:before="0" w:after="120"/>
      </w:pPr>
      <w:r>
        <w:rPr>
          <w:b/>
        </w:rPr>
        <w:t xml:space="preserve">Source: </w:t>
      </w:r>
      <w:r>
        <w:t>Wiley: Angewandte Chemie International Edition: Table of Contents</w:t>
      </w:r>
      <w:r>
        <w:t xml:space="preserve">    </w:t>
      </w:r>
      <w:r>
        <w:rPr>
          <w:b/>
        </w:rPr>
        <w:t xml:space="preserve">Pub date: </w:t>
      </w:r>
      <w:r>
        <w:t>2026-02-02 05:16:06+00:00</w:t>
      </w:r>
      <w:r>
        <w:t xml:space="preserve">    </w:t>
      </w:r>
      <w:r>
        <w:rPr>
          <w:b/>
        </w:rPr>
        <w:t xml:space="preserve">DOI: </w:t>
      </w:r>
      <w:hyperlink r:id="rId165">
        <w:r>
          <w:rPr>
            <w:color w:val="1155CC"/>
            <w:u w:val="single"/>
          </w:rPr>
          <w:t>10.1002/anie.202525592</w:t>
        </w:r>
      </w:hyperlink>
    </w:p>
    <w:p>
      <w:pPr>
        <w:spacing w:before="0" w:after="120"/>
      </w:pPr>
      <w:r>
        <w:rPr>
          <w:b/>
        </w:rPr>
        <w:t xml:space="preserve">Notes: </w:t>
      </w:r>
      <w:r>
        <w:t>abstract_source=crossref</w:t>
      </w:r>
    </w:p>
    <w:p>
      <w:pPr>
        <w:spacing w:before="0" w:after="80" w:lineRule="auto" w:line="276"/>
      </w:pPr>
      <w:r>
        <w:rPr>
          <w:b/>
        </w:rPr>
        <w:t xml:space="preserve">摘要（ZH）: </w:t>
      </w:r>
      <w:r>
        <w:t>从纯水中同时生产氢(H 2)和过氧化氢(H 2 O 2)是可持续燃料和氧化剂生成的理想太阳能化学途径,但是,传统光催化剂面临内在限制,包括载体动力缓慢和水氧化动力不足。 在这里,我们揭开C 3 N 5的分子电子组向氢氧组转移路径,为水分形成高性能派硫磷催化器。</w:t>
      </w:r>
    </w:p>
    <w:p>
      <w:pPr>
        <w:spacing w:before="0" w:after="200" w:lineRule="auto" w:line="276"/>
      </w:pPr>
      <w:r>
        <w:rPr>
          <w:b/>
        </w:rPr>
        <w:t xml:space="preserve">Abstract (EN): </w:t>
      </w:r>
      <w:r>
        <w:t>The simultaneous production of hydrogen (H</w:t>
      </w:r>
      <w:r>
        <w:rPr>
          <w:vertAlign w:val="subscript"/>
        </w:rPr>
        <w:t>2</w:t>
      </w:r>
      <w:r>
        <w:t>) and hydrogen peroxide (H</w:t>
      </w:r>
      <w:r>
        <w:rPr>
          <w:vertAlign w:val="subscript"/>
        </w:rPr>
        <w:t>2</w:t>
      </w:r>
      <w:r>
        <w:t>O</w:t>
      </w:r>
      <w:r>
        <w:rPr>
          <w:vertAlign w:val="subscript"/>
        </w:rPr>
        <w:t>2</w:t>
      </w:r>
      <w:r>
        <w:t>) from pure water represents an ideal solar‐to‐chemical pathway for sustainable fuel and oxidant generation. However, conventional photocatalysts face intrinsic limitations, including sluggish carrier dynamics and insufficient power for water oxidation. Herein, we unveil an intramolecular electron transfer pathway from cyano groups to hydroxyl groups in C</w:t>
      </w:r>
      <w:r>
        <w:rPr>
          <w:vertAlign w:val="subscript"/>
        </w:rPr>
        <w:t>3</w:t>
      </w:r>
      <w:r>
        <w:t>N</w:t>
      </w:r>
      <w:r>
        <w:rPr>
          <w:vertAlign w:val="subscript"/>
        </w:rPr>
        <w:t>5</w:t>
      </w:r>
      <w:r>
        <w:t>that creates a high‐performance piezo‐photocatalyst for water splitting. The hydroxyl/cyano groups direct electron‐hole flow, optimizing the surface potential and dipole moment (DM) for a stronger piezoelectric response. Interestingly, the piezoelectric polarization induced by mechanical strain in MCN‐8 enhances its H</w:t>
      </w:r>
      <w:r>
        <w:t xml:space="preserve"> </w:t>
      </w:r>
      <w:r>
        <w:t>+</w:t>
      </w:r>
      <w:r>
        <w:t xml:space="preserve"> </w:t>
      </w:r>
      <w:r>
        <w:t>desorption ability to facilitate a rapid adsorption‐reaction‐desorption process. In situ infrared spectroscopy results indicate that MCN‐8 generates key substances such as ·O</w:t>
      </w:r>
      <w:r>
        <w:rPr>
          <w:vertAlign w:val="subscript"/>
        </w:rPr>
        <w:t>2</w:t>
      </w:r>
      <w:r>
        <w:t>−</w:t>
      </w:r>
      <w:r>
        <w:t>and ·OOH, clarifying the water oxidation process. Thus, the rates of H</w:t>
      </w:r>
      <w:r>
        <w:rPr>
          <w:vertAlign w:val="subscript"/>
        </w:rPr>
        <w:t>2</w:t>
      </w:r>
      <w:r>
        <w:t>and H</w:t>
      </w:r>
      <w:r>
        <w:rPr>
          <w:vertAlign w:val="subscript"/>
        </w:rPr>
        <w:t>2</w:t>
      </w:r>
      <w:r>
        <w:t>O</w:t>
      </w:r>
      <w:r>
        <w:rPr>
          <w:vertAlign w:val="subscript"/>
        </w:rPr>
        <w:t>2</w:t>
      </w:r>
      <w:r>
        <w:t>release by its piezo‐photocatalysis were 4.14 mmol g</w:t>
      </w:r>
      <w:r>
        <w:t xml:space="preserve"> </w:t>
      </w:r>
      <w:r>
        <w:t>−1</w:t>
      </w:r>
      <w:r>
        <w:t xml:space="preserve"> </w:t>
      </w:r>
      <w:r>
        <w:t>h</w:t>
      </w:r>
      <w:r>
        <w:t xml:space="preserve"> </w:t>
      </w:r>
      <w:r>
        <w:t>−1</w:t>
      </w:r>
      <w:r>
        <w:t xml:space="preserve"> </w:t>
      </w:r>
      <w:r>
        <w:t>and 1.39 mmol g</w:t>
      </w:r>
      <w:r>
        <w:t xml:space="preserve"> </w:t>
      </w:r>
      <w:r>
        <w:t>−1</w:t>
      </w:r>
      <w:r>
        <w:t xml:space="preserve"> </w:t>
      </w:r>
      <w:r>
        <w:t>h</w:t>
      </w:r>
      <w:r>
        <w:t xml:space="preserve"> </w:t>
      </w:r>
      <w:r>
        <w:t>−1</w:t>
      </w:r>
      <w:r>
        <w:t xml:space="preserve"> </w:t>
      </w:r>
      <w:r>
        <w:t>, respectively. Under simulated outdoor sunlight and ultrasonic conditions, the as‐fabricated MCN‐8/PVDF‐HFP composite film retains its ability to produce H</w:t>
      </w:r>
      <w:r>
        <w:rPr>
          <w:vertAlign w:val="subscript"/>
        </w:rPr>
        <w:t>2</w:t>
      </w:r>
      <w:r>
        <w:t>and H</w:t>
      </w:r>
      <w:r>
        <w:rPr>
          <w:vertAlign w:val="subscript"/>
        </w:rPr>
        <w:t>2</w:t>
      </w:r>
      <w:r>
        <w:t>O</w:t>
      </w:r>
      <w:r>
        <w:rPr>
          <w:vertAlign w:val="subscript"/>
        </w:rPr>
        <w:t>2</w:t>
      </w:r>
      <w:r>
        <w:t>. This strategy of enhancing the piezo‐photocatalytic performance through surface group modulation provides a new idea for the development of highly efficient and multifunctional water decomposition catalysts.</w:t>
      </w:r>
    </w:p>
    <w:p>
      <w:pPr>
        <w:spacing w:before="120" w:after="120"/>
      </w:pPr>
      <w:r>
        <w:rPr>
          <w:sz w:val="18"/>
        </w:rPr>
        <w:t>——————————————————————————————————————————————————————————————————————</w:t>
      </w:r>
    </w:p>
    <w:p>
      <w:pPr>
        <w:spacing w:before="160" w:after="40" w:line="240" w:lineRule="auto"/>
      </w:pPr>
      <w:r>
        <w:rPr>
          <w:b/>
        </w:rPr>
        <w:t xml:space="preserve">[124] </w:t>
      </w:r>
      <w:hyperlink r:id="rId166">
        <w:r>
          <w:rPr>
            <w:color w:val="1155CC"/>
            <w:u w:val="single"/>
          </w:rPr>
          <w:t>氢氧化胺和氧化物光电化学合成</w:t>
        </w:r>
      </w:hyperlink>
    </w:p>
    <w:p>
      <w:pPr>
        <w:spacing w:before="0" w:after="80"/>
      </w:pPr>
      <w:r>
        <w:rPr>
          <w:i/>
          <w:sz w:val="20"/>
        </w:rPr>
        <w:t>EN: Ultralow‐Potential Photoelectrochemical Synthesis of Hydroxylamine and Oximes</w:t>
      </w:r>
    </w:p>
    <w:p>
      <w:pPr>
        <w:spacing w:before="0" w:after="120"/>
      </w:pPr>
      <w:r>
        <w:rPr>
          <w:b/>
        </w:rPr>
        <w:t xml:space="preserve">Source: </w:t>
      </w:r>
      <w:r>
        <w:t>Wiley: Angewandte Chemie International Edition: Table of Contents</w:t>
      </w:r>
      <w:r>
        <w:t xml:space="preserve">    </w:t>
      </w:r>
      <w:r>
        <w:rPr>
          <w:b/>
        </w:rPr>
        <w:t xml:space="preserve">Pub date: </w:t>
      </w:r>
      <w:r>
        <w:t>2026-02-02 06:52:04+00:00</w:t>
      </w:r>
      <w:r>
        <w:t xml:space="preserve">    </w:t>
      </w:r>
      <w:r>
        <w:rPr>
          <w:b/>
        </w:rPr>
        <w:t xml:space="preserve">DOI: </w:t>
      </w:r>
      <w:hyperlink r:id="rId167">
        <w:r>
          <w:rPr>
            <w:color w:val="1155CC"/>
            <w:u w:val="single"/>
          </w:rPr>
          <w:t>10.1002/anie.202525106</w:t>
        </w:r>
      </w:hyperlink>
    </w:p>
    <w:p>
      <w:pPr>
        <w:spacing w:before="0" w:after="120"/>
      </w:pPr>
      <w:r>
        <w:rPr>
          <w:b/>
        </w:rPr>
        <w:t xml:space="preserve">Notes: </w:t>
      </w:r>
      <w:r>
        <w:t>abstract_source=crossref</w:t>
      </w:r>
    </w:p>
    <w:p>
      <w:pPr>
        <w:spacing w:before="0" w:after="80" w:lineRule="auto" w:line="276"/>
      </w:pPr>
      <w:r>
        <w:rPr>
          <w:b/>
        </w:rPr>
        <w:t xml:space="preserve">摘要（ZH）: </w:t>
      </w:r>
      <w:r>
        <w:t>氢氧化胺高效和无害环境的合成(NH 2OH)仍然是可持续化学生产中的一项挑战,将电化学硝酸减少至NH 2OH依靠外部氢源,这往往导致氮酸累积或由于不平衡的氢化强度,将NH 2OH过多减为氨。 我们在此将光电化学硝酸减少情况报告给NH 2O(PENRH),使用双金属双金属双环和固化的TiO 2/CdS/Sb 2(S,Se)</w:t>
      </w:r>
    </w:p>
    <w:p>
      <w:pPr>
        <w:spacing w:before="0" w:after="200" w:lineRule="auto" w:line="276"/>
      </w:pPr>
      <w:r>
        <w:rPr>
          <w:b/>
        </w:rPr>
        <w:t xml:space="preserve">Abstract (EN): </w:t>
      </w:r>
      <w:r>
        <w:t>The efficient and environmentally friendly synthesis of hydroxylamine (NH</w:t>
      </w:r>
      <w:r>
        <w:rPr>
          <w:vertAlign w:val="subscript"/>
        </w:rPr>
        <w:t>2</w:t>
      </w:r>
      <w:r>
        <w:t>OH) remains a challenge in sustainable chemical production. Electrochemical nitrate reduction to NH</w:t>
      </w:r>
      <w:r>
        <w:rPr>
          <w:vertAlign w:val="subscript"/>
        </w:rPr>
        <w:t>2</w:t>
      </w:r>
      <w:r>
        <w:t>OH suffers from dependence on external hydrogen sources, which often lead to the nitrite accumulation or over‐reduction of NH</w:t>
      </w:r>
      <w:r>
        <w:rPr>
          <w:vertAlign w:val="subscript"/>
        </w:rPr>
        <w:t>2</w:t>
      </w:r>
      <w:r>
        <w:t>OH to ammonia due to unbalanced hydrogenation intensity. Herein, we report the photoelectrochemical nitrate reduction to NH</w:t>
      </w:r>
      <w:r>
        <w:rPr>
          <w:vertAlign w:val="subscript"/>
        </w:rPr>
        <w:t>2</w:t>
      </w:r>
      <w:r>
        <w:t>OH (PENRH) using a bimetallic Bi‐ and Cu‐modified TiO</w:t>
      </w:r>
      <w:r>
        <w:rPr>
          <w:vertAlign w:val="subscript"/>
        </w:rPr>
        <w:t>2</w:t>
      </w:r>
      <w:r>
        <w:t>/CdS/Sb</w:t>
      </w:r>
      <w:r>
        <w:rPr>
          <w:vertAlign w:val="subscript"/>
        </w:rPr>
        <w:t>2</w:t>
      </w:r>
      <w:r>
        <w:t>(S,Se)</w:t>
      </w:r>
      <w:r>
        <w:rPr>
          <w:vertAlign w:val="subscript"/>
        </w:rPr>
        <w:t>3</w:t>
      </w:r>
      <w:r>
        <w:t>semiconductor. Under AM 1.5 G illumination, the resulting photocathode achieves a Faradaic efficiency of 91.9% and a selectivity of 92.7% at 0.3 V</w:t>
      </w:r>
      <w:r>
        <w:t xml:space="preserve"> </w:t>
      </w:r>
      <w:r>
        <w:t>RHE</w:t>
      </w:r>
      <w:r>
        <w:t xml:space="preserve"> </w:t>
      </w:r>
      <w:r>
        <w:t>for NH</w:t>
      </w:r>
      <w:r>
        <w:rPr>
          <w:vertAlign w:val="subscript"/>
        </w:rPr>
        <w:t>2</w:t>
      </w:r>
      <w:r>
        <w:t>OH, while effectively suppressing side reactions. In situ characterization and theoretical calculations reveal that the synergy between Bi and Cu sites optimizes the adsorption of intermediates, promotes NO</w:t>
      </w:r>
      <w:r>
        <w:rPr>
          <w:vertAlign w:val="subscript"/>
        </w:rPr>
        <w:t>3</w:t>
      </w:r>
      <w:r>
        <w:t>−</w:t>
      </w:r>
      <w:r>
        <w:t>protonation, and facilitates the rapid desorption of NH</w:t>
      </w:r>
      <w:r>
        <w:rPr>
          <w:vertAlign w:val="subscript"/>
        </w:rPr>
        <w:t>2</w:t>
      </w:r>
      <w:r>
        <w:t>OH, thereby preventing its over‐reduction. This system is successfully extended to the oxime synthesis by coupling in situ generated NH</w:t>
      </w:r>
      <w:r>
        <w:rPr>
          <w:vertAlign w:val="subscript"/>
        </w:rPr>
        <w:t>2</w:t>
      </w:r>
      <w:r>
        <w:t>OH with aldehydes or ketones, enabling efficient preparation of various oximes and demonstrating the broad applicability of PENRH. This work not only introduces a green photoelectrochemical approach for NH</w:t>
      </w:r>
      <w:r>
        <w:rPr>
          <w:vertAlign w:val="subscript"/>
        </w:rPr>
        <w:t>2</w:t>
      </w:r>
      <w:r>
        <w:t>OH synthesis, but also offers a new paradigm for the resource utilization of nitrate.</w:t>
      </w:r>
    </w:p>
    <w:p>
      <w:pPr>
        <w:spacing w:before="120" w:after="120"/>
      </w:pPr>
      <w:r>
        <w:rPr>
          <w:sz w:val="18"/>
        </w:rPr>
        <w:t>——————————————————————————————————————————————————————————————————————</w:t>
      </w:r>
    </w:p>
    <w:p>
      <w:pPr>
        <w:spacing w:before="160" w:after="40" w:line="240" w:lineRule="auto"/>
      </w:pPr>
      <w:r>
        <w:rPr>
          <w:b/>
        </w:rPr>
        <w:t xml:space="preserve">[125] </w:t>
      </w:r>
      <w:hyperlink r:id="rId168">
        <w:r>
          <w:rPr>
            <w:color w:val="1155CC"/>
            <w:u w:val="single"/>
          </w:rPr>
          <w:t>通过水氧化分子水晶工程封闭单一水分子分子</w:t>
        </w:r>
      </w:hyperlink>
    </w:p>
    <w:p>
      <w:pPr>
        <w:spacing w:before="0" w:after="80"/>
      </w:pPr>
      <w:r>
        <w:rPr>
          <w:i/>
          <w:sz w:val="20"/>
        </w:rPr>
        <w:t>EN: Confining a Single Water Molecule Through Molecular Crystal Engineering for Water Oxidation</w:t>
      </w:r>
    </w:p>
    <w:p>
      <w:pPr>
        <w:spacing w:before="0" w:after="120"/>
      </w:pPr>
      <w:r>
        <w:rPr>
          <w:b/>
        </w:rPr>
        <w:t xml:space="preserve">Source: </w:t>
      </w:r>
      <w:r>
        <w:t>Wiley: Angewandte Chemie International Edition: Table of Contents</w:t>
      </w:r>
      <w:r>
        <w:t xml:space="preserve">    </w:t>
      </w:r>
      <w:r>
        <w:rPr>
          <w:b/>
        </w:rPr>
        <w:t xml:space="preserve">Pub date: </w:t>
      </w:r>
      <w:r>
        <w:t>2026-02-02 06:52:47+00:00</w:t>
      </w:r>
      <w:r>
        <w:t xml:space="preserve">    </w:t>
      </w:r>
      <w:r>
        <w:rPr>
          <w:b/>
        </w:rPr>
        <w:t xml:space="preserve">DOI: </w:t>
      </w:r>
      <w:hyperlink r:id="rId169">
        <w:r>
          <w:rPr>
            <w:color w:val="1155CC"/>
            <w:u w:val="single"/>
          </w:rPr>
          <w:t>10.1002/anie.202525362</w:t>
        </w:r>
      </w:hyperlink>
    </w:p>
    <w:p>
      <w:pPr>
        <w:spacing w:before="0" w:after="120"/>
      </w:pPr>
      <w:r>
        <w:rPr>
          <w:b/>
        </w:rPr>
        <w:t xml:space="preserve">Notes: </w:t>
      </w:r>
      <w:r>
        <w:t>abstract_source=crossref</w:t>
      </w:r>
    </w:p>
    <w:p>
      <w:pPr>
        <w:spacing w:before="0" w:after="80" w:lineRule="auto" w:line="276"/>
      </w:pPr>
      <w:r>
        <w:rPr>
          <w:b/>
        </w:rPr>
        <w:t xml:space="preserve">摘要（ZH）: </w:t>
      </w:r>
      <w:r>
        <w:t>ABSTACT 氢气瓶化水(H 2 O) n 通过限制分子方向调整,模糊了单美H 2 O (n = 1) 的内在反应性。 辨别孤立水的催化行为仍然是水相化学中的一项关键挑战。 在这里, 我们通过设计一个分子晶体来解决这个问题, 该分子晶体将单一水分子一致地限制在相同的四面体空洞中。 这个平台, CB°H 2 O, 展示了光催化H 2 O 的特殊活动。</w:t>
      </w:r>
    </w:p>
    <w:p>
      <w:pPr>
        <w:spacing w:before="0" w:after="200" w:lineRule="auto" w:line="276"/>
      </w:pPr>
      <w:r>
        <w:rPr>
          <w:b/>
        </w:rPr>
        <w:t xml:space="preserve">Abstract (EN): </w:t>
      </w:r>
      <w:r>
        <w:t>Hydrogen‐bonded water clusters (H</w:t>
      </w:r>
      <w:r>
        <w:rPr>
          <w:vertAlign w:val="subscript"/>
        </w:rPr>
        <w:t>2</w:t>
      </w:r>
      <w:r>
        <w:t>O)</w:t>
      </w:r>
      <w:r>
        <w:t xml:space="preserve"> </w:t>
      </w:r>
      <w:r>
        <w:t>n</w:t>
      </w:r>
      <w:r>
        <w:t xml:space="preserve"> </w:t>
      </w:r>
      <w:r>
        <w:t>obscure the intrinsic reactivity of monomeric H</w:t>
      </w:r>
      <w:r>
        <w:rPr>
          <w:vertAlign w:val="subscript"/>
        </w:rPr>
        <w:t>2</w:t>
      </w:r>
      <w:r>
        <w:t>O (n = 1) by restricting molecular reorientation. Elucidating the catalytic behavior of isolated water remains a key challenge in aqueous‐phase chemistry. Here, we address this by designing a molecular crystal that uniformly confines single water molecules in identical tetrahedral cavities. This platform,</w:t>
      </w:r>
      <w:r>
        <w:t xml:space="preserve"> </w:t>
      </w:r>
      <w:r>
        <w:t>CB‐H</w:t>
      </w:r>
      <w:r>
        <w:rPr>
          <w:vertAlign w:val="subscript"/>
        </w:rPr>
        <w:t>2</w:t>
      </w:r>
      <w:r>
        <w:t>O</w:t>
      </w:r>
      <w:r>
        <w:t xml:space="preserve"> </w:t>
      </w:r>
      <w:r>
        <w:t>, exhibits exceptional activity for photocatalytic H</w:t>
      </w:r>
      <w:r>
        <w:rPr>
          <w:vertAlign w:val="subscript"/>
        </w:rPr>
        <w:t>2</w:t>
      </w:r>
      <w:r>
        <w:t>O‐to‐H</w:t>
      </w:r>
      <w:r>
        <w:rPr>
          <w:vertAlign w:val="subscript"/>
        </w:rPr>
        <w:t>2</w:t>
      </w:r>
      <w:r>
        <w:t>O</w:t>
      </w:r>
      <w:r>
        <w:rPr>
          <w:vertAlign w:val="subscript"/>
        </w:rPr>
        <w:t>2</w:t>
      </w:r>
      <w:r>
        <w:t>conversion, achieving 7.03 mmol g</w:t>
      </w:r>
      <w:r>
        <w:t xml:space="preserve"> </w:t>
      </w:r>
      <w:r>
        <w:t>−</w:t>
      </w:r>
      <w:r>
        <w:rPr>
          <w:vertAlign w:val="subscript"/>
        </w:rPr>
        <w:t>1</w:t>
      </w:r>
      <w:r>
        <w:t>h</w:t>
      </w:r>
      <w:r>
        <w:t xml:space="preserve"> </w:t>
      </w:r>
      <w:r>
        <w:t>−</w:t>
      </w:r>
      <w:r>
        <w:rPr>
          <w:vertAlign w:val="subscript"/>
        </w:rPr>
        <w:t>1</w:t>
      </w:r>
      <w:r>
        <w:t>with pure water, representing an 11.6‐fold enhancement over cavity‐deficient controls and being markedly superior to existing photocatalytic systems. This performance advantage is directly attributed to the crystallographically defined monomeric water, as verified by isotopic labelling and in‐situ spectroscopy. Theoretical calculations further demonstrate that cavity confinement eliminates hydrogen‐bond reorganization penalties, substantially lowering the activation barrier for water oxidation. Our work establishes monomeric‐water catalysis as a distinct and efficient paradigm, showcasing molecular crystal engineering as a versatile approach to tailoring water‐involved reactions for sustainable catalysis.</w:t>
      </w:r>
    </w:p>
    <w:p>
      <w:pPr>
        <w:spacing w:before="120" w:after="120"/>
      </w:pPr>
      <w:r>
        <w:rPr>
          <w:sz w:val="18"/>
        </w:rPr>
        <w:t>——————————————————————————————————————————————————————————————————————</w:t>
      </w:r>
    </w:p>
    <w:p>
      <w:pPr>
        <w:spacing w:before="160" w:after="40" w:line="240" w:lineRule="auto"/>
      </w:pPr>
      <w:r>
        <w:rPr>
          <w:b/>
        </w:rPr>
        <w:t xml:space="preserve">[126] </w:t>
      </w:r>
      <w:hyperlink r:id="rId170">
        <w:r>
          <w:rPr>
            <w:color w:val="1155CC"/>
            <w:u w:val="single"/>
          </w:rPr>
          <w:t>Crown Ether Rotaxane 以高效益评价认可渠道引导建造COF膜膜</w:t>
        </w:r>
      </w:hyperlink>
    </w:p>
    <w:p>
      <w:pPr>
        <w:spacing w:before="0" w:after="80"/>
      </w:pPr>
      <w:r>
        <w:rPr>
          <w:i/>
          <w:sz w:val="20"/>
        </w:rPr>
        <w:t>EN: Crown Ether Rotaxane‐Induced Construction of COF Membranes With Recognition Channels for High‐Efficiency Ion Sieving</w:t>
      </w:r>
    </w:p>
    <w:p>
      <w:pPr>
        <w:spacing w:before="0" w:after="120"/>
      </w:pPr>
      <w:r>
        <w:rPr>
          <w:b/>
        </w:rPr>
        <w:t xml:space="preserve">Source: </w:t>
      </w:r>
      <w:r>
        <w:t>Wiley: Angewandte Chemie International Edition: Table of Contents</w:t>
      </w:r>
      <w:r>
        <w:t xml:space="preserve">    </w:t>
      </w:r>
      <w:r>
        <w:rPr>
          <w:b/>
        </w:rPr>
        <w:t xml:space="preserve">Pub date: </w:t>
      </w:r>
      <w:r>
        <w:t>2026-02-02 07:02:51+00:00</w:t>
      </w:r>
      <w:r>
        <w:t xml:space="preserve">    </w:t>
      </w:r>
      <w:r>
        <w:rPr>
          <w:b/>
        </w:rPr>
        <w:t xml:space="preserve">DOI: </w:t>
      </w:r>
      <w:hyperlink r:id="rId171">
        <w:r>
          <w:rPr>
            <w:color w:val="1155CC"/>
            <w:u w:val="single"/>
          </w:rPr>
          <w:t>10.1002/anie.202525413</w:t>
        </w:r>
      </w:hyperlink>
    </w:p>
    <w:p>
      <w:pPr>
        <w:spacing w:before="0" w:after="120"/>
      </w:pPr>
      <w:r>
        <w:rPr>
          <w:b/>
        </w:rPr>
        <w:t xml:space="preserve">Notes: </w:t>
      </w:r>
      <w:r>
        <w:t>abstract_source=crossref</w:t>
      </w:r>
    </w:p>
    <w:p>
      <w:pPr>
        <w:spacing w:before="0" w:after="80" w:lineRule="auto" w:line="276"/>
      </w:pPr>
      <w:r>
        <w:rPr>
          <w:b/>
        </w:rPr>
        <w:t xml:space="preserve">摘要（ZH）: </w:t>
      </w:r>
      <w:r>
        <w:t>ABSTACT生物离子信道可以通过孔状结构与微环境之间的协同作用实现高度离子歧视。 但是,建造具有目标离子精确识别能力的生物模拟离子成膜,对目标离子具有精确识别能力,仍然具有挑战性。在这里,我们提议了一种腐沙内诱发的堆叠法方法,用于建造与亚亚氮级离子信道结合的COF膜。二苯并氯丙烷腐蚀物 COF纳米表(CRCOF)是编造的,随后堆积在薄膜中。 由转轴细胞和CRCOF纳米表之间的相互作用以及转轴烷(纳米表)具体的电离子识别能力驱动,纳米表经过定向堆叠,产生配有附带的精密界定的亚亚纳米级的导管。</w:t>
      </w:r>
    </w:p>
    <w:p>
      <w:pPr>
        <w:spacing w:before="0" w:after="200" w:lineRule="auto" w:line="276"/>
      </w:pPr>
      <w:r>
        <w:rPr>
          <w:b/>
        </w:rPr>
        <w:t xml:space="preserve">Abstract (EN): </w:t>
      </w:r>
      <w:r>
        <w:t>Biological ion channels can achieve high ion discrimination through the synergy between pore structure and microenvironment. However, constructing biomimetic ion‐sieving membranes with precise recognition capabilities for target ions remains challenging. Herein, we propose a rotaxane‐induced stacking method for constructing COF membranes integrated with ion‐recognition sub‐nanoscale channels. The dibenzo‐crown ether rotaxane COF (CRCOF) nanosheets are fabricated and subsequently stacked into membranes. Driven by π–π interactions between rotaxane moieties and CRCOF nanosheets, as well as the specific ion‐recognition ability of rotaxanes, the nanosheets undergo oriented stacking, yielding well‐defined sub‐nanoscale channels equipped with recognition sites. The angstrom‐scale pore size and specific binding channels synergistically enhance selectivity and minimize transport energy penalties of target ions. By modulating the ion recognition capability of channels, the obtained CRCOF membrane demonstrates an exceptional Li</w:t>
      </w:r>
      <w:r>
        <w:t xml:space="preserve"> </w:t>
      </w:r>
      <w:r>
        <w:t>+</w:t>
      </w:r>
      <w:r>
        <w:t xml:space="preserve"> </w:t>
      </w:r>
      <w:r>
        <w:t>permeation rate of 0.04 mol m</w:t>
      </w:r>
      <w:r>
        <w:t xml:space="preserve"> </w:t>
      </w:r>
      <w:r>
        <w:t>−2</w:t>
      </w:r>
      <w:r>
        <w:t xml:space="preserve"> </w:t>
      </w:r>
      <w:r>
        <w:t>h</w:t>
      </w:r>
      <w:r>
        <w:t xml:space="preserve"> </w:t>
      </w:r>
      <w:r>
        <w:t>−1</w:t>
      </w:r>
      <w:r>
        <w:t xml:space="preserve"> </w:t>
      </w:r>
      <w:r>
        <w:t>(approximately five times higher than reported polymer membranes) and high Li</w:t>
      </w:r>
      <w:r>
        <w:t xml:space="preserve"> </w:t>
      </w:r>
      <w:r>
        <w:t>+</w:t>
      </w:r>
      <w:r>
        <w:t xml:space="preserve"> </w:t>
      </w:r>
      <w:r>
        <w:t>selectivity (Li</w:t>
      </w:r>
      <w:r>
        <w:t xml:space="preserve"> </w:t>
      </w:r>
      <w:r>
        <w:t>+</w:t>
      </w:r>
      <w:r>
        <w:t xml:space="preserve"> </w:t>
      </w:r>
      <w:r>
        <w:t>/Mg</w:t>
      </w:r>
      <w:r>
        <w:t xml:space="preserve"> </w:t>
      </w:r>
      <w:r>
        <w:t>2+</w:t>
      </w:r>
      <w:r>
        <w:t xml:space="preserve"> </w:t>
      </w:r>
      <w:r>
        <w:t>selectivity of 315 and Li</w:t>
      </w:r>
      <w:r>
        <w:t xml:space="preserve"> </w:t>
      </w:r>
      <w:r>
        <w:t>+</w:t>
      </w:r>
      <w:r>
        <w:t xml:space="preserve"> </w:t>
      </w:r>
      <w:r>
        <w:t>/Na</w:t>
      </w:r>
      <w:r>
        <w:t xml:space="preserve"> </w:t>
      </w:r>
      <w:r>
        <w:t>+</w:t>
      </w:r>
      <w:r>
        <w:t xml:space="preserve"> </w:t>
      </w:r>
      <w:r>
        <w:t>selectivity of 12) in a mixture solution. This work provides a new avenue for the accurate construction of biomimetic ion‐sieving membranes and offers new insights into the mechanisms of high‐efficiency ion separation in sub‐nanoscale confined recognition channels.</w:t>
      </w:r>
    </w:p>
    <w:p>
      <w:pPr>
        <w:spacing w:before="120" w:after="120"/>
      </w:pPr>
      <w:r>
        <w:rPr>
          <w:sz w:val="18"/>
        </w:rPr>
        <w:t>——————————————————————————————————————————————————————————————————————</w:t>
      </w:r>
    </w:p>
    <w:p>
      <w:pPr>
        <w:spacing w:before="160" w:after="40" w:line="240" w:lineRule="auto"/>
      </w:pPr>
      <w:r>
        <w:rPr>
          <w:b/>
        </w:rPr>
        <w:t xml:space="preserve">[127] </w:t>
      </w:r>
      <w:hyperlink r:id="rId172">
        <w:r>
          <w:rPr>
            <w:color w:val="1155CC"/>
            <w:u w:val="single"/>
          </w:rPr>
          <w:t>通过MXene 激活电子转换层解锁MOF电极的高导电率</w:t>
        </w:r>
      </w:hyperlink>
    </w:p>
    <w:p>
      <w:pPr>
        <w:spacing w:before="0" w:after="80"/>
      </w:pPr>
      <w:r>
        <w:rPr>
          <w:i/>
          <w:sz w:val="20"/>
        </w:rPr>
        <w:t>EN: Unlocking Superior Conductivity in MOF Electrodes via a MXene‐Activated Electronic Inversion Layer</w:t>
      </w:r>
    </w:p>
    <w:p>
      <w:pPr>
        <w:spacing w:before="0" w:after="120"/>
      </w:pPr>
      <w:r>
        <w:rPr>
          <w:b/>
        </w:rPr>
        <w:t xml:space="preserve">Source: </w:t>
      </w:r>
      <w:r>
        <w:t>Wiley: Advanced Energy Materials: Table of Contents</w:t>
      </w:r>
      <w:r>
        <w:t xml:space="preserve">    </w:t>
      </w:r>
      <w:r>
        <w:rPr>
          <w:b/>
        </w:rPr>
        <w:t xml:space="preserve">Pub date: </w:t>
      </w:r>
      <w:r>
        <w:t>2026-02-02 07:31:52+00:00</w:t>
      </w:r>
      <w:r>
        <w:t xml:space="preserve">    </w:t>
      </w:r>
      <w:r>
        <w:rPr>
          <w:b/>
        </w:rPr>
        <w:t xml:space="preserve">DOI: </w:t>
      </w:r>
      <w:hyperlink r:id="rId173">
        <w:r>
          <w:rPr>
            <w:color w:val="1155CC"/>
            <w:u w:val="single"/>
          </w:rPr>
          <w:t>10.1002/aenm.70713</w:t>
        </w:r>
      </w:hyperlink>
    </w:p>
    <w:p>
      <w:pPr>
        <w:spacing w:before="0" w:after="120"/>
      </w:pPr>
      <w:r>
        <w:rPr>
          <w:b/>
        </w:rPr>
        <w:t xml:space="preserve">Notes: </w:t>
      </w:r>
      <w:r>
        <w:t>abstract_source=crossref</w:t>
      </w:r>
    </w:p>
    <w:p>
      <w:pPr>
        <w:spacing w:before="0" w:after="80" w:lineRule="auto" w:line="276"/>
      </w:pPr>
      <w:r>
        <w:rPr>
          <w:b/>
        </w:rPr>
        <w:t xml:space="preserve">摘要（ZH）: </w:t>
      </w:r>
      <w:r>
        <w:t>ABSTACT金属机体框架(MOFs)正在升升升,用于激光电池(LIBs)电极,然而,移动电池的低传导率很容易导致两极分化和活跃场地利用不善。在这里,建议采用创新的电子反转层(EIL)来指导MIL53(Fe)与Ti 3 C 2 T x的复合和界面设计,促使MIL53(Fe)的电导率从4.94×10-2 微克S/cm-10-2 微克S/cm提高到46.65 mS/cm(30 兆帕)。这一增强是由于Ti 3 C 2 启动的EIL的。</w:t>
      </w:r>
    </w:p>
    <w:p>
      <w:pPr>
        <w:spacing w:before="0" w:after="200" w:lineRule="auto" w:line="276"/>
      </w:pPr>
      <w:r>
        <w:rPr>
          <w:b/>
        </w:rPr>
        <w:t xml:space="preserve">Abstract (EN): </w:t>
      </w:r>
      <w:r>
        <w:t>Metal‐organic frameworks (MOFs) are rising stars for Li‐ion batteries (LIBs) electrodes. However, low conductivity of MOFs easily caused polarization and poor active site utilization. Here, an innovative electronic inversion layer (EIL) was proposed to guide the composite and interface design of MIL‐53(Fe) with Ti</w:t>
      </w:r>
      <w:r>
        <w:rPr>
          <w:vertAlign w:val="subscript"/>
        </w:rPr>
        <w:t>3</w:t>
      </w:r>
      <w:r>
        <w:t>C</w:t>
      </w:r>
      <w:r>
        <w:rPr>
          <w:vertAlign w:val="subscript"/>
        </w:rPr>
        <w:t>2</w:t>
      </w:r>
      <w:r>
        <w:t>T</w:t>
      </w:r>
      <w:r>
        <w:t xml:space="preserve"> </w:t>
      </w:r>
      <w:r>
        <w:t>x</w:t>
      </w:r>
      <w:r>
        <w:t xml:space="preserve"> </w:t>
      </w:r>
      <w:r>
        <w:t>, prompting a remarkable increase in the electrical conductivity of MIL‐53(Fe) from 4.94 × 10</w:t>
      </w:r>
      <w:r>
        <w:t xml:space="preserve"> </w:t>
      </w:r>
      <w:r>
        <w:t>−2</w:t>
      </w:r>
      <w:r>
        <w:t xml:space="preserve"> </w:t>
      </w:r>
      <w:r>
        <w:t>µS/cm to 46.65 mS/cm (30 MPa). This enhancement is attributed to the EIL activated by Ti</w:t>
      </w:r>
      <w:r>
        <w:rPr>
          <w:vertAlign w:val="subscript"/>
        </w:rPr>
        <w:t>3</w:t>
      </w:r>
      <w:r>
        <w:t>C</w:t>
      </w:r>
      <w:r>
        <w:rPr>
          <w:vertAlign w:val="subscript"/>
        </w:rPr>
        <w:t>2</w:t>
      </w:r>
      <w:r>
        <w:t>T</w:t>
      </w:r>
      <w:r>
        <w:t xml:space="preserve"> </w:t>
      </w:r>
      <w:r>
        <w:t>x</w:t>
      </w:r>
      <w:r>
        <w:t xml:space="preserve"> </w:t>
      </w:r>
      <w:r>
        <w:t>effectively shift the primary charge carriers from holes to high‐mobility electrons. Simultaneously, the localized EIL promoted the formation of a p–n junction and establishes a hole concentration gradient in MIL‐53(Fe)@Ti</w:t>
      </w:r>
      <w:r>
        <w:rPr>
          <w:vertAlign w:val="subscript"/>
        </w:rPr>
        <w:t>3</w:t>
      </w:r>
      <w:r>
        <w:t>C</w:t>
      </w:r>
      <w:r>
        <w:rPr>
          <w:vertAlign w:val="subscript"/>
        </w:rPr>
        <w:t>2</w:t>
      </w:r>
      <w:r>
        <w:t>T</w:t>
      </w:r>
      <w:r>
        <w:t xml:space="preserve"> </w:t>
      </w:r>
      <w:r>
        <w:t>x</w:t>
      </w:r>
      <w:r>
        <w:t xml:space="preserve"> </w:t>
      </w:r>
      <w:r>
        <w:t>, thereby accelerating lithium‐ion diffusion kinetics. Consequently, the MIL‐53(Fe)@Ti</w:t>
      </w:r>
      <w:r>
        <w:rPr>
          <w:vertAlign w:val="subscript"/>
        </w:rPr>
        <w:t>3</w:t>
      </w:r>
      <w:r>
        <w:t>C</w:t>
      </w:r>
      <w:r>
        <w:rPr>
          <w:vertAlign w:val="subscript"/>
        </w:rPr>
        <w:t>2</w:t>
      </w:r>
      <w:r>
        <w:t>T</w:t>
      </w:r>
      <w:r>
        <w:t xml:space="preserve"> </w:t>
      </w:r>
      <w:r>
        <w:t>x</w:t>
      </w:r>
      <w:r>
        <w:t xml:space="preserve"> </w:t>
      </w:r>
      <w:r>
        <w:t>delivered a superior capacity of 450.3 mAh/g at 1 A/g, and the possible retention of 94% capacity after 1000 cycles, exceeding those of the MIL‐53(Fe) and Ti</w:t>
      </w:r>
      <w:r>
        <w:rPr>
          <w:vertAlign w:val="subscript"/>
        </w:rPr>
        <w:t>3</w:t>
      </w:r>
      <w:r>
        <w:t>C</w:t>
      </w:r>
      <w:r>
        <w:rPr>
          <w:vertAlign w:val="subscript"/>
        </w:rPr>
        <w:t>2</w:t>
      </w:r>
      <w:r>
        <w:t>T</w:t>
      </w:r>
      <w:r>
        <w:t xml:space="preserve"> </w:t>
      </w:r>
      <w:r>
        <w:t>x</w:t>
      </w:r>
      <w:r>
        <w:t xml:space="preserve"> </w:t>
      </w:r>
      <w:r>
        <w:t>. This investigation into MXene‐activated EIL presents an innovative strategy and mechanism of universal significance for addressing the inherent conductivity challenges acted by a series of electrode materials, especially MOFs and COFs.</w:t>
      </w:r>
    </w:p>
    <w:p>
      <w:pPr>
        <w:spacing w:before="120" w:after="120"/>
      </w:pPr>
      <w:r>
        <w:rPr>
          <w:sz w:val="18"/>
        </w:rPr>
        <w:t>——————————————————————————————————————————————————————————————————————</w:t>
      </w:r>
    </w:p>
    <w:p>
      <w:pPr>
        <w:spacing w:before="160" w:after="40" w:line="240" w:lineRule="auto"/>
      </w:pPr>
      <w:r>
        <w:rPr>
          <w:b/>
        </w:rPr>
        <w:t xml:space="preserve">[128] </w:t>
      </w:r>
      <w:hyperlink r:id="rId174">
        <w:r>
          <w:rPr>
            <w:color w:val="1155CC"/>
            <w:u w:val="single"/>
          </w:rPr>
          <w:t>Axial Oxygen-加强Axial Oxygen-Anchanced Ferromatic 单电磁性单磁催化器在室内推进红氧化振动动力学的旋极化</w:t>
        </w:r>
      </w:hyperlink>
    </w:p>
    <w:p>
      <w:pPr>
        <w:spacing w:before="0" w:after="80"/>
      </w:pPr>
      <w:r>
        <w:rPr>
          <w:i/>
          <w:sz w:val="20"/>
        </w:rPr>
        <w:t>EN: Spin Polarization of Axial Oxygen‐Enhanced Ferromagnetic Single‐Atom Catalysts for Boosting Redox Kinetics in Room‐Temperature Sodium‐Sulfur Batteries</w:t>
      </w:r>
    </w:p>
    <w:p>
      <w:pPr>
        <w:spacing w:before="0" w:after="120"/>
      </w:pPr>
      <w:r>
        <w:rPr>
          <w:b/>
        </w:rPr>
        <w:t xml:space="preserve">Source: </w:t>
      </w:r>
      <w:r>
        <w:t>Wiley: Advanced Materials: Table of Contents</w:t>
      </w:r>
      <w:r>
        <w:t xml:space="preserve">    </w:t>
      </w:r>
      <w:r>
        <w:rPr>
          <w:b/>
        </w:rPr>
        <w:t xml:space="preserve">Pub date: </w:t>
      </w:r>
      <w:r>
        <w:t>2026-02-02 07:34:43+00:00</w:t>
      </w:r>
      <w:r>
        <w:t xml:space="preserve">    </w:t>
      </w:r>
      <w:r>
        <w:rPr>
          <w:b/>
        </w:rPr>
        <w:t xml:space="preserve">DOI: </w:t>
      </w:r>
      <w:hyperlink r:id="rId175">
        <w:r>
          <w:rPr>
            <w:color w:val="1155CC"/>
            <w:u w:val="single"/>
          </w:rPr>
          <w:t>10.1002/adma.202523074</w:t>
        </w:r>
      </w:hyperlink>
    </w:p>
    <w:p>
      <w:pPr>
        <w:spacing w:before="0" w:after="120"/>
      </w:pPr>
      <w:r>
        <w:rPr>
          <w:b/>
        </w:rPr>
        <w:t xml:space="preserve">Notes: </w:t>
      </w:r>
      <w:r>
        <w:t>abstract_source=crossref</w:t>
      </w:r>
    </w:p>
    <w:p>
      <w:pPr>
        <w:spacing w:before="0" w:after="80" w:lineRule="auto" w:line="276"/>
      </w:pPr>
      <w:r>
        <w:rPr>
          <w:b/>
        </w:rPr>
        <w:t xml:space="preserve">摘要（ZH）: </w:t>
      </w:r>
      <w:r>
        <w:t>ABSTACT 室温钠 — — 硫磺(RT Na-S)电池由于其高能量密度和低成本,是大规模能源储存的有希望的候选电池,因为其高能量密度和低成本,但它们的实际部署却受到低气压的硫磺重新氧化动能学和严重的聚硫化物阻塞的阻碍。 在此,在密度功能理论(DFT)计算的指导下,我们开发了一组轴氧协调的铁磁单原子催化剂(SACs ), 其螺旋极化强化以加速硫化转化。 在FEQ、CoQ和Ni°ACs中,CO-N 2O 3在理论上被确定为最有效的配置,以最优化的电子结构为最小的能量抵消(0 ) 。</w:t>
      </w:r>
    </w:p>
    <w:p>
      <w:pPr>
        <w:spacing w:before="0" w:after="200" w:lineRule="auto" w:line="276"/>
      </w:pPr>
      <w:r>
        <w:rPr>
          <w:b/>
        </w:rPr>
        <w:t xml:space="preserve">Abstract (EN): </w:t>
      </w:r>
      <w:r>
        <w:t>Room‐temperature sodium–sulfur (RT Na–S) batteries are promising candidates for large‐scale energy storage owing to their high energy density and low cost, yet their practical deployment is hindered by sluggish sulfur redox kinetics and severe polysulfide shuttling. Here, guided by density functional theory (DFT) calculations, we develop a class of axially oxygen‐coordinated ferromagnetic single‐atom catalysts (SACs) with enhanced spin polarization to accelerate sulfur conversion. Among Fe‐, Co‐, and Ni‐based SACs, Co–N</w:t>
      </w:r>
      <w:r>
        <w:rPr>
          <w:vertAlign w:val="subscript"/>
        </w:rPr>
        <w:t>2</w:t>
      </w:r>
      <w:r>
        <w:t>O</w:t>
      </w:r>
      <w:r>
        <w:rPr>
          <w:vertAlign w:val="subscript"/>
        </w:rPr>
        <w:t>3</w:t>
      </w:r>
      <w:r>
        <w:t>is theoretically identified as the most effective configuration, featuring an optimized electronic structure with a minimal energy offset (0.26 eV) between the Co</w:t>
      </w:r>
      <w:r>
        <w:t xml:space="preserve"> </w:t>
      </w:r>
      <w:r>
        <w:t>d</w:t>
      </w:r>
      <w:r>
        <w:t xml:space="preserve"> </w:t>
      </w:r>
      <w:r>
        <w:t>‐band and S p‐band centers, which facilitates Na</w:t>
      </w:r>
      <w:r>
        <w:t xml:space="preserve"> </w:t>
      </w:r>
      <w:r>
        <w:t>+</w:t>
      </w:r>
      <w:r>
        <w:t xml:space="preserve"> </w:t>
      </w:r>
      <w:r>
        <w:t>diffusion and lowers the activation barrier for polysulfide conversion. Experimentally, Co–N</w:t>
      </w:r>
      <w:r>
        <w:rPr>
          <w:vertAlign w:val="subscript"/>
        </w:rPr>
        <w:t>2</w:t>
      </w:r>
      <w:r>
        <w:t>O</w:t>
      </w:r>
      <w:r>
        <w:rPr>
          <w:vertAlign w:val="subscript"/>
        </w:rPr>
        <w:t>3</w:t>
      </w:r>
      <w:r>
        <w:t>atoms anchored on hollow mesoporous carbon spheres (Co–N</w:t>
      </w:r>
      <w:r>
        <w:rPr>
          <w:vertAlign w:val="subscript"/>
        </w:rPr>
        <w:t>2</w:t>
      </w:r>
      <w:r>
        <w:t>O</w:t>
      </w:r>
      <w:r>
        <w:rPr>
          <w:vertAlign w:val="subscript"/>
        </w:rPr>
        <w:t>3</w:t>
      </w:r>
      <w:r>
        <w:t>@MCS) exhibit outstanding catalytic activity as the sulfur host, achieving an ultrahigh rate capability (330.5 mAh g</w:t>
      </w:r>
      <w:r>
        <w:t xml:space="preserve"> </w:t>
      </w:r>
      <w:r>
        <w:t>−1</w:t>
      </w:r>
      <w:r>
        <w:t xml:space="preserve"> </w:t>
      </w:r>
      <w:r>
        <w:t>at 10 A g</w:t>
      </w:r>
      <w:r>
        <w:t xml:space="preserve"> </w:t>
      </w:r>
      <w:r>
        <w:t>−1</w:t>
      </w:r>
      <w:r>
        <w:t xml:space="preserve"> </w:t>
      </w:r>
      <w:r>
        <w:t>) and excellent durability over 600 cycles at 1 A g</w:t>
      </w:r>
      <w:r>
        <w:t xml:space="preserve"> </w:t>
      </w:r>
      <w:r>
        <w:t>−1</w:t>
      </w:r>
      <w:r>
        <w:t xml:space="preserve"> </w:t>
      </w:r>
      <w:r>
        <w:t>. In situ characterizations reveal that the enhanced ferromagnetism effectively suppresses polysulfide shuttling, underscoring the crucial role of coordination‐engineered spin polarization in boosting the redox kinetics of RT Na–S batteries.</w:t>
      </w:r>
    </w:p>
    <w:p>
      <w:pPr>
        <w:spacing w:before="120" w:after="120"/>
      </w:pPr>
      <w:r>
        <w:rPr>
          <w:sz w:val="18"/>
        </w:rPr>
        <w:t>——————————————————————————————————————————————————————————————————————</w:t>
      </w:r>
    </w:p>
    <w:p>
      <w:pPr>
        <w:spacing w:before="160" w:after="40" w:line="240" w:lineRule="auto"/>
      </w:pPr>
      <w:r>
        <w:rPr>
          <w:b/>
        </w:rPr>
        <w:t xml:space="preserve">[129] </w:t>
      </w:r>
      <w:hyperlink r:id="rId176">
        <w:r>
          <w:rPr>
            <w:color w:val="1155CC"/>
            <w:u w:val="single"/>
          </w:rPr>
          <w:t>利用微型生物-光轴-光轴为通过微生物群-光轴减少联合精神疾病而减少的热道综合精神紊乱而引发的热点目标火焰</w:t>
        </w:r>
      </w:hyperlink>
    </w:p>
    <w:p>
      <w:pPr>
        <w:spacing w:before="0" w:after="80"/>
      </w:pPr>
      <w:r>
        <w:rPr>
          <w:i/>
          <w:sz w:val="20"/>
        </w:rPr>
        <w:t>EN: Polysaccharide Engineered Nanozymes Target Inflammation for Alleviating Colitis‐Associated Mental Disorders via Microbiome‐Gut–Brain Axis</w:t>
      </w:r>
    </w:p>
    <w:p>
      <w:pPr>
        <w:spacing w:before="0" w:after="120"/>
      </w:pPr>
      <w:r>
        <w:rPr>
          <w:b/>
        </w:rPr>
        <w:t xml:space="preserve">Source: </w:t>
      </w:r>
      <w:r>
        <w:t>Wiley: Advanced Materials: Table of Contents</w:t>
      </w:r>
      <w:r>
        <w:t xml:space="preserve">    </w:t>
      </w:r>
      <w:r>
        <w:rPr>
          <w:b/>
        </w:rPr>
        <w:t xml:space="preserve">Pub date: </w:t>
      </w:r>
      <w:r>
        <w:t>2026-02-02 07:35:50+00:00</w:t>
      </w:r>
      <w:r>
        <w:t xml:space="preserve">    </w:t>
      </w:r>
      <w:r>
        <w:rPr>
          <w:b/>
        </w:rPr>
        <w:t xml:space="preserve">DOI: </w:t>
      </w:r>
      <w:hyperlink r:id="rId177">
        <w:r>
          <w:rPr>
            <w:color w:val="1155CC"/>
            <w:u w:val="single"/>
          </w:rPr>
          <w:t>10.1002/adma.202522010</w:t>
        </w:r>
      </w:hyperlink>
    </w:p>
    <w:p>
      <w:pPr>
        <w:spacing w:before="0" w:after="120"/>
      </w:pPr>
      <w:r>
        <w:rPr>
          <w:b/>
        </w:rPr>
        <w:t xml:space="preserve">Notes: </w:t>
      </w:r>
      <w:r>
        <w:t>abstract_source=crossref</w:t>
      </w:r>
    </w:p>
    <w:p>
      <w:pPr>
        <w:spacing w:before="0" w:after="80" w:lineRule="auto" w:line="276"/>
      </w:pPr>
      <w:r>
        <w:rPr>
          <w:b/>
        </w:rPr>
        <w:t xml:space="preserve">摘要（ZH）: </w:t>
      </w:r>
      <w:r>
        <w:t>为克服这一限制,采用了生物信息学方法来预测炎症和新陈代谢可能是Fucoidan的潜在目标。根据这一预测,我们开发了口服多沙热工程纳米酶,Fucoidan-cileum 纳米复合体(FucCences),它们能够通过静电互动、施用抗呼吸效应和同时调节从微生物中得出的直肠代谢。</w:t>
      </w:r>
    </w:p>
    <w:p>
      <w:pPr>
        <w:spacing w:before="0" w:after="200" w:lineRule="auto" w:line="276"/>
      </w:pPr>
      <w:r>
        <w:rPr>
          <w:b/>
        </w:rPr>
        <w:t xml:space="preserve">Abstract (EN): </w:t>
      </w:r>
      <w:r>
        <w:t>Molecular therapies for colitis‐associated mental disorders show limited efficacy because they usually focus on a single pathway and exhibit substantial off‐target toxicity toward healthy tissues. To tackle this limitation, bioinformatic approaches are employed to predict that inflammation and metabolism may be potential targets for Fucoidan. Guided by this prediction, we develop oral polysaccharide engineered nanozymes, Fucoidan‐cerium nanocomplexes (FucCeNCs), which are capable of targeting the inflamed colon through electrostatic interactions, exerting anti‐inflammatory effects, and concurrently regulating gut microbiota‐derived metabolism. In a murine model of ulcerative colitis‐associated mental disorders, FucCeNCs show anti‐inflammatory and gut barrier‐protective effects, thereby suppressing microglial/astrocytic overactivation and preserving neuronal integrity through the transmission of anti‐inflammatory cytokines via gut–brain axis. Importantly, FucCeNCs restore gut microbial homeostasis through increasing the relative abundance of probiotics and reducing proportions of pathogens. This shift results in a marked attenuation of abnormal amino acid biosynthesis and metabolism in fecal metabolites, which in turn leads to elevated levels of bioactive metabolites such as homovanillic acid and γ‐aminobutyric acid. These metabolites ultimately attenuate neuroinflammation via the microbiome‐gut–brain axis, ameliorating depression‐ and anxiety‐like behaviors. These results identify microbiome‐gut–brain axis as pivotal therapeutic target for colitis‐associated mental disorders therapy, which can be addressed by polysaccharide engineered nanozymes.</w:t>
      </w:r>
    </w:p>
    <w:p>
      <w:pPr>
        <w:spacing w:before="120" w:after="120"/>
      </w:pPr>
      <w:r>
        <w:rPr>
          <w:sz w:val="18"/>
        </w:rPr>
        <w:t>——————————————————————————————————————————————————————————————————————</w:t>
      </w:r>
    </w:p>
    <w:p>
      <w:pPr>
        <w:spacing w:before="160" w:after="40" w:line="240" w:lineRule="auto"/>
      </w:pPr>
      <w:r>
        <w:rPr>
          <w:b/>
        </w:rPr>
        <w:t xml:space="preserve">[130] </w:t>
      </w:r>
      <w:hyperlink r:id="rId178">
        <w:r>
          <w:rPr>
            <w:color w:val="1155CC"/>
            <w:u w:val="single"/>
          </w:rPr>
          <w:t>在PtPdRuFe纳米花节开通 PtPdRuFe 纳米花节能能高效喷雾酸氧化</w:t>
        </w:r>
      </w:hyperlink>
    </w:p>
    <w:p>
      <w:pPr>
        <w:spacing w:before="0" w:after="80"/>
      </w:pPr>
      <w:r>
        <w:rPr>
          <w:i/>
          <w:sz w:val="20"/>
        </w:rPr>
        <w:t>EN: Twinning Strain‐Induced Pathway Switching on PtPdRuFe Nanoflowers Enables Efficient Formic Acid Oxidation</w:t>
      </w:r>
    </w:p>
    <w:p>
      <w:pPr>
        <w:spacing w:before="0" w:after="120"/>
      </w:pPr>
      <w:r>
        <w:rPr>
          <w:b/>
        </w:rPr>
        <w:t xml:space="preserve">Source: </w:t>
      </w:r>
      <w:r>
        <w:t>Wiley: Advanced Materials: Table of Contents</w:t>
      </w:r>
      <w:r>
        <w:t xml:space="preserve">    </w:t>
      </w:r>
      <w:r>
        <w:rPr>
          <w:b/>
        </w:rPr>
        <w:t xml:space="preserve">Pub date: </w:t>
      </w:r>
      <w:r>
        <w:t>2026-02-02 07:36:45+00:00</w:t>
      </w:r>
      <w:r>
        <w:t xml:space="preserve">    </w:t>
      </w:r>
      <w:r>
        <w:rPr>
          <w:b/>
        </w:rPr>
        <w:t xml:space="preserve">DOI: </w:t>
      </w:r>
      <w:hyperlink r:id="rId179">
        <w:r>
          <w:rPr>
            <w:color w:val="1155CC"/>
            <w:u w:val="single"/>
          </w:rPr>
          <w:t>10.1002/adma.202523390</w:t>
        </w:r>
      </w:hyperlink>
    </w:p>
    <w:p>
      <w:pPr>
        <w:spacing w:before="0" w:after="120"/>
      </w:pPr>
      <w:r>
        <w:rPr>
          <w:b/>
        </w:rPr>
        <w:t xml:space="preserve">Notes: </w:t>
      </w:r>
      <w:r>
        <w:t>abstract_source=crossref</w:t>
      </w:r>
    </w:p>
    <w:p>
      <w:pPr>
        <w:spacing w:before="0" w:after="80" w:lineRule="auto" w:line="276"/>
      </w:pPr>
      <w:r>
        <w:rPr>
          <w:b/>
        </w:rPr>
        <w:t xml:space="preserve">摘要（ZH）: </w:t>
      </w:r>
      <w:r>
        <w:t>ABSTACT 控制丙酸氧化反应(FAOR)路径的挑战主要损害到直接的丙酸燃料电池(DFAFCs)的输出性能。 我们在此利用PtPdruFe纳米花(NNFs)的双边界工程(TBs)来故意引导粮农组织R,主要沿着非CO脱氢化路径。引入的肺结核诱发地方性抗拉菌株,有效地调节所有成分金属的 d 轨道电子结构,这对改变过渡状态中间体的形成至关重要。具体来说,HCOO* 的吸附性更强,而COO* 的吸附性更强。</w:t>
      </w:r>
    </w:p>
    <w:p>
      <w:pPr>
        <w:spacing w:before="0" w:after="200" w:lineRule="auto" w:line="276"/>
      </w:pPr>
      <w:r>
        <w:rPr>
          <w:b/>
        </w:rPr>
        <w:t xml:space="preserve">Abstract (EN): </w:t>
      </w:r>
      <w:r>
        <w:t>Challenges in regulating formic acid oxidation reaction (FAOR) pathways have primarily compromised the output performance of direct formic acid fuel cells (DFAFCs). Herein, we leverage twin boundaries (TBs) engineering in PtPdRuFe nanoflowers (NFs) to deliberately steer the FAOR predominantly along the non‐CO dehydrogenation pathway. The introduced TBs induce localized tensile strain, effectively modulating the</w:t>
      </w:r>
      <w:r>
        <w:t xml:space="preserve"> </w:t>
      </w:r>
      <w:r>
        <w:t>d</w:t>
      </w:r>
      <w:r>
        <w:t xml:space="preserve"> </w:t>
      </w:r>
      <w:r>
        <w:t>‐orbital electronic structure across all constituent metals, which is crucial for redirecting the formation of transition‐state intermediates. Specifically, a stronger adsorption affinity for HCOO</w:t>
      </w:r>
      <w:r>
        <w:t xml:space="preserve"> </w:t>
      </w:r>
      <w:r>
        <w:t>*</w:t>
      </w:r>
      <w:r>
        <w:t xml:space="preserve"> </w:t>
      </w:r>
      <w:r>
        <w:t>over COOH</w:t>
      </w:r>
      <w:r>
        <w:t xml:space="preserve"> </w:t>
      </w:r>
      <w:r>
        <w:t>*</w:t>
      </w:r>
      <w:r>
        <w:t xml:space="preserve"> </w:t>
      </w:r>
      <w:r>
        <w:t>on Pt and Fe sites is achieved, which reverses the situation that on the non‐twin PtPdRuFe counterpart and thereby preferentially prompts FAOR via a desirable dehydrogenation pathway. Concurrently, the conversion of CO</w:t>
      </w:r>
      <w:r>
        <w:t xml:space="preserve"> </w:t>
      </w:r>
      <w:r>
        <w:t>*</w:t>
      </w:r>
      <w:r>
        <w:t xml:space="preserve"> </w:t>
      </w:r>
      <w:r>
        <w:t>is also accelerated due to the enhanced adsorption of OH</w:t>
      </w:r>
      <w:r>
        <w:t xml:space="preserve"> </w:t>
      </w:r>
      <w:r>
        <w:t>*</w:t>
      </w:r>
      <w:r>
        <w:t xml:space="preserve"> </w:t>
      </w:r>
      <w:r>
        <w:t>on Ru/Fe sites, further eliminating the poisoning and deactivation issues induced by CO</w:t>
      </w:r>
      <w:r>
        <w:t xml:space="preserve"> </w:t>
      </w:r>
      <w:r>
        <w:t>*</w:t>
      </w:r>
      <w:r>
        <w:t xml:space="preserve"> </w:t>
      </w:r>
      <w:r>
        <w:t>. Profiting by these synergistic enhancements, the as‐fabricated twin‐PtPdRuFe NFs demonstrate markedly improved catalytic activity and durability, outperforming the non‐twin counterpart and benchmark Pt/C, enabling them to be among one of the best‐performing acid‐stable FAOR catalysts.</w:t>
      </w:r>
    </w:p>
    <w:p>
      <w:pPr>
        <w:spacing w:before="120" w:after="120"/>
      </w:pPr>
      <w:r>
        <w:rPr>
          <w:sz w:val="18"/>
        </w:rPr>
        <w:t>——————————————————————————————————————————————————————————————————————</w:t>
      </w:r>
    </w:p>
    <w:p>
      <w:pPr>
        <w:spacing w:before="160" w:after="40" w:line="240" w:lineRule="auto"/>
      </w:pPr>
      <w:r>
        <w:rPr>
          <w:b/>
        </w:rPr>
        <w:t xml:space="preserve">[131] </w:t>
      </w:r>
      <w:hyperlink r:id="rId180">
        <w:r>
          <w:rPr>
            <w:color w:val="1155CC"/>
            <w:u w:val="single"/>
          </w:rPr>
          <w:t>由 Sterateryed 辅助波子链链焊接促成的硅素合成总量</w:t>
        </w:r>
      </w:hyperlink>
    </w:p>
    <w:p>
      <w:pPr>
        <w:spacing w:before="0" w:after="80"/>
      </w:pPr>
      <w:r>
        <w:rPr>
          <w:i/>
          <w:sz w:val="20"/>
        </w:rPr>
        <w:t>EN: Total Synthesis of Limonoids Enabled by Sterically Assisted Boron Chain‐Walking</w:t>
      </w:r>
    </w:p>
    <w:p>
      <w:pPr>
        <w:spacing w:before="0" w:after="120"/>
      </w:pPr>
      <w:r>
        <w:rPr>
          <w:b/>
        </w:rPr>
        <w:t xml:space="preserve">Source: </w:t>
      </w:r>
      <w:r>
        <w:t>Wiley: Angewandte Chemie International Edition: Table of Contents</w:t>
      </w:r>
      <w:r>
        <w:t xml:space="preserve">    </w:t>
      </w:r>
      <w:r>
        <w:rPr>
          <w:b/>
        </w:rPr>
        <w:t xml:space="preserve">Pub date: </w:t>
      </w:r>
      <w:r>
        <w:t>2026-02-02 07:37:26+00:00</w:t>
      </w:r>
      <w:r>
        <w:t xml:space="preserve">    </w:t>
      </w:r>
      <w:r>
        <w:rPr>
          <w:b/>
        </w:rPr>
        <w:t xml:space="preserve">DOI: </w:t>
      </w:r>
      <w:hyperlink r:id="rId181">
        <w:r>
          <w:rPr>
            <w:color w:val="1155CC"/>
            <w:u w:val="single"/>
          </w:rPr>
          <w:t>10.1002/anie.202525970</w:t>
        </w:r>
      </w:hyperlink>
    </w:p>
    <w:p>
      <w:pPr>
        <w:spacing w:before="0" w:after="120"/>
      </w:pPr>
      <w:r>
        <w:rPr>
          <w:b/>
        </w:rPr>
        <w:t xml:space="preserve">Notes: </w:t>
      </w:r>
      <w:r>
        <w:t>abstract_source=crossref</w:t>
      </w:r>
    </w:p>
    <w:p>
      <w:pPr>
        <w:spacing w:before="0" w:after="80" w:lineRule="auto" w:line="276"/>
      </w:pPr>
      <w:r>
        <w:rPr>
          <w:b/>
        </w:rPr>
        <w:t xml:space="preserve">摘要（ZH）: </w:t>
      </w:r>
      <w:r>
        <w:t>ABSTACT 硅质在结构上是复杂的四北曲质,其生物活动多种多样,然而其合成的不可接触性却有限,详细的调查有限。在这里,我们报告了一项对应选择性战略,使得能够有效地接触完好的豪华轿车。我们的方法始于随时可得的Hajos-Parrish Ketone衍生物,并迅速组装目标人架的四环核心。 这条路线的核心是一部具有新颖意义的有空间辅助的氢脱氧/圆链条/氧化协议,它实现了在高度再生和立体凝聚聚多环形剑桥内具有挑战性的后阶段C-H液分解作用。</w:t>
      </w:r>
    </w:p>
    <w:p>
      <w:pPr>
        <w:spacing w:before="0" w:after="200" w:lineRule="auto" w:line="276"/>
      </w:pPr>
      <w:r>
        <w:rPr>
          <w:b/>
        </w:rPr>
        <w:t xml:space="preserve">Abstract (EN): </w:t>
      </w:r>
      <w:r>
        <w:t>Limonoids are architecturally complex tetranortriterpenoids with diverse biological activities, yet their synthetic inaccessibility has limited detailed investigations. Here, we report an enantioselective strategy that enables efficient access to intact limonoids. Our approach begins with a readily available Hajos–Parrish ketone derivative and rapidly assembles the tetracyclic core of the target scaffold. Central to this route is a novel sterically assisted hydroboration/boron chain‐walking/oxidation protocol, which achieves a challenging late‐stage remote C–H hydroxylation in a highly regio‐ and stereoselective manner within sterically congested polycyclic scaffolds. This strategy has enabled the total syntheses of (+)‐azadiradione and (−)‐7‐desacetyl‐7‐benzoylazadiradione. These studies provide a unified entry to multiple limonoid families and establish a broadly applicable solution for site‐selective late‐stage functionalization in complex natural product frameworks.</w:t>
      </w:r>
    </w:p>
    <w:p>
      <w:pPr>
        <w:spacing w:before="120" w:after="120"/>
      </w:pPr>
      <w:r>
        <w:rPr>
          <w:sz w:val="18"/>
        </w:rPr>
        <w:t>——————————————————————————————————————————————————————————————————————</w:t>
      </w:r>
    </w:p>
    <w:p>
      <w:pPr>
        <w:spacing w:before="160" w:after="40" w:line="240" w:lineRule="auto"/>
      </w:pPr>
      <w:r>
        <w:rPr>
          <w:b/>
        </w:rPr>
        <w:t xml:space="preserve">[132] </w:t>
      </w:r>
      <w:hyperlink r:id="rId182">
        <w:r>
          <w:rPr>
            <w:color w:val="1155CC"/>
            <w:u w:val="single"/>
          </w:rPr>
          <w:t>提高抗原免疫性和防治癌症的克隆多样性</w:t>
        </w:r>
      </w:hyperlink>
    </w:p>
    <w:p>
      <w:pPr>
        <w:spacing w:before="0" w:after="80"/>
      </w:pPr>
      <w:r>
        <w:rPr>
          <w:i/>
          <w:sz w:val="20"/>
        </w:rPr>
        <w:t>EN: An Antigen‐Capturing Nanoparticle Harnesses the Protein Corona to Enhance Antigenic Immunogenicity and Clonal Diversity against Cancer</w:t>
      </w:r>
    </w:p>
    <w:p>
      <w:pPr>
        <w:spacing w:before="0" w:after="120"/>
      </w:pPr>
      <w:r>
        <w:rPr>
          <w:b/>
        </w:rPr>
        <w:t xml:space="preserve">Source: </w:t>
      </w:r>
      <w:r>
        <w:t>Wiley: Advanced Materials: Table of Contents</w:t>
      </w:r>
      <w:r>
        <w:t xml:space="preserve">    </w:t>
      </w:r>
      <w:r>
        <w:rPr>
          <w:b/>
        </w:rPr>
        <w:t xml:space="preserve">Pub date: </w:t>
      </w:r>
      <w:r>
        <w:t>2026-02-02 07:37:28+00:00</w:t>
      </w:r>
      <w:r>
        <w:t xml:space="preserve">    </w:t>
      </w:r>
      <w:r>
        <w:rPr>
          <w:b/>
        </w:rPr>
        <w:t xml:space="preserve">DOI: </w:t>
      </w:r>
      <w:hyperlink r:id="rId183">
        <w:r>
          <w:rPr>
            <w:color w:val="1155CC"/>
            <w:u w:val="single"/>
          </w:rPr>
          <w:t>10.1002/adma.202519037</w:t>
        </w:r>
      </w:hyperlink>
    </w:p>
    <w:p>
      <w:pPr>
        <w:spacing w:before="0" w:after="120"/>
      </w:pPr>
      <w:r>
        <w:rPr>
          <w:b/>
        </w:rPr>
        <w:t xml:space="preserve">Notes: </w:t>
      </w:r>
      <w:r>
        <w:t>abstract_source=crossref</w:t>
      </w:r>
    </w:p>
    <w:p>
      <w:pPr>
        <w:spacing w:before="0" w:after="80" w:lineRule="auto" w:line="276"/>
      </w:pPr>
      <w:r>
        <w:rPr>
          <w:b/>
        </w:rPr>
        <w:t xml:space="preserve">摘要（ZH）: </w:t>
      </w:r>
      <w:r>
        <w:t>ABSTACT 新抗原疫苗往往受到内/内住院性异诱性以及劳动密集型生产的限制。 平衡个性和普遍性仍然具有挑战性。 虽然纳米粒子上形成的蛋白冠状蛋白质长期以来一直被视为一个有害因素,但可以通过战略手段加以利用,以适应个人独特的抗原景观。 在这里,我们引入了一种“依赖抗生素抗生素(BAIT ) ” ( BAIT ) ( BAIT ) ( ) ( ) ( ) ( ) ( ) ( ) ( ) ( ) ( ) ( ) ( ) ( ) ( ) ( ) ( ) ( ) ( ) ( ) ( ) ( ) ( ) ( ) ( ) ( ) ( ) ( ) ( ) ( ) ( ) ( ) ( ) ( ) ( ) ( ) ( ) ( ) ( ) ( ) ( ) ( ) ( ) ( ) ( ) ( ) ( ) ( ) ( ) ( ) ( ) ( )</w:t>
      </w:r>
    </w:p>
    <w:p>
      <w:pPr>
        <w:spacing w:before="0" w:after="200" w:lineRule="auto" w:line="276"/>
      </w:pPr>
      <w:r>
        <w:rPr>
          <w:b/>
        </w:rPr>
        <w:t xml:space="preserve">Abstract (EN): </w:t>
      </w:r>
      <w:r>
        <w:t>Neoantigen vaccines are often limited by inter/intra‐patient heterogenicity as well as labor‐intensive production. Balancing personalization and universality remains challenging. While the protein corona that forms on nanoparticles has long been viewed as a detrimental factor, it can be strategically harnessed to align with an individual's unique antigenic landscape. Here, we introduce a “BET‐dependent Antigen‐capturing ImmunoTransmitter (BAIT)” as an in situ nanovaccine to expand the antigenic breadth and clonal diversity of antitumor immunity. By synthesizing a series of metal–organic frameworks with tunable defect concentrations and pore densities, we find that the antigen‐capturing capacity is positively correlated with the BET surface area. BAIT keeps “Off” in vivo but turns “On” in the acidic tumor microenvironment, where it spontaneously creates an active antigen corona for uptake and cross‐presentation by type‐I conventional dendritic cells (cDC1s), increasing both availability and immunogenicity of endogenous antigens. Consequently, BAIT elicits broad‐spectrum T cell responses against tumor heterogenicity. Depletion of cDC1s in</w:t>
      </w:r>
      <w:r>
        <w:t xml:space="preserve"> </w:t>
      </w:r>
      <w:r>
        <w:t>Batf3</w:t>
      </w:r>
      <w:r>
        <w:t xml:space="preserve"> </w:t>
      </w:r>
      <w:r>
        <w:t>−/−</w:t>
      </w:r>
      <w:r>
        <w:t xml:space="preserve"> </w:t>
      </w:r>
      <w:r>
        <w:t>mice abolishes its effect. BAIT further synergizes with treatments that increase local tumor antigen load, such as chemotherapy and radiotherapy, to eradicate cold tumors and prevent recurrence. Its feasibility is validated in human patient samples.</w:t>
      </w:r>
    </w:p>
    <w:p>
      <w:pPr>
        <w:spacing w:before="120" w:after="120"/>
      </w:pPr>
      <w:r>
        <w:rPr>
          <w:sz w:val="18"/>
        </w:rPr>
        <w:t>——————————————————————————————————————————————————————————————————————</w:t>
      </w:r>
    </w:p>
    <w:p>
      <w:pPr>
        <w:spacing w:before="160" w:after="40" w:line="240" w:lineRule="auto"/>
      </w:pPr>
      <w:r>
        <w:rPr>
          <w:b/>
        </w:rPr>
        <w:t xml:space="preserve">[133] </w:t>
      </w:r>
      <w:hyperlink r:id="rId184">
        <w:r>
          <w:rPr>
            <w:color w:val="1155CC"/>
            <w:u w:val="single"/>
          </w:rPr>
          <w:t>为同时增强水晶和稳定而在COF中管理电流和电流超模分子相互作用</w:t>
        </w:r>
      </w:hyperlink>
    </w:p>
    <w:p>
      <w:pPr>
        <w:spacing w:before="0" w:after="80"/>
      </w:pPr>
      <w:r>
        <w:rPr>
          <w:i/>
          <w:sz w:val="20"/>
        </w:rPr>
        <w:t>EN: Regulating Both In‐Plane and Out‐Of‐Plane Supramolecular Interactions in COFs for Simultaneously Enhanced Crystallinity and Stability</w:t>
      </w:r>
    </w:p>
    <w:p>
      <w:pPr>
        <w:spacing w:before="0" w:after="120"/>
      </w:pPr>
      <w:r>
        <w:rPr>
          <w:b/>
        </w:rPr>
        <w:t xml:space="preserve">Source: </w:t>
      </w:r>
      <w:r>
        <w:t>Wiley: Angewandte Chemie International Edition: Table of Contents</w:t>
      </w:r>
      <w:r>
        <w:t xml:space="preserve">    </w:t>
      </w:r>
      <w:r>
        <w:rPr>
          <w:b/>
        </w:rPr>
        <w:t xml:space="preserve">Pub date: </w:t>
      </w:r>
      <w:r>
        <w:t>2026-02-02 07:38:16+00:00</w:t>
      </w:r>
      <w:r>
        <w:t xml:space="preserve">    </w:t>
      </w:r>
      <w:r>
        <w:rPr>
          <w:b/>
        </w:rPr>
        <w:t xml:space="preserve">DOI: </w:t>
      </w:r>
      <w:hyperlink r:id="rId185">
        <w:r>
          <w:rPr>
            <w:color w:val="1155CC"/>
            <w:u w:val="single"/>
          </w:rPr>
          <w:t>10.1002/anie.202525223</w:t>
        </w:r>
      </w:hyperlink>
    </w:p>
    <w:p>
      <w:pPr>
        <w:spacing w:before="0" w:after="120"/>
      </w:pPr>
      <w:r>
        <w:rPr>
          <w:b/>
        </w:rPr>
        <w:t xml:space="preserve">Notes: </w:t>
      </w:r>
      <w:r>
        <w:t>abstract_source=crossref</w:t>
      </w:r>
    </w:p>
    <w:p>
      <w:pPr>
        <w:spacing w:before="0" w:after="80" w:lineRule="auto" w:line="276"/>
      </w:pPr>
      <w:r>
        <w:rPr>
          <w:b/>
        </w:rPr>
        <w:t xml:space="preserve">摘要（ZH）: </w:t>
      </w:r>
      <w:r>
        <w:t>由于要求在恶劣条件下高性能地应用共价有机框架(COF),因此需要达到突出的晶体性和高度稳定性,而这两个特性需要相互矛盾的结构特征,因此具有同时实现的挑战性。我们在此报告一个多层面的超分子方法,通过利用机内和飞机外的相互作用来操纵共价框架的晶体性和稳定性,而应用的性能则大大增强。在连接中引入三重氢联结,增强了在飞机上的僵硬性和规划性,同时将电镀热解解器嵌入链接器中,从而缓解了在飞机上和飞机外的电磁反作用。</w:t>
      </w:r>
    </w:p>
    <w:p>
      <w:pPr>
        <w:spacing w:before="0" w:after="200" w:lineRule="auto" w:line="276"/>
      </w:pPr>
      <w:r>
        <w:rPr>
          <w:b/>
        </w:rPr>
        <w:t xml:space="preserve">Abstract (EN): </w:t>
      </w:r>
      <w:r>
        <w:t>The demand for high‐performance applications of covalent organic frameworks (COFs) under harsh conditions drives the need for reaching both outstanding crystallinity and high stability, while these two properties necessitate contradictory structural features and are thus challenging to achieve simultaneously. We herein report a multidimensional supramolecular approach to manipulating both crystallinity and stability of COFs by harnessing in‐plane and out‐of‐plane interactions with greatly enhanced performance in applications. The introduction of triple three‐center hydrogen bonds into the linkage enhances in‐plane local rigidity and planarity, while embedding electron‐withdrawing heteroatoms into the linker mitigates out‐of‐plane electrostatic repulsion. The integration of the two structural features into a single COF results in profoundly enhanced interlayer π‐π stacking interactions, ultimately providing considerably higher crystallinity and stability than those of control COFs, as well as significantly improved performance under harsh conditions, as exemplified by palladium separation from simulated high‐level liquid waste. This work establishes a hybrid supramolecular approach to improving both crystallinity and stability of COFs toward prominent applications.</w:t>
      </w:r>
    </w:p>
    <w:p>
      <w:pPr>
        <w:spacing w:before="120" w:after="120"/>
      </w:pPr>
      <w:r>
        <w:rPr>
          <w:sz w:val="18"/>
        </w:rPr>
        <w:t>——————————————————————————————————————————————————————————————————————</w:t>
      </w:r>
    </w:p>
    <w:p>
      <w:pPr>
        <w:spacing w:before="160" w:after="40" w:line="240" w:lineRule="auto"/>
      </w:pPr>
      <w:r>
        <w:rPr>
          <w:b/>
        </w:rPr>
        <w:t xml:space="preserve">[134] </w:t>
      </w:r>
      <w:hyperlink r:id="rId186">
        <w:r>
          <w:rPr>
            <w:color w:val="1155CC"/>
            <w:u w:val="single"/>
          </w:rPr>
          <w:t>可再循环的化学 聚乙烯同类材料</w:t>
        </w:r>
      </w:hyperlink>
    </w:p>
    <w:p>
      <w:pPr>
        <w:spacing w:before="0" w:after="80"/>
      </w:pPr>
      <w:r>
        <w:rPr>
          <w:i/>
          <w:sz w:val="20"/>
        </w:rPr>
        <w:t>EN: Mechanically Triggered Chemical Recyclable Polyethylene‐Like Materials</w:t>
      </w:r>
    </w:p>
    <w:p>
      <w:pPr>
        <w:spacing w:before="0" w:after="120"/>
      </w:pPr>
      <w:r>
        <w:rPr>
          <w:b/>
        </w:rPr>
        <w:t xml:space="preserve">Source: </w:t>
      </w:r>
      <w:r>
        <w:t>Wiley: Angewandte Chemie International Edition: Table of Contents</w:t>
      </w:r>
      <w:r>
        <w:t xml:space="preserve">    </w:t>
      </w:r>
      <w:r>
        <w:rPr>
          <w:b/>
        </w:rPr>
        <w:t xml:space="preserve">Pub date: </w:t>
      </w:r>
      <w:r>
        <w:t>2026-02-02 07:38:56+00:00</w:t>
      </w:r>
      <w:r>
        <w:t xml:space="preserve">    </w:t>
      </w:r>
      <w:r>
        <w:rPr>
          <w:b/>
        </w:rPr>
        <w:t xml:space="preserve">DOI: </w:t>
      </w:r>
      <w:hyperlink r:id="rId187">
        <w:r>
          <w:rPr>
            <w:color w:val="1155CC"/>
            <w:u w:val="single"/>
          </w:rPr>
          <w:t>10.1002/anie.202522618</w:t>
        </w:r>
      </w:hyperlink>
    </w:p>
    <w:p>
      <w:pPr>
        <w:spacing w:before="0" w:after="120"/>
      </w:pPr>
      <w:r>
        <w:rPr>
          <w:b/>
        </w:rPr>
        <w:t xml:space="preserve">Notes: </w:t>
      </w:r>
      <w:r>
        <w:t>abstract_source=crossref</w:t>
      </w:r>
    </w:p>
    <w:p>
      <w:pPr>
        <w:spacing w:before="0" w:after="80" w:lineRule="auto" w:line="276"/>
      </w:pPr>
      <w:r>
        <w:rPr>
          <w:b/>
        </w:rPr>
        <w:t xml:space="preserve">摘要（ZH）: </w:t>
      </w:r>
      <w:r>
        <w:t>ABSTACT 聚乙烯(PE) 材料由于其特殊的热、机械和化学弹性,对现代基础设施是不可或缺的;然而,使这些材料具有耐久性的特性也使这些材料在环境上具有持久性,并且无法通过常规手段回收,这构成了一个关键的可持续性挑战;我们在此报告,一个机械化学触发的、化学再循环的PE类系统,使交叉相连聚乙烯(XLPE)的闭锁循环利用得以进行;通过对乙烯与环丁烯酯(CBE)共聚物、具有金枪鱼特性的极地PE类材料进行分子化协调协调,在极性抑制剂出现的情况下,经过最佳机械激活后,CBE单元即开始运行。</w:t>
      </w:r>
    </w:p>
    <w:p>
      <w:pPr>
        <w:spacing w:before="0" w:after="200" w:lineRule="auto" w:line="276"/>
      </w:pPr>
      <w:r>
        <w:rPr>
          <w:b/>
        </w:rPr>
        <w:t xml:space="preserve">Abstract (EN): </w:t>
      </w:r>
      <w:r>
        <w:t>Polyethylene (PE) materials are indispensable to modern infrastructure due to their exceptional thermal, mechanical, and chemical resilience. However, the same properties that make these materials durable also render them environmentally persistent and unrecyclable by conventional means, posing a critical sustainability challenge. Here, we report a mechanochemically triggered, chemically recyclable PE‐like system that enables the closed‐loop recycling of cross‐linked polyethylene (XLPE). Through palladium‐catalyzed coordination copolymerization of ethylene with the cyclobutene‐fused ester (CBE) comonomer, polar PE‐like materials with tunable properties are achieved. Upon optimal mechanical activation in the presence of a radical inhibitor, the CBE units undergo ring opening, installing ester linkages into the polymer backbone. Notably, the high crystallinity of copolymers with low CBE content enables ball‐milling to achieve activation efficiency comparable to cryo‐milling. Subsequent ethanolysis of ester linkages cleanly converts the initial copolymer into multifunctional oligomers, which can be repolymerized after hydrogenation via transesterification to yield a recyclable XLPE with properties comparable to a commercial analogue. This work demonstrates a robust platform for reconciling the durability and recyclability of polyethylene, offering a transformative route toward sustainable polyolefins.</w:t>
      </w:r>
    </w:p>
    <w:p>
      <w:pPr>
        <w:spacing w:before="120" w:after="120"/>
      </w:pPr>
      <w:r>
        <w:rPr>
          <w:sz w:val="18"/>
        </w:rPr>
        <w:t>——————————————————————————————————————————————————————————————————————</w:t>
      </w:r>
    </w:p>
    <w:p>
      <w:pPr>
        <w:spacing w:before="160" w:after="40" w:line="240" w:lineRule="auto"/>
      </w:pPr>
      <w:r>
        <w:rPr>
          <w:b/>
        </w:rPr>
        <w:t xml:space="preserve">[135] </w:t>
      </w:r>
      <w:hyperlink r:id="rId188">
        <w:r>
          <w:rPr>
            <w:color w:val="1155CC"/>
            <w:u w:val="single"/>
          </w:rPr>
          <w:t>增强的 Ru-Mo 电桥,作为Anion 交换薄膜电解的有效电动催化器</w:t>
        </w:r>
      </w:hyperlink>
    </w:p>
    <w:p>
      <w:pPr>
        <w:spacing w:before="0" w:after="80"/>
      </w:pPr>
      <w:r>
        <w:rPr>
          <w:i/>
          <w:sz w:val="20"/>
        </w:rPr>
        <w:t>EN: Boron Vacancy Enhanced Ru─Mo Electron Bridge as an Efficient Electrocatalyst for Anion Exchange Membrane Electrolysis</w:t>
      </w:r>
    </w:p>
    <w:p>
      <w:pPr>
        <w:spacing w:before="0" w:after="120"/>
      </w:pPr>
      <w:r>
        <w:rPr>
          <w:b/>
        </w:rPr>
        <w:t xml:space="preserve">Source: </w:t>
      </w:r>
      <w:r>
        <w:t>Wiley: Advanced Materials: Table of Contents</w:t>
      </w:r>
      <w:r>
        <w:t xml:space="preserve">    </w:t>
      </w:r>
      <w:r>
        <w:rPr>
          <w:b/>
        </w:rPr>
        <w:t xml:space="preserve">Pub date: </w:t>
      </w:r>
      <w:r>
        <w:t>2026-02-02 07:42:34+00:00</w:t>
      </w:r>
      <w:r>
        <w:t xml:space="preserve">    </w:t>
      </w:r>
      <w:r>
        <w:rPr>
          <w:b/>
        </w:rPr>
        <w:t xml:space="preserve">DOI: </w:t>
      </w:r>
      <w:hyperlink r:id="rId189">
        <w:r>
          <w:rPr>
            <w:color w:val="1155CC"/>
            <w:u w:val="single"/>
          </w:rPr>
          <w:t>10.1002/adma.202523202</w:t>
        </w:r>
      </w:hyperlink>
    </w:p>
    <w:p>
      <w:pPr>
        <w:spacing w:before="0" w:after="120"/>
      </w:pPr>
      <w:r>
        <w:rPr>
          <w:b/>
        </w:rPr>
        <w:t xml:space="preserve">Notes: </w:t>
      </w:r>
      <w:r>
        <w:t>abstract_source=crossref</w:t>
      </w:r>
    </w:p>
    <w:p>
      <w:pPr>
        <w:spacing w:before="0" w:after="80" w:lineRule="auto" w:line="276"/>
      </w:pPr>
      <w:r>
        <w:rPr>
          <w:b/>
        </w:rPr>
        <w:t xml:space="preserve">摘要（ZH）: </w:t>
      </w:r>
      <w:r>
        <w:t>ABSTACT 混合电动催化器结合高贵金属并配有定制支持,对于在广泛的pH范围内高效氢进化反应(HER)至关重要。在这里,我们报告一个基于以高效率的HER制造的空缺(Ru/MOBBV V)为制造的空缺(Ru/MOBBV)为支撑的基支持的聚催化剂催化剂催化剂。引入的空缺通过Ru-mo电子桥优化了基和鲁基聚之间的电子互动,从而导致增强催化性性能和稳定性。联合电化学分析和密度功能理论计算表明,Ru/MoBüBV拥有一种有利的水分能和最佳脱索型水力。</w:t>
      </w:r>
    </w:p>
    <w:p>
      <w:pPr>
        <w:spacing w:before="0" w:after="200" w:lineRule="auto" w:line="276"/>
      </w:pPr>
      <w:r>
        <w:rPr>
          <w:b/>
        </w:rPr>
        <w:t xml:space="preserve">Abstract (EN): </w:t>
      </w:r>
      <w:r>
        <w:t>Hybrid electrocatalysts combining noble metals with tailored supports are crucial for efficient hydrogen evolution reaction (HER) across a wide pH range. Here, we report a ruthenium cluster catalyst anchored on molybdenum boride support engineered with boron vacancies (Ru/MoB‐B</w:t>
      </w:r>
      <w:r>
        <w:t xml:space="preserve"> </w:t>
      </w:r>
      <w:r>
        <w:t>V</w:t>
      </w:r>
      <w:r>
        <w:t xml:space="preserve"> </w:t>
      </w:r>
      <w:r>
        <w:t>) for highly efficient HER. The introduced boron vacancies optimize the electronic interactions between molybdenum boride and the Ru cluster via a Ru─Mo electron bridge, leading to enhanced catalytic performance and stability. Combined electrochemical analysis and density functional theory calculations reveal that Ru/MoB‐B</w:t>
      </w:r>
      <w:r>
        <w:t xml:space="preserve"> </w:t>
      </w:r>
      <w:r>
        <w:t>V</w:t>
      </w:r>
      <w:r>
        <w:t xml:space="preserve"> </w:t>
      </w:r>
      <w:r>
        <w:t>possesses a favorable water‐dissociation energy and optimal desorption energies for hydrogen/hydroxide intermediates on Ru clusters. These merits confer exceptional HER performance, with overpotentials of 40 and 34 mV at 10 mA cm</w:t>
      </w:r>
      <w:r>
        <w:t xml:space="preserve"> </w:t>
      </w:r>
      <w:r>
        <w:t>−2</w:t>
      </w:r>
      <w:r>
        <w:t xml:space="preserve"> </w:t>
      </w:r>
      <w:r>
        <w:t>in alkaline freshwater and seawater, respectively; 24 mV in acidic electrolyte; and 67 mV in neutral electrolyte. Importantly, the activated Ru and Mo sites enable an anion exchange membrane electrolyzer employing Ru/MoB‐B</w:t>
      </w:r>
      <w:r>
        <w:t xml:space="preserve"> </w:t>
      </w:r>
      <w:r>
        <w:t>V</w:t>
      </w:r>
      <w:r>
        <w:t xml:space="preserve"> </w:t>
      </w:r>
      <w:r>
        <w:t>as the cathode to exhibit remarkable stability, operating for 100 h at 500 mA cm</w:t>
      </w:r>
      <w:r>
        <w:t xml:space="preserve"> </w:t>
      </w:r>
      <w:r>
        <w:t>−2</w:t>
      </w:r>
      <w:r>
        <w:t xml:space="preserve"> </w:t>
      </w:r>
      <w:r>
        <w:t>. This work provides insights into the design of highly efficient and stable catalysts through the precise engineering of surface vacancies.</w:t>
      </w:r>
    </w:p>
    <w:p>
      <w:pPr>
        <w:spacing w:before="120" w:after="120"/>
      </w:pPr>
      <w:r>
        <w:rPr>
          <w:sz w:val="18"/>
        </w:rPr>
        <w:t>——————————————————————————————————————————————————————————————————————</w:t>
      </w:r>
    </w:p>
    <w:p>
      <w:pPr>
        <w:spacing w:before="160" w:after="40" w:line="240" w:lineRule="auto"/>
      </w:pPr>
      <w:r>
        <w:rPr>
          <w:b/>
        </w:rPr>
        <w:t xml:space="preserve">[136] </w:t>
      </w:r>
      <w:hyperlink r:id="rId190">
        <w:r>
          <w:rPr>
            <w:color w:val="1155CC"/>
            <w:u w:val="single"/>
          </w:rPr>
          <w:t>单色磷单色相同同质同质有机太阳能电池:通向简单化和效率的途径</w:t>
        </w:r>
      </w:hyperlink>
    </w:p>
    <w:p>
      <w:pPr>
        <w:spacing w:before="0" w:after="80"/>
      </w:pPr>
      <w:r>
        <w:rPr>
          <w:i/>
          <w:sz w:val="20"/>
        </w:rPr>
        <w:t>EN: Single‐Chromophore Homojunction Organic Solar Cells: A Path to Simplicity and Efficiency</w:t>
      </w:r>
    </w:p>
    <w:p>
      <w:pPr>
        <w:spacing w:before="0" w:after="120"/>
      </w:pPr>
      <w:r>
        <w:rPr>
          <w:b/>
        </w:rPr>
        <w:t xml:space="preserve">Source: </w:t>
      </w:r>
      <w:r>
        <w:t>Wiley: Advanced Materials: Table of Contents</w:t>
      </w:r>
      <w:r>
        <w:t xml:space="preserve">    </w:t>
      </w:r>
      <w:r>
        <w:rPr>
          <w:b/>
        </w:rPr>
        <w:t xml:space="preserve">Pub date: </w:t>
      </w:r>
      <w:r>
        <w:t>2026-02-02 07:42:36+00:00</w:t>
      </w:r>
      <w:r>
        <w:t xml:space="preserve">    </w:t>
      </w:r>
      <w:r>
        <w:rPr>
          <w:b/>
        </w:rPr>
        <w:t xml:space="preserve">DOI: </w:t>
      </w:r>
      <w:hyperlink r:id="rId191">
        <w:r>
          <w:rPr>
            <w:color w:val="1155CC"/>
            <w:u w:val="single"/>
          </w:rPr>
          <w:t>10.1002/adma.202519358</w:t>
        </w:r>
      </w:hyperlink>
    </w:p>
    <w:p>
      <w:pPr>
        <w:spacing w:before="0" w:after="120"/>
      </w:pPr>
      <w:r>
        <w:rPr>
          <w:b/>
        </w:rPr>
        <w:t xml:space="preserve">Notes: </w:t>
      </w:r>
      <w:r>
        <w:t>abstract_source=crossref</w:t>
      </w:r>
    </w:p>
    <w:p>
      <w:pPr>
        <w:spacing w:before="0" w:after="80" w:lineRule="auto" w:line="276"/>
      </w:pPr>
      <w:r>
        <w:rPr>
          <w:b/>
        </w:rPr>
        <w:t xml:space="preserve">摘要（ZH）: </w:t>
      </w:r>
      <w:r>
        <w:t>单色相色谱有机太阳能电池(SCH OSC)的性能最近有所进步,开始质疑普遍的看法,即高效的有机太阳能电池(SCH OSC)的性能总是需要散装异相光阻光层,尽管其效率仍然落后于最佳的多构件装置。这些同色相装置依靠由单一铬相光谱材料组成的胶片来发挥所有关键光伏功能:光吸收、异子分解和电荷运输。这些进步是通过将新的材料设计和控制胶片结构和装置结构相结合而取得的。这种观点概述了SCH光相光谱层的演进和工作原则,包括拟议的基于间能和自发网的机制。</w:t>
      </w:r>
    </w:p>
    <w:p>
      <w:pPr>
        <w:spacing w:before="0" w:after="200" w:lineRule="auto" w:line="276"/>
      </w:pPr>
      <w:r>
        <w:rPr>
          <w:b/>
        </w:rPr>
        <w:t xml:space="preserve">Abstract (EN): </w:t>
      </w:r>
      <w:r>
        <w:t>Recent advances in single‐chromophore homojunction organic solar cell (SCH OSC) performance begin to challenge the prevailing notion that efficient OSCs will always require a bulk heterojunction light‐absorbing layer, although their efficiencies still lag behind the best multicomponent devices. These homojunction devices rely on films composed of a single chromophore material to perform all the key photovoltaic functions: light absorption, exciton dissociation, and charge transport. The advances have been made through a combination of new materials design and control of the film structure and device architecture. This perspective outlines the evolution and working principles of SCH OSCs, including proposed mechanisms based on interfacial energetics and spontaneous charge separation. Drawing from recent examples of high‐efficiency SCH OSCs, we highlight opportunities for further improvement through molecular engineering, morphology control, and novel device design. Finally, we posit that while SCH OSCs still require substantial materials and device optimisation, they offer a route to simplifying device architectures and provide an insightful lens through which to revisit foundational assumptions in organic photovoltaic device physics.</w:t>
      </w:r>
    </w:p>
    <w:p>
      <w:pPr>
        <w:spacing w:before="120" w:after="120"/>
      </w:pPr>
      <w:r>
        <w:rPr>
          <w:sz w:val="18"/>
        </w:rPr>
        <w:t>——————————————————————————————————————————————————————————————————————</w:t>
      </w:r>
    </w:p>
    <w:p>
      <w:pPr>
        <w:spacing w:before="160" w:after="40" w:line="240" w:lineRule="auto"/>
      </w:pPr>
      <w:r>
        <w:rPr>
          <w:b/>
        </w:rPr>
        <w:t xml:space="preserve">[137] </w:t>
      </w:r>
      <w:hyperlink r:id="rId192">
        <w:r>
          <w:rPr>
            <w:color w:val="1155CC"/>
            <w:u w:val="single"/>
          </w:rPr>
          <w:t>时间和依附性多色后光的解解单核素质系统</w:t>
        </w:r>
      </w:hyperlink>
    </w:p>
    <w:p>
      <w:pPr>
        <w:spacing w:before="0" w:after="80"/>
      </w:pPr>
      <w:r>
        <w:rPr>
          <w:i/>
          <w:sz w:val="20"/>
        </w:rPr>
        <w:t>EN: Conformation‐Resolved Single‐Luminogen Systems for Time‐Dependent Multicolor Afterglow</w:t>
      </w:r>
    </w:p>
    <w:p>
      <w:pPr>
        <w:spacing w:before="0" w:after="120"/>
      </w:pPr>
      <w:r>
        <w:rPr>
          <w:b/>
        </w:rPr>
        <w:t xml:space="preserve">Source: </w:t>
      </w:r>
      <w:r>
        <w:t>Wiley: Angewandte Chemie International Edition: Table of Contents</w:t>
      </w:r>
      <w:r>
        <w:t xml:space="preserve">    </w:t>
      </w:r>
      <w:r>
        <w:rPr>
          <w:b/>
        </w:rPr>
        <w:t xml:space="preserve">Pub date: </w:t>
      </w:r>
      <w:r>
        <w:t>2026-02-02 07:43:08+00:00</w:t>
      </w:r>
      <w:r>
        <w:t xml:space="preserve">    </w:t>
      </w:r>
      <w:r>
        <w:rPr>
          <w:b/>
        </w:rPr>
        <w:t xml:space="preserve">DOI: </w:t>
      </w:r>
      <w:hyperlink r:id="rId193">
        <w:r>
          <w:rPr>
            <w:color w:val="1155CC"/>
            <w:u w:val="single"/>
          </w:rPr>
          <w:t>10.1002/anie.1607487</w:t>
        </w:r>
      </w:hyperlink>
    </w:p>
    <w:p>
      <w:pPr>
        <w:spacing w:before="0" w:after="120"/>
      </w:pPr>
      <w:r>
        <w:rPr>
          <w:b/>
        </w:rPr>
        <w:t xml:space="preserve">Notes: </w:t>
      </w:r>
      <w:r>
        <w:t>abstract_source=crossref</w:t>
      </w:r>
    </w:p>
    <w:p>
      <w:pPr>
        <w:spacing w:before="0" w:after="80" w:lineRule="auto" w:line="276"/>
      </w:pPr>
      <w:r>
        <w:rPr>
          <w:b/>
        </w:rPr>
        <w:t xml:space="preserve">摘要（ZH）: </w:t>
      </w:r>
      <w:r>
        <w:t>ABSTACT 时间依赖多色后光光,可以对静态光照无法实现的裸眼可辨别光学信号进行时间编码。然而,控制时间波长和颜色的现有战略仍然非常有限。 依赖多色后光仍然非常有限。 我们在此提议一个符合的溶解分子设计,成功地解开单发光源系统中内在的二亚光源特性,从而在聚合物矩阵中实现动态色化不可分离的后光信号。 我们的战略将灵活的C-S-C-C转子整合到一个硬铁质核心中,允许同时稳定不同三重能量水平的不同传感性相容合器,特别是可产生红磷和红磷的平行相容器。</w:t>
      </w:r>
    </w:p>
    <w:p>
      <w:pPr>
        <w:spacing w:before="0" w:after="200" w:lineRule="auto" w:line="276"/>
      </w:pPr>
      <w:r>
        <w:rPr>
          <w:b/>
        </w:rPr>
        <w:t xml:space="preserve">Abstract (EN): </w:t>
      </w:r>
      <w:r>
        <w:t>Time‐dependent multicolor afterglow enables temporal encoding of naked‐eye distinguishable optical signals that cannot be achieved with static luminescence. However, available strategies to control the wavelength and color of time‐dependent multicolor afterglow remain highly limited. Herein, we propose a conformation‐resolved molecular design that successfully unlocks intrinsic dual‐phosphorescence characteristics in single‐luminogen systems, enabling dynamically color‐tunable afterglow within the polymer matrix. Our strategy integrates flexible C–S–C rotors into a rigid pyrene core, allowing simultaneous stabilization of distinct emissive conformers with different triplet energy levels, specifically, a parallel conformer that can produce red phosphorescence and a perpendicular one yielding green phosphorescence. The asynchronous decay of these phosphorescent afterglows results in a visually perceptible emission color transition from red to yellow, and finally to green over a naked‐eye distinguishable time scale, representing a rare paradigm of intrinsic, conformation‐mediated dual‐phosphorescence. Moreover, our systems are able to exhibit remarkable resistance to water, acids/bases, and organic solvents, as well as intrinsic UV‐shielding capabilities, demonstrating that the time‐dependent multicolor afterglow can readily integrate with diverse material functionalities, and is thus well suited for a wide range of application scenarios.</w:t>
      </w:r>
    </w:p>
    <w:p>
      <w:pPr>
        <w:spacing w:before="120" w:after="120"/>
      </w:pPr>
      <w:r>
        <w:rPr>
          <w:sz w:val="18"/>
        </w:rPr>
        <w:t>——————————————————————————————————————————————————————————————————————</w:t>
      </w:r>
    </w:p>
    <w:p>
      <w:pPr>
        <w:spacing w:before="160" w:after="40" w:line="240" w:lineRule="auto"/>
      </w:pPr>
      <w:r>
        <w:rPr>
          <w:b/>
        </w:rPr>
        <w:t xml:space="preserve">[138] </w:t>
      </w:r>
      <w:hyperlink r:id="rId194">
        <w:r>
          <w:rPr>
            <w:color w:val="1155CC"/>
            <w:u w:val="single"/>
          </w:rPr>
          <w:t>通过可编程的Nanocapsuleh Hydrogel 测序图象微环境改造平台进行能动的ChemoéImmuno治疗</w:t>
        </w:r>
      </w:hyperlink>
    </w:p>
    <w:p>
      <w:pPr>
        <w:spacing w:before="0" w:after="80"/>
      </w:pPr>
      <w:r>
        <w:rPr>
          <w:i/>
          <w:sz w:val="20"/>
        </w:rPr>
        <w:t>EN: Potentiating Chemo‐Immunotherapy via a Programmable Nanocapsule‐Hydrogel Platform for Sequential Tumor Microenvironment Remodeling</w:t>
      </w:r>
    </w:p>
    <w:p>
      <w:pPr>
        <w:spacing w:before="0" w:after="120"/>
      </w:pPr>
      <w:r>
        <w:rPr>
          <w:b/>
        </w:rPr>
        <w:t xml:space="preserve">Source: </w:t>
      </w:r>
      <w:r>
        <w:t>Wiley: Advanced Materials: Table of Contents</w:t>
      </w:r>
      <w:r>
        <w:t xml:space="preserve">    </w:t>
      </w:r>
      <w:r>
        <w:rPr>
          <w:b/>
        </w:rPr>
        <w:t xml:space="preserve">Pub date: </w:t>
      </w:r>
      <w:r>
        <w:t>2026-02-02 07:43:18+00:00</w:t>
      </w:r>
      <w:r>
        <w:t xml:space="preserve">    </w:t>
      </w:r>
      <w:r>
        <w:rPr>
          <w:b/>
        </w:rPr>
        <w:t xml:space="preserve">DOI: </w:t>
      </w:r>
      <w:hyperlink r:id="rId195">
        <w:r>
          <w:rPr>
            <w:color w:val="1155CC"/>
            <w:u w:val="single"/>
          </w:rPr>
          <w:t>10.1002/adma.202522016</w:t>
        </w:r>
      </w:hyperlink>
    </w:p>
    <w:p>
      <w:pPr>
        <w:spacing w:before="0" w:after="120"/>
      </w:pPr>
      <w:r>
        <w:rPr>
          <w:b/>
        </w:rPr>
        <w:t xml:space="preserve">Notes: </w:t>
      </w:r>
      <w:r>
        <w:t>abstract_source=crossref</w:t>
      </w:r>
    </w:p>
    <w:p>
      <w:pPr>
        <w:spacing w:before="0" w:after="80" w:lineRule="auto" w:line="276"/>
      </w:pPr>
      <w:r>
        <w:rPr>
          <w:b/>
        </w:rPr>
        <w:t xml:space="preserve">摘要（ZH）: </w:t>
      </w:r>
      <w:r>
        <w:t>为克服这些挑战,我们开发了一个可编程的交付平台,在丝绸纤维素氢凝胶中结合了乳胶治疗和免疫检查站的封锁,其中包括用于在肿瘤地点控制时间释放的PH反应纳米囊。</w:t>
      </w:r>
    </w:p>
    <w:p>
      <w:pPr>
        <w:spacing w:before="0" w:after="200" w:lineRule="auto" w:line="276"/>
      </w:pPr>
      <w:r>
        <w:rPr>
          <w:b/>
        </w:rPr>
        <w:t xml:space="preserve">Abstract (EN): </w:t>
      </w:r>
      <w:r>
        <w:t>Durable responses to cancer immunotherapy require both robust antitumor immunity and sustained immune pressure within the immunosuppressive tumor microenvironment (TME). Chemotherapeutics can induce transient immune priming and modulate TME features but are limited by unpredictable immune response durations and systemic toxicity when combined with immunotherapy. To overcome these challenges, we develop a programmable delivery platform integrating chemotherapeutics and immune checkpoint blockade within a silk fibroin hydrogel containing pH‐responsive nanocapsules for controlled temporal release at tumor sites. Leveraging molecular weight differences, the small chemotherapeutic oxaliplatin rapidly diffuses to initiate tumor‐intrinsic immunogenic stress, while the larger anti‐PD‐L1 nanocapsules undergo gradual degradation in the TME, enabling sustained checkpoint engagement. This strategy converts non‐immunogenic tumor cells into a heightened immunogenic state, modulates key immune features of the TME, and supports durable antitumor responses and long‐term central memory T cell persistence in a murine breast tumor model. Our findings demonstrate that this multifunctional platform, combining chemotherapy‐induced immunogenic stress with controlled checkpoint blockade, offers a generalizable approach for designing next‐generation chemo‐immunotherapy combinations in cancer treatment.</w:t>
      </w:r>
    </w:p>
    <w:p>
      <w:pPr>
        <w:spacing w:before="120" w:after="120"/>
      </w:pPr>
      <w:r>
        <w:rPr>
          <w:sz w:val="18"/>
        </w:rPr>
        <w:t>——————————————————————————————————————————————————————————————————————</w:t>
      </w:r>
    </w:p>
    <w:p>
      <w:pPr>
        <w:spacing w:before="160" w:after="40" w:line="240" w:lineRule="auto"/>
      </w:pPr>
      <w:r>
        <w:rPr>
          <w:b/>
        </w:rPr>
        <w:t xml:space="preserve">[139] </w:t>
      </w:r>
      <w:hyperlink r:id="rId196">
        <w:r>
          <w:rPr>
            <w:color w:val="1155CC"/>
            <w:u w:val="single"/>
          </w:rPr>
          <w:t>pH-经测量的强金属支持互动建设</w:t>
        </w:r>
      </w:hyperlink>
    </w:p>
    <w:p>
      <w:pPr>
        <w:spacing w:before="0" w:after="80"/>
      </w:pPr>
      <w:r>
        <w:rPr>
          <w:i/>
          <w:sz w:val="20"/>
        </w:rPr>
        <w:t>EN: pH‐Mediated Strong Metal‐Support Interaction Construction Through Dynamic Fermi Level Tuning</w:t>
      </w:r>
    </w:p>
    <w:p>
      <w:pPr>
        <w:spacing w:before="0" w:after="120"/>
      </w:pPr>
      <w:r>
        <w:rPr>
          <w:b/>
        </w:rPr>
        <w:t xml:space="preserve">Source: </w:t>
      </w:r>
      <w:r>
        <w:t>Wiley: Angewandte Chemie International Edition: Table of Contents</w:t>
      </w:r>
      <w:r>
        <w:t xml:space="preserve">    </w:t>
      </w:r>
      <w:r>
        <w:rPr>
          <w:b/>
        </w:rPr>
        <w:t xml:space="preserve">Pub date: </w:t>
      </w:r>
      <w:r>
        <w:t>2026-02-02 07:44:01+00:00</w:t>
      </w:r>
      <w:r>
        <w:t xml:space="preserve">    </w:t>
      </w:r>
      <w:r>
        <w:rPr>
          <w:b/>
        </w:rPr>
        <w:t xml:space="preserve">DOI: </w:t>
      </w:r>
      <w:hyperlink r:id="rId197">
        <w:r>
          <w:rPr>
            <w:color w:val="1155CC"/>
            <w:u w:val="single"/>
          </w:rPr>
          <w:t>10.1002/anie.202522761</w:t>
        </w:r>
      </w:hyperlink>
    </w:p>
    <w:p>
      <w:pPr>
        <w:spacing w:before="0" w:after="120"/>
      </w:pPr>
      <w:r>
        <w:rPr>
          <w:b/>
        </w:rPr>
        <w:t xml:space="preserve">Notes: </w:t>
      </w:r>
      <w:r>
        <w:t>abstract_source=crossref</w:t>
      </w:r>
    </w:p>
    <w:p>
      <w:pPr>
        <w:spacing w:before="0" w:after="80" w:lineRule="auto" w:line="276"/>
      </w:pPr>
      <w:r>
        <w:rPr>
          <w:b/>
        </w:rPr>
        <w:t xml:space="preserve">摘要（ZH）: </w:t>
      </w:r>
      <w:r>
        <w:t>金属支持界面是管理催化器转换的核心。 强大的金属支持互动(SMSI)是调整辅助金属催化剂的形态和电子特性的既定战略,但SMSI形成过程中的干扰电荷再分配作用仍然不为人所熟知,而且很少被利用。 在这里,我们报告了一种双刺激方法,将pH调制与超音化相结合,通过动态Fermi级调控以水溶方法对SMSI的构造进行调解。 通过在金属支持界面中利用现场pH驱动电荷再分配,我们实现了金属纳米粒子可控SMSI封装,这得到了电化学分析、工作功能测量和X-光基技术的验证。</w:t>
      </w:r>
    </w:p>
    <w:p>
      <w:pPr>
        <w:spacing w:before="0" w:after="200" w:lineRule="auto" w:line="276"/>
      </w:pPr>
      <w:r>
        <w:rPr>
          <w:b/>
        </w:rPr>
        <w:t xml:space="preserve">Abstract (EN): </w:t>
      </w:r>
      <w:r>
        <w:t>The metal–support interface is central to governing catalytic transformations. While strong metal–support interaction (SMSI) is an established strategy to tailor the morphology and electronic properties of supported metal catalysts, the role of interfacial charge redistribution in SMSI formation remains poorly understood and rarely leveraged. Here, we report a dual‐stimuli approach that combines pH modulation with ultrasonication to mediate SMSI construction in aqueous solution through dynamic Fermi level tuning. By leveraging in situ pH‐driven charge redistribution at the metal–support interface, we achieve controllable SMSI encapsulation of metal nanoparticles, as verified by electrochemical analysis, work function measurements, and x‐ray‐based techniques. The resulting catalysts exhibit tunable SMSI features and deliver enhanced activity and selectivity in hydrogenation reactions. This work establishes a facile strategy to modulate catalyst structure and electronic properties by exploiting Fermi level variation as a driving force, thereby advancing rational SMSI design and catalytic performance across diverse environments.</w:t>
      </w:r>
    </w:p>
    <w:p>
      <w:pPr>
        <w:spacing w:before="120" w:after="120"/>
      </w:pPr>
      <w:r>
        <w:rPr>
          <w:sz w:val="18"/>
        </w:rPr>
        <w:t>——————————————————————————————————————————————————————————————————————</w:t>
      </w:r>
    </w:p>
    <w:p>
      <w:pPr>
        <w:spacing w:before="160" w:after="40" w:line="240" w:lineRule="auto"/>
      </w:pPr>
      <w:r>
        <w:rPr>
          <w:b/>
        </w:rPr>
        <w:t xml:space="preserve">[140] </w:t>
      </w:r>
      <w:hyperlink r:id="rId198">
        <w:r>
          <w:rPr>
            <w:color w:val="1155CC"/>
            <w:u w:val="single"/>
          </w:rPr>
          <w:t>以蛋白质解析除尘器复制方式进行轻驱动竞争性选拔</w:t>
        </w:r>
      </w:hyperlink>
    </w:p>
    <w:p>
      <w:pPr>
        <w:spacing w:before="0" w:after="80"/>
      </w:pPr>
      <w:r>
        <w:rPr>
          <w:i/>
          <w:sz w:val="20"/>
        </w:rPr>
        <w:t>EN: Light‐Driven Competitive Selection in a Protein‐Catalyzed Dissipative Peptide Replication</w:t>
      </w:r>
    </w:p>
    <w:p>
      <w:pPr>
        <w:spacing w:before="0" w:after="120"/>
      </w:pPr>
      <w:r>
        <w:rPr>
          <w:b/>
        </w:rPr>
        <w:t xml:space="preserve">Source: </w:t>
      </w:r>
      <w:r>
        <w:t>Wiley: Angewandte Chemie International Edition: Table of Contents</w:t>
      </w:r>
      <w:r>
        <w:t xml:space="preserve">    </w:t>
      </w:r>
      <w:r>
        <w:rPr>
          <w:b/>
        </w:rPr>
        <w:t xml:space="preserve">Pub date: </w:t>
      </w:r>
      <w:r>
        <w:t>2026-02-02 07:45:49+00:00</w:t>
      </w:r>
      <w:r>
        <w:t xml:space="preserve">    </w:t>
      </w:r>
      <w:r>
        <w:rPr>
          <w:b/>
        </w:rPr>
        <w:t xml:space="preserve">DOI: </w:t>
      </w:r>
      <w:hyperlink r:id="rId199">
        <w:r>
          <w:rPr>
            <w:color w:val="1155CC"/>
            <w:u w:val="single"/>
          </w:rPr>
          <w:t>10.1002/anie.202518911</w:t>
        </w:r>
      </w:hyperlink>
    </w:p>
    <w:p>
      <w:pPr>
        <w:spacing w:before="0" w:after="120"/>
      </w:pPr>
      <w:r>
        <w:rPr>
          <w:b/>
        </w:rPr>
        <w:t xml:space="preserve">Notes: </w:t>
      </w:r>
      <w:r>
        <w:t>abstract_source=crossref</w:t>
      </w:r>
    </w:p>
    <w:p>
      <w:pPr>
        <w:spacing w:before="0" w:after="80" w:lineRule="auto" w:line="276"/>
      </w:pPr>
      <w:r>
        <w:rPr>
          <w:b/>
        </w:rPr>
        <w:t xml:space="preserve">摘要（ZH）: </w:t>
      </w:r>
      <w:r>
        <w:t>生物前演变的ABSTRACT理论模型表明催化调制能影响自动催化复制周期。 我们假设蛋白质催化剂能创造一个有利于近距离控制、消散复制原始丙化物的环境。 这种设置原则上允许通过使催化剂成为有限的资源进行竞争性选择。 这里, 我们显示, 一种结构灵活、 随机的蛋白质、 冷却醇素、 催化UVA 光源驱动的复制, 在一个基于直升机的折叠菌复制器系统中。 蛋白质加速非航空合成和自动催化性复制, 自动催化是主要途径。 该系统展示了光度和随机性竞争选择, 在这种选择中, 阻燃虫者相互竞争。</w:t>
      </w:r>
    </w:p>
    <w:p>
      <w:pPr>
        <w:spacing w:before="0" w:after="200" w:lineRule="auto" w:line="276"/>
      </w:pPr>
      <w:r>
        <w:rPr>
          <w:b/>
        </w:rPr>
        <w:t xml:space="preserve">Abstract (EN): </w:t>
      </w:r>
      <w:r>
        <w:t>Theoretical models of prebiotic evolution propose that catalytic modulation can influence autocatalytic replication cycles. We hypothesized that a protein catalyst could create a favorable environment for proximity‐controlled, dissipative replication of primitive peptides. This setup, in principle, allows competitive selection by making the catalyst a limited resource. Here, we show that a structurally flexible and promiscuous protein, calmodulin, catalyzes UVA light‐driven replication in a helical foldamer‐based replicator system. The protein accelerates both non‐autocatalytic synthesis and autocatalytic replication, with autocatalysis being the dominant pathway. The system demonstrates light‐intensity‐dependent competitive selection, where replicators compete for scarce binding sites on the catalyst. This mechanism enables efficient selection even within a large replicator pool. Our results provide evidence that the specific catalyst–replicator interactions envisioned in Eigen's hypercycle model can be approximated under dissipative conditions in catalyzed primitive replicator systems.</w:t>
      </w:r>
    </w:p>
    <w:p>
      <w:pPr>
        <w:spacing w:before="120" w:after="120"/>
      </w:pPr>
      <w:r>
        <w:rPr>
          <w:sz w:val="18"/>
        </w:rPr>
        <w:t>——————————————————————————————————————————————————————————————————————</w:t>
      </w:r>
    </w:p>
    <w:p>
      <w:pPr>
        <w:spacing w:before="160" w:after="40" w:line="240" w:lineRule="auto"/>
      </w:pPr>
      <w:r>
        <w:rPr>
          <w:b/>
        </w:rPr>
        <w:t xml:space="preserve">[141] </w:t>
      </w:r>
      <w:hyperlink r:id="rId200">
        <w:r>
          <w:rPr>
            <w:color w:val="1155CC"/>
            <w:u w:val="single"/>
          </w:rPr>
          <w:t>超敏感半导体SERS生物传感器的单晶单晶线非常规 In2O3微孔径</w:t>
        </w:r>
      </w:hyperlink>
    </w:p>
    <w:p>
      <w:pPr>
        <w:spacing w:before="0" w:after="80"/>
      </w:pPr>
      <w:r>
        <w:rPr>
          <w:i/>
          <w:sz w:val="20"/>
        </w:rPr>
        <w:t>EN: Individual Single‐Crystalline Irregular In2O3 Microcavity for Ultrasensitive Semiconductor‐Based SERS Biosensor</w:t>
      </w:r>
    </w:p>
    <w:p>
      <w:pPr>
        <w:spacing w:before="0" w:after="120"/>
      </w:pPr>
      <w:r>
        <w:rPr>
          <w:b/>
        </w:rPr>
        <w:t xml:space="preserve">Source: </w:t>
      </w:r>
      <w:r>
        <w:t>Wiley: Advanced Materials: Table of Contents</w:t>
      </w:r>
      <w:r>
        <w:t xml:space="preserve">    </w:t>
      </w:r>
      <w:r>
        <w:rPr>
          <w:b/>
        </w:rPr>
        <w:t xml:space="preserve">Pub date: </w:t>
      </w:r>
      <w:r>
        <w:t>2026-02-02 07:46:27+00:00</w:t>
      </w:r>
      <w:r>
        <w:t xml:space="preserve">    </w:t>
      </w:r>
      <w:r>
        <w:rPr>
          <w:b/>
        </w:rPr>
        <w:t xml:space="preserve">DOI: </w:t>
      </w:r>
      <w:hyperlink r:id="rId201">
        <w:r>
          <w:rPr>
            <w:color w:val="1155CC"/>
            <w:u w:val="single"/>
          </w:rPr>
          <w:t>10.1002/adma.202515510</w:t>
        </w:r>
      </w:hyperlink>
    </w:p>
    <w:p>
      <w:pPr>
        <w:spacing w:before="0" w:after="120"/>
      </w:pPr>
      <w:r>
        <w:rPr>
          <w:b/>
        </w:rPr>
        <w:t xml:space="preserve">Notes: </w:t>
      </w:r>
      <w:r>
        <w:t>abstract_source=crossref</w:t>
      </w:r>
    </w:p>
    <w:p>
      <w:pPr>
        <w:spacing w:before="0" w:after="80" w:lineRule="auto" w:line="276"/>
      </w:pPr>
      <w:r>
        <w:rPr>
          <w:b/>
        </w:rPr>
        <w:t xml:space="preserve">摘要（ZH）: </w:t>
      </w:r>
      <w:r>
        <w:t>地表增强拉曼光谱学(SERS)在分子一级达到超高敏感度,能够进行水中干涉无干扰检测,然而,开发不依赖隔缝增强电磁场的单子半导体基体仍然具有挑战性。 我们利用地貌诱发的长期光累积和结构改进的跨面电荷转移的双重优势,在高度晶系非六边形棱镜基础上,开发了超敏感半导体单独SERS系统。 在2 O 3 (IQIn 2 O 3 ) Micr 中,我们开发了超敏感半导体系统。</w:t>
      </w:r>
    </w:p>
    <w:p>
      <w:pPr>
        <w:spacing w:before="0" w:after="200" w:lineRule="auto" w:line="276"/>
      </w:pPr>
      <w:r>
        <w:rPr>
          <w:b/>
        </w:rPr>
        <w:t xml:space="preserve">Abstract (EN): </w:t>
      </w:r>
      <w:r>
        <w:t>Surface‐enhanced Raman spectroscopy (SERS) achieves ultrahigh sensitivity at the molecular level and enables water‐interference‐free detection. However, the development of single‐particle semiconductor substrates that do not rely on gap‐enhanced electromagnetic fields remains challenging. Herein, capitalizing on the dual merits of morphology‐induced prolonged light accumulation and structure‐improved interfacial charge transfer, we developed an ultrasensitive semiconductor‐based individually SERS system based on a highly crystalline irregular hexagonal prism In</w:t>
      </w:r>
      <w:r>
        <w:rPr>
          <w:vertAlign w:val="subscript"/>
        </w:rPr>
        <w:t>2</w:t>
      </w:r>
      <w:r>
        <w:t>O</w:t>
      </w:r>
      <w:r>
        <w:rPr>
          <w:vertAlign w:val="subscript"/>
        </w:rPr>
        <w:t>3</w:t>
      </w:r>
      <w:r>
        <w:t>(I‐In</w:t>
      </w:r>
      <w:r>
        <w:rPr>
          <w:vertAlign w:val="subscript"/>
        </w:rPr>
        <w:t>2</w:t>
      </w:r>
      <w:r>
        <w:t>O</w:t>
      </w:r>
      <w:r>
        <w:rPr>
          <w:vertAlign w:val="subscript"/>
        </w:rPr>
        <w:t>3</w:t>
      </w:r>
      <w:r>
        <w:t>) microcavity. Finite‐difference time‐domain simulations and photoluminescence spectra confirmed the successful establishment of a whispering‐gallery‐mode microcavity on the I‐In</w:t>
      </w:r>
      <w:r>
        <w:rPr>
          <w:vertAlign w:val="subscript"/>
        </w:rPr>
        <w:t>2</w:t>
      </w:r>
      <w:r>
        <w:t>O</w:t>
      </w:r>
      <w:r>
        <w:rPr>
          <w:vertAlign w:val="subscript"/>
        </w:rPr>
        <w:t>3</w:t>
      </w:r>
      <w:r>
        <w:t>platform. This microcavity enables the long‐term confinement and oscillation of resonant photons, thereby significantly enhancing light–matter interactions. Aberration‐corrected electron microscopy demonstrated that although I‐In</w:t>
      </w:r>
      <w:r>
        <w:rPr>
          <w:vertAlign w:val="subscript"/>
        </w:rPr>
        <w:t>2</w:t>
      </w:r>
      <w:r>
        <w:t>O</w:t>
      </w:r>
      <w:r>
        <w:rPr>
          <w:vertAlign w:val="subscript"/>
        </w:rPr>
        <w:t>3</w:t>
      </w:r>
      <w:r>
        <w:t>single crystals were isostructural to regular hexagonal prisms, they exhibit contracted lattice parameters. Density functional theory calculations further revealed that atomic‐scale compressive lattice strain induces electronic band restructuring, enhancing the interfacial interactions between individual particle substrates and adsorbed molecules at the atomic level. In addition, the I‐In</w:t>
      </w:r>
      <w:r>
        <w:rPr>
          <w:vertAlign w:val="subscript"/>
        </w:rPr>
        <w:t>2</w:t>
      </w:r>
      <w:r>
        <w:t>O</w:t>
      </w:r>
      <w:r>
        <w:rPr>
          <w:vertAlign w:val="subscript"/>
        </w:rPr>
        <w:t>3</w:t>
      </w:r>
      <w:r>
        <w:t>SERS system demonstrates quantitative and multiplexing capabilities for rapid antibiotic detection. This work presents new perspectives for constructing supersensitive semiconductor SERS sensors using a micron‐scale single‐particle platform.</w:t>
      </w:r>
    </w:p>
    <w:p>
      <w:pPr>
        <w:spacing w:before="120" w:after="120"/>
      </w:pPr>
      <w:r>
        <w:rPr>
          <w:sz w:val="18"/>
        </w:rPr>
        <w:t>——————————————————————————————————————————————————————————————————————</w:t>
      </w:r>
    </w:p>
    <w:p>
      <w:pPr>
        <w:spacing w:before="160" w:after="40" w:line="240" w:lineRule="auto"/>
      </w:pPr>
      <w:r>
        <w:rPr>
          <w:b/>
        </w:rPr>
        <w:t xml:space="preserve">[142] </w:t>
      </w:r>
      <w:hyperlink r:id="rId202">
        <w:r>
          <w:rPr>
            <w:color w:val="1155CC"/>
            <w:u w:val="single"/>
          </w:rPr>
          <w:t>通过催化性转口变异反应实现的功能化</w:t>
        </w:r>
      </w:hyperlink>
    </w:p>
    <w:p>
      <w:pPr>
        <w:spacing w:before="0" w:after="80"/>
      </w:pPr>
      <w:r>
        <w:rPr>
          <w:i/>
          <w:sz w:val="20"/>
        </w:rPr>
        <w:t>EN: Selective Carbocation Functionalization by Catalytic Transchalcogenation Reactions</w:t>
      </w:r>
    </w:p>
    <w:p>
      <w:pPr>
        <w:spacing w:before="0" w:after="120"/>
      </w:pPr>
      <w:r>
        <w:rPr>
          <w:b/>
        </w:rPr>
        <w:t xml:space="preserve">Source: </w:t>
      </w:r>
      <w:r>
        <w:t>Wiley: Angewandte Chemie International Edition: Table of Contents</w:t>
      </w:r>
      <w:r>
        <w:t xml:space="preserve">    </w:t>
      </w:r>
      <w:r>
        <w:rPr>
          <w:b/>
        </w:rPr>
        <w:t xml:space="preserve">Pub date: </w:t>
      </w:r>
      <w:r>
        <w:t>2026-02-02 07:49:25+00:00</w:t>
      </w:r>
      <w:r>
        <w:t xml:space="preserve">    </w:t>
      </w:r>
      <w:r>
        <w:rPr>
          <w:b/>
        </w:rPr>
        <w:t xml:space="preserve">DOI: </w:t>
      </w:r>
      <w:hyperlink r:id="rId203">
        <w:r>
          <w:rPr>
            <w:color w:val="1155CC"/>
            <w:u w:val="single"/>
          </w:rPr>
          <w:t>10.1002/anie.202524325</w:t>
        </w:r>
      </w:hyperlink>
    </w:p>
    <w:p>
      <w:pPr>
        <w:spacing w:before="0" w:after="120"/>
      </w:pPr>
      <w:r>
        <w:rPr>
          <w:b/>
        </w:rPr>
        <w:t xml:space="preserve">Notes: </w:t>
      </w:r>
      <w:r>
        <w:t>abstract_source=crossref</w:t>
      </w:r>
    </w:p>
    <w:p>
      <w:pPr>
        <w:spacing w:before="0" w:after="80" w:lineRule="auto" w:line="276"/>
      </w:pPr>
      <w:r>
        <w:rPr>
          <w:b/>
        </w:rPr>
        <w:t xml:space="preserve">摘要（ZH）: </w:t>
      </w:r>
      <w:r>
        <w:t>ABSTACT 通过酸中介碳化化学引入功能在概念上是直截了当的,但通常缺乏选择性和广泛适用性,这又因有毒反应伙伴的需要而进一步受到阻碍。在这里,我们表明,小型S &amp; S &amp; 和Se基功能可以通过酸催化的跨色化反应有选择性和安全地引入原料分子。可设计的 yäketo 捐赠方化合物通过形成一种可与酸催化剂及其反作用一起加以消除的试Kyl卤素中间体来提供功能。我们展示了这一战略是如何促成C(SP 3)的化学、再生和立体选择性构造的。</w:t>
      </w:r>
    </w:p>
    <w:p>
      <w:pPr>
        <w:spacing w:before="0" w:after="200" w:lineRule="auto" w:line="276"/>
      </w:pPr>
      <w:r>
        <w:rPr>
          <w:b/>
        </w:rPr>
        <w:t xml:space="preserve">Abstract (EN): </w:t>
      </w:r>
      <w:r>
        <w:t>Introducing functionalities via acid‐mediated carbocation chemistry is conceptually straightforward, but typically lacks in selectivity and broad‐scale applicability, which is further hampered by the need for toxic reaction partners. Here, we show that small S‐ and Se‐based functionalities can be selectively and safely introduced into feedstock molecules via acid‐catalyzed transchalcogenation reactions. A designable y‐keto donor compound delivers the functionality through the formation of a trialkyl chalcogenonium intermediate that is prone to elimination in conjunction with the acid catalyst and its counteranion. We demonstrate how this strategy enables chemo‐, regio‐, and stereoselective construction of C(sp</w:t>
      </w:r>
      <w:r>
        <w:rPr>
          <w:vertAlign w:val="subscript"/>
        </w:rPr>
        <w:t>3</w:t>
      </w:r>
      <w:r>
        <w:t>)─S and ─Se bonds, offering clear advantages over classical acid‐catalyzed carbocation functionalization.</w:t>
      </w:r>
    </w:p>
    <w:p>
      <w:pPr>
        <w:spacing w:before="120" w:after="120"/>
      </w:pPr>
      <w:r>
        <w:rPr>
          <w:sz w:val="18"/>
        </w:rPr>
        <w:t>——————————————————————————————————————————————————————————————————————</w:t>
      </w:r>
    </w:p>
    <w:p>
      <w:pPr>
        <w:spacing w:before="160" w:after="40" w:line="240" w:lineRule="auto"/>
      </w:pPr>
      <w:r>
        <w:rPr>
          <w:b/>
        </w:rPr>
        <w:t xml:space="preserve">[143] </w:t>
      </w:r>
      <w:hyperlink r:id="rId204">
        <w:r>
          <w:rPr>
            <w:color w:val="1155CC"/>
            <w:u w:val="single"/>
          </w:rPr>
          <w:t>连成多块多块聚合物的活性聚合战略:对结构的系统研究——伸缩和充电器运输中的财产关系</w:t>
        </w:r>
      </w:hyperlink>
    </w:p>
    <w:p>
      <w:pPr>
        <w:spacing w:before="0" w:after="80"/>
      </w:pPr>
      <w:r>
        <w:rPr>
          <w:i/>
          <w:sz w:val="20"/>
        </w:rPr>
        <w:t>EN: Living Polymerization Strategy for Conjugated Multiblock Copolymers: A Systematic Study of Structure–Property Relationships in Stretchability and Charge Transport</w:t>
      </w:r>
    </w:p>
    <w:p>
      <w:pPr>
        <w:spacing w:before="0" w:after="120"/>
      </w:pPr>
      <w:r>
        <w:rPr>
          <w:b/>
        </w:rPr>
        <w:t xml:space="preserve">Source: </w:t>
      </w:r>
      <w:r>
        <w:t>Wiley: Angewandte Chemie International Edition: Table of Contents</w:t>
      </w:r>
      <w:r>
        <w:t xml:space="preserve">    </w:t>
      </w:r>
      <w:r>
        <w:rPr>
          <w:b/>
        </w:rPr>
        <w:t xml:space="preserve">Pub date: </w:t>
      </w:r>
      <w:r>
        <w:t>2026-02-02 07:50:16+00:00</w:t>
      </w:r>
      <w:r>
        <w:t xml:space="preserve">    </w:t>
      </w:r>
      <w:r>
        <w:rPr>
          <w:b/>
        </w:rPr>
        <w:t xml:space="preserve">DOI: </w:t>
      </w:r>
      <w:hyperlink r:id="rId205">
        <w:r>
          <w:rPr>
            <w:color w:val="1155CC"/>
            <w:u w:val="single"/>
          </w:rPr>
          <w:t>10.1002/anie.202523558</w:t>
        </w:r>
      </w:hyperlink>
    </w:p>
    <w:p>
      <w:pPr>
        <w:spacing w:before="0" w:after="120"/>
      </w:pPr>
      <w:r>
        <w:rPr>
          <w:b/>
        </w:rPr>
        <w:t xml:space="preserve">Notes: </w:t>
      </w:r>
      <w:r>
        <w:t>abstract_source=crossref</w:t>
      </w:r>
    </w:p>
    <w:p>
      <w:pPr>
        <w:spacing w:before="0" w:after="80" w:lineRule="auto" w:line="276"/>
      </w:pPr>
      <w:r>
        <w:rPr>
          <w:b/>
        </w:rPr>
        <w:t xml:space="preserve">摘要（ZH）: </w:t>
      </w:r>
      <w:r>
        <w:t>在半导体聚合物中实现高机械可伸展性,同时保持半导体聚合物的充电载体机动性,由于这些聚合物的内在平衡,仍是一个中心挑战。含有半导体和弹性部分的多块共聚聚合物(CMPs)是克服这一限制的一个很有希望的设计战略,但对于结构参数如何影响物质特性和装置性能仍缺乏系统的理解。为了解决这一问题,我们选择了一种模型聚合物(聚(3-赫克己基苯)聚(P3HT)),并系统建造其图书馆前体,其分子重量、分散性和终端群忠诚性各异。随后,这些前体被纳入了含有灵活的多甲基硅烷(P)的CMPs。</w:t>
      </w:r>
    </w:p>
    <w:p>
      <w:pPr>
        <w:spacing w:before="0" w:after="200" w:lineRule="auto" w:line="276"/>
      </w:pPr>
      <w:r>
        <w:rPr>
          <w:b/>
        </w:rPr>
        <w:t xml:space="preserve">Abstract (EN): </w:t>
      </w:r>
      <w:r>
        <w:t>Achieving high mechanical stretchability while maintaining charge carrier mobility in semiconducting polymers remains a central challenge due to their intrinsic trade‐off. Conjugated multiblock copolymers (CMPs) incorporating semiconducting and elastomeric segments represent a promising design strategy to overcome this limitation, yet a systematic understanding of how structural parameters influence material properties and device performances is still lacking. To address this issue, we chose a model polymer, poly(3‐hexylthiophene) (P3HT), and systematically constructed its library precursors with independently varied molecular weight, dispersity, and end‐group fidelity. Then, these precursors were incorporated into CMPs containing flexible polydimethylsiloxane (PDMS) over a broad composition range (0–75 mol%). As a result, this design enabled deconvolution of the individual effects of each structural parameter on CMP performance. Notably, CMPs incorporating well‐defined P3HT blocks exhibited significantly enhanced stretchability (&amp;gt;300%) while retaining high hole mobility, in contrast to those prepared using P3HT from uncontrolled polymerization. These results underscore the advantage of living polymerization in precisely tailoring conjugated polymer architectures and optimizing the mechanical and electronic properties of stretchable semiconducting materials, while also offering a platform that may be extended to other conjugated polymers.</w:t>
      </w:r>
    </w:p>
    <w:p>
      <w:pPr>
        <w:spacing w:before="120" w:after="120"/>
      </w:pPr>
      <w:r>
        <w:rPr>
          <w:sz w:val="18"/>
        </w:rPr>
        <w:t>——————————————————————————————————————————————————————————————————————</w:t>
      </w:r>
    </w:p>
    <w:p>
      <w:pPr>
        <w:spacing w:before="160" w:after="40" w:line="240" w:lineRule="auto"/>
      </w:pPr>
      <w:r>
        <w:rPr>
          <w:b/>
        </w:rPr>
        <w:t xml:space="preserve">[144] </w:t>
      </w:r>
      <w:hyperlink r:id="rId206">
        <w:r>
          <w:rPr>
            <w:color w:val="1155CC"/>
            <w:u w:val="single"/>
          </w:rPr>
          <w:t>通过液金属交易促进跨合金循环经济混合合金循环经济</w:t>
        </w:r>
      </w:hyperlink>
    </w:p>
    <w:p>
      <w:pPr>
        <w:spacing w:before="0" w:after="80"/>
      </w:pPr>
      <w:r>
        <w:rPr>
          <w:i/>
          <w:sz w:val="20"/>
        </w:rPr>
        <w:t>EN: Upcycling Mixed Alloy Scraps via Liquid Metal Dealloying for Cross‐Alloy Circular Economy</w:t>
      </w:r>
    </w:p>
    <w:p>
      <w:pPr>
        <w:spacing w:before="0" w:after="120"/>
      </w:pPr>
      <w:r>
        <w:rPr>
          <w:b/>
        </w:rPr>
        <w:t xml:space="preserve">Source: </w:t>
      </w:r>
      <w:r>
        <w:t>Wiley: Advanced Materials: Table of Contents</w:t>
      </w:r>
      <w:r>
        <w:t xml:space="preserve">    </w:t>
      </w:r>
      <w:r>
        <w:rPr>
          <w:b/>
        </w:rPr>
        <w:t xml:space="preserve">Pub date: </w:t>
      </w:r>
      <w:r>
        <w:t>2026-02-02 07:53:52+00:00</w:t>
      </w:r>
      <w:r>
        <w:t xml:space="preserve">    </w:t>
      </w:r>
      <w:r>
        <w:rPr>
          <w:b/>
        </w:rPr>
        <w:t xml:space="preserve">DOI: </w:t>
      </w:r>
      <w:hyperlink r:id="rId207">
        <w:r>
          <w:rPr>
            <w:color w:val="1155CC"/>
            <w:u w:val="single"/>
          </w:rPr>
          <w:t>10.1002/adma.202519951</w:t>
        </w:r>
      </w:hyperlink>
    </w:p>
    <w:p>
      <w:pPr>
        <w:spacing w:before="0" w:after="120"/>
      </w:pPr>
      <w:r>
        <w:rPr>
          <w:b/>
        </w:rPr>
        <w:t xml:space="preserve">Notes: </w:t>
      </w:r>
      <w:r>
        <w:t>abstract_source=crossref</w:t>
      </w:r>
    </w:p>
    <w:p>
      <w:pPr>
        <w:spacing w:before="0" w:after="80" w:lineRule="auto" w:line="276"/>
      </w:pPr>
      <w:r>
        <w:rPr>
          <w:b/>
        </w:rPr>
        <w:t xml:space="preserve">摘要（ZH）: </w:t>
      </w:r>
      <w:r>
        <w:t>使用镍(Ni)超合金和镁(Mg)合金废料示范了范式转变。该方法利用镍(Ni)超合金和镁(Mg)合金废料,将Mg的低熔点用于提炼尼,将耐腐性金属((Re)、钨(W)、钽(Ta))作为多孔残留物处理。</w:t>
      </w:r>
    </w:p>
    <w:p>
      <w:pPr>
        <w:spacing w:before="0" w:after="200" w:lineRule="auto" w:line="276"/>
      </w:pPr>
      <w:r>
        <w:rPr>
          <w:b/>
        </w:rPr>
        <w:t xml:space="preserve">Abstract (EN): </w:t>
      </w:r>
      <w:r>
        <w:t>The challenge of mixed, contaminated metal scrap and the unsustainable environmental footprint of traditional primary metal production based on fossil reductants necessitate innovative, scalable recycling strategies. This study presents a generic liquid metal dealloying‐vacuum (LMD‐V) approach for synergistic upcycling of complex multiple alloy scraps, representing a paradigm shift from conventional single‐stream recycling. Demonstrated using nickel (Ni) superalloy and magnesium (Mg) alloy scrap, the method leverages Mg's low melting point to extract Ni, leaving refractory metals (rhenium (Re), tungsten (W), tantalum (Ta)) as a porous residue. Vacuum treatment recovers 99.7% pure Mg and yields a brittle nickel‐aluminum (Ni‐Al) alloy, directly converted into Raney‐Ni catalyst with commercial‐grade performance. The weakened porous residue (2%–6% of its original strength) facilitates critical metal recovery. Compared to conventional recycling, it reduces energy and carbon footprints by 74.6% and 56.7%, respectively. By transforming carbon‐intensive scraps into high‐value products, LMD‐V establishes a closed‐loop, scalable pathway for mixed scrap recycling, profoundly advancing the circular economy.</w:t>
      </w:r>
    </w:p>
    <w:p>
      <w:pPr>
        <w:spacing w:before="120" w:after="120"/>
      </w:pPr>
      <w:r>
        <w:rPr>
          <w:sz w:val="18"/>
        </w:rPr>
        <w:t>——————————————————————————————————————————————————————————————————————</w:t>
      </w:r>
    </w:p>
    <w:p>
      <w:pPr>
        <w:spacing w:before="160" w:after="40" w:line="240" w:lineRule="auto"/>
      </w:pPr>
      <w:r>
        <w:rPr>
          <w:b/>
        </w:rPr>
        <w:t xml:space="preserve">[145] </w:t>
      </w:r>
      <w:hyperlink r:id="rId208">
        <w:r>
          <w:rPr>
            <w:color w:val="1155CC"/>
            <w:u w:val="single"/>
          </w:rPr>
          <w:t>为1,2,3二氢磷酸二氢二氢基水晶体中的无水体超质导导导质质的质子氧化物</w:t>
        </w:r>
      </w:hyperlink>
    </w:p>
    <w:p>
      <w:pPr>
        <w:spacing w:before="0" w:after="80"/>
      </w:pPr>
      <w:r>
        <w:rPr>
          <w:i/>
          <w:sz w:val="20"/>
        </w:rPr>
        <w:t>EN: Proton Tautomerism for Anhydrous Superprotonic Conduction in 1,2,3‐Triazolium Dihydrogen Phosphate Crystal</w:t>
      </w:r>
    </w:p>
    <w:p>
      <w:pPr>
        <w:spacing w:before="0" w:after="120"/>
      </w:pPr>
      <w:r>
        <w:rPr>
          <w:b/>
        </w:rPr>
        <w:t xml:space="preserve">Source: </w:t>
      </w:r>
      <w:r>
        <w:t>Wiley: Angewandte Chemie International Edition: Table of Contents</w:t>
      </w:r>
      <w:r>
        <w:t xml:space="preserve">    </w:t>
      </w:r>
      <w:r>
        <w:rPr>
          <w:b/>
        </w:rPr>
        <w:t xml:space="preserve">Pub date: </w:t>
      </w:r>
      <w:r>
        <w:t>2026-02-02 07:57:39+00:00</w:t>
      </w:r>
      <w:r>
        <w:t xml:space="preserve">    </w:t>
      </w:r>
      <w:r>
        <w:rPr>
          <w:b/>
        </w:rPr>
        <w:t xml:space="preserve">DOI: </w:t>
      </w:r>
      <w:hyperlink r:id="rId209">
        <w:r>
          <w:rPr>
            <w:color w:val="1155CC"/>
            <w:u w:val="single"/>
          </w:rPr>
          <w:t>10.1002/anie.202520785</w:t>
        </w:r>
      </w:hyperlink>
    </w:p>
    <w:p>
      <w:pPr>
        <w:spacing w:before="0" w:after="120"/>
      </w:pPr>
      <w:r>
        <w:rPr>
          <w:b/>
        </w:rPr>
        <w:t xml:space="preserve">Notes: </w:t>
      </w:r>
      <w:r>
        <w:t>abstract_source=crossref</w:t>
      </w:r>
    </w:p>
    <w:p>
      <w:pPr>
        <w:spacing w:before="0" w:after="80" w:lineRule="auto" w:line="276"/>
      </w:pPr>
      <w:r>
        <w:rPr>
          <w:b/>
        </w:rPr>
        <w:t xml:space="preserve">摘要（ZH）: </w:t>
      </w:r>
      <w:r>
        <w:t>分子有机固体中的丙酮动态对能源相关技术至关重要。已经开发出用作氢燃料电池中固体电解液的质子导体,为较高的质子运输机制提供了解释,并为较高导电流制定了设计准则。已经研究了利用固体分子运动进行质子运输的许多无水质导体;然而,低阻导导体的导体具有挑战性。在这项研究中,我们把质子陶化作为质子导体的新准则,而不是分子运动。促进低压导电解的关键是质子运输,而没有通过多种陶轮之间的动态相互转换进行分子运动。我们展示了这种效力。</w:t>
      </w:r>
    </w:p>
    <w:p>
      <w:pPr>
        <w:spacing w:before="0" w:after="200" w:lineRule="auto" w:line="276"/>
      </w:pPr>
      <w:r>
        <w:rPr>
          <w:b/>
        </w:rPr>
        <w:t xml:space="preserve">Abstract (EN): </w:t>
      </w:r>
      <w:r>
        <w:t>Proton dynamics within molecular organic solids are crucial for energy‐related technologies. Proton conductors for use as solid electrolytes in hydrogen fuel cells have been developed, elucidating the higher proton transport mechanism and establishing design guidelines for higher conduction. Many anhydrous proton conductors for proton transport utilizing molecular motion in solids have been studied; however, low‐barrier conduction is challenging. In this study, we addressed proton tautomerism as a new guideline for proton conduction, rather than molecular motion. The key to facilitating low‐barrier conduction is proton transport without molecular motion via dynamic interconversion between multiple tautomers. We demonstrated the effectiveness of proton‐tautomerism strategy in 1,2,3‐triazole dihydrogen phosphate crystal, which exhibited low‐barrier, isotropic superprotonic conductivity exceeding 10</w:t>
      </w:r>
      <w:r>
        <w:t xml:space="preserve"> </w:t>
      </w:r>
      <w:r>
        <w:t>−3</w:t>
      </w:r>
      <w:r>
        <w:t xml:space="preserve"> </w:t>
      </w:r>
      <w:r>
        <w:t>S cm</w:t>
      </w:r>
      <w:r>
        <w:t xml:space="preserve"> </w:t>
      </w:r>
      <w:r>
        <w:t>−1</w:t>
      </w:r>
      <w:r>
        <w:t xml:space="preserve"> </w:t>
      </w:r>
      <w:r>
        <w:t>. Both theoretical and experimental results confirmed that superprotonic conduction originates from proton tautomerism, demonstrating for the first time that proton tautomerism can serve as a design guide for highly efficient anhydrous proton conductors.</w:t>
      </w:r>
    </w:p>
    <w:p>
      <w:pPr>
        <w:spacing w:before="120" w:after="120"/>
      </w:pPr>
      <w:r>
        <w:rPr>
          <w:sz w:val="18"/>
        </w:rPr>
        <w:t>——————————————————————————————————————————————————————————————————————</w:t>
      </w:r>
    </w:p>
    <w:p>
      <w:pPr>
        <w:spacing w:before="160" w:after="40" w:line="240" w:lineRule="auto"/>
      </w:pPr>
      <w:r>
        <w:rPr>
          <w:b/>
        </w:rPr>
        <w:t xml:space="preserve">[146] </w:t>
      </w:r>
      <w:hyperlink r:id="rId210">
        <w:r>
          <w:rPr>
            <w:color w:val="1155CC"/>
            <w:u w:val="single"/>
          </w:rPr>
          <w:t>Squaraine Dyes 的金属溶解分子分子受体,使超速黑共振能量转移成为可能</w:t>
        </w:r>
      </w:hyperlink>
    </w:p>
    <w:p>
      <w:pPr>
        <w:spacing w:before="0" w:after="80"/>
      </w:pPr>
      <w:r>
        <w:rPr>
          <w:i/>
          <w:sz w:val="20"/>
        </w:rPr>
        <w:t>EN: A Metallosupramolecular Receptor for Squaraine Dyes Enabling Ultrafast Dark Resonance Energy Transfer</w:t>
      </w:r>
    </w:p>
    <w:p>
      <w:pPr>
        <w:spacing w:before="0" w:after="120"/>
      </w:pPr>
      <w:r>
        <w:rPr>
          <w:b/>
        </w:rPr>
        <w:t xml:space="preserve">Source: </w:t>
      </w:r>
      <w:r>
        <w:t>Wiley: Angewandte Chemie International Edition: Table of Contents</w:t>
      </w:r>
      <w:r>
        <w:t xml:space="preserve">    </w:t>
      </w:r>
      <w:r>
        <w:rPr>
          <w:b/>
        </w:rPr>
        <w:t xml:space="preserve">Pub date: </w:t>
      </w:r>
      <w:r>
        <w:t>2026-02-02 07:58:14+00:00</w:t>
      </w:r>
      <w:r>
        <w:t xml:space="preserve">    </w:t>
      </w:r>
      <w:r>
        <w:rPr>
          <w:b/>
        </w:rPr>
        <w:t xml:space="preserve">DOI: </w:t>
      </w:r>
      <w:hyperlink r:id="rId211">
        <w:r>
          <w:rPr>
            <w:color w:val="1155CC"/>
            <w:u w:val="single"/>
          </w:rPr>
          <w:t>10.1002/anie.2203782</w:t>
        </w:r>
      </w:hyperlink>
    </w:p>
    <w:p>
      <w:pPr>
        <w:spacing w:before="0" w:after="120"/>
      </w:pPr>
      <w:r>
        <w:rPr>
          <w:b/>
        </w:rPr>
        <w:t xml:space="preserve">Notes: </w:t>
      </w:r>
      <w:r>
        <w:t>abstract_source=crossref</w:t>
      </w:r>
    </w:p>
    <w:p>
      <w:pPr>
        <w:spacing w:before="0" w:after="80" w:lineRule="auto" w:line="276"/>
      </w:pPr>
      <w:r>
        <w:rPr>
          <w:b/>
        </w:rPr>
        <w:t xml:space="preserve">摘要（ZH）: </w:t>
      </w:r>
      <w:r>
        <w:t>ABSTACT 金属有机笼子是通过将丙烯基二烯基离子与Pd 2+离子结合而获得的,笼子是二次染料的强大受体,明显偏好2,6-二氢氧基苯基替代成分的客人。这种选择性配置不同于以前报告的二次染料受体的受体。以丙烯基内笼子本身不容许。在光采时,观测到超快(subps)的暗深共振能转移到封装的二次染料染料(DRET),导致光亮的、近红外的客人排放,假Stokes的转移幅度高达440纳米。在将甲状色染料捆绑起来后,向宿主转移的手力可以通过圆双色光谱显示。</w:t>
      </w:r>
    </w:p>
    <w:p>
      <w:pPr>
        <w:spacing w:before="0" w:after="200" w:lineRule="auto" w:line="276"/>
      </w:pPr>
      <w:r>
        <w:rPr>
          <w:b/>
        </w:rPr>
        <w:t xml:space="preserve">Abstract (EN): </w:t>
      </w:r>
      <w:r>
        <w:t>A metal‐organic cage was obtained by combining acridone‐based dipyridyl ligands with Pd</w:t>
      </w:r>
      <w:r>
        <w:t xml:space="preserve"> </w:t>
      </w:r>
      <w:r>
        <w:t>2+</w:t>
      </w:r>
      <w:r>
        <w:t xml:space="preserve"> </w:t>
      </w:r>
      <w:r>
        <w:t>ions. The cage acts as a potent receptor for squaraine dyes, with a pronounced preference for guests with 2,6‐dihydroxyphenyl substituents. This selectivity profile differs from that of previously reported receptors for squaraine dyes. The acridone‐based cage itself is non‐emissive. Upon its photoexcitation, ultrafast (sub‐ps) dark resonance energy transfer (DRET) to the encapsulated squaraine dyes was observed, resulting in bright, near‐infrared guest emission, with pseudo‐Stokes shifts of up to 440 nm. Upon binding of a chiral dye, chirality transfer to the host could be evidenced by circular dichroism spectroscopy.</w:t>
      </w:r>
    </w:p>
    <w:p>
      <w:pPr>
        <w:spacing w:before="120" w:after="120"/>
      </w:pPr>
      <w:r>
        <w:rPr>
          <w:sz w:val="18"/>
        </w:rPr>
        <w:t>——————————————————————————————————————————————————————————————————————</w:t>
      </w:r>
    </w:p>
    <w:p>
      <w:pPr>
        <w:spacing w:before="160" w:after="40" w:line="240" w:lineRule="auto"/>
      </w:pPr>
      <w:r>
        <w:rPr>
          <w:b/>
        </w:rPr>
        <w:t xml:space="preserve">[147] </w:t>
      </w:r>
      <w:hyperlink r:id="rId212">
        <w:r>
          <w:rPr>
            <w:color w:val="1155CC"/>
            <w:u w:val="single"/>
          </w:rPr>
          <w:t>Axial Bond Ancrochored FeN4 用于减少电催催化氧化物的Axil Bond Tutning</w:t>
        </w:r>
      </w:hyperlink>
    </w:p>
    <w:p>
      <w:pPr>
        <w:spacing w:before="0" w:after="80"/>
      </w:pPr>
      <w:r>
        <w:rPr>
          <w:i/>
          <w:sz w:val="20"/>
        </w:rPr>
        <w:t>EN: Axial π─Bond Tuning of Anchored FeN4 for Electrocatalytic Oxygen Reduction</w:t>
      </w:r>
    </w:p>
    <w:p>
      <w:pPr>
        <w:spacing w:before="0" w:after="120"/>
      </w:pPr>
      <w:r>
        <w:rPr>
          <w:b/>
        </w:rPr>
        <w:t xml:space="preserve">Source: </w:t>
      </w:r>
      <w:r>
        <w:t>Wiley: Advanced Materials: Table of Contents</w:t>
      </w:r>
      <w:r>
        <w:t xml:space="preserve">    </w:t>
      </w:r>
      <w:r>
        <w:rPr>
          <w:b/>
        </w:rPr>
        <w:t xml:space="preserve">Pub date: </w:t>
      </w:r>
      <w:r>
        <w:t>2026-02-02 07:59:32+00:00</w:t>
      </w:r>
      <w:r>
        <w:t xml:space="preserve">    </w:t>
      </w:r>
      <w:r>
        <w:rPr>
          <w:b/>
        </w:rPr>
        <w:t xml:space="preserve">DOI: </w:t>
      </w:r>
      <w:hyperlink r:id="rId213">
        <w:r>
          <w:rPr>
            <w:color w:val="1155CC"/>
            <w:u w:val="single"/>
          </w:rPr>
          <w:t>10.1002/adma.202522464</w:t>
        </w:r>
      </w:hyperlink>
    </w:p>
    <w:p>
      <w:pPr>
        <w:spacing w:before="0" w:after="120"/>
      </w:pPr>
      <w:r>
        <w:rPr>
          <w:b/>
        </w:rPr>
        <w:t xml:space="preserve">Notes: </w:t>
      </w:r>
      <w:r>
        <w:t>abstract_source=crossref</w:t>
      </w:r>
    </w:p>
    <w:p>
      <w:pPr>
        <w:spacing w:before="0" w:after="80" w:lineRule="auto" w:line="276"/>
      </w:pPr>
      <w:r>
        <w:rPr>
          <w:b/>
        </w:rPr>
        <w:t xml:space="preserve">摘要（ZH）: </w:t>
      </w:r>
      <w:r>
        <w:t>支持的曲率变化可以控制当地诱发的压力紧张,直接改变分层材料的特性和性能。在这里,我们成功地在碳纳米管表面就地生长了石墨二因(GDY),形成一种结构曲线和高度表面活性强的异相材料。我们的结果表明,由于内部压力,表层生成的GDY可以变形成一个弯曲的GDY(cDY)。这种结构调整调节了图形二因/CNT界面的充电分布,提高了Csp sp-C sp 债券在 b 中的充电密度。</w:t>
      </w:r>
    </w:p>
    <w:p>
      <w:pPr>
        <w:spacing w:before="0" w:after="200" w:lineRule="auto" w:line="276"/>
      </w:pPr>
      <w:r>
        <w:rPr>
          <w:b/>
        </w:rPr>
        <w:t xml:space="preserve">Abstract (EN): </w:t>
      </w:r>
      <w:r>
        <w:t>The curvature change of the support can control the induced local stress strain and directly change the properties and performance of the layered materials. Herein, we successfully in situ grew graphdiyne (GDY) on the surface of carbon nanotubes (CNTs) to form a heterojunction material with curved structure and highly surface‐active. Our results indicated that the surface‐grown GDY can deform into a curved‐GDY (cGDY) due to internal stress. Such structural rearrangement regulates the charge distribution on interface of graphdiyne/CNTs and increases the charge density of</w:t>
      </w:r>
      <w:r>
        <w:t xml:space="preserve"> </w:t>
      </w:r>
      <w:r>
        <w:t>C</w:t>
      </w:r>
      <w:r>
        <w:t xml:space="preserve"> </w:t>
      </w:r>
      <w:r>
        <w:t>sp</w:t>
      </w:r>
      <w:r>
        <w:t xml:space="preserve"> </w:t>
      </w:r>
      <w:r>
        <w:t>─C</w:t>
      </w:r>
      <w:r>
        <w:t xml:space="preserve"> </w:t>
      </w:r>
      <w:r>
        <w:t>sp</w:t>
      </w:r>
      <w:r>
        <w:t xml:space="preserve"> </w:t>
      </w:r>
      <w:r>
        <w:t>bonds within bent diacetylene linkages (−C</w:t>
      </w:r>
      <w:r>
        <w:t xml:space="preserve"> </w:t>
      </w:r>
      <w:r>
        <w:t>sp</w:t>
      </w:r>
      <w:r>
        <w:t xml:space="preserve"> </w:t>
      </w:r>
      <w:r>
        <w:t>≡</w:t>
      </w:r>
      <w:r>
        <w:t xml:space="preserve"> </w:t>
      </w:r>
      <w:r>
        <w:t>C</w:t>
      </w:r>
      <w:r>
        <w:t xml:space="preserve"> </w:t>
      </w:r>
      <w:r>
        <w:t>sp</w:t>
      </w:r>
      <w:r>
        <w:t xml:space="preserve"> </w:t>
      </w:r>
      <w:r>
        <w:t>−C</w:t>
      </w:r>
      <w:r>
        <w:t xml:space="preserve"> </w:t>
      </w:r>
      <w:r>
        <w:t>sp</w:t>
      </w:r>
      <w:r>
        <w:t xml:space="preserve"> </w:t>
      </w:r>
      <w:r>
        <w:t>≡C</w:t>
      </w:r>
      <w:r>
        <w:t xml:space="preserve"> </w:t>
      </w:r>
      <w:r>
        <w:t>sp</w:t>
      </w:r>
      <w:r>
        <w:t xml:space="preserve"> </w:t>
      </w:r>
      <w:r>
        <w:t>−). While loading iron phthalocyanine (FePc) to this bent surface, the interactions and the interfacial repulsive force in the system were greatly enhanced, resulting in the elevated energy level of Fe 3d</w:t>
      </w:r>
      <w:r>
        <w:t xml:space="preserve"> </w:t>
      </w:r>
      <w:r>
        <w:t>z</w:t>
      </w:r>
      <w:r>
        <w:t xml:space="preserve"> </w:t>
      </w:r>
      <w:r>
        <w:t>2, which was beneficial to the adsorption of O</w:t>
      </w:r>
      <w:r>
        <w:rPr>
          <w:vertAlign w:val="subscript"/>
        </w:rPr>
        <w:t>2</w:t>
      </w:r>
      <w:r>
        <w:t>, and the hybridization between Fe (3d</w:t>
      </w:r>
      <w:r>
        <w:t xml:space="preserve"> </w:t>
      </w:r>
      <w:r>
        <w:t>xz</w:t>
      </w:r>
      <w:r>
        <w:t xml:space="preserve"> </w:t>
      </w:r>
      <w:r>
        <w:t>, 3d</w:t>
      </w:r>
      <w:r>
        <w:t xml:space="preserve"> </w:t>
      </w:r>
      <w:r>
        <w:t>yz</w:t>
      </w:r>
      <w:r>
        <w:t xml:space="preserve"> </w:t>
      </w:r>
      <w:r>
        <w:t>, and 3d</w:t>
      </w:r>
      <w:r>
        <w:t xml:space="preserve"> </w:t>
      </w:r>
      <w:r>
        <w:t>z</w:t>
      </w:r>
      <w:r>
        <w:t xml:space="preserve"> </w:t>
      </w:r>
      <w:r>
        <w:t>2) and *OO (2p</w:t>
      </w:r>
      <w:r>
        <w:t xml:space="preserve"> </w:t>
      </w:r>
      <w:r>
        <w:t>x</w:t>
      </w:r>
      <w:r>
        <w:t xml:space="preserve"> </w:t>
      </w:r>
      <w:r>
        <w:t>, 2p</w:t>
      </w:r>
      <w:r>
        <w:t xml:space="preserve"> </w:t>
      </w:r>
      <w:r>
        <w:t>y</w:t>
      </w:r>
      <w:r>
        <w:t xml:space="preserve"> </w:t>
      </w:r>
      <w:r>
        <w:t>, and 2p</w:t>
      </w:r>
      <w:r>
        <w:t xml:space="preserve"> </w:t>
      </w:r>
      <w:r>
        <w:t>z</w:t>
      </w:r>
      <w:r>
        <w:t xml:space="preserve"> </w:t>
      </w:r>
      <w:r>
        <w:t>) orbitals, significantly enhancing activation of O</w:t>
      </w:r>
      <w:r>
        <w:rPr>
          <w:vertAlign w:val="subscript"/>
        </w:rPr>
        <w:t>2</w:t>
      </w:r>
      <w:r>
        <w:t>. Therefore, compared with the FeN</w:t>
      </w:r>
      <w:r>
        <w:rPr>
          <w:vertAlign w:val="subscript"/>
        </w:rPr>
        <w:t>4</w:t>
      </w:r>
      <w:r>
        <w:t>moiety on pure CNTs or GDY, this heterojunction structure through axial π</w:t>
      </w:r>
      <w:r>
        <w:t xml:space="preserve"> </w:t>
      </w:r>
      <w:r>
        <w:t>─</w:t>
      </w:r>
      <w:r>
        <w:t xml:space="preserve"> </w:t>
      </w:r>
      <w:r>
        <w:t>bond tuning demonstrates superior performance with a half‐wave potential of 0.905 V and a Tafel slope of 31.7 mV dec</w:t>
      </w:r>
      <w:r>
        <w:t xml:space="preserve"> </w:t>
      </w:r>
      <w:r>
        <w:t>−1</w:t>
      </w:r>
      <w:r>
        <w:t xml:space="preserve"> </w:t>
      </w:r>
      <w:r>
        <w:t>.</w:t>
      </w:r>
    </w:p>
    <w:p>
      <w:pPr>
        <w:spacing w:before="120" w:after="120"/>
      </w:pPr>
      <w:r>
        <w:rPr>
          <w:sz w:val="18"/>
        </w:rPr>
        <w:t>——————————————————————————————————————————————————————————————————————</w:t>
      </w:r>
    </w:p>
    <w:p>
      <w:pPr>
        <w:spacing w:before="160" w:after="40" w:line="240" w:lineRule="auto"/>
      </w:pPr>
      <w:r>
        <w:rPr>
          <w:b/>
        </w:rPr>
        <w:t xml:space="preserve">[148] </w:t>
      </w:r>
      <w:hyperlink r:id="rId214">
        <w:r>
          <w:rPr>
            <w:color w:val="1155CC"/>
            <w:u w:val="single"/>
          </w:rPr>
          <w:t>早期社会-社会心理剥夺改变整个青春期神经动态的完善</w:t>
        </w:r>
      </w:hyperlink>
    </w:p>
    <w:p>
      <w:pPr>
        <w:spacing w:before="0" w:after="80"/>
      </w:pPr>
      <w:r>
        <w:rPr>
          <w:i/>
          <w:sz w:val="20"/>
        </w:rPr>
        <w:t>EN: Early psychosocial deprivation alters the refinement of neural dynamics across adolescence</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15">
        <w:r>
          <w:rPr>
            <w:color w:val="1155CC"/>
            <w:u w:val="single"/>
          </w:rPr>
          <w:t>10.1073/pnas.2514979123</w:t>
        </w:r>
      </w:hyperlink>
    </w:p>
    <w:p>
      <w:pPr>
        <w:spacing w:before="0" w:after="120"/>
      </w:pPr>
      <w:r>
        <w:rPr>
          <w:b/>
        </w:rPr>
        <w:t xml:space="preserve">Notes: </w:t>
      </w:r>
      <w:r>
        <w:t>abstract_source=pubmed</w:t>
      </w:r>
    </w:p>
    <w:p>
      <w:pPr>
        <w:spacing w:before="0" w:after="80" w:lineRule="auto" w:line="276"/>
      </w:pPr>
      <w:r>
        <w:rPr>
          <w:b/>
        </w:rPr>
        <w:t xml:space="preserve">摘要（ZH）: </w:t>
      </w:r>
      <w:r>
        <w:t>青春期是完善神经电路和认知技能的关键时期。在此期间,执行功能随着大脑结构的明显变化而成熟,包括神经突触密度的降低。计算模型表明,通过稳定神经动态 -- -- 加深神经动力的吸引者盆地和在受扰动后加速恢复到基线,合成合成突触运行可以提高性能。在这里,我们利用布加勒斯特早期干预项目的EEG数据测试了这些预测,这是一个随机控制的寄养试验,作为制度化照料的替代办法。 Flanker任务期间的逐级EEEG残留物以线性动态系统为模型,在青少年间跟踪了肝素价值水平的变化。</w:t>
      </w:r>
    </w:p>
    <w:p>
      <w:pPr>
        <w:spacing w:before="0" w:after="200" w:lineRule="auto" w:line="276"/>
      </w:pPr>
      <w:r>
        <w:rPr>
          <w:b/>
        </w:rPr>
        <w:t xml:space="preserve">Abstract (EN): </w:t>
      </w:r>
      <w:r>
        <w:t>Adolescence is a crucial period for the refinement of neural circuits and cognitive skills. During this time, executive functions mature alongside pronounced structural changes in the brain, including reductions in synapse density. Computational models suggest that synaptic pruning enhances performance by stabilizing neural dynamics-deepening attractor basins and accelerating return to baseline after perturbation. Here, we tested these predictions using EEG data from the Bucharest Early Intervention Project, a randomized controlled trial of foster care as an alternative to institutionalized care. Trial-by-trial EEG residuals during a Flanker task were modeled as a linear dynamical system, and changes in eigenvalue magnitude were tracked across adolescence. Across all groups, eigenvalues decreased with age, consistent with maturation of recurrent computations. However, children with histories of institutional care exhibited consistently higher eigenvalues, suggesting delayed or disrupted refinement of the neural dynamics. Importantly, higher eigenvalues were associated with poorer behavioral performance on the task, linking altered neural dynamics to altered executive functions. These findings demonstrate that early deprivation leaves a lasting imprint on the developmental trajectory of neural dynamics, affecting the maturation of brain systems underlying cognitive control.</w:t>
      </w:r>
    </w:p>
    <w:p>
      <w:pPr>
        <w:spacing w:before="120" w:after="120"/>
      </w:pPr>
      <w:r>
        <w:rPr>
          <w:sz w:val="18"/>
        </w:rPr>
        <w:t>——————————————————————————————————————————————————————————————————————</w:t>
      </w:r>
    </w:p>
    <w:p>
      <w:pPr>
        <w:spacing w:before="160" w:after="40" w:line="240" w:lineRule="auto"/>
      </w:pPr>
      <w:r>
        <w:rPr>
          <w:b/>
        </w:rPr>
        <w:t xml:space="preserve">[149] </w:t>
      </w:r>
      <w:hyperlink r:id="rId216">
        <w:r>
          <w:rPr>
            <w:color w:val="1155CC"/>
            <w:u w:val="single"/>
          </w:rPr>
          <w:t>牧场排除与快速循环碳集合量较高,但与矿物有关的碳在草地之间的缓慢循环较低有关联</w:t>
        </w:r>
      </w:hyperlink>
    </w:p>
    <w:p>
      <w:pPr>
        <w:spacing w:before="0" w:after="80"/>
      </w:pPr>
      <w:r>
        <w:rPr>
          <w:i/>
          <w:sz w:val="20"/>
        </w:rPr>
        <w:t>EN: Grazer exclusion is associated with higher fast-cycling carbon pools but lower slow-cycling mineral-associated carbon across grasslands</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17">
        <w:r>
          <w:rPr>
            <w:color w:val="1155CC"/>
            <w:u w:val="single"/>
          </w:rPr>
          <w:t>10.1073/pnas.2512048123</w:t>
        </w:r>
      </w:hyperlink>
    </w:p>
    <w:p>
      <w:pPr>
        <w:spacing w:before="0" w:after="120"/>
      </w:pPr>
      <w:r>
        <w:rPr>
          <w:b/>
        </w:rPr>
        <w:t xml:space="preserve">Notes: </w:t>
      </w:r>
      <w:r>
        <w:t>abstract_source=pubmed</w:t>
      </w:r>
    </w:p>
    <w:p>
      <w:pPr>
        <w:spacing w:before="0" w:after="80" w:lineRule="auto" w:line="276"/>
      </w:pPr>
      <w:r>
        <w:rPr>
          <w:b/>
        </w:rPr>
        <w:t xml:space="preserve">摘要（ZH）: </w:t>
      </w:r>
      <w:r>
        <w:t>将牲畜放牧者从历史上放牧的草原上移走,被广泛建议作为加强土壤有机碳的关键战略,以缓解气候变化,然而,缺乏准确的评估,无法准确评估牧草排斥如何影响具有不同稳定性的土壤有机碳集合,大多数研究侧重于全部有机碳,而不是在快速、更稳定、更慢循环的池内分配SOC。在这里,我们利用整个联合王国沿800公里南北梯度的12个历史上放牧的草地,检验微粒(POC)和与矿物有关的有机碳集合如何与长期(&gt;10 y)排除大型家畜放牧者相联系。我们发现,将食草排斥与相对较高的快速循环的C集合,包括植物和垃圾C相关联。</w:t>
      </w:r>
    </w:p>
    <w:p>
      <w:pPr>
        <w:spacing w:before="0" w:after="200" w:lineRule="auto" w:line="276"/>
      </w:pPr>
      <w:r>
        <w:rPr>
          <w:b/>
        </w:rPr>
        <w:t xml:space="preserve">Abstract (EN): </w:t>
      </w:r>
      <w:r>
        <w:t>The removal of livestock grazers from historically grazed grasslands is widely proposed as a key strategy for the enhancement of soil organic carbon (SOC) for climate mitigation. Yet, accurate assessments of how grazer exclusion impacts SOC pools of differing stability are lacking, with most studies focusing on total SOC rather than the distribution of SOC within fast and more stable, slow-cycling pools. Here, we used 12 historically grazed grassland sites along an 800 km south-north gradient across the United Kingdom to test how particulate (POC) and mineral-associated organic carbon (MAOC) pools were linked to long-term (&gt;10 y) exclusion of large domesticated grazers. We found that grazer exclusion was associated with relatively higher fast-cycling C pools, including plant and litter C, and to a lesser extent POC, but lower more stable, slow-cycling MAOC pools compared to grazed controls. Grazer exclusion was also associated with a marked shift in vegetation composition, with greater cover of ericoid mycorrhizal (ErM) shrubs over arbuscular mycorrhizal (AM) graminoids. This vegetation shift likely played a dual role in regulating SOC, contributing to higher POC via both the input of recalcitrant litter and by the enhancement of soil moisture and lower MAOC due to priming and decreased mineral protection of SOC. Our findings provide evidence that while the exclusion of grazers tends to favor fast-cycling C pools, it coincides with lower SOC persistence, potentially increasing the vulnerability of grassland SOC stocks to future climate change.</w:t>
      </w:r>
    </w:p>
    <w:p>
      <w:pPr>
        <w:spacing w:before="120" w:after="120"/>
      </w:pPr>
      <w:r>
        <w:rPr>
          <w:sz w:val="18"/>
        </w:rPr>
        <w:t>——————————————————————————————————————————————————————————————————————</w:t>
      </w:r>
    </w:p>
    <w:p>
      <w:pPr>
        <w:spacing w:before="160" w:after="40" w:line="240" w:lineRule="auto"/>
      </w:pPr>
      <w:r>
        <w:rPr>
          <w:b/>
        </w:rPr>
        <w:t xml:space="preserve">[150] </w:t>
      </w:r>
      <w:hyperlink r:id="rId218">
        <w:r>
          <w:rPr>
            <w:color w:val="1155CC"/>
            <w:u w:val="single"/>
          </w:rPr>
          <w:t>核斑点是HSV-1感染期间病毒和主机MRNA表达的监管中心</w:t>
        </w:r>
      </w:hyperlink>
    </w:p>
    <w:p>
      <w:pPr>
        <w:spacing w:before="0" w:after="80"/>
      </w:pPr>
      <w:r>
        <w:rPr>
          <w:i/>
          <w:sz w:val="20"/>
        </w:rPr>
        <w:t>EN: Nuclear speckles are regulatory hubs for viral and host mRNA expression during HSV-1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19">
        <w:r>
          <w:rPr>
            <w:color w:val="1155CC"/>
            <w:u w:val="single"/>
          </w:rPr>
          <w:t>10.1073/pnas.2511555123</w:t>
        </w:r>
      </w:hyperlink>
    </w:p>
    <w:p>
      <w:pPr>
        <w:spacing w:before="0" w:after="120"/>
      </w:pPr>
      <w:r>
        <w:rPr>
          <w:b/>
        </w:rPr>
        <w:t xml:space="preserve">Notes: </w:t>
      </w:r>
      <w:r>
        <w:t>abstract_source=pubmed</w:t>
      </w:r>
    </w:p>
    <w:p>
      <w:pPr>
        <w:spacing w:before="0" w:after="80" w:lineRule="auto" w:line="276"/>
      </w:pPr>
      <w:r>
        <w:rPr>
          <w:b/>
        </w:rPr>
        <w:t xml:space="preserve">摘要（ZH）: </w:t>
      </w:r>
      <w:r>
        <w:t>核斑点、在RNA加工因素中浓缩的核机构、在VRC周围重新定位并进行结构性变革。虽然病毒性MRNA被转录到VRC和主机转录中,但病毒性和管制程度较高的主机记录誊本使用的核航线及其与核机构的关系仍然不明朗。我们显示,与早期或晚期记录誊本不同,在出口前,立即(IE)的病毒记录单在核螺丝中单独积累,与早期或晚期的记录单点不同,它揭示了选择性的核斑点依赖路径。同样,在转录后感染性传播到核斑点时,主机对病毒性RNA的管制也随之提高。此外,我们发现,在转录后感染性传播到核斑点的过程中,主机式的MRNA系统也在传染过程中加强了管制。</w:t>
      </w:r>
    </w:p>
    <w:p>
      <w:pPr>
        <w:spacing w:before="0" w:after="200" w:lineRule="auto" w:line="276"/>
      </w:pPr>
      <w:r>
        <w:rPr>
          <w:b/>
        </w:rPr>
        <w:t xml:space="preserve">Abstract (EN): </w:t>
      </w:r>
      <w:r>
        <w:t>Herpes simplex virus type 1 (HSV-1) infection remodels the host nucleus, marginalizing chromatin and forming viral replication compartments (VRCs). Nuclear speckles, nuclear bodies enriched in RNA-processing factors, reposition around VRCs and undergo structural changes. While viral mRNAs are transcribed in VRCs and host transcription is largely suppressed, the nuclear routes used by viral and upregulated host transcripts and their relationship with nuclear bodies remain unclear. We show that immediate-early (IE) viral transcripts uniquely accumulate in nuclear speckles prior to export, unlike early or late transcripts, revealing a selective nuclear speckle-dependent pathway. Similarly, host mRNAs upregulated during infection traffic into nuclear speckles after transcription. Moreover, nuclear speckles are structurally remodeled, marked by the long non-coding RNA (lncRNA) MALAT1 removal and increased dynamics of the nuclear speckle core protein SRRM2. Finally, we found that blocking mRNA export causes IE transcripts to accumulate in nuclear speckles and that nuclear speckle disassembly severely impairs IE mRNA export, preventing downstream viral gene expression. These findings establish nuclear speckles as dynamic regulatory hubs that selectively facilitate the processing and export of IE viral mRNAs during HSV-1 infection.</w:t>
      </w:r>
    </w:p>
    <w:p>
      <w:pPr>
        <w:spacing w:before="120" w:after="120"/>
      </w:pPr>
      <w:r>
        <w:rPr>
          <w:sz w:val="18"/>
        </w:rPr>
        <w:t>——————————————————————————————————————————————————————————————————————</w:t>
      </w:r>
    </w:p>
    <w:p>
      <w:pPr>
        <w:spacing w:before="160" w:after="40" w:line="240" w:lineRule="auto"/>
      </w:pPr>
      <w:r>
        <w:rPr>
          <w:b/>
        </w:rPr>
        <w:t xml:space="preserve">[151] </w:t>
      </w:r>
      <w:hyperlink r:id="rId220">
        <w:r>
          <w:rPr>
            <w:color w:val="1155CC"/>
            <w:u w:val="single"/>
          </w:rPr>
          <w:t>以健康为重点的框架动员美国人采取行动,解决男女同性恋、双性同性恋、双性同性恋、双性同性恋、双性同性恋、双性同性恋、双性同性恋、双性同性恋、双性同性恋、双性同性恋、双性同性恋、双性同性恋、双性同性恋、双性同性恋、双性同性恋、双性恋</w:t>
        </w:r>
      </w:hyperlink>
    </w:p>
    <w:p>
      <w:pPr>
        <w:spacing w:before="0" w:after="80"/>
      </w:pPr>
      <w:r>
        <w:rPr>
          <w:i/>
          <w:sz w:val="20"/>
        </w:rPr>
        <w:t>EN: Health-focused frames mobilize Americans to action to address LGBTQ inequality</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21">
        <w:r>
          <w:rPr>
            <w:color w:val="1155CC"/>
            <w:u w:val="single"/>
          </w:rPr>
          <w:t>10.1073/pnas.2527168123</w:t>
        </w:r>
      </w:hyperlink>
    </w:p>
    <w:p>
      <w:pPr>
        <w:spacing w:before="0" w:after="120"/>
      </w:pPr>
      <w:r>
        <w:rPr>
          <w:b/>
        </w:rPr>
        <w:t xml:space="preserve">Notes: </w:t>
      </w:r>
      <w:r>
        <w:t>abstract_source=pubmed</w:t>
      </w:r>
    </w:p>
    <w:p>
      <w:pPr>
        <w:spacing w:before="0" w:after="80" w:lineRule="auto" w:line="276"/>
      </w:pPr>
      <w:r>
        <w:rPr>
          <w:b/>
        </w:rPr>
        <w:t xml:space="preserve">摘要（ZH）: </w:t>
      </w:r>
      <w:r>
        <w:t>“超过八分之一的LGBTQ人生活在医生可以拒绝治疗他们的州里。”这个标题头条描述了2025年通过的一系列法律,允许医生拒绝治疗LGBTQ病人。这个法律和其他法律限制LGBTQ人获得医疗保健的机会,加剧了LGBTQ人的健康不平等。但是,健康并不是LGBTQ人面临差异的唯一领域。在其他生活领域也存在长期的不平等,例如,男同性恋者的工资比异性同性者低32%。在目前的研究中,我们询问在同一个领域(例如健康)接触LGBTQ不平等是否比在其他领域(例如经济学)接触不平等更能激发对行动的支持。在六个实验中(5个预先注册),我们测试我们是否在其它领域(例如经济)受到不平等的影响。</w:t>
      </w:r>
    </w:p>
    <w:p>
      <w:pPr>
        <w:spacing w:before="0" w:after="200" w:lineRule="auto" w:line="276"/>
      </w:pPr>
      <w:r>
        <w:rPr>
          <w:b/>
        </w:rPr>
        <w:t xml:space="preserve">Abstract (EN): </w:t>
      </w:r>
      <w:r>
        <w:t>"More than 1 in 8 LGBTQ people live in states where doctors can refuse to treat them." This headline describes a flurry of laws passed in 2025 allowing doctors to refuse treatment of LGBTQ patients based on personal beliefs. This and other laws like it limit healthcare access and exacerbate health inequality for LGBTQ individuals. But health is not the only domain in which LGBTQ individuals face disparities. Long-standing inequalities also exist in other domains of life, for example, gay men earn up to 32% less wages than their heterosexual peers. In the current research, we ask if exposure to LGBTQ inequality in one domain (e.g., health) motivates more support for action than exposure to inequality in other domains (e.g., economics). In six experiments (five preregistered), we test our hypothesis that emphasizing health-based LGBTQ inequality (vs. economics and belonging) spurs engagement with and support for mitigating action (S1-2). We also investigate why people support action (S1a-1b) and what boosts support (S3a-3c). As predicted and preregistered, we find greater support for action to mitigate health-based LGBTQ inequality, compared to economics and belonging. This occurs, in part, because people blame LGBTQ individuals less for health (vs. economic) disparities and perceive health inequalities to violate morally sacred values, which is associated with greater perceived injustice. Finally, we find that connecting economic inequality to health inequality in individuals' minds can increase support for mitigating economic inequality.</w:t>
      </w:r>
    </w:p>
    <w:p>
      <w:pPr>
        <w:spacing w:before="120" w:after="120"/>
      </w:pPr>
      <w:r>
        <w:rPr>
          <w:sz w:val="18"/>
        </w:rPr>
        <w:t>——————————————————————————————————————————————————————————————————————</w:t>
      </w:r>
    </w:p>
    <w:p>
      <w:pPr>
        <w:spacing w:before="160" w:after="40" w:line="240" w:lineRule="auto"/>
      </w:pPr>
      <w:r>
        <w:rPr>
          <w:b/>
        </w:rPr>
        <w:t xml:space="preserve">[152] </w:t>
      </w:r>
      <w:hyperlink r:id="rId222">
        <w:r>
          <w:rPr>
            <w:color w:val="1155CC"/>
            <w:u w:val="single"/>
          </w:rPr>
          <w:t>自美国环境保护署成立以来,人类接触铅的情况有所下降。</w:t>
        </w:r>
      </w:hyperlink>
    </w:p>
    <w:p>
      <w:pPr>
        <w:spacing w:before="0" w:after="80"/>
      </w:pPr>
      <w:r>
        <w:rPr>
          <w:i/>
          <w:sz w:val="20"/>
        </w:rPr>
        <w:t>EN: Lead in archived hair documents a decline in lead exposure to humans since the establishment of the US Environmental Protection Agency</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23">
        <w:r>
          <w:rPr>
            <w:color w:val="1155CC"/>
            <w:u w:val="single"/>
          </w:rPr>
          <w:t>10.1073/pnas.2525498123</w:t>
        </w:r>
      </w:hyperlink>
    </w:p>
    <w:p>
      <w:pPr>
        <w:spacing w:before="0" w:after="120"/>
      </w:pPr>
      <w:r>
        <w:rPr>
          <w:b/>
        </w:rPr>
        <w:t xml:space="preserve">Notes: </w:t>
      </w:r>
      <w:r>
        <w:t>abstract_source=pubmed</w:t>
      </w:r>
    </w:p>
    <w:p>
      <w:pPr>
        <w:spacing w:before="0" w:after="80" w:lineRule="auto" w:line="276"/>
      </w:pPr>
      <w:r>
        <w:rPr>
          <w:b/>
        </w:rPr>
        <w:t xml:space="preserve">摘要（ZH）: </w:t>
      </w:r>
      <w:r>
        <w:t>众所周知,铅(Pb)对人类有毒,我们使用犹他州Wasatch Front一带居民的存档毛发来评估过去100年(y)中铅接触量的变化。 目前,该人口头发中的铅浓度平均比环境保护局成立之前低近100倍。这种低铅接触水平很可能是由于环境保护局制定的环境条例造成的。</w:t>
      </w:r>
    </w:p>
    <w:p>
      <w:pPr>
        <w:spacing w:before="0" w:after="200" w:lineRule="auto" w:line="276"/>
      </w:pPr>
      <w:r>
        <w:rPr>
          <w:b/>
        </w:rPr>
        <w:t xml:space="preserve">Abstract (EN): </w:t>
      </w:r>
      <w:r>
        <w:t>Lead (Pb) is well known to be toxic to humans. We use archived hair from individuals living along the Wasatch Front in Utah to evaluate changes in exposure to lead over the last 100 y. Current concentrations of lead in hair from this population average almost 100 times lower than before the establishment of the Environmental Protection Agency. This low level of lead exposure is likely due to the environmental regulations established by Environmental Protection Agency.</w:t>
      </w:r>
    </w:p>
    <w:p>
      <w:pPr>
        <w:spacing w:before="120" w:after="120"/>
      </w:pPr>
      <w:r>
        <w:rPr>
          <w:sz w:val="18"/>
        </w:rPr>
        <w:t>——————————————————————————————————————————————————————————————————————</w:t>
      </w:r>
    </w:p>
    <w:p>
      <w:pPr>
        <w:spacing w:before="160" w:after="40" w:line="240" w:lineRule="auto"/>
      </w:pPr>
      <w:r>
        <w:rPr>
          <w:b/>
        </w:rPr>
        <w:t xml:space="preserve">[153] </w:t>
      </w:r>
      <w:hyperlink r:id="rId224">
        <w:r>
          <w:rPr>
            <w:color w:val="1155CC"/>
            <w:u w:val="single"/>
          </w:rPr>
          <w:t>由含有蛋白质4的克lyoxalase领域催化的选择性过氧化亚硝酸性介质蛋白硝化</w:t>
        </w:r>
      </w:hyperlink>
    </w:p>
    <w:p>
      <w:pPr>
        <w:spacing w:before="0" w:after="80"/>
      </w:pPr>
      <w:r>
        <w:rPr>
          <w:i/>
          <w:sz w:val="20"/>
        </w:rPr>
        <w:t>EN: Selective peroxynitrite-mediated protein nitration catalyzed by glyoxalase domain containing protein 4</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25">
        <w:r>
          <w:rPr>
            <w:color w:val="1155CC"/>
            <w:u w:val="single"/>
          </w:rPr>
          <w:t>10.1073/pnas.2515002123</w:t>
        </w:r>
      </w:hyperlink>
    </w:p>
    <w:p>
      <w:pPr>
        <w:spacing w:before="0" w:after="120"/>
      </w:pPr>
      <w:r>
        <w:rPr>
          <w:b/>
        </w:rPr>
        <w:t xml:space="preserve">Notes: </w:t>
      </w:r>
      <w:r>
        <w:t>abstract_source=pubmed</w:t>
      </w:r>
    </w:p>
    <w:p>
      <w:pPr>
        <w:spacing w:before="0" w:after="80" w:lineRule="auto" w:line="276"/>
      </w:pPr>
      <w:r>
        <w:rPr>
          <w:b/>
        </w:rPr>
        <w:t xml:space="preserve">摘要（ZH）: </w:t>
      </w:r>
      <w:r>
        <w:t>Tyrosine 硝化盐改变了蛋白质的结构、功能和细胞本地化,并涉及多种疾病的病理学[G.Ferrer-Sueta等人,Chem.Rev.1118,1338-1408(2018年),H.Ischiropoulos,Arch.Biochem,生物物理,356,1-11(1998年),I.Griswold-Prenner等人,J.Biol.Chem.299,105038-10554(2023年)]。虽然蛋白硝化液假定通过非特定化学机制进行,但具有高度选择性,表明有可能进行酶催化。在这里,我们显示含有甘烃域酶的蛋白质4(GLOD4),一种先前未描述过的蛋白质,是一种酶,催化选择性蛋白质硝化。GLOD4 介介质的活性主要指标是甲-西核素(α-辛),这是帕金氏病的发病症的核心。</w:t>
      </w:r>
    </w:p>
    <w:p>
      <w:pPr>
        <w:spacing w:before="0" w:after="200" w:lineRule="auto" w:line="276"/>
      </w:pPr>
      <w:r>
        <w:rPr>
          <w:b/>
        </w:rPr>
        <w:t xml:space="preserve">Abstract (EN): </w:t>
      </w:r>
      <w:r>
        <w:t>Tyrosine nitration alters the structure, function, and cellular localization of proteins and is implicated in the pathology of multiple diseases [G. Ferrer-Sueta et al., Chem. Rev. 118, 1338-1408 (2018), H. Ischiropoulos, Arch. Biochem. Biophys. 356, 1-11 (1998), I. Griswold-Prenner et al., J. Biol. Chem. 299, 105038-10554 (2023)]. Although protein nitration is assumed to proceed via nonspecific chemical mechanisms, it is highly selective, suggesting the possibility of enzymatic catalysis. Here, we showed that glyoxalase domain-containing protein 4 (GLOD4), a previously uncharacterized protein, is an enzyme that catalyzes selective protein nitration. A primary in vivo target for GLOD4-mediated nitration is alpha-synuclein (α-syn), which is central to the pathogenesis of Parkinson's disease (PD) and related disorders. We document tyrosine nitration of α-syn by GLOD4 in vitro, in cells, and in a murine model of synuclein pathology. The data identified a function of GLOD4 and other structurally related proteins that catalyze the peroxynitrite-mediated selective protein tyrosine nitration. This enzymatic catalysis of nitration may unearth pathophysiological mechanisms and potential interventions in diseases such as PD, cancer, and autoimmunity.</w:t>
      </w:r>
    </w:p>
    <w:p>
      <w:pPr>
        <w:spacing w:before="120" w:after="120"/>
      </w:pPr>
      <w:r>
        <w:rPr>
          <w:sz w:val="18"/>
        </w:rPr>
        <w:t>——————————————————————————————————————————————————————————————————————</w:t>
      </w:r>
    </w:p>
    <w:p>
      <w:pPr>
        <w:spacing w:before="160" w:after="40" w:line="240" w:lineRule="auto"/>
      </w:pPr>
      <w:r>
        <w:rPr>
          <w:b/>
        </w:rPr>
        <w:t xml:space="preserve">[154] </w:t>
      </w:r>
      <w:hyperlink r:id="rId226">
        <w:r>
          <w:rPr>
            <w:color w:val="1155CC"/>
            <w:u w:val="single"/>
          </w:rPr>
          <w:t>SLLLC30A10 特定中子调整 SLLLC30A10 确定多帕胺基和谷颈甲状体外基神经元为锰诱发运动性疾病的目标</w:t>
        </w:r>
      </w:hyperlink>
    </w:p>
    <w:p>
      <w:pPr>
        <w:spacing w:before="0" w:after="80"/>
      </w:pPr>
      <w:r>
        <w:rPr>
          <w:i/>
          <w:sz w:val="20"/>
        </w:rPr>
        <w:t>EN: Neuron-specific modulation of SLC30A10 identifies dopaminergic and glutamatergic neurons as targets of manganese-induced motor disease</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27">
        <w:r>
          <w:rPr>
            <w:color w:val="1155CC"/>
            <w:u w:val="single"/>
          </w:rPr>
          <w:t>10.1073/pnas.2515785123</w:t>
        </w:r>
      </w:hyperlink>
    </w:p>
    <w:p>
      <w:pPr>
        <w:spacing w:before="0" w:after="120"/>
      </w:pPr>
      <w:r>
        <w:rPr>
          <w:b/>
        </w:rPr>
        <w:t xml:space="preserve">Notes: </w:t>
      </w:r>
      <w:r>
        <w:t>abstract_source=pubmed</w:t>
      </w:r>
    </w:p>
    <w:p>
      <w:pPr>
        <w:spacing w:before="0" w:after="80" w:lineRule="auto" w:line="276"/>
      </w:pPr>
      <w:r>
        <w:rPr>
          <w:b/>
        </w:rPr>
        <w:t xml:space="preserve">摘要（ZH）: </w:t>
      </w:r>
      <w:r>
        <w:t>但是,与其他运动疾病不同,基本金属的神经目标并不为人知,而且这一根本知识差距也限制了治疗进步。由于金属超奢载运输者具有高度的特殊性,我们推测,超奢载运输者因神经特有的击倒或击倒(即过分表情)可改变目标神经元中的金属水平,并界定金属诱发疾病的神经目标。为了测试这一点,我们把重点放在锰(Mn)引起的运动疾病上,这是一个公共健康问题。我们制造了六种针对神经的Slc30a10老鼠菌株,在多聚胺、GABAergic、或通食性神经元中,我们制造了六种针对神经的Slc30a10老鼠菌株,在多聚氨基、GABAergic或通食性神经中,我们制造了六种针对神经的Slc30a10。</w:t>
      </w:r>
    </w:p>
    <w:p>
      <w:pPr>
        <w:spacing w:before="0" w:after="200" w:lineRule="auto" w:line="276"/>
      </w:pPr>
      <w:r>
        <w:rPr>
          <w:b/>
        </w:rPr>
        <w:t xml:space="preserve">Abstract (EN): </w:t>
      </w:r>
      <w:r>
        <w:t>Essential metals accumulate in the basal ganglia at elevated levels and induce incurable motor disease. But, unlike other motor diseases, the neuronal targets of essential metals are unknown, and this fundamental knowledge gap has limited therapeutic progress. Because metal efflux transporters have high specificity, we hypothesized that neuron-specific knockout or knockin (i.e., overexpression) of efflux transporters may alter metal levels in targeted neurons and define the neuronal targets of metal-induced disease. To test this, we focused on manganese (Mn)-induced motor disease, which is a public health problem. We generated six neuron-specific Slc30a10 mouse strains with knockout or knockin of the Mn efflux transporter Slc30a10 in dopaminergic, GABAergic, or glutamatergic neurons. In the knockout strains, SLC30A10 was depleted and Mn levels were elevated in targeted brain regions. However, only dopaminergic- or glutamatergic-, but not GABAergic-, specific knockouts developed motor deficits without Mn exposure. Conversely, in the knockins, SLC30A10 was elevated and the increase in Mn levels after Mn exposure was attenuated in targeted regions. However, only dopaminergic- or glutamatergic-, but not GABAergic-, specific knockins were protected against Mn-induced motor deficits. Dopaminergic-specific Slc30a10 knockouts also exhibited deficits in dopaminergic neurotransmission that were consistent with their motor phenotype. Overall, 1) elevated Mn targets dopaminergic and glutamatergic neurons to induce motor disease, and 2) neuron-specific knockout/knockin of efflux transporters is an effective strategy to isolate the neuronal targets and underlying mechanisms of metal-induced neurological disease.</w:t>
      </w:r>
    </w:p>
    <w:p>
      <w:pPr>
        <w:spacing w:before="120" w:after="120"/>
      </w:pPr>
      <w:r>
        <w:rPr>
          <w:sz w:val="18"/>
        </w:rPr>
        <w:t>——————————————————————————————————————————————————————————————————————</w:t>
      </w:r>
    </w:p>
    <w:p>
      <w:pPr>
        <w:spacing w:before="160" w:after="40" w:line="240" w:lineRule="auto"/>
      </w:pPr>
      <w:r>
        <w:rPr>
          <w:b/>
        </w:rPr>
        <w:t xml:space="preserve">[155] </w:t>
      </w:r>
      <w:hyperlink r:id="rId228">
        <w:r>
          <w:rPr>
            <w:color w:val="1155CC"/>
            <w:u w:val="single"/>
          </w:rPr>
          <w:t>获得贝比西亚受感染的微血细胞的机能</w:t>
        </w:r>
      </w:hyperlink>
    </w:p>
    <w:p>
      <w:pPr>
        <w:spacing w:before="0" w:after="80"/>
      </w:pPr>
      <w:r>
        <w:rPr>
          <w:i/>
          <w:sz w:val="20"/>
        </w:rPr>
        <w:t>EN: Acquired motility of Babesia microti–infected red blood cells</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29">
        <w:r>
          <w:rPr>
            <w:color w:val="1155CC"/>
            <w:u w:val="single"/>
          </w:rPr>
          <w:t>10.1073/pnas.2509776123</w:t>
        </w:r>
      </w:hyperlink>
    </w:p>
    <w:p>
      <w:pPr>
        <w:spacing w:before="0" w:after="120"/>
      </w:pPr>
      <w:r>
        <w:rPr>
          <w:b/>
        </w:rPr>
        <w:t xml:space="preserve">Notes: </w:t>
      </w:r>
      <w:r>
        <w:t>abstract_source=pubmed</w:t>
      </w:r>
    </w:p>
    <w:p>
      <w:pPr>
        <w:spacing w:before="0" w:after="80" w:lineRule="auto" w:line="276"/>
      </w:pPr>
      <w:r>
        <w:rPr>
          <w:b/>
        </w:rPr>
        <w:t xml:space="preserve">摘要（ZH）: </w:t>
      </w:r>
      <w:r>
        <w:t>Babesia微生物是一种内红细胞原生虫,是美国人类幼虫病的主要诱导剂。虽然广泛研究的重点是这种病媒传播的病原体在自然人口中的流行程度、人类病例和临床表现的增加以及病原体结构,但对于B.微生物在脊椎红血细胞(RBCs)中的移动情况知之甚少。RBCs是非流动的,因为它们缺乏活跃运动所需的细胞结构。我们在这里报告了一种现象,即B. 微生物感染的RBCs与未感染的RBCs相比表现出了一种已获得的机能。我们利用活细胞跟踪,观察到受感染的RBCs的子(整个血液中大约1%,1 100分之10%为稀释血)表现出了积极的运动。这种获得的机能表明B. m.</w:t>
      </w:r>
    </w:p>
    <w:p>
      <w:pPr>
        <w:spacing w:before="0" w:after="200" w:lineRule="auto" w:line="276"/>
      </w:pPr>
      <w:r>
        <w:rPr>
          <w:b/>
        </w:rPr>
        <w:t xml:space="preserve">Abstract (EN): </w:t>
      </w:r>
      <w:r>
        <w:t>Babesia microti is an intraerythrocytic protozoan parasite and the main causative agent of human babesiosis in the United States. While extensive research has focused on the prevalence of this vector-borne pathogen in natural populations, increases of human cases and clinical manifestation, and pathogen structure, little is known about the movements of B. microti within vertebrate red blood cells (RBCs). RBCs are nonmotile due to their lack of cellular structures for active movement. Here, we report a phenomenon in which B. microti-infected RBCs exhibit an acquired motility compared to uninfected RBCs. Using live-cell tracking, we observed a subset (around 1% in whole blood and 10% in 1:100 diluted blood) of infected RBCs displayed active movement. This acquired motility suggests that B. microti may induce host cell modifications that facilitate its survival, dissemination, or immune evasion potential, allowing it to successfully move through the blood and infect new RBCs. Our findings highlight unconventional RBC dynamics and a potential broad aspect of B. microti pathogenesis. Further investigation into the molecular mechanisms underlying this phenomenon could provide insights into parasite-host interactions and reveal targets for therapeutic intervention in treatment and/or prevention of babesiosis.</w:t>
      </w:r>
    </w:p>
    <w:p>
      <w:pPr>
        <w:spacing w:before="120" w:after="120"/>
      </w:pPr>
      <w:r>
        <w:rPr>
          <w:sz w:val="18"/>
        </w:rPr>
        <w:t>——————————————————————————————————————————————————————————————————————</w:t>
      </w:r>
    </w:p>
    <w:p>
      <w:pPr>
        <w:spacing w:before="160" w:after="40" w:line="240" w:lineRule="auto"/>
      </w:pPr>
      <w:r>
        <w:rPr>
          <w:b/>
        </w:rPr>
        <w:t xml:space="preserve">[156] </w:t>
      </w:r>
      <w:hyperlink r:id="rId230">
        <w:r>
          <w:rPr>
            <w:color w:val="1155CC"/>
            <w:u w:val="single"/>
          </w:rPr>
          <w:t>针对高等级神经内分泌肺癌和前列腺癌的下一代抗DLL33放射药剂</w:t>
        </w:r>
      </w:hyperlink>
    </w:p>
    <w:p>
      <w:pPr>
        <w:spacing w:before="0" w:after="80"/>
      </w:pPr>
      <w:r>
        <w:rPr>
          <w:i/>
          <w:sz w:val="20"/>
        </w:rPr>
        <w:t>EN: Next-generation anti-DLL3 radiopharmaceuticals targeting high-grade neuroendocrine lung and prostate cancers</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31">
        <w:r>
          <w:rPr>
            <w:color w:val="1155CC"/>
            <w:u w:val="single"/>
          </w:rPr>
          <w:t>10.1073/pnas.2505785123</w:t>
        </w:r>
      </w:hyperlink>
    </w:p>
    <w:p>
      <w:pPr>
        <w:spacing w:before="0" w:after="120"/>
      </w:pPr>
      <w:r>
        <w:rPr>
          <w:b/>
        </w:rPr>
        <w:t xml:space="preserve">Notes: </w:t>
      </w:r>
      <w:r>
        <w:t>abstract_source=pubmed</w:t>
      </w:r>
    </w:p>
    <w:p>
      <w:pPr>
        <w:spacing w:before="0" w:after="80" w:lineRule="auto" w:line="276"/>
      </w:pPr>
      <w:r>
        <w:rPr>
          <w:b/>
        </w:rPr>
        <w:t xml:space="preserve">摘要（ZH）: </w:t>
      </w:r>
      <w:r>
        <w:t>DLL3是高等级神经内分泌肿瘤(包括小细胞肺癌(SCLC)和前神经内分泌癌(NEPC))中调控的肿瘤选择性细胞表面蛋白3(DLL3),我们在此报告研制抗DLL3放射性mmunoconjugates的情况,以用作诊断成像跟踪器,该成像仪基于正对-发射-89(89Zr)或利用β发射177(177Lu)的治疗剂。首先,我们制作了一个人体单克隆抗体小组,以人体DLL3为对象,通过对以人类免疫球球状再造成的转基因小鼠进行免疫。对专门小组进行了广泛筛选,以识别高亲近性内化单克隆抗体(Mbs),承认DLL3型顶顶(89Zrr)的多样性。</w:t>
      </w:r>
    </w:p>
    <w:p>
      <w:pPr>
        <w:spacing w:before="0" w:after="200" w:lineRule="auto" w:line="276"/>
      </w:pPr>
      <w:r>
        <w:rPr>
          <w:b/>
        </w:rPr>
        <w:t xml:space="preserve">Abstract (EN): </w:t>
      </w:r>
      <w:r>
        <w:t>Delta-like ligand 3 (DLL3) is a tumor-selective cell surface protein upregulated in high-grade neuroendocrine tumors, including small-cell lung cancer (SCLC) and neuroendocrine prostate cancer (NEPC). Here, we report on the development of anti-DLL3 radioimmunoconjugates for use as either a diagnostic imaging tracer based on the positron-emitter zirconium-89 (89Zr) or a therapeutic agent utilizing the beta-emitter lutetium-177 (177Lu). To begin, we generated a panel of human monoclonal antibodies targeting human DLL3 by immunizing transgenic mice engineered with a human immunoglobulin repertoire. The panel was extensively screened to identify high-affinity internalizing monoclonal antibodies (mAbs) recognizing a diversity of DLL3 epitopes. Select mAbs were reformatted as fully human Fab-arm exchange-deficient IgG4 to reduce effector function and then produced by recombinant methods. A pilot immunoPET study was performed in athymic female nude mice bearing human NCI-H82 SCLC tumors to nominate a lead candidate. ImmunoPET identified [89Zr]Zr-DFO-TDI-Y-010 as the top-performing diagnostic tracer, with excellent in vivo biodistribution and tumor-to-background-organ ratios consistently &gt;4. Therapeutic studies with [177Lu]Lu-CHX-A"-DTPA-TDI-Y-010 demonstrated strong antitumor effects, significantly improving (P &lt;0.05) overall survival compared with the benchmark clone [177Lu]Lu-CHX-A"-DTPA-SC16.56 in two SCLC tumor models (NCI-H82 and Lu149) and achieving comparable overall survival in a NEPC tumor model.</w:t>
      </w:r>
    </w:p>
    <w:p>
      <w:pPr>
        <w:spacing w:before="120" w:after="120"/>
      </w:pPr>
      <w:r>
        <w:rPr>
          <w:sz w:val="18"/>
        </w:rPr>
        <w:t>——————————————————————————————————————————————————————————————————————</w:t>
      </w:r>
    </w:p>
    <w:p>
      <w:pPr>
        <w:spacing w:before="160" w:after="40" w:line="240" w:lineRule="auto"/>
      </w:pPr>
      <w:r>
        <w:rPr>
          <w:b/>
        </w:rPr>
        <w:t xml:space="preserve">[157] </w:t>
      </w:r>
      <w:hyperlink r:id="rId232">
        <w:r>
          <w:rPr>
            <w:color w:val="1155CC"/>
            <w:u w:val="single"/>
          </w:rPr>
          <w:t>旗旗旋转全圆</w:t>
        </w:r>
      </w:hyperlink>
    </w:p>
    <w:p>
      <w:pPr>
        <w:spacing w:before="0" w:after="80"/>
      </w:pPr>
      <w:r>
        <w:rPr>
          <w:i/>
          <w:sz w:val="20"/>
        </w:rPr>
        <w:t>EN: Flagellar rotation comes full circle</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33">
        <w:r>
          <w:rPr>
            <w:color w:val="1155CC"/>
            <w:u w:val="single"/>
          </w:rPr>
          <w:t>10.1073/pnas.2533096123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234">
        <w:r>
          <w:rPr>
            <w:color w:val="1155CC"/>
            <w:u w:val="single"/>
          </w:rPr>
          <w:t>以近距离驱动加速具有挑战性的固相合相加速</w:t>
        </w:r>
      </w:hyperlink>
    </w:p>
    <w:p>
      <w:pPr>
        <w:spacing w:before="0" w:after="80"/>
      </w:pPr>
      <w:r>
        <w:rPr>
          <w:i/>
          <w:sz w:val="20"/>
        </w:rPr>
        <w:t>EN: Proximity-driven acceleration of challenging solid-phase peptide couplings</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35">
        <w:r>
          <w:rPr>
            <w:color w:val="1155CC"/>
            <w:u w:val="single"/>
          </w:rPr>
          <w:t>10.1073/pnas.2522338123</w:t>
        </w:r>
      </w:hyperlink>
    </w:p>
    <w:p>
      <w:pPr>
        <w:spacing w:before="0" w:after="120"/>
      </w:pPr>
      <w:r>
        <w:rPr>
          <w:b/>
        </w:rPr>
        <w:t xml:space="preserve">Notes: </w:t>
      </w:r>
      <w:r>
        <w:t>abstract_source=pubmed</w:t>
      </w:r>
    </w:p>
    <w:p>
      <w:pPr>
        <w:spacing w:before="0" w:after="80" w:lineRule="auto" w:line="276"/>
      </w:pPr>
      <w:r>
        <w:rPr>
          <w:b/>
        </w:rPr>
        <w:t xml:space="preserve">摘要（ZH）: </w:t>
      </w:r>
      <w:r>
        <w:t>许多重要的固态合成反应缓慢而低效地进行,例如,将活性酯与一个受到严重阻碍的、球形散射的地雷相混合,这是合成许多铅化物的一个关键步骤。为了达到可接受的产量,通常需要强制条件。我们在这里表明,通过将核本性丙烯催化剂绑在珠上,这种反应可以加速,因为它与活性酯发生反应,形成一种反应性丙烯基氢中间体在当地高度集中,使夫妇能够有效地接触被球状散射的地雷。 在许多情况下,在装有固定催化剂的树脂上进行的反应的“清洁性”比催化剂加入溶液的类似反应要好得多。</w:t>
      </w:r>
    </w:p>
    <w:p>
      <w:pPr>
        <w:spacing w:before="0" w:after="200" w:lineRule="auto" w:line="276"/>
      </w:pPr>
      <w:r>
        <w:rPr>
          <w:b/>
        </w:rPr>
        <w:t xml:space="preserve">Abstract (EN): </w:t>
      </w:r>
      <w:r>
        <w:t>Many important solid-phase synthesis reactions proceed slowly and inefficiently, for example, the coupling of an activated ester to a sterically hindered, bead-displayed amine, a critical step in the synthesis of many peptides. Forcing conditions are often required to achieve acceptable yields. We show here that such reactions can be accelerated by tethering to the bead a nucleophilic pyridine catalyst, which reacts with the activated ester, creating a high local concentration of a reactive acylpyridinium intermediate that couples efficiently to the bead-displayed amine. In many cases, the "cleanliness" of reactions carried out on resins equipped with an immobilized catalyst is substantially better than the analogous reactions in which the catalyst is added to the solution.</w:t>
      </w:r>
    </w:p>
    <w:p>
      <w:pPr>
        <w:spacing w:before="120" w:after="120"/>
      </w:pPr>
      <w:r>
        <w:rPr>
          <w:sz w:val="18"/>
        </w:rPr>
        <w:t>——————————————————————————————————————————————————————————————————————</w:t>
      </w:r>
    </w:p>
    <w:p>
      <w:pPr>
        <w:spacing w:before="160" w:after="40" w:line="240" w:lineRule="auto"/>
      </w:pPr>
      <w:r>
        <w:rPr>
          <w:b/>
        </w:rPr>
        <w:t xml:space="preserve">[159] </w:t>
      </w:r>
      <w:hyperlink r:id="rId236">
        <w:r>
          <w:rPr>
            <w:color w:val="1155CC"/>
            <w:u w:val="single"/>
          </w:rPr>
          <w:t>氧化污染物会干扰蚂蚁的巢穴识别</w:t>
        </w:r>
      </w:hyperlink>
    </w:p>
    <w:p>
      <w:pPr>
        <w:spacing w:before="0" w:after="80"/>
      </w:pPr>
      <w:r>
        <w:rPr>
          <w:i/>
          <w:sz w:val="20"/>
        </w:rPr>
        <w:t>EN: Oxidizing pollutants can disrupt nestmate recognition in ants</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37">
        <w:r>
          <w:rPr>
            <w:color w:val="1155CC"/>
            <w:u w:val="single"/>
          </w:rPr>
          <w:t>10.1073/pnas.2520139123</w:t>
        </w:r>
      </w:hyperlink>
    </w:p>
    <w:p>
      <w:pPr>
        <w:spacing w:before="0" w:after="120"/>
      </w:pPr>
      <w:r>
        <w:rPr>
          <w:b/>
        </w:rPr>
        <w:t xml:space="preserve">Notes: </w:t>
      </w:r>
      <w:r>
        <w:t>abstract_source=pubmed</w:t>
      </w:r>
    </w:p>
    <w:p>
      <w:pPr>
        <w:spacing w:before="0" w:after="80" w:lineRule="auto" w:line="276"/>
      </w:pPr>
      <w:r>
        <w:rPr>
          <w:b/>
        </w:rPr>
        <w:t xml:space="preserve">摘要（ZH）: </w:t>
      </w:r>
      <w:r>
        <w:t>以聚居区特定剖面的清洁碳氢化合物(CHCs)为根据的聚居区特定剖面剖面表而确认的休氏室动物巢。虽然这些剖面图中含有各种藻类,但数量较少的羊排对于巢穴识别至关重要[F. R. Dani等人, Chem. Chem. Senses 30, 477-489 (2005 (2005 )]。然而,由于其碳-碳的双重结合关系,藻类很容易被氧化剂降解。据报告,在非城市地区通常达到10 ppb浓度的氧化物之一臭氧和目前城市达到30 ppb浓度的约30 ppb,在高度污染地区往往超过100 ppb ppb,偶尔报告值超过200 ppb ppb。在这里,我们表明,短期接触这种高浓度水平会降低所有六种受调查的蚂种体内的藻类,并损害其中五种的巢穴群的识别。</w:t>
      </w:r>
    </w:p>
    <w:p>
      <w:pPr>
        <w:spacing w:before="0" w:after="200" w:lineRule="auto" w:line="276"/>
      </w:pPr>
      <w:r>
        <w:rPr>
          <w:b/>
        </w:rPr>
        <w:t xml:space="preserve">Abstract (EN): </w:t>
      </w:r>
      <w:r>
        <w:t>Eusocial hymenoptera recognize nestmates based on colony-specific profiles of cuticular hydrocarbons (CHCs). While these profiles contain a variety of alkanes, the less abundant alkenes are crucial for nestmate recognition [F. R. Dani et al., Chem. Senses 30, 477-489 (2005)]. However, due to their carbon-carbon double bonds, alkenes can easily become degraded by oxidants. One of those oxidants, ozone, that usually reaches concentrations of 10 ppb in nonurban areas and ca 30 ppb in cities nowadays has been reported to often exceed 100 ppb in highly polluted regions, with levels above 200 ppb occasionally reported. Here, we show that short exposure to such elevated levels degrades alkenes in CHC profiles of all six investigated ant species and compromises nestmate recognition in five of them. Furthermore, a separate experiment with long-term exposure to such ozone levels corrupted brood care behavior within ant colonies, resulting in the death of larvae. The oxidizing pollutants like ozone have already been shown to corrupt interactions of flowers and their pollinators [B. Cook et al., J. Chem. Biol. 46, 987-996 (2020)] as well as sex pheromone communication in multiple species of flies [N. J. Jiang et al., Nat. Commun. 14 (2023)]. Our data suggest that the detrimental effects of oxidant pollutants may be even more far-reaching by jeopardizing the functionality of eusocial colonies.</w:t>
      </w:r>
    </w:p>
    <w:p>
      <w:pPr>
        <w:spacing w:before="120" w:after="120"/>
      </w:pPr>
      <w:r>
        <w:rPr>
          <w:sz w:val="18"/>
        </w:rPr>
        <w:t>——————————————————————————————————————————————————————————————————————</w:t>
      </w:r>
    </w:p>
    <w:p>
      <w:pPr>
        <w:spacing w:before="160" w:after="40" w:line="240" w:lineRule="auto"/>
      </w:pPr>
      <w:r>
        <w:rPr>
          <w:b/>
        </w:rPr>
        <w:t xml:space="preserve">[160] </w:t>
      </w:r>
      <w:hyperlink r:id="rId238">
        <w:r>
          <w:rPr>
            <w:color w:val="1155CC"/>
            <w:u w:val="single"/>
          </w:rPr>
          <w:t>Ajourlou等人的校正,高地表温度照亮冰岛热点轨道和对格陵兰冰地相互作用的理解</w:t>
        </w:r>
      </w:hyperlink>
    </w:p>
    <w:p>
      <w:pPr>
        <w:spacing w:before="0" w:after="80"/>
      </w:pPr>
      <w:r>
        <w:rPr>
          <w:i/>
          <w:sz w:val="20"/>
        </w:rPr>
        <w:t>EN: Correction for Ajourlou et al., Upper mantle temperatures illuminate the Iceland hotspot track and understanding of ice–Earth interactions in Greenland</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39">
        <w:r>
          <w:rPr>
            <w:color w:val="1155CC"/>
            <w:u w:val="single"/>
          </w:rPr>
          <w:t>10.1073/pnas.2600481123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240">
        <w:r>
          <w:rPr>
            <w:color w:val="1155CC"/>
            <w:u w:val="single"/>
          </w:rPr>
          <w:t>安第斯温度振动</w:t>
        </w:r>
      </w:hyperlink>
    </w:p>
    <w:p>
      <w:pPr>
        <w:spacing w:before="0" w:after="80"/>
      </w:pPr>
      <w:r>
        <w:rPr>
          <w:i/>
          <w:sz w:val="20"/>
        </w:rPr>
        <w:t>EN: Evolution of Pliocene-Pleistocene tropical terrestrial Andean temperature amplification</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41">
        <w:r>
          <w:rPr>
            <w:color w:val="1155CC"/>
            <w:u w:val="single"/>
          </w:rPr>
          <w:t>10.1073/pnas.2520191123</w:t>
        </w:r>
      </w:hyperlink>
    </w:p>
    <w:p>
      <w:pPr>
        <w:spacing w:before="0" w:after="120"/>
      </w:pPr>
      <w:r>
        <w:rPr>
          <w:b/>
        </w:rPr>
        <w:t xml:space="preserve">Notes: </w:t>
      </w:r>
      <w:r>
        <w:t>abstract_source=pubmed</w:t>
      </w:r>
    </w:p>
    <w:p>
      <w:pPr>
        <w:spacing w:before="0" w:after="80" w:lineRule="auto" w:line="276"/>
      </w:pPr>
      <w:r>
        <w:rPr>
          <w:b/>
        </w:rPr>
        <w:t xml:space="preserve">摘要（ZH）: </w:t>
      </w:r>
      <w:r>
        <w:t>浮球是地球在大气二氧化碳水平(&gt;400ppm)与今天相似(&gt;400ppm)下暖热的最近一个时代; 浮球随后随着大规模北半球冰川的开始而向冷冻的Pleistocene 环状转变; 虽然这些时代的海洋温度变化相对为人所熟知,但热带地区土地温度变化规模的定量估计却很少。 我们根据在哥伦比亚萨巴纳德波哥大(~4N)保存的Funza-II核心沉积物中的细菌分枝基尔甘油四乙醇(Br GDGGTs)的分布,提供了一份多量性空气温度记录。</w:t>
      </w:r>
    </w:p>
    <w:p>
      <w:pPr>
        <w:spacing w:before="0" w:after="200" w:lineRule="auto" w:line="276"/>
      </w:pPr>
      <w:r>
        <w:rPr>
          <w:b/>
        </w:rPr>
        <w:t xml:space="preserve">Abstract (EN): </w:t>
      </w:r>
      <w:r>
        <w:t>The Pliocene is the most recent epoch in which the Earth warmed under atmospheric CO2 levels similar to today (&gt;400 ppm). The Pliocene then transitioned to the colder Pleistocene epoch, with the initiation of large-scale Northern Hemisphere glaciations. Although ocean temperature changes across these epochs are relatively well-known, quantitative estimates of the magnitude of land temperature change in the tropics are scarce. We provide a Plio-Quaternary quantitative air temperature record based on the distribution of bacterial branched glycerol dialkyl glycerol tetraethers (brGDGTs) preserved in sediments of the Funza-II core in the Sabana de Bogotá, Colombia (~4°N). Using a refined age model based on new U-Pb zircon dates from ash layers, and a novel mixed-source model that disentangles contributions from lake- and soil-derived brGDGTs, we show that warm Pliocene (3.8 to 2.58 Ma) temperatures were [Formula: see text] °C warmer than the last ~800,000 y of the colder Pleistocene. The evolution of Pliocene-Pleistocene temperature in our record largely mirrors long-term tropical sea surface temperature (SST) cooling, highlighting the linkages between sea and land temperatures in the low latitudes via greenhouse-gas forcing. The median amplitude of Pliocene-Pleistocene cooling in the northern tropical Andes exceeds that predicted by theory, highlighting the importance of regional feedbacks including lapse rate adjustments and/or changes in Pacific SST gradients to the long-term evolution of Andean temperature. This first quantitative terrestrial temperature reconstruction within 5° of the equator over the past 3.8 My highlights that both regional and global processes must be considered when constraining uncertainties for future warming scenarios.</w:t>
      </w:r>
    </w:p>
    <w:p>
      <w:pPr>
        <w:spacing w:before="120" w:after="120"/>
      </w:pPr>
      <w:r>
        <w:rPr>
          <w:sz w:val="18"/>
        </w:rPr>
        <w:t>——————————————————————————————————————————————————————————————————————</w:t>
      </w:r>
    </w:p>
    <w:p>
      <w:pPr>
        <w:spacing w:before="160" w:after="40" w:line="240" w:lineRule="auto"/>
      </w:pPr>
      <w:r>
        <w:rPr>
          <w:b/>
        </w:rPr>
        <w:t xml:space="preserve">[162] </w:t>
      </w:r>
      <w:hyperlink r:id="rId242">
        <w:r>
          <w:rPr>
            <w:color w:val="1155CC"/>
            <w:u w:val="single"/>
          </w:rPr>
          <w:t>对Compton等人的答复:另一个自相矛盾的误解</w:t>
        </w:r>
      </w:hyperlink>
    </w:p>
    <w:p>
      <w:pPr>
        <w:spacing w:before="0" w:after="80"/>
      </w:pPr>
      <w:r>
        <w:rPr>
          <w:i/>
          <w:sz w:val="20"/>
        </w:rPr>
        <w:t>EN: Reply to Compton et al.: Another paradoxical misunderstanding</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43">
        <w:r>
          <w:rPr>
            <w:color w:val="1155CC"/>
            <w:u w:val="single"/>
          </w:rPr>
          <w:t>10.1073/pnas.2536185123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244">
        <w:r>
          <w:rPr>
            <w:color w:val="1155CC"/>
            <w:u w:val="single"/>
          </w:rPr>
          <w:t>早期中华文明中 内阴素的起源</w:t>
        </w:r>
      </w:hyperlink>
    </w:p>
    <w:p>
      <w:pPr>
        <w:spacing w:before="0" w:after="80"/>
      </w:pPr>
      <w:r>
        <w:rPr>
          <w:i/>
          <w:sz w:val="20"/>
        </w:rPr>
        <w:t>EN: Sourcing the origins of carnelian in early Chinese civilizations</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45">
        <w:r>
          <w:rPr>
            <w:color w:val="1155CC"/>
            <w:u w:val="single"/>
          </w:rPr>
          <w:t>10.1073/pnas.2524563123</w:t>
        </w:r>
      </w:hyperlink>
    </w:p>
    <w:p>
      <w:pPr>
        <w:spacing w:before="0" w:after="120"/>
      </w:pPr>
      <w:r>
        <w:rPr>
          <w:b/>
        </w:rPr>
        <w:t xml:space="preserve">Notes: </w:t>
      </w:r>
      <w:r>
        <w:t>abstract_source=pubmed</w:t>
      </w:r>
    </w:p>
    <w:p>
      <w:pPr>
        <w:spacing w:before="0" w:after="80" w:lineRule="auto" w:line="276"/>
      </w:pPr>
      <w:r>
        <w:rPr>
          <w:b/>
        </w:rPr>
        <w:t xml:space="preserve">摘要（ZH）: </w:t>
      </w:r>
      <w:r>
        <w:t>长期以来,西周期间高地位掩埋地(如1000-800 BCE)的卡内尔海珠一直被视为东亚与西部各地区之间长距离交流的重要证据,而其地质来源和环流路径仍然受到制约,仍然受到制约。 我们利用亚洲27个潜在来源的300个地质样本新建立的地球化学数据库,对中国西南四川盆地三星底坑(如1200-1100 BCE)的11个卡内尔海珠进行了跟踪分析。 加纳的分歧分析表明,这些圆珠的原料主要不是来自中国南部,而是延山奥古金、中亚原有机贝尔特和一些可能靠近海西走廊的未知来源。</w:t>
      </w:r>
    </w:p>
    <w:p>
      <w:pPr>
        <w:spacing w:before="0" w:after="200" w:lineRule="auto" w:line="276"/>
      </w:pPr>
      <w:r>
        <w:rPr>
          <w:b/>
        </w:rPr>
        <w:t xml:space="preserve">Abstract (EN): </w:t>
      </w:r>
      <w:r>
        <w:t>Carnelian beads in high-status burials of the Western Zhou period (ca. 1000-800 BCE) have long been seen as key evidence for long-distance exchange between East Asia and regions to the west, while their geological origins and circulation pathways have remained poorly constrained. Using a newly established geochemical database of 300 geological samples from 27 potential sources across Asia, we conducted trace-element analyses of 11 carnelian beads from the Sanxingdui pits (ca. 1200-1000 BCE), Sichuan Basin, southwest China. Canonical discriminant analysis indicates that the raw materials of these carnelian beads do not primarily derive from south China, but the Yanshan Orogeny, Central Asian Orogenic Belt and some unknown sources that might be close to Hexi Corridor, pointing to raw-material sources located over 1,000 km to the north of the Sichuan Basin. Comparative analyses of contemporaneous beads from Gansu, Shaanxi, and Beijing show similar northern provenance signatures, suggesting a broad and persistent exchange sphere spanning the southern Mongolian Plateau, Loess Plateau, eastern Tibetan Plateau, Central Plains, and Sichuan Basin between 1500-1000 BCE. Our results provide the earliest direct geochemical evidence for long-distance carnelian exchange in Bronze Age China and demonstrate the value of integrating geochemical sourcing with archaeological context to reconstruct ancient interaction networks.</w:t>
      </w:r>
    </w:p>
    <w:p>
      <w:pPr>
        <w:spacing w:before="120" w:after="120"/>
      </w:pPr>
      <w:r>
        <w:rPr>
          <w:sz w:val="18"/>
        </w:rPr>
        <w:t>——————————————————————————————————————————————————————————————————————</w:t>
      </w:r>
    </w:p>
    <w:p>
      <w:pPr>
        <w:spacing w:before="160" w:after="40" w:line="240" w:lineRule="auto"/>
      </w:pPr>
      <w:r>
        <w:rPr>
          <w:b/>
        </w:rPr>
        <w:t xml:space="preserve">[164] </w:t>
      </w:r>
      <w:hyperlink r:id="rId246">
        <w:r>
          <w:rPr>
            <w:color w:val="1155CC"/>
            <w:u w:val="single"/>
          </w:rPr>
          <w:t>RPA 独立启动ATR/CHK1路径</w:t>
        </w:r>
      </w:hyperlink>
    </w:p>
    <w:p>
      <w:pPr>
        <w:spacing w:before="0" w:after="80"/>
      </w:pPr>
      <w:r>
        <w:rPr>
          <w:i/>
          <w:sz w:val="20"/>
        </w:rPr>
        <w:t>EN: RPA-independent activation of the ATR/CHK1 pathway</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47">
        <w:r>
          <w:rPr>
            <w:color w:val="1155CC"/>
            <w:u w:val="single"/>
          </w:rPr>
          <w:t>10.1073/pnas.2524246123</w:t>
        </w:r>
      </w:hyperlink>
    </w:p>
    <w:p>
      <w:pPr>
        <w:spacing w:before="0" w:after="120"/>
      </w:pPr>
      <w:r>
        <w:rPr>
          <w:b/>
        </w:rPr>
        <w:t xml:space="preserve">Notes: </w:t>
      </w:r>
      <w:r>
        <w:t>abstract_source=pubmed</w:t>
      </w:r>
    </w:p>
    <w:p>
      <w:pPr>
        <w:spacing w:before="0" w:after="80" w:lineRule="auto" w:line="276"/>
      </w:pPr>
      <w:r>
        <w:rPr>
          <w:b/>
        </w:rPr>
        <w:t xml:space="preserve">摘要（ZH）: </w:t>
      </w:r>
      <w:r>
        <w:t>ATR/CHK1路径管理一个关键的中阶段内检查站,该通道通过稳定停滞的复制叉和确保高度忠诚的DNA复制来保障基因组稳定在复制压力下的稳定,传统上,该路径的启动被认为依赖复制蛋白A(RPA)包裹的单层DNA,该DNA将ATR-ATRIP综合体引进了阻滞叉站,定位了RPA作为ATR信号所必不可少的位置。在本研究报告中,我们报告了一个令人惊讶和以前未曾承认的现象:RPA2的急性耗竭通过一个受RPA独立的机制触发了强力的ATR/CHK1启动。我们利用293A和RPE-1细胞,用一种无法引导的RPA2-dTAG degron系统,在Ser296和Ser345没有RPA的情况下,我们观察到CH1的磷酸增加。</w:t>
      </w:r>
    </w:p>
    <w:p>
      <w:pPr>
        <w:spacing w:before="0" w:after="200" w:lineRule="auto" w:line="276"/>
      </w:pPr>
      <w:r>
        <w:rPr>
          <w:b/>
        </w:rPr>
        <w:t xml:space="preserve">Abstract (EN): </w:t>
      </w:r>
      <w:r>
        <w:t>The ATR/CHK1 pathway governs a crucial intra-S-phase checkpoint that safeguards genome stability under replication stress by stabilizing stalled replication forks and ensuring high-fidelity DNA replication. Traditionally, activation of this pathway is thought to rely on replication protein A (RPA)-coated single-stranded DNA, which recruits the ATR-ATRIP complex to sites of stalling fork, positioning RPA as essential for ATR signaling. In this study, we report a surprising and previously unrecognized phenomenon: acute depletion of RPA2 triggers robust ATR/CHK1 activation through an RPA-independent mechanism. Using 293A and RPE-1 cells engineered with an inducible RPA2-dTAG degron system, we observed increased phosphorylation of CHK1 at Ser296 and Ser345 in the absence of RPA. Notably, this elevated CHK1 phosphorylation was abolished by ATR inhibition, confirming its dependence on ATR kinase activity. Mechanistic analyses further revealed that this RPA-independent activation requires the checkpoint mediators RAD9 and TOPBP1. These findings uncover dual mechanisms, both RPA-dependent and -independent, of ATR/CHK1 pathway activation, highlighting a robust and flexible replication stress response network that preserves genome integrity even when canonical signaling is disrupted.</w:t>
      </w:r>
    </w:p>
    <w:p>
      <w:pPr>
        <w:spacing w:before="120" w:after="120"/>
      </w:pPr>
      <w:r>
        <w:rPr>
          <w:sz w:val="18"/>
        </w:rPr>
        <w:t>——————————————————————————————————————————————————————————————————————</w:t>
      </w:r>
    </w:p>
    <w:p>
      <w:pPr>
        <w:spacing w:before="160" w:after="40" w:line="240" w:lineRule="auto"/>
      </w:pPr>
      <w:r>
        <w:rPr>
          <w:b/>
        </w:rPr>
        <w:t xml:space="preserve">[165] </w:t>
      </w:r>
      <w:hyperlink r:id="rId248">
        <w:r>
          <w:rPr>
            <w:color w:val="1155CC"/>
            <w:u w:val="single"/>
          </w:rPr>
          <w:t>托德家期望在有群落外出现群落时,群落内忠心会压倒个人偏好</w:t>
        </w:r>
      </w:hyperlink>
    </w:p>
    <w:p>
      <w:pPr>
        <w:spacing w:before="0" w:after="80"/>
      </w:pPr>
      <w:r>
        <w:rPr>
          <w:i/>
          <w:sz w:val="20"/>
        </w:rPr>
        <w:t>EN: Toddlers expect ingroup loyalty to override personal preferences when outgroups are present</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49">
        <w:r>
          <w:rPr>
            <w:color w:val="1155CC"/>
            <w:u w:val="single"/>
          </w:rPr>
          <w:t>10.1073/pnas.2521041123</w:t>
        </w:r>
      </w:hyperlink>
    </w:p>
    <w:p>
      <w:pPr>
        <w:spacing w:before="0" w:after="120"/>
      </w:pPr>
      <w:r>
        <w:rPr>
          <w:b/>
        </w:rPr>
        <w:t xml:space="preserve">Notes: </w:t>
      </w:r>
      <w:r>
        <w:t>abstract_source=pubmed</w:t>
      </w:r>
    </w:p>
    <w:p>
      <w:pPr>
        <w:spacing w:before="0" w:after="80" w:lineRule="auto" w:line="276"/>
      </w:pPr>
      <w:r>
        <w:rPr>
          <w:b/>
        </w:rPr>
        <w:t xml:space="preserve">摘要（ZH）: </w:t>
      </w:r>
      <w:r>
        <w:t>当有外围群体存在时,成人可能会在外表展示群体忠诚时,认可与其个人偏好不符的集团内选择。在这里,我们检查了两岁幼儿(N=108)是否已经了解这种忠诚的表现。在三次违反预期的实验中,幼儿观察目标个人、集团内成员和集团外成员之间的相互作用;群体内成员有新的标签。在关键试验中,目标个人在群体内和集团外关联的玩具之间选择。在这个选择过程中,当外群体成员在场时,幼儿期望目标个人符合其群体规范并选择与群体有关的玩具,即使他们知道她更喜欢与群体外群体有关的玩具。</w:t>
      </w:r>
    </w:p>
    <w:p>
      <w:pPr>
        <w:spacing w:before="0" w:after="200" w:lineRule="auto" w:line="276"/>
      </w:pPr>
      <w:r>
        <w:rPr>
          <w:b/>
        </w:rPr>
        <w:t xml:space="preserve">Abstract (EN): </w:t>
      </w:r>
      <w:r>
        <w:t>When outgroups are present, adults may endorse ingroup choices that are at odds with their personal preferences, in an outward show of ingroup loyalty. Here, we examined whether 2-y-old toddlers (N = 108) might already understand such shows of loyalty. In three violation-of-expectation experiments, toddlers watched interactions among a target individual, an ingroup member, and an outgroup member; group memberships were marked with novel labels. In the critical trials, the target individual chose between an ingroup- and an outgroup-associated toy. When the outgroup member was present during this selection process, toddlers expected the target individual to conform to her group's norm and select the ingroup-associated toy, even when they knew she preferred the outgroup-associated toy. This was true whether or not the ingroup member remained in the scene; as long as the outgroup member was present, toddlers expected the target individual to select the ingroup-associated toy and no other toy. When the outgroup member was absent, however, toddlers expected the target individual to act on her personal preference, if any. They also held this expectation if no information was provided about group memberships. Together, these results indicate that by 2 y of age, toddlers a) construe individuals as possessed of both a personal and a social identity, b) understand that individuals may produce different actions in different contexts depending on which identity has precedence, and c) expect individuals' social identity to take precedence in intergroup contexts even when it conflicts with their personal identity, in a show of ingroup loyalty.</w:t>
      </w:r>
    </w:p>
    <w:p>
      <w:pPr>
        <w:spacing w:before="120" w:after="120"/>
      </w:pPr>
      <w:r>
        <w:rPr>
          <w:sz w:val="18"/>
        </w:rPr>
        <w:t>——————————————————————————————————————————————————————————————————————</w:t>
      </w:r>
    </w:p>
    <w:p>
      <w:pPr>
        <w:spacing w:before="160" w:after="40" w:line="240" w:lineRule="auto"/>
      </w:pPr>
      <w:r>
        <w:rPr>
          <w:b/>
        </w:rPr>
        <w:t xml:space="preserve">[166] </w:t>
      </w:r>
      <w:hyperlink r:id="rId250">
        <w:r>
          <w:rPr>
            <w:color w:val="1155CC"/>
            <w:u w:val="single"/>
          </w:rPr>
          <w:t>为了降低印度成人过早死亡率,教育比收入更重要。</w:t>
        </w:r>
      </w:hyperlink>
    </w:p>
    <w:p>
      <w:pPr>
        <w:spacing w:before="0" w:after="80"/>
      </w:pPr>
      <w:r>
        <w:rPr>
          <w:i/>
          <w:sz w:val="20"/>
        </w:rPr>
        <w:t>EN: For reducing premature adult mortality in India, education matters more than income</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51">
        <w:r>
          <w:rPr>
            <w:color w:val="1155CC"/>
            <w:u w:val="single"/>
          </w:rPr>
          <w:t>10.1073/pnas.2503809123</w:t>
        </w:r>
      </w:hyperlink>
    </w:p>
    <w:p>
      <w:pPr>
        <w:spacing w:before="0" w:after="120"/>
      </w:pPr>
      <w:r>
        <w:rPr>
          <w:b/>
        </w:rPr>
        <w:t xml:space="preserve">Notes: </w:t>
      </w:r>
      <w:r>
        <w:t>abstract_source=pubmed</w:t>
      </w:r>
    </w:p>
    <w:p>
      <w:pPr>
        <w:spacing w:before="0" w:after="80" w:lineRule="auto" w:line="276"/>
      </w:pPr>
      <w:r>
        <w:rPr>
          <w:b/>
        </w:rPr>
        <w:t xml:space="preserve">摘要（ZH）: </w:t>
      </w:r>
      <w:r>
        <w:t>虽然许多研究发现,社会经济因素与世界各地过早死亡密切相关,但关于此类因素对中小年龄(15至59岁)的相对影响的辩论没有得到足够的重视,特别是在低收入国家,由于保健部门缺乏资源,这一问题与这些国家有关。 我们利用印度人的发展调查中具有国家代表性的纵向数据,评估印度个人和社区教育相对于收入和财富的相对重要性,印度每年有大约300万个中小年龄的过早死亡。</w:t>
      </w:r>
    </w:p>
    <w:p>
      <w:pPr>
        <w:spacing w:before="0" w:after="200" w:lineRule="auto" w:line="276"/>
      </w:pPr>
      <w:r>
        <w:rPr>
          <w:b/>
        </w:rPr>
        <w:t xml:space="preserve">Abstract (EN): </w:t>
      </w:r>
      <w:r>
        <w:t>Preventing premature death is a global policy objective reflected in the SDGs. While numerous studies have found socioeconomic factors to be significantly associated with premature death everywhere in the world, the debate on the relative effect of such factors on mid-age (15 to 59 ages) has not received enough attention, particularly in low-income countries, where this question is pertinent due to scant resources in the healthcare sector. Using nationally representative, longitudinal data from the India Human Development Survey, we assess the relative importance of individual- and community-level education vs. income and wealth in India, where approximately 3 million premature deaths occur annually in mid-ages. We find a clear downward gradient in mid-age mortality with increasing education within each wealth category, whereas no consistent mortality advantage with increasing wealth status is visible within education subgroups. Multilevel logistic regression models show that the decline in the risk of death across the education spectrum by far exceeds (14% for male and 13% for female) the decline moving along the wealth distribution, even after controlling for other relevant demographic, socioeconomic, regional variables. Along with the direct effect of individual-level educational attainment, we also find a protective effect of education at the community level, particularly for women. Based on these findings, we infer that educational attainment is essential for reducing mid-age mortality in India. Population and health policies in developing countries, therefore, should focus on education to prevent adult mortality.</w:t>
      </w:r>
    </w:p>
    <w:p>
      <w:pPr>
        <w:spacing w:before="120" w:after="120"/>
      </w:pPr>
      <w:r>
        <w:rPr>
          <w:sz w:val="18"/>
        </w:rPr>
        <w:t>——————————————————————————————————————————————————————————————————————</w:t>
      </w:r>
    </w:p>
    <w:p>
      <w:pPr>
        <w:spacing w:before="160" w:after="40" w:line="240" w:lineRule="auto"/>
      </w:pPr>
      <w:r>
        <w:rPr>
          <w:b/>
        </w:rPr>
        <w:t xml:space="preserve">[167] </w:t>
      </w:r>
      <w:hyperlink r:id="rId252">
        <w:r>
          <w:rPr>
            <w:color w:val="1155CC"/>
            <w:u w:val="single"/>
          </w:rPr>
          <w:t>预测21世纪一氧化一一氧化一,与平流层损失有关的不确定性</w:t>
        </w:r>
      </w:hyperlink>
    </w:p>
    <w:p>
      <w:pPr>
        <w:spacing w:before="0" w:after="80"/>
      </w:pPr>
      <w:r>
        <w:rPr>
          <w:i/>
          <w:sz w:val="20"/>
        </w:rPr>
        <w:t>EN: Projecting nitrous oxide over the 21st century, uncertainty related to stratospheric loss</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53">
        <w:r>
          <w:rPr>
            <w:color w:val="1155CC"/>
            <w:u w:val="single"/>
          </w:rPr>
          <w:t>10.1073/pnas.2524123123</w:t>
        </w:r>
      </w:hyperlink>
    </w:p>
    <w:p>
      <w:pPr>
        <w:spacing w:before="0" w:after="120"/>
      </w:pPr>
      <w:r>
        <w:rPr>
          <w:b/>
        </w:rPr>
        <w:t xml:space="preserve">Notes: </w:t>
      </w:r>
      <w:r>
        <w:t>abstract_source=pubmed</w:t>
      </w:r>
    </w:p>
    <w:p>
      <w:pPr>
        <w:spacing w:before="0" w:after="80" w:lineRule="auto" w:line="276"/>
      </w:pPr>
      <w:r>
        <w:rPr>
          <w:b/>
        </w:rPr>
        <w:t xml:space="preserve">摘要（ZH）: </w:t>
      </w:r>
      <w:r>
        <w:t>通过对微波Limb Sound卫星观测得出的N2O寿命期的延长,我们发现2004年至2024年期间平均值为117yy,每10年可能减少-1.4 + 0.9%,这一趋势与以前公布的2004年至2021年每10年的-2.1 + 1.2%的数值相一致。对不确定性的更仔细分析现在提供了更可靠的可能性(一西格玛)范围。通过对控制N2O寿命期的一系列因素的分析,我们发现寿命期的减少可以用最近平流层循环和温度的变化来解释。2100年寿命变化的预测表明,这一影响与用于气候预测的共有社会经济路径之间的差异相当,不能忽视。</w:t>
      </w:r>
    </w:p>
    <w:p>
      <w:pPr>
        <w:spacing w:before="0" w:after="200" w:lineRule="auto" w:line="276"/>
      </w:pPr>
      <w:r>
        <w:rPr>
          <w:b/>
        </w:rPr>
        <w:t xml:space="preserve">Abstract (EN): </w:t>
      </w:r>
      <w:r>
        <w:t>Extending the N2O lifetime derived from Microwave Limb Sounder satellite observations, we find a mean value of 117 y and a likely decrease of -1.4 ± 0.9% per decade over the period 2004 to 2024. This trend is consistent with the previously published 2004 to 2021 value of -2.1 ± 1.2% per decade. A more careful analysis of uncertainty now provides a more robust likely (one-sigma) range. From analyses of a range of factors controlling the N2O lifetime, we find that the decrease in lifetime can be explained by recent changes in stratospheric circulation and temperature. Projection of the lifetime change to 2100 shows that this effect is comparable to differences across the shared socioeconomic pathways used for climate projections and cannot be ignored. An updated evaluation of the N2O chemical feedbacks shows that this effect produces a relatively small shift in atmospheric abundance over the 21st century, but still an important shift, -11%, in the global warming potential of N2O.</w:t>
      </w:r>
    </w:p>
    <w:p>
      <w:pPr>
        <w:spacing w:before="120" w:after="120"/>
      </w:pPr>
      <w:r>
        <w:rPr>
          <w:sz w:val="18"/>
        </w:rPr>
        <w:t>——————————————————————————————————————————————————————————————————————</w:t>
      </w:r>
    </w:p>
    <w:p>
      <w:pPr>
        <w:spacing w:before="160" w:after="40" w:line="240" w:lineRule="auto"/>
      </w:pPr>
      <w:r>
        <w:rPr>
          <w:b/>
        </w:rPr>
        <w:t xml:space="preserve">[168] </w:t>
      </w:r>
      <w:hyperlink r:id="rId254">
        <w:r>
          <w:rPr>
            <w:color w:val="1155CC"/>
            <w:u w:val="single"/>
          </w:rPr>
          <w:t>Curtis等人的更正,癌症患者的分裂特征与血管或自机免疫疾病患者相似。</w:t>
        </w:r>
      </w:hyperlink>
    </w:p>
    <w:p>
      <w:pPr>
        <w:spacing w:before="0" w:after="80"/>
      </w:pPr>
      <w:r>
        <w:rPr>
          <w:i/>
          <w:sz w:val="20"/>
        </w:rPr>
        <w:t>EN: Correction for Curtis et al., Fragmentation signatures in cancer patients resemble those of patients with vascular or autoimmune diseases</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55">
        <w:r>
          <w:rPr>
            <w:color w:val="1155CC"/>
            <w:u w:val="single"/>
          </w:rPr>
          <w:t>10.1073/pnas.2538063123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256">
        <w:r>
          <w:rPr>
            <w:color w:val="1155CC"/>
            <w:u w:val="single"/>
          </w:rPr>
          <w:t>Vierock等人的校正,红光多彩光反应-激活管路rhodopsin Chrimson</w:t>
        </w:r>
      </w:hyperlink>
    </w:p>
    <w:p>
      <w:pPr>
        <w:spacing w:before="0" w:after="80"/>
      </w:pPr>
      <w:r>
        <w:rPr>
          <w:i/>
          <w:sz w:val="20"/>
        </w:rPr>
        <w:t>EN: Correction for Vierock et al., Multicolor photoreactions of the red light–activated channelrhodopsin Chrimson</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57">
        <w:r>
          <w:rPr>
            <w:color w:val="1155CC"/>
            <w:u w:val="single"/>
          </w:rPr>
          <w:t>10.1073/pnas.2600938123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258">
        <w:r>
          <w:rPr>
            <w:color w:val="1155CC"/>
            <w:u w:val="single"/>
          </w:rPr>
          <w:t>非循环滚动连接连接使机器人连接中的编程行为得以实现</w:t>
        </w:r>
      </w:hyperlink>
    </w:p>
    <w:p>
      <w:pPr>
        <w:spacing w:before="0" w:after="80"/>
      </w:pPr>
      <w:r>
        <w:rPr>
          <w:i/>
          <w:sz w:val="20"/>
        </w:rPr>
        <w:t>EN: Noncircular rolling contact joints enable programmed behavior in robotic linkages</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59">
        <w:r>
          <w:rPr>
            <w:color w:val="1155CC"/>
            <w:u w:val="single"/>
          </w:rPr>
          <w:t>10.1073/pnas.2521406123</w:t>
        </w:r>
      </w:hyperlink>
    </w:p>
    <w:p>
      <w:pPr>
        <w:spacing w:before="0" w:after="120"/>
      </w:pPr>
      <w:r>
        <w:rPr>
          <w:b/>
        </w:rPr>
        <w:t xml:space="preserve">Notes: </w:t>
      </w:r>
      <w:r>
        <w:t>abstract_source=pubmed</w:t>
      </w:r>
    </w:p>
    <w:p>
      <w:pPr>
        <w:spacing w:before="0" w:after="80" w:lineRule="auto" w:line="276"/>
      </w:pPr>
      <w:r>
        <w:rPr>
          <w:b/>
        </w:rPr>
        <w:t xml:space="preserve">摘要（ZH）: </w:t>
      </w:r>
      <w:r>
        <w:t>滚动连接(RCJs) 指导机器人连接(包括操纵机、手术器、外科装置、假肢等)的运动。 在这项工作中,我们提出了一个通用优化方法,通过同时优化非循环表面地貌和内部振动滑轮形状来调整RCJ的运动特性,同时优化非循环地表地貌和内部振动滑轮形状。我们的方法包括多种组合类型,包括带有可编程弹簧的被动结合系统以及可动的单一或多链接机制。我们明确将共同和实际的制造限制纳入我们的优化框架,例如大小和交错。为了展示这一方法,我们优化了旨在复制人体膝部轨迹的RCJ,实现了99.6%的校准误差。</w:t>
      </w:r>
    </w:p>
    <w:p>
      <w:pPr>
        <w:spacing w:before="0" w:after="200" w:lineRule="auto" w:line="276"/>
      </w:pPr>
      <w:r>
        <w:rPr>
          <w:b/>
        </w:rPr>
        <w:t xml:space="preserve">Abstract (EN): </w:t>
      </w:r>
      <w:r>
        <w:t>Rolling contact joints (RCJs) guide motion in robotic linkages, including manipulators, surgical devices, prosthetics, and more. In this work, we present a generalized optimization method to tailor the kinematic properties of RCJs by simultaneously optimizing both noncircular surface geometries and internal actuation pulley shapes. Our approach accommodates multiple joint types, including passively coupled systems with programmable spring stiffness as well as actuated single or multilink mechanisms. We explicitly incorporate common and practical manufacturing constraints into our optimization framework, such as size and convexity constraints. To demonstrate this approach, we optimize an RCJ designed to replicate the trajectory of a human knee, achieving a 99.6% reduction in alignment error compared to revolute joints and a 99.3% error reduction compared to circular RCJs. Additionally, we show that optimized RCJs increase the load-carrying capacity of a two-finger gripper by more than 3.5 times compared to a comparable circular-jointed design, showcasing how joint optimization can enhance robotic performance.</w:t>
      </w:r>
    </w:p>
    <w:p>
      <w:pPr>
        <w:spacing w:before="120" w:after="120"/>
      </w:pPr>
      <w:r>
        <w:rPr>
          <w:sz w:val="18"/>
        </w:rPr>
        <w:t>——————————————————————————————————————————————————————————————————————</w:t>
      </w:r>
    </w:p>
    <w:p>
      <w:pPr>
        <w:spacing w:before="160" w:after="40" w:line="240" w:lineRule="auto"/>
      </w:pPr>
      <w:r>
        <w:rPr>
          <w:b/>
        </w:rPr>
        <w:t xml:space="preserve">[171] </w:t>
      </w:r>
      <w:hyperlink r:id="rId260">
        <w:r>
          <w:rPr>
            <w:color w:val="1155CC"/>
            <w:u w:val="single"/>
          </w:rPr>
          <w:t>Yi等人的更正,陆地溶解有机碳对海洋的投入估计过低</w:t>
        </w:r>
      </w:hyperlink>
    </w:p>
    <w:p>
      <w:pPr>
        <w:spacing w:before="0" w:after="80"/>
      </w:pPr>
      <w:r>
        <w:rPr>
          <w:i/>
          <w:sz w:val="20"/>
        </w:rPr>
        <w:t>EN: Correction for Yi et al., Underestimated input of terrestrial dissolved organic carbon to the ocean</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61">
        <w:r>
          <w:rPr>
            <w:color w:val="1155CC"/>
            <w:u w:val="single"/>
          </w:rPr>
          <w:t>10.1073/pnas.2600626123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[172] </w:t>
      </w:r>
      <w:hyperlink r:id="rId262">
        <w:r>
          <w:rPr>
            <w:color w:val="1155CC"/>
            <w:u w:val="single"/>
          </w:rPr>
          <w:t>PTP1B抑制剂通过增强SYK信号,促进阿尔茨海默氏病模型中的微螺旋性脑细胞病,加强SYK信号。</w:t>
        </w:r>
      </w:hyperlink>
    </w:p>
    <w:p>
      <w:pPr>
        <w:spacing w:before="0" w:after="80"/>
      </w:pPr>
      <w:r>
        <w:rPr>
          <w:i/>
          <w:sz w:val="20"/>
        </w:rPr>
        <w:t>EN: PTP1B inhibition promotes microglial phagocytosis in Alzheimer’s disease models by enhancing SYK signaling</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63">
        <w:r>
          <w:rPr>
            <w:color w:val="1155CC"/>
            <w:u w:val="single"/>
          </w:rPr>
          <w:t>10.1073/pnas.2521944123</w:t>
        </w:r>
      </w:hyperlink>
    </w:p>
    <w:p>
      <w:pPr>
        <w:spacing w:before="0" w:after="120"/>
      </w:pPr>
      <w:r>
        <w:rPr>
          <w:b/>
        </w:rPr>
        <w:t xml:space="preserve">Notes: </w:t>
      </w:r>
      <w:r>
        <w:t>abstract_source=pubmed</w:t>
      </w:r>
    </w:p>
    <w:p>
      <w:pPr>
        <w:spacing w:before="0" w:after="80" w:lineRule="auto" w:line="276"/>
      </w:pPr>
      <w:r>
        <w:rPr>
          <w:b/>
        </w:rPr>
        <w:t xml:space="preserve">摘要（ZH）: </w:t>
      </w:r>
      <w:r>
        <w:t>Amyloid β(Aet)的积累是阿尔茨海默氏病(AD)的一个标志。 新出现的证据表明,受损的微螺旋Aet-光细胞病是AD中的一个关键特征,这凸显了增强这种内分泌免疫功能的治疗潜力。在这里,我们证明,1B(PTP1B)蛋白质强氧磷酸酯(PTP1B)的基因删除或药理抑制可以缓解APP/PS1小鼠的记忆缺陷并减轻Aβ负担。 此外,我们还表明,PTP1B在微lia中表现得很高,其缺陷促进了向免疫活化和发细胞病转变。 始终一致地,PTP1B在微晶体强化的气中删去了呼吸系统硬化和能源新陈代谢,并辅之以AKT-MT信号的增加,这是满足活能需求所必不可少的途径。</w:t>
      </w:r>
    </w:p>
    <w:p>
      <w:pPr>
        <w:spacing w:before="0" w:after="200" w:lineRule="auto" w:line="276"/>
      </w:pPr>
      <w:r>
        <w:rPr>
          <w:b/>
        </w:rPr>
        <w:t xml:space="preserve">Abstract (EN): </w:t>
      </w:r>
      <w:r>
        <w:t>Amyloid β (Aβ) accumulation is a hallmark of Alzheimer's disease (AD). Emerging evidence suggests that impaired microglial Aβ phagocytosis is a key feature in AD, highlighting the therapeutic potential of enhancing this innate immune function. Here, we demonstrate that genetic deletion or pharmacological inhibition of protein tyrosine phosphatase 1B (PTP1B) ameliorated memory deficits and reduced Aβ burden in APP/PS1 mice. Moreover, we show that PTP1B was highly expressed in microglia, and its deficiency promoted a transcriptional shift toward immune activation and phagocytosis. Consistently, PTP1B deletion in microglia enhanced phagocytosis and energy metabolism, supported by increased AKT-mTOR signaling, a pathway essential for meeting the energy demands of activation. Mechanistically, we identified spleen tyrosine kinase (SYK), a key regulator of microglial phagocytosis, as a direct substrate of PTP1B. Inhibition of SYK showed that PTP1B modulates microglial activation in a SYK-dependent manner. These findings established PTP1B as a critical modulator of microglial activation and a potential therapeutic target for AD.</w:t>
      </w:r>
    </w:p>
    <w:p>
      <w:pPr>
        <w:spacing w:before="120" w:after="120"/>
      </w:pPr>
      <w:r>
        <w:rPr>
          <w:sz w:val="18"/>
        </w:rPr>
        <w:t>——————————————————————————————————————————————————————————————————————</w:t>
      </w:r>
    </w:p>
    <w:p>
      <w:pPr>
        <w:spacing w:before="160" w:after="40" w:line="240" w:lineRule="auto"/>
      </w:pPr>
      <w:r>
        <w:rPr>
          <w:b/>
        </w:rPr>
        <w:t xml:space="preserve">[173] </w:t>
      </w:r>
      <w:hyperlink r:id="rId264">
        <w:r>
          <w:rPr>
            <w:color w:val="1155CC"/>
            <w:u w:val="single"/>
          </w:rPr>
          <w:t>利用七足草地将外科伤疤转化成CAR-T免疫领域</w:t>
        </w:r>
      </w:hyperlink>
    </w:p>
    <w:p>
      <w:pPr>
        <w:spacing w:before="0" w:after="80"/>
      </w:pPr>
      <w:r>
        <w:rPr>
          <w:i/>
          <w:sz w:val="20"/>
        </w:rPr>
        <w:t>EN: Harnessing hemostasis to transform surgical scars into CAR-T immunological niches</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65">
        <w:r>
          <w:rPr>
            <w:color w:val="1155CC"/>
            <w:u w:val="single"/>
          </w:rPr>
          <w:t>10.1073/pnas.2535463123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266">
        <w:r>
          <w:rPr>
            <w:color w:val="1155CC"/>
            <w:u w:val="single"/>
          </w:rPr>
          <w:t>对比较肿瘤学的不同理解</w:t>
        </w:r>
      </w:hyperlink>
    </w:p>
    <w:p>
      <w:pPr>
        <w:spacing w:before="0" w:after="80"/>
      </w:pPr>
      <w:r>
        <w:rPr>
          <w:i/>
          <w:sz w:val="20"/>
        </w:rPr>
        <w:t>EN: Divergent understandings in comparative oncology</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67">
        <w:r>
          <w:rPr>
            <w:color w:val="1155CC"/>
            <w:u w:val="single"/>
          </w:rPr>
          <w:t>10.1073/pnas.2532925123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268">
        <w:r>
          <w:rPr>
            <w:color w:val="1155CC"/>
            <w:u w:val="single"/>
          </w:rPr>
          <w:t>南极南大洋的冰冷分层</w:t>
        </w:r>
      </w:hyperlink>
    </w:p>
    <w:p>
      <w:pPr>
        <w:spacing w:before="0" w:after="80"/>
      </w:pPr>
      <w:r>
        <w:rPr>
          <w:i/>
          <w:sz w:val="20"/>
        </w:rPr>
        <w:t>EN: Deglacial stratification of the polar Southern Ocean</w:t>
      </w:r>
    </w:p>
    <w:p>
      <w:pPr>
        <w:spacing w:before="0" w:after="120"/>
      </w:pPr>
      <w:r>
        <w:rPr>
          <w:b/>
        </w:rPr>
        <w:t xml:space="preserve">Source: </w:t>
      </w:r>
      <w:r>
        <w:t>Proceedings of the National Academy of Sciences: Keyword search for query</w:t>
      </w:r>
      <w:r>
        <w:t xml:space="preserve">    </w:t>
      </w:r>
      <w:r>
        <w:rPr>
          <w:b/>
        </w:rPr>
        <w:t xml:space="preserve">Pub date: </w:t>
      </w:r>
      <w:r>
        <w:t>2026-02-02 08:00:00+00:00</w:t>
      </w:r>
      <w:r>
        <w:t xml:space="preserve">    </w:t>
      </w:r>
      <w:r>
        <w:rPr>
          <w:b/>
        </w:rPr>
        <w:t xml:space="preserve">DOI: </w:t>
      </w:r>
      <w:hyperlink r:id="rId269">
        <w:r>
          <w:rPr>
            <w:color w:val="1155CC"/>
            <w:u w:val="single"/>
          </w:rPr>
          <w:t>10.1073/pnas.2502076123</w:t>
        </w:r>
      </w:hyperlink>
    </w:p>
    <w:p>
      <w:pPr>
        <w:spacing w:before="0" w:after="120"/>
      </w:pPr>
      <w:r>
        <w:rPr>
          <w:b/>
        </w:rPr>
        <w:t xml:space="preserve">Notes: </w:t>
      </w:r>
      <w:r>
        <w:t>abstract_source=pubmed</w:t>
      </w:r>
    </w:p>
    <w:p>
      <w:pPr>
        <w:spacing w:before="0" w:after="80" w:lineRule="auto" w:line="276"/>
      </w:pPr>
      <w:r>
        <w:rPr>
          <w:b/>
        </w:rPr>
        <w:t xml:space="preserve">摘要（ZH）: </w:t>
      </w:r>
      <w:r>
        <w:t>人们普遍承认,北冰盖的融化水推动大西洋环流环绕环流的变化,影响全球气候;相反,尽管南大洋在海洋内部通风方面起着中心作用,但缺乏关于南极冰盖对南大洋倾覆的影响的数据,尽管南大洋在释放海洋内部方面发挥着中心作用。 这里,我们提供的地解剖氮同位素证据表明,在分解过程中,随着风力在开阔南极洋上升的上升,南极山脉的融化加强了南极极地海洋的密度分层。这一变化与融化水排放的重建同时并存,也类似于全球变暖模型模拟,包括AIS融水的强迫作用。淡水的中位输入,因此,浮力削弱了南大洋。</w:t>
      </w:r>
    </w:p>
    <w:p>
      <w:pPr>
        <w:spacing w:before="0" w:after="200" w:lineRule="auto" w:line="276"/>
      </w:pPr>
      <w:r>
        <w:rPr>
          <w:b/>
        </w:rPr>
        <w:t xml:space="preserve">Abstract (EN): </w:t>
      </w:r>
      <w:r>
        <w:t>It is widely accepted that meltwater from northern ice sheets drove changes in the Atlantic Meridional Overturning Circulation, impacting global climate. In contrast, data are lacking on the Antarctic Ice Sheet's (AIS) effect on Southern Ocean overturning, despite the Southern Ocean's central role in ventilating the ocean interior. Here, we present diatom-bound nitrogen isotope evidence indicating that during deglaciations, as wind-driven upwelling in the open Antarctic Ocean increased, AIS melting strengthened density stratification in the polar Antarctic Ocean. This change coincides with reconstructions of meltwater discharge and resembles model simulations of global warming including AIS meltwater forcing. The transient input of freshwater and, thus, buoyancy weakened Southern Ocean's "lower cell" that outcrops in the polar Antarctic Ocean even as open Antarctic Ocean's "upper cell" strengthened. Given evidence that deep-ocean ventilation and CO2 release were ongoing early in deglaciation, our data suggest that the open Antarctic Ocean, and not solely the most polar Antarctic Ocean, can directly ventilate the deep ocean. During the last deglaciation, the strongest density stratification in the polar Antarctic Ocean occurred just before the Antarctic Cold Reversal, when southern hemisphere warming paused and the northern hemisphere warmed sharply (i.e., during the Bølling-Allerød period). We propose that when combined with stronger wind-driven upwelling, the freshwater-driven redirection of upwelled water away from deep water formation and toward the upper cell deepened the global pycnocline, working to restart North Atlantic deep water formation in the Bølling-Allerød period. If so, polar ocean freshening in both hemispheres drove the "bipolar seesaw" events of deglaciation.</w:t>
      </w:r>
    </w:p>
    <w:p>
      <w:pPr>
        <w:spacing w:before="120" w:after="120"/>
      </w:pPr>
      <w:r>
        <w:rPr>
          <w:sz w:val="18"/>
        </w:rPr>
        <w:t>——————————————————————————————————————————————————————————————————————</w:t>
      </w:r>
    </w:p>
    <w:p>
      <w:pPr>
        <w:spacing w:before="160" w:after="40" w:line="240" w:lineRule="auto"/>
      </w:pPr>
      <w:r>
        <w:rPr>
          <w:b/>
        </w:rPr>
        <w:t xml:space="preserve">[176] </w:t>
      </w:r>
      <w:hyperlink r:id="rId270">
        <w:r>
          <w:rPr>
            <w:color w:val="1155CC"/>
            <w:u w:val="single"/>
          </w:rPr>
          <w:t>朝向氯乙烯合成:机械学和催化学视角</w:t>
        </w:r>
      </w:hyperlink>
    </w:p>
    <w:p>
      <w:pPr>
        <w:spacing w:before="0" w:after="80"/>
      </w:pPr>
      <w:r>
        <w:rPr>
          <w:i/>
          <w:sz w:val="20"/>
        </w:rPr>
        <w:t>EN: Ethane Chlorination Toward Vinyl Chloride Synthesis: Mechanistic and Catalytic Perspectives</w:t>
      </w:r>
    </w:p>
    <w:p>
      <w:pPr>
        <w:spacing w:before="0" w:after="120"/>
      </w:pPr>
      <w:r>
        <w:rPr>
          <w:b/>
        </w:rPr>
        <w:t xml:space="preserve">Source: </w:t>
      </w:r>
      <w:r>
        <w:t>Wiley: Angewandte Chemie International Edition: Table of Contents</w:t>
      </w:r>
      <w:r>
        <w:t xml:space="preserve">    </w:t>
      </w:r>
      <w:r>
        <w:rPr>
          <w:b/>
        </w:rPr>
        <w:t xml:space="preserve">Pub date: </w:t>
      </w:r>
      <w:r>
        <w:t>2026-02-02 08:02:52+00:00</w:t>
      </w:r>
      <w:r>
        <w:t xml:space="preserve">    </w:t>
      </w:r>
      <w:r>
        <w:rPr>
          <w:b/>
        </w:rPr>
        <w:t xml:space="preserve">DOI: </w:t>
      </w:r>
      <w:hyperlink r:id="rId271">
        <w:r>
          <w:rPr>
            <w:color w:val="1155CC"/>
            <w:u w:val="single"/>
          </w:rPr>
          <w:t>10.1002/anie.202523506</w:t>
        </w:r>
      </w:hyperlink>
    </w:p>
    <w:p>
      <w:pPr>
        <w:spacing w:before="0" w:after="120"/>
      </w:pPr>
      <w:r>
        <w:rPr>
          <w:b/>
        </w:rPr>
        <w:t xml:space="preserve">Notes: </w:t>
      </w:r>
      <w:r>
        <w:t>abstract_source=crossref</w:t>
      </w:r>
    </w:p>
    <w:p>
      <w:pPr>
        <w:spacing w:before="0" w:after="80" w:lineRule="auto" w:line="276"/>
      </w:pPr>
      <w:r>
        <w:rPr>
          <w:b/>
        </w:rPr>
        <w:t xml:space="preserve">摘要（ZH）: </w:t>
      </w:r>
      <w:r>
        <w:t>乙基氯乙酰单体(VCM)与常规的催化工艺不同,这一方法依靠氯基活化法将乙烷转化为1,2-二氯乙烷,然后是氯二氯乙烷的热开裂,但这一途径仍处于早期阶段,受到氯化条件下气相基基化学和催化剂停用的复杂性的阻碍,该审查对乙烷氯化的机械基础进行了批判性评估,突出了基介法和地表催化法之间的相互作用,并特别关注稀有的氧氯化物催化剂的进展,</w:t>
      </w:r>
    </w:p>
    <w:p>
      <w:pPr>
        <w:spacing w:before="0" w:after="200" w:lineRule="auto" w:line="276"/>
      </w:pPr>
      <w:r>
        <w:rPr>
          <w:b/>
        </w:rPr>
        <w:t xml:space="preserve">Abstract (EN): </w:t>
      </w:r>
      <w:r>
        <w:t>Ethane chlorination has emerged as a promising alternative to conventional ethylene‐ and acetylene‐based routes for the production of vinyl chloride monomer (VCM). Unlike conventional catalytic processes, this approach relies on chlorine radical‐mediated activation to convert ethane into 1,2‐dichloroethane, followed by thermal cracking to VCM. However, this route remains in its early stages, hindered by the complexity of gas‐phase radical chemistry and catalyst deactivation under chlorination conditions. This review provides a critical assessment of the mechanistic foundations of ethane chlorination, highlighting the interplay between radical‐mediated and surface‐catalyzed pathways. Particular attention is given to advances in rare‐earth oxychloride catalysts, which have shown the ability to stabilize key intermediates. We also discuss major deactivation mechanisms, including phase transformation and surface hydroxylation, that limit catalyst lifetime. Furthermore, we highlight the feasibility of ethane chlorination as a low‐carbon VCM production route under future decarbonized energy scenarios. Finally, key directions in catalyst design, mechanistic understanding, and process integration are outlined to advance ethane chlorination from laboratory‐scale innovation to industrial reality.</w:t>
      </w:r>
    </w:p>
    <w:p>
      <w:pPr>
        <w:spacing w:before="120" w:after="120"/>
      </w:pPr>
      <w:r>
        <w:rPr>
          <w:sz w:val="18"/>
        </w:rPr>
        <w:t>——————————————————————————————————————————————————————————————————————</w:t>
      </w:r>
    </w:p>
    <w:p>
      <w:pPr>
        <w:spacing w:before="160" w:after="40" w:line="240" w:lineRule="auto"/>
      </w:pPr>
      <w:r>
        <w:rPr>
          <w:b/>
        </w:rPr>
        <w:t xml:space="preserve">[177] </w:t>
      </w:r>
      <w:hyperlink r:id="rId272">
        <w:r>
          <w:rPr>
            <w:color w:val="1155CC"/>
            <w:u w:val="single"/>
          </w:rPr>
          <w:t>氧电极的ASite高温电极工程:通向耐久和活性可腐蚀固体氧化碳电池的有希望的道路</w:t>
        </w:r>
      </w:hyperlink>
    </w:p>
    <w:p>
      <w:pPr>
        <w:spacing w:before="0" w:after="80"/>
      </w:pPr>
      <w:r>
        <w:rPr>
          <w:i/>
          <w:sz w:val="20"/>
        </w:rPr>
        <w:t>EN: A‐Site High‐Entropy Engineering of Oxygen Electrode: A Promising Route to Durable and Active Reversible Solid Oxide Cells</w:t>
      </w:r>
    </w:p>
    <w:p>
      <w:pPr>
        <w:spacing w:before="0" w:after="120"/>
      </w:pPr>
      <w:r>
        <w:rPr>
          <w:b/>
        </w:rPr>
        <w:t xml:space="preserve">Source: </w:t>
      </w:r>
      <w:r>
        <w:t>Wiley: Advanced Materials: Table of Contents</w:t>
      </w:r>
      <w:r>
        <w:t xml:space="preserve">    </w:t>
      </w:r>
      <w:r>
        <w:rPr>
          <w:b/>
        </w:rPr>
        <w:t xml:space="preserve">Pub date: </w:t>
      </w:r>
      <w:r>
        <w:t>2026-02-02 08:03:25+00:00</w:t>
      </w:r>
      <w:r>
        <w:t xml:space="preserve">    </w:t>
      </w:r>
      <w:r>
        <w:rPr>
          <w:b/>
        </w:rPr>
        <w:t xml:space="preserve">DOI: </w:t>
      </w:r>
      <w:hyperlink r:id="rId273">
        <w:r>
          <w:rPr>
            <w:color w:val="1155CC"/>
            <w:u w:val="single"/>
          </w:rPr>
          <w:t>10.1002/adma.202521863</w:t>
        </w:r>
      </w:hyperlink>
    </w:p>
    <w:p>
      <w:pPr>
        <w:spacing w:before="0" w:after="120"/>
      </w:pPr>
      <w:r>
        <w:rPr>
          <w:b/>
        </w:rPr>
        <w:t xml:space="preserve">Notes: </w:t>
      </w:r>
      <w:r>
        <w:t>abstract_source=crossref</w:t>
      </w:r>
    </w:p>
    <w:p>
      <w:pPr>
        <w:spacing w:before="0" w:after="80" w:lineRule="auto" w:line="276"/>
      </w:pPr>
      <w:r>
        <w:rPr>
          <w:b/>
        </w:rPr>
        <w:t xml:space="preserve">摘要（ZH）: </w:t>
      </w:r>
      <w:r>
        <w:t>ABSTACT 反转固体氧化物电池(RSOCs)具有高高效的电能燃料相互转换的希望,是建立碳中性能源生态系统的关键技术,但是,由于电动活动不足和常规氧电极的稳定性,这些细胞的广泛应用受到阻碍。</w:t>
      </w:r>
    </w:p>
    <w:p>
      <w:pPr>
        <w:spacing w:before="0" w:after="200" w:lineRule="auto" w:line="276"/>
      </w:pPr>
      <w:r>
        <w:rPr>
          <w:b/>
        </w:rPr>
        <w:t xml:space="preserve">Abstract (EN): </w:t>
      </w:r>
      <w:r>
        <w:t>Reversible solid oxide cells (RSOCs) are promising for their highly efficient power‐fuel interconversion and serve as a critical technology for building a carbon‐neutral energy ecosystem. However, their widespread implementation is impeded by insufficient electrocatalytic activity and stability of conventional oxygen electrodes. Here, we design a high‐entropy single‐phase perovskite, Pr</w:t>
      </w:r>
      <w:r>
        <w:t xml:space="preserve"> </w:t>
      </w:r>
      <w:r>
        <w:t>0.2</w:t>
      </w:r>
      <w:r>
        <w:t xml:space="preserve"> </w:t>
      </w:r>
      <w:r>
        <w:t>Nd</w:t>
      </w:r>
      <w:r>
        <w:t xml:space="preserve"> </w:t>
      </w:r>
      <w:r>
        <w:t>0.2</w:t>
      </w:r>
      <w:r>
        <w:t xml:space="preserve"> </w:t>
      </w:r>
      <w:r>
        <w:t>Sm</w:t>
      </w:r>
      <w:r>
        <w:t xml:space="preserve"> </w:t>
      </w:r>
      <w:r>
        <w:t>0.2</w:t>
      </w:r>
      <w:r>
        <w:t xml:space="preserve"> </w:t>
      </w:r>
      <w:r>
        <w:t>Ba</w:t>
      </w:r>
      <w:r>
        <w:t xml:space="preserve"> </w:t>
      </w:r>
      <w:r>
        <w:t>0.2</w:t>
      </w:r>
      <w:r>
        <w:t xml:space="preserve"> </w:t>
      </w:r>
      <w:r>
        <w:t>Sr</w:t>
      </w:r>
      <w:r>
        <w:t xml:space="preserve"> </w:t>
      </w:r>
      <w:r>
        <w:t>0.2</w:t>
      </w:r>
      <w:r>
        <w:t xml:space="preserve"> </w:t>
      </w:r>
      <w:r>
        <w:t>CoO</w:t>
      </w:r>
      <w:r>
        <w:t xml:space="preserve"> </w:t>
      </w:r>
      <w:r>
        <w:t>3‐δ</w:t>
      </w:r>
      <w:r>
        <w:t xml:space="preserve"> </w:t>
      </w:r>
      <w:r>
        <w:t>(PNSBSC), engineered from Sm</w:t>
      </w:r>
      <w:r>
        <w:t xml:space="preserve"> </w:t>
      </w:r>
      <w:r>
        <w:t>0.6</w:t>
      </w:r>
      <w:r>
        <w:t xml:space="preserve"> </w:t>
      </w:r>
      <w:r>
        <w:t>Sr</w:t>
      </w:r>
      <w:r>
        <w:t xml:space="preserve"> </w:t>
      </w:r>
      <w:r>
        <w:t>0.4</w:t>
      </w:r>
      <w:r>
        <w:t xml:space="preserve"> </w:t>
      </w:r>
      <w:r>
        <w:t>CoO</w:t>
      </w:r>
      <w:r>
        <w:t xml:space="preserve"> </w:t>
      </w:r>
      <w:r>
        <w:t>3‐δ</w:t>
      </w:r>
      <w:r>
        <w:t xml:space="preserve"> </w:t>
      </w:r>
      <w:r>
        <w:t>(SSC), to overcome the classic activity‐stability trade‐off in perovskite oxides. A PNSBSC‐based button cell delivers a peak power density of 2.06 W cm</w:t>
      </w:r>
      <w:r>
        <w:t xml:space="preserve"> </w:t>
      </w:r>
      <w:r>
        <w:t>−2</w:t>
      </w:r>
      <w:r>
        <w:t xml:space="preserve"> </w:t>
      </w:r>
      <w:r>
        <w:t>in fuel cell mode and a high current density of 2.54 A cm</w:t>
      </w:r>
      <w:r>
        <w:t xml:space="preserve"> </w:t>
      </w:r>
      <w:r>
        <w:t>−2</w:t>
      </w:r>
      <w:r>
        <w:t xml:space="preserve"> </w:t>
      </w:r>
      <w:r>
        <w:t>at 1.3 V in electrolysis mode (50% H</w:t>
      </w:r>
      <w:r>
        <w:rPr>
          <w:vertAlign w:val="subscript"/>
        </w:rPr>
        <w:t>2</w:t>
      </w:r>
      <w:r>
        <w:t>O) at 800 °C. The cell also demonstrates exceptional stability, sustaining 120 h of continuous operation in both modes and three reversible cycles at 700 °C without performance degradation. Its scalability and robustness are further verified using a large‐area cell (30 W output, &amp;gt;80 h stability) and by sustaining a notable 40 A electrolysis current at 1.3 V (80% H</w:t>
      </w:r>
      <w:r>
        <w:rPr>
          <w:vertAlign w:val="subscript"/>
        </w:rPr>
        <w:t>2</w:t>
      </w:r>
      <w:r>
        <w:t>O, 750 °C). First‐principles calculations corroborate the enhanced activity and stability, which are attributed to the high‐configurational‐entropy design. This work establishes entropy engineering as a viable paradigm for developing high‐performance and durable electrodes for advanced RSOCs.</w:t>
      </w:r>
    </w:p>
    <w:p>
      <w:pPr>
        <w:spacing w:before="120" w:after="120"/>
      </w:pPr>
      <w:r>
        <w:rPr>
          <w:sz w:val="18"/>
        </w:rPr>
        <w:t>——————————————————————————————————————————————————————————————————————</w:t>
      </w:r>
    </w:p>
    <w:p>
      <w:pPr>
        <w:spacing w:before="160" w:after="40" w:line="240" w:lineRule="auto"/>
      </w:pPr>
      <w:r>
        <w:rPr>
          <w:b/>
        </w:rPr>
        <w:t xml:space="preserve">[178] </w:t>
      </w:r>
      <w:hyperlink r:id="rId274">
        <w:r>
          <w:rPr>
            <w:color w:val="1155CC"/>
            <w:u w:val="single"/>
          </w:rPr>
          <w:t>Redox- 激活的实验使土著后传术刀片的高抗力活像能够实现高抗力成像</w:t>
        </w:r>
      </w:hyperlink>
    </w:p>
    <w:p>
      <w:pPr>
        <w:spacing w:before="0" w:after="80"/>
      </w:pPr>
      <w:r>
        <w:rPr>
          <w:i/>
          <w:sz w:val="20"/>
        </w:rPr>
        <w:t>EN: Redox‐Activated Probes Enable High‐Contrast Live Imaging of Native Postsynaptic Scaffolds</w:t>
      </w:r>
    </w:p>
    <w:p>
      <w:pPr>
        <w:spacing w:before="0" w:after="120"/>
      </w:pPr>
      <w:r>
        <w:rPr>
          <w:b/>
        </w:rPr>
        <w:t xml:space="preserve">Source: </w:t>
      </w:r>
      <w:r>
        <w:t>Wiley: Angewandte Chemie International Edition: Table of Contents</w:t>
      </w:r>
      <w:r>
        <w:t xml:space="preserve">    </w:t>
      </w:r>
      <w:r>
        <w:rPr>
          <w:b/>
        </w:rPr>
        <w:t xml:space="preserve">Pub date: </w:t>
      </w:r>
      <w:r>
        <w:t>2026-02-02 08:08:00+00:00</w:t>
      </w:r>
      <w:r>
        <w:t xml:space="preserve">    </w:t>
      </w:r>
      <w:r>
        <w:rPr>
          <w:b/>
        </w:rPr>
        <w:t xml:space="preserve">DOI: </w:t>
      </w:r>
      <w:hyperlink r:id="rId275">
        <w:r>
          <w:rPr>
            <w:color w:val="1155CC"/>
            <w:u w:val="single"/>
          </w:rPr>
          <w:t>10.1002/anie.202519933</w:t>
        </w:r>
      </w:hyperlink>
    </w:p>
    <w:p>
      <w:pPr>
        <w:spacing w:before="0" w:after="120"/>
      </w:pPr>
      <w:r>
        <w:rPr>
          <w:b/>
        </w:rPr>
        <w:t xml:space="preserve">Notes: </w:t>
      </w:r>
      <w:r>
        <w:t>abstract_source=crossref</w:t>
      </w:r>
    </w:p>
    <w:p>
      <w:pPr>
        <w:spacing w:before="0" w:after="80" w:lineRule="auto" w:line="276"/>
      </w:pPr>
      <w:r>
        <w:rPr>
          <w:b/>
        </w:rPr>
        <w:t xml:space="preserve">摘要（ZH）: </w:t>
      </w:r>
      <w:r>
        <w:t>活性神经神经元中后合成脚手架的直接直视化是分解合成动态和可塑性的关键。现有的活性突触直观化方法有重大制约,依靠遗传工程或多步应用不相容的活细胞抗体或纳米体。现有的亲近探测和交付战略由于交付不全或超量而缺乏必要的对比。在这里,我们引入了Sylives,这是一套紧凑、合成荧光灯泡,能够对本地神经中的抑制剂(植物素)和兴奋剂(PSD-95)进行高抗光成像(PSD-95)的活性活性成像。关键是,通过对可重新氧化的CPPPPP-projugate系统进行前净化,我们克服了非世联动战略的副产品形成,ac。</w:t>
      </w:r>
    </w:p>
    <w:p>
      <w:pPr>
        <w:spacing w:before="0" w:after="200" w:lineRule="auto" w:line="276"/>
      </w:pPr>
      <w:r>
        <w:rPr>
          <w:b/>
        </w:rPr>
        <w:t xml:space="preserve">Abstract (EN): </w:t>
      </w:r>
      <w:r>
        <w:t>Direct visualization of postsynaptic scaffolds in living neurons is essential for dissecting synaptic dynamics and plasticity. Existing methods for live synapse visualization have major constraints, relying on genetic engineering or multistep application of live‐cell incompatible antibodies or nanobodies. Available affinity probes and delivery strategies lack the required contrast due to incomplete or excess delivery. Here, we introduce Sylives, a set of compact, synthetic fluorescent peptides that enable high‐contrast live imaging of inhibitory (gephyrin) and excitatory (PSD‐95) postsynaptic scaffolds in native neurons. Critically, by pre‐purification of the redox‐cleavable CPP‐probe conjugate we overcome side‐product formation of in‐situ coupling strategies, achieving reliable cytosolic delivery and restored scaffold binding after intracellular reduction. The Sylive design addresses the need for nanomolar probe levels versus micromolar CPP for clean labelling and efficient delivery by decoupling targeting and uptake. Through quantitative evaluation of uptake and off‐target binding, we defined a transferrable parameter space for effective intracellular delivery. Near traceless Sylive uptake and target specificity are validated by direct comparison to transiently expressed proteins and immunolabeling in fixed neurons. The reduction‐sensitive Sylive conjugates enable high‐contrast, specificity‐restored labelling of endogenous postsynaptic sites without genetic modification and offer a modular platform for targeting alternative intracellular proteins in living primary neurons.</w:t>
      </w:r>
    </w:p>
    <w:p>
      <w:pPr>
        <w:spacing w:before="120" w:after="120"/>
      </w:pPr>
      <w:r>
        <w:rPr>
          <w:sz w:val="18"/>
        </w:rPr>
        <w:t>——————————————————————————————————————————————————————————————————————</w:t>
      </w:r>
    </w:p>
    <w:p>
      <w:pPr>
        <w:spacing w:before="160" w:after="40" w:line="240" w:lineRule="auto"/>
      </w:pPr>
      <w:r>
        <w:rPr>
          <w:b/>
        </w:rPr>
        <w:t xml:space="preserve">[179] </w:t>
      </w:r>
      <w:hyperlink r:id="rId276">
        <w:r>
          <w:rPr>
            <w:color w:val="1155CC"/>
            <w:u w:val="single"/>
          </w:rPr>
          <w:t>[ASAP] 以COMOO+气相级器介介介的房间-温度制模甲烷氧化为甲醛</w:t>
        </w:r>
      </w:hyperlink>
    </w:p>
    <w:p>
      <w:pPr>
        <w:spacing w:before="0" w:after="80"/>
      </w:pPr>
      <w:r>
        <w:rPr>
          <w:i/>
          <w:sz w:val="20"/>
        </w:rPr>
        <w:t>EN: [ASAP] Room-Temperature Methane Oxidation to Formaldehyde Mediated by CoMoO+ Gas-Phase Cations</w:t>
      </w:r>
    </w:p>
    <w:p>
      <w:pPr>
        <w:spacing w:before="0" w:after="120"/>
      </w:pPr>
      <w:r>
        <w:rPr>
          <w:b/>
        </w:rPr>
        <w:t xml:space="preserve">Source: </w:t>
      </w:r>
      <w:r>
        <w:t>Journal of the American Chemical Society: Latest Articles (ACS Publications)</w:t>
      </w:r>
      <w:r>
        <w:t xml:space="preserve">    </w:t>
      </w:r>
      <w:r>
        <w:rPr>
          <w:b/>
        </w:rPr>
        <w:t xml:space="preserve">Pub date: </w:t>
      </w:r>
      <w:r>
        <w:t>2026-02-02 09:50:54+00:00</w:t>
      </w:r>
      <w:r>
        <w:t xml:space="preserve">    </w:t>
      </w:r>
      <w:r>
        <w:rPr>
          <w:b/>
        </w:rPr>
        <w:t xml:space="preserve">DOI: </w:t>
      </w:r>
      <w:hyperlink r:id="rId277">
        <w:r>
          <w:rPr>
            <w:color w:val="1155CC"/>
            <w:u w:val="single"/>
          </w:rPr>
          <w:t>10.1021/jacs.5c21337</w:t>
        </w:r>
      </w:hyperlink>
    </w:p>
    <w:p>
      <w:pPr>
        <w:spacing w:before="0" w:after="120"/>
      </w:pPr>
      <w:r>
        <w:rPr>
          <w:b/>
        </w:rPr>
        <w:t xml:space="preserve">Notes: </w:t>
      </w:r>
      <w:r>
        <w:t>abstract_source=pubmed</w:t>
      </w:r>
    </w:p>
    <w:p>
      <w:pPr>
        <w:spacing w:before="0" w:after="80" w:lineRule="auto" w:line="276"/>
      </w:pPr>
      <w:r>
        <w:rPr>
          <w:b/>
        </w:rPr>
        <w:t xml:space="preserve">摘要（ZH）: </w:t>
      </w:r>
      <w:r>
        <w:t>氧气在温和条件下将甲烷直接氧化为甲醛(CH4 + 1/2O2 + H2 + HCHO + HCHO)是一种具有吸引力但具有挑战性的转变,因为它既需要激活CH4的惰性C-H联系,也需要抑制对二氧化碳等产品的过度氧化。在这项工作中,质量光谱实验与理论计算相结合表明,COMOO+cation能够在室温下对这种转化进行有效调解。COO+的独特电子结构有助于形成一种与CH4发生反应期间的关键的CMoOCH2+中间体,防止甲醇形成。在随后的氧化反应中,COMOO+的Moatom作为COMO+的氧化反应。</w:t>
      </w:r>
    </w:p>
    <w:p>
      <w:pPr>
        <w:spacing w:before="0" w:after="200" w:lineRule="auto" w:line="276"/>
      </w:pPr>
      <w:r>
        <w:rPr>
          <w:b/>
        </w:rPr>
        <w:t xml:space="preserve">Abstract (EN): </w:t>
      </w:r>
      <w:r>
        <w:t>Formaldehyde (HCHO) is a fundamental chemical feedstock with widespread industrial applications. The direct oxidation of methane by oxygen to formaldehyde (CH4 + 1/2O2 → H2 + HCHO) under mild conditions represents an attractive but challenging transformation, as it requires both activation of the inert C-H bonds of CH4 and suppression of overoxidation to products such as carbon dioxide. In this work, mass spectrometry experiments combined with theoretical calculations reveal that CoMoO+ cations can efficiently mediate this transformation at room temperature. The unique electronic structure of CoMoO+ facilitates the formation of a crucial CoMoOCH2+ intermediate during the reaction with CH4 and prevents methanol formation. In the subsequent oxidation reaction, the Mo atom in CoMoO+ serves as the active site for O2 adsorption, and both Mo and Co atoms act as electron donors to activate O2, leading to the formation of the C-O bond in formaldehyde. This work reports the first gas-phase example of achieving conversion of CH4 to HCHO and its radical derivatives by O2 at room temperature using heteronuclear non-noble metal cations. Remarkably, the CoMoOCH2+ cation maintains high reactivity after adsorbing one or two CH4 molecules. These findings provide new mechanistic insights into selective methane activation and conversion.</w:t>
      </w:r>
    </w:p>
    <w:p>
      <w:pPr>
        <w:spacing w:before="120" w:after="120"/>
      </w:pPr>
      <w:r>
        <w:rPr>
          <w:sz w:val="18"/>
        </w:rPr>
        <w:t>——————————————————————————————————————————————————————————————————————</w:t>
      </w:r>
    </w:p>
    <w:p>
      <w:pPr>
        <w:spacing w:before="160" w:after="40" w:line="240" w:lineRule="auto"/>
      </w:pPr>
      <w:r>
        <w:rPr>
          <w:b/>
        </w:rPr>
        <w:t xml:space="preserve">[180] </w:t>
      </w:r>
      <w:hyperlink r:id="rId278">
        <w:r>
          <w:rPr>
            <w:color w:val="1155CC"/>
            <w:u w:val="single"/>
          </w:rPr>
          <w:t>[ASAP] 水锌金属电池中水控Zn沉积面控Zn的氢-集合-经测量测量的水制干涉水制干涉沉积战略</w:t>
        </w:r>
      </w:hyperlink>
    </w:p>
    <w:p>
      <w:pPr>
        <w:spacing w:before="0" w:after="80"/>
      </w:pPr>
      <w:r>
        <w:rPr>
          <w:i/>
          <w:sz w:val="20"/>
        </w:rPr>
        <w:t>EN: [ASAP] Hydrogen-Bond-Mediated Interfacial Water-Masking Strategy for Facet-Controlled Zn Deposition in Aqueous Zn Metal Batteries</w:t>
      </w:r>
    </w:p>
    <w:p>
      <w:pPr>
        <w:spacing w:before="0" w:after="120"/>
      </w:pPr>
      <w:r>
        <w:rPr>
          <w:b/>
        </w:rPr>
        <w:t xml:space="preserve">Source: </w:t>
      </w:r>
      <w:r>
        <w:t>ACS Energy Letters: Latest Articles (ACS Publications)</w:t>
      </w:r>
      <w:r>
        <w:t xml:space="preserve">    </w:t>
      </w:r>
      <w:r>
        <w:rPr>
          <w:b/>
        </w:rPr>
        <w:t xml:space="preserve">Pub date: </w:t>
      </w:r>
      <w:r>
        <w:t>2026-02-02 10:00:48+00:00</w:t>
      </w:r>
      <w:r>
        <w:t xml:space="preserve">    </w:t>
      </w:r>
      <w:r>
        <w:rPr>
          <w:b/>
        </w:rPr>
        <w:t xml:space="preserve">DOI: </w:t>
      </w:r>
      <w:hyperlink r:id="rId279">
        <w:r>
          <w:rPr>
            <w:color w:val="1155CC"/>
            <w:u w:val="single"/>
          </w:rPr>
          <w:t>10.1021/acsenergylett.5c03921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[181] </w:t>
      </w:r>
      <w:hyperlink r:id="rId280">
        <w:r>
          <w:rPr>
            <w:color w:val="1155CC"/>
            <w:u w:val="single"/>
          </w:rPr>
          <w:t>打印可回收的高性能碳纤维强化聚合体(Adv. 板板7/2026)</w:t>
        </w:r>
      </w:hyperlink>
    </w:p>
    <w:p>
      <w:pPr>
        <w:spacing w:before="0" w:after="80"/>
      </w:pPr>
      <w:r>
        <w:rPr>
          <w:i/>
          <w:sz w:val="20"/>
        </w:rPr>
        <w:t>EN: Frontal Polymerization‐Enabled 3D Printing of Recyclable High‐Performance Carbon Fiber Reinforced Polymers (Adv. Mater. 7/2026)</w:t>
      </w:r>
    </w:p>
    <w:p>
      <w:pPr>
        <w:spacing w:before="0" w:after="120"/>
      </w:pPr>
      <w:r>
        <w:rPr>
          <w:b/>
        </w:rPr>
        <w:t xml:space="preserve">Source: </w:t>
      </w:r>
      <w:r>
        <w:t>Wiley: Advanced Materials: Table of Contents</w:t>
      </w:r>
      <w:r>
        <w:t xml:space="preserve">    </w:t>
      </w:r>
      <w:r>
        <w:rPr>
          <w:b/>
        </w:rPr>
        <w:t xml:space="preserve">Pub date: </w:t>
      </w:r>
      <w:r>
        <w:t>2026-02-02 10:16:32+00:00</w:t>
      </w:r>
      <w:r>
        <w:t xml:space="preserve">    </w:t>
      </w:r>
      <w:r>
        <w:rPr>
          <w:b/>
        </w:rPr>
        <w:t xml:space="preserve">DOI: </w:t>
      </w:r>
      <w:hyperlink r:id="rId281">
        <w:r>
          <w:rPr>
            <w:color w:val="1155CC"/>
            <w:u w:val="single"/>
          </w:rPr>
          <w:t>10.1002/adma.72132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[182] </w:t>
      </w:r>
      <w:hyperlink r:id="rId282">
        <w:r>
          <w:rPr>
            <w:color w:val="1155CC"/>
            <w:u w:val="single"/>
          </w:rPr>
          <w:t>超高速激光激光引引地表高度结构与纳米菌工程公司(Adv. Mater. 7/2026)编写的超宽带板黑体(Adv. Mater. 7/2026)</w:t>
        </w:r>
      </w:hyperlink>
    </w:p>
    <w:p>
      <w:pPr>
        <w:spacing w:before="0" w:after="80"/>
      </w:pPr>
      <w:r>
        <w:rPr>
          <w:i/>
          <w:sz w:val="20"/>
        </w:rPr>
        <w:t>EN: Ultra‐Broadband Plane Blackbody by Ultrafast Laser Induced Surface Hierarchical Structuring and Nanodefect Engineering (Adv. Mater. 7/2026)</w:t>
      </w:r>
    </w:p>
    <w:p>
      <w:pPr>
        <w:spacing w:before="0" w:after="120"/>
      </w:pPr>
      <w:r>
        <w:rPr>
          <w:b/>
        </w:rPr>
        <w:t xml:space="preserve">Source: </w:t>
      </w:r>
      <w:r>
        <w:t>Wiley: Advanced Materials: Table of Contents</w:t>
      </w:r>
      <w:r>
        <w:t xml:space="preserve">    </w:t>
      </w:r>
      <w:r>
        <w:rPr>
          <w:b/>
        </w:rPr>
        <w:t xml:space="preserve">Pub date: </w:t>
      </w:r>
      <w:r>
        <w:t>2026-02-02 10:16:32+00:00</w:t>
      </w:r>
      <w:r>
        <w:t xml:space="preserve">    </w:t>
      </w:r>
      <w:r>
        <w:rPr>
          <w:b/>
        </w:rPr>
        <w:t xml:space="preserve">DOI: </w:t>
      </w:r>
      <w:hyperlink r:id="rId283">
        <w:r>
          <w:rPr>
            <w:color w:val="1155CC"/>
            <w:u w:val="single"/>
          </w:rPr>
          <w:t>10.1002/adma.72131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[183] </w:t>
      </w:r>
      <w:hyperlink r:id="rId284">
        <w:r>
          <w:rPr>
            <w:color w:val="1155CC"/>
            <w:u w:val="single"/>
          </w:rPr>
          <w:t>抗Epstein-Barr病毒抗体(Adv. Matter. 7/2026)</w:t>
        </w:r>
      </w:hyperlink>
    </w:p>
    <w:p>
      <w:pPr>
        <w:spacing w:before="0" w:after="80"/>
      </w:pPr>
      <w:r>
        <w:rPr>
          <w:i/>
          <w:sz w:val="20"/>
        </w:rPr>
        <w:t>EN: Chimeric Glycoprotein Nanoparticles Elicit Robust Neutralizing Antibodies Against Epstein–Barr Virus (Adv. Mater. 7/2026)</w:t>
      </w:r>
    </w:p>
    <w:p>
      <w:pPr>
        <w:spacing w:before="0" w:after="120"/>
      </w:pPr>
      <w:r>
        <w:rPr>
          <w:b/>
        </w:rPr>
        <w:t xml:space="preserve">Source: </w:t>
      </w:r>
      <w:r>
        <w:t>Wiley: Advanced Materials: Table of Contents</w:t>
      </w:r>
      <w:r>
        <w:t xml:space="preserve">    </w:t>
      </w:r>
      <w:r>
        <w:rPr>
          <w:b/>
        </w:rPr>
        <w:t xml:space="preserve">Pub date: </w:t>
      </w:r>
      <w:r>
        <w:t>2026-02-02 10:16:32+00:00</w:t>
      </w:r>
      <w:r>
        <w:t xml:space="preserve">    </w:t>
      </w:r>
      <w:r>
        <w:rPr>
          <w:b/>
        </w:rPr>
        <w:t xml:space="preserve">DOI: </w:t>
      </w:r>
      <w:hyperlink r:id="rId285">
        <w:r>
          <w:rPr>
            <w:color w:val="1155CC"/>
            <w:u w:val="single"/>
          </w:rPr>
          <w:t>10.1002/adma.72130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[184] </w:t>
      </w:r>
      <w:hyperlink r:id="rId286">
        <w:r>
          <w:rPr>
            <w:color w:val="1155CC"/>
            <w:u w:val="single"/>
          </w:rPr>
          <w:t>Chipsize 石墨/IGZO 冷源FET 阵列 启动 Sub =60 mV Dec-1 SUper Tiep Subthresworld Swing (Adv. Mater. 7/2026)</w:t>
        </w:r>
      </w:hyperlink>
    </w:p>
    <w:p>
      <w:pPr>
        <w:spacing w:before="0" w:after="80"/>
      </w:pPr>
      <w:r>
        <w:rPr>
          <w:i/>
          <w:sz w:val="20"/>
        </w:rPr>
        <w:t>EN: Chip‐Scale Graphene/IGZO Cold Source FET Array Enabling Sub‐60 mV dec−1 Super‐Steep Subthreshold Swing (Adv. Mater. 7/2026)</w:t>
      </w:r>
    </w:p>
    <w:p>
      <w:pPr>
        <w:spacing w:before="0" w:after="120"/>
      </w:pPr>
      <w:r>
        <w:rPr>
          <w:b/>
        </w:rPr>
        <w:t xml:space="preserve">Source: </w:t>
      </w:r>
      <w:r>
        <w:t>Wiley: Advanced Materials: Table of Contents</w:t>
      </w:r>
      <w:r>
        <w:t xml:space="preserve">    </w:t>
      </w:r>
      <w:r>
        <w:rPr>
          <w:b/>
        </w:rPr>
        <w:t xml:space="preserve">Pub date: </w:t>
      </w:r>
      <w:r>
        <w:t>2026-02-02 10:16:32+00:00</w:t>
      </w:r>
      <w:r>
        <w:t xml:space="preserve">    </w:t>
      </w:r>
      <w:r>
        <w:rPr>
          <w:b/>
        </w:rPr>
        <w:t xml:space="preserve">DOI: </w:t>
      </w:r>
      <w:hyperlink r:id="rId287">
        <w:r>
          <w:rPr>
            <w:color w:val="1155CC"/>
            <w:u w:val="single"/>
          </w:rPr>
          <w:t>10.1002/adma.72129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[185] </w:t>
      </w:r>
      <w:hyperlink r:id="rId288">
        <w:r>
          <w:rPr>
            <w:color w:val="1155CC"/>
            <w:u w:val="single"/>
          </w:rPr>
          <w:t>LDI、LDI、LDI、Lipid droplet Inhibitor、Disrts Lipid 蓄积和变换脂肪活者肝炎口型(Adv. Mater. 7/2026)</w:t>
        </w:r>
      </w:hyperlink>
    </w:p>
    <w:p>
      <w:pPr>
        <w:spacing w:before="0" w:after="80"/>
      </w:pPr>
      <w:r>
        <w:rPr>
          <w:i/>
          <w:sz w:val="20"/>
        </w:rPr>
        <w:t>EN: LDI, A Lipid Droplet Inhibitor, Disrupts Lipid Accumulation and Modulates Hepatic Lipid Profiles in Fatty Liver (Adv. Mater. 7/2026)</w:t>
      </w:r>
    </w:p>
    <w:p>
      <w:pPr>
        <w:spacing w:before="0" w:after="120"/>
      </w:pPr>
      <w:r>
        <w:rPr>
          <w:b/>
        </w:rPr>
        <w:t xml:space="preserve">Source: </w:t>
      </w:r>
      <w:r>
        <w:t>Wiley: Advanced Materials: Table of Contents</w:t>
      </w:r>
      <w:r>
        <w:t xml:space="preserve">    </w:t>
      </w:r>
      <w:r>
        <w:rPr>
          <w:b/>
        </w:rPr>
        <w:t xml:space="preserve">Pub date: </w:t>
      </w:r>
      <w:r>
        <w:t>2026-02-02 10:16:32+00:00</w:t>
      </w:r>
      <w:r>
        <w:t xml:space="preserve">    </w:t>
      </w:r>
      <w:r>
        <w:rPr>
          <w:b/>
        </w:rPr>
        <w:t xml:space="preserve">DOI: </w:t>
      </w:r>
      <w:hyperlink r:id="rId289">
        <w:r>
          <w:rPr>
            <w:color w:val="1155CC"/>
            <w:u w:val="single"/>
          </w:rPr>
          <w:t>10.1002/adma.72127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[186] </w:t>
      </w:r>
      <w:hyperlink r:id="rId290">
        <w:r>
          <w:rPr>
            <w:color w:val="1155CC"/>
            <w:u w:val="single"/>
          </w:rPr>
          <w:t>[ASAP]通过照片诱导的能源传输实现氧化氮酮和Alkenes的环节节制战略</w:t>
        </w:r>
      </w:hyperlink>
    </w:p>
    <w:p>
      <w:pPr>
        <w:spacing w:before="0" w:after="80"/>
      </w:pPr>
      <w:r>
        <w:rPr>
          <w:i/>
          <w:sz w:val="20"/>
        </w:rPr>
        <w:t>EN: [ASAP] Ring Constraint Strategy Enabled Cycloaddition of Oxazolones and Alkenes via Photoinduced Energy Transfer</w:t>
      </w:r>
    </w:p>
    <w:p>
      <w:pPr>
        <w:spacing w:before="0" w:after="120"/>
      </w:pPr>
      <w:r>
        <w:rPr>
          <w:b/>
        </w:rPr>
        <w:t xml:space="preserve">Source: </w:t>
      </w:r>
      <w:r>
        <w:t>Journal of the American Chemical Society: Latest Articles (ACS Publications)</w:t>
      </w:r>
      <w:r>
        <w:t xml:space="preserve">    </w:t>
      </w:r>
      <w:r>
        <w:rPr>
          <w:b/>
        </w:rPr>
        <w:t xml:space="preserve">Pub date: </w:t>
      </w:r>
      <w:r>
        <w:t>2026-02-02 10:51:43+00:00</w:t>
      </w:r>
      <w:r>
        <w:t xml:space="preserve">    </w:t>
      </w:r>
      <w:r>
        <w:rPr>
          <w:b/>
        </w:rPr>
        <w:t xml:space="preserve">DOI: </w:t>
      </w:r>
      <w:hyperlink r:id="rId291">
        <w:r>
          <w:rPr>
            <w:color w:val="1155CC"/>
            <w:u w:val="single"/>
          </w:rPr>
          <w:t>10.1021/jacs.5c20071</w:t>
        </w:r>
      </w:hyperlink>
    </w:p>
    <w:p>
      <w:pPr>
        <w:spacing w:before="0" w:after="120"/>
      </w:pPr>
      <w:r>
        <w:rPr>
          <w:b/>
        </w:rPr>
        <w:t xml:space="preserve">Notes: </w:t>
      </w:r>
      <w:r>
        <w:t>abstract_source=pubmed</w:t>
      </w:r>
    </w:p>
    <w:p>
      <w:pPr>
        <w:spacing w:before="0" w:after="80" w:lineRule="auto" w:line="276"/>
      </w:pPr>
      <w:r>
        <w:rPr>
          <w:b/>
        </w:rPr>
        <w:t xml:space="preserve">摘要（ZH）: </w:t>
      </w:r>
      <w:r>
        <w:t>2-在天然产品合成和药品中发现,氨环球布丁诺氏蛋白是重要的元素,尽管通过对环丁烷的修改报告了合成结果,但多替代品2-氨环球布丁诺的可持久方法仍然不发达,因为具有回动性和选择性的挑战。在这项工作中,我们为生产多替代品2-氨环球布丁诺,引入了可见的光导中间分子[2+2]光相周期添加法。通过利用三重能量转移,氧化氮与各种振动和未起动的代谢体进行[2+2]循环相配。这一方法值得注意的是,其简单性、温和条件、广泛的亚基范围、以及高再生和异地选择性,从而得以从随时可得的材料中进行复杂的分子合成。</w:t>
      </w:r>
    </w:p>
    <w:p>
      <w:pPr>
        <w:spacing w:before="0" w:after="200" w:lineRule="auto" w:line="276"/>
      </w:pPr>
      <w:r>
        <w:rPr>
          <w:b/>
        </w:rPr>
        <w:t xml:space="preserve">Abstract (EN): </w:t>
      </w:r>
      <w:r>
        <w:t>2-Aminocyclobutanols are important motifs found in natural product synthesis and pharmaceuticals. Although their synthesis has been reported by modification of cyclobutanes, sustainable methods for polysubstituted 2-aminocyclobutanols remain underdeveloped due to challenges with reactivity and selectivity. In this work, we introduce a visible-light-mediated intermolecular [2 + 2] photocycloaddition for producing polysubstituted 2-aminocyclobutanols. By leveraging triplet energy transfer, oxazolones undergo [2 + 2] cycloaddition with various alkenes, both activated and unactivated. This approach is notable for its simplicity, mild conditions, broad substrate scope, and high regio- and diastereoselectivity, enabling complex molecule synthesis from readily available materials. Additionally, we also demonstrate a highly unusual cycloaddition with vinylcyclopropanes to construct [6,5]-fused scaffolds. Finally, mechanistic studies are included, revealing that cycloaddition is achieved through the radical addition of excited state oxazolones to alkenes, followed by radical-radical recombination.</w:t>
      </w:r>
    </w:p>
    <w:p>
      <w:pPr>
        <w:spacing w:before="120" w:after="120"/>
      </w:pPr>
      <w:r>
        <w:rPr>
          <w:sz w:val="18"/>
        </w:rPr>
        <w:t>——————————————————————————————————————————————————————————————————————</w:t>
      </w:r>
    </w:p>
    <w:p>
      <w:pPr>
        <w:spacing w:before="160" w:after="40" w:line="240" w:lineRule="auto"/>
      </w:pPr>
      <w:r>
        <w:rPr>
          <w:b/>
        </w:rPr>
        <w:t xml:space="preserve">[187] </w:t>
      </w:r>
      <w:hyperlink r:id="rId292">
        <w:r>
          <w:rPr>
            <w:color w:val="1155CC"/>
            <w:u w:val="single"/>
          </w:rPr>
          <w:t>[ASAP] 选用CO2至甲醇光电解析的有效场地</w:t>
        </w:r>
      </w:hyperlink>
    </w:p>
    <w:p>
      <w:pPr>
        <w:spacing w:before="0" w:after="80"/>
      </w:pPr>
      <w:r>
        <w:rPr>
          <w:i/>
          <w:sz w:val="20"/>
        </w:rPr>
        <w:t>EN: [ASAP] Site-Specific Asymmetric Coordination Engineering in Defective Metal–Organic Frameworks Stabilizes Cu(I) Active Sites for Selective CO2-to-Methanol Photocatalysis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2026-02-02 10:52:56+00:00</w:t>
      </w:r>
      <w:r>
        <w:t xml:space="preserve">    </w:t>
      </w:r>
      <w:r>
        <w:rPr>
          <w:b/>
        </w:rPr>
        <w:t xml:space="preserve">DOI: </w:t>
      </w:r>
      <w:hyperlink r:id="rId293">
        <w:r>
          <w:rPr>
            <w:color w:val="1155CC"/>
            <w:u w:val="single"/>
          </w:rPr>
          <w:t>10.1021/jacs.5c22163</w:t>
        </w:r>
      </w:hyperlink>
    </w:p>
    <w:p>
      <w:pPr>
        <w:spacing w:before="0" w:after="120"/>
      </w:pPr>
      <w:r>
        <w:rPr>
          <w:b/>
        </w:rPr>
        <w:t xml:space="preserve">Notes: </w:t>
      </w:r>
      <w:r>
        <w:t>abstract_source=pubmed</w:t>
      </w:r>
    </w:p>
    <w:p>
      <w:pPr>
        <w:spacing w:before="0" w:after="80" w:lineRule="auto" w:line="276"/>
      </w:pPr>
      <w:r>
        <w:rPr>
          <w:b/>
        </w:rPr>
        <w:t xml:space="preserve">摘要（ZH）: </w:t>
      </w:r>
      <w:r>
        <w:t>通过单原子光化光化法减少太阳能驱动的CO2,对于同时处理碳中和和生产有价值的化学品大有希望。一个单一原子(SA)站点的协调实地工程基本上提供了一种引人入胜的战略,以引导二氧化碳减排路径。我们在此报告Cu SA站点的封闭情况,在有缺陷的MIL-125-NH2中以非对称协调微观环境的方式对Cu SA进行非对称封闭,以便利光催化CO2-to-CH3OH转换。这是通过在非饱和的Tixo组群上精确定位四氧化物(DOTA)的柔性N-血氧环流(DOTA)来实现的,以修复经热处理的MIL-125-NH2中缺失的连接器缺陷。其次是Cu-DOTA切层利用超高层形成常态稳定Cu SA。</w:t>
      </w:r>
    </w:p>
    <w:p>
      <w:pPr>
        <w:spacing w:before="0" w:after="200" w:lineRule="auto" w:line="276"/>
      </w:pPr>
      <w:r>
        <w:rPr>
          <w:b/>
        </w:rPr>
        <w:t xml:space="preserve">Abstract (EN): </w:t>
      </w:r>
      <w:r>
        <w:t>Solar-driven CO2 reduction by means of single-atom photocatalysis holds great promise for simultaneously addressing carbon neutrality and producing valuable chemicals. The coordination-field engineering of a single-atom (SA) site essentially provides an intriguing strategy to steer the CO2 reduction pathway. We report herein the site-specific confinement of Cu SA with an asymmetric coordination microenvironment in defective MIL-125-NH2 to facilitate photocatalytic CO2-to-CH3OH conversion. This is achieved by precisely anchoring a flexible N-heteromacrocyclic ligand of tetraxetan (DOTA) on unsaturated Ti-oxo clusters to repair the missing-linker defect in heat-treated MIL-125-NH2, followed by Cu-DOTA chelation leveraging ultrahigh formation constant to stabilize Cu SA. Under scavenger-free conditions, the photocatalyst exhibits a methanol yield of 229.0 μmol·g-1·h-1 and an excellent product selectivity of up to 95.9%. Mechanistic studies reveal that the asymmetric coordination environment promotes the formation of stable Cu(I) over Cu(II), which lowers the energy barrier of the key reaction intermediates and suppresses byproduct formation, thereby enabling high selectivity toward the product CH3OH.</w:t>
      </w:r>
    </w:p>
    <w:p>
      <w:pPr>
        <w:spacing w:before="120" w:after="120"/>
      </w:pPr>
      <w:r>
        <w:rPr>
          <w:sz w:val="18"/>
        </w:rPr>
        <w:t>——————————————————————————————————————————————————————————————————————</w:t>
      </w:r>
    </w:p>
    <w:p>
      <w:pPr>
        <w:spacing w:before="160" w:after="40" w:line="240" w:lineRule="auto"/>
      </w:pPr>
      <w:r>
        <w:rPr>
          <w:b/>
        </w:rPr>
        <w:t xml:space="preserve">[188] </w:t>
      </w:r>
      <w:hyperlink r:id="rId294">
        <w:r>
          <w:rPr>
            <w:color w:val="1155CC"/>
            <w:u w:val="single"/>
          </w:rPr>
          <w:t>[ASAP]对GLUTs Glucuse运输的异常和定型化学效应的原子直观和定型化学影响</w:t>
        </w:r>
      </w:hyperlink>
    </w:p>
    <w:p>
      <w:pPr>
        <w:spacing w:before="0" w:after="80"/>
      </w:pPr>
      <w:r>
        <w:rPr>
          <w:i/>
          <w:sz w:val="20"/>
        </w:rPr>
        <w:t>EN: [ASAP] Atomistic Insights into Anomeric and Stereochemical Effects on Glucose Transport by GLUTs</w:t>
      </w:r>
    </w:p>
    <w:p>
      <w:pPr>
        <w:spacing w:before="0" w:after="120"/>
      </w:pPr>
      <w:r>
        <w:rPr>
          <w:b/>
        </w:rPr>
        <w:t xml:space="preserve">Source: </w:t>
      </w:r>
      <w:r>
        <w:t>Journal of the American Chemical Society: Latest Articles (ACS Publications)</w:t>
      </w:r>
      <w:r>
        <w:t xml:space="preserve">    </w:t>
      </w:r>
      <w:r>
        <w:rPr>
          <w:b/>
        </w:rPr>
        <w:t xml:space="preserve">Pub date: </w:t>
      </w:r>
      <w:r>
        <w:t>2026-02-02 10:54:02+00:00</w:t>
      </w:r>
      <w:r>
        <w:t xml:space="preserve">    </w:t>
      </w:r>
      <w:r>
        <w:rPr>
          <w:b/>
        </w:rPr>
        <w:t xml:space="preserve">DOI: </w:t>
      </w:r>
      <w:hyperlink r:id="rId295">
        <w:r>
          <w:rPr>
            <w:color w:val="1155CC"/>
            <w:u w:val="single"/>
          </w:rPr>
          <w:t>10.1021/jacs.5c17290</w:t>
        </w:r>
      </w:hyperlink>
    </w:p>
    <w:p>
      <w:pPr>
        <w:spacing w:before="0" w:after="120"/>
      </w:pPr>
      <w:r>
        <w:rPr>
          <w:b/>
        </w:rPr>
        <w:t xml:space="preserve">Notes: </w:t>
      </w:r>
      <w:r>
        <w:t>abstract_source=pubmed</w:t>
      </w:r>
    </w:p>
    <w:p>
      <w:pPr>
        <w:spacing w:before="0" w:after="80" w:lineRule="auto" w:line="276"/>
      </w:pPr>
      <w:r>
        <w:rPr>
          <w:b/>
        </w:rPr>
        <w:t xml:space="preserve">摘要（ZH）: </w:t>
      </w:r>
      <w:r>
        <w:t>虽然β-甘蔗糖在水溶溶液中比α-甘甘蔗糖更为丰富,但GLUT3由于蛋白质结合点内部的有利相互作用和符合性互补,优先将α-甘蔗糖捆绑在一起。这项研究探讨了使用传统MD,对α-和β-甘蔗糖来说,GLUT1和GLUT3的甘蔗糖运输器的厌食偏好偏好,它提供了机械学的洞察力,了解了以前报告的在净流入、超载和交换通量期间特定厌食者运输速度的差异,以及葡萄糖厌食剂衍生物的不对称捆绑。这项研究分析了葡萄糖厌食剂和运输残留物与这些残留物之间的氢丰度变化,结合了洪水模拟期间这些残留物的根平方波动(RMSF),使用了混合的α/β-甘酸轨迹轨迹或单亚色轨迹。</w:t>
      </w:r>
    </w:p>
    <w:p>
      <w:pPr>
        <w:spacing w:before="0" w:after="200" w:lineRule="auto" w:line="276"/>
      </w:pPr>
      <w:r>
        <w:rPr>
          <w:b/>
        </w:rPr>
        <w:t xml:space="preserve">Abstract (EN): </w:t>
      </w:r>
      <w:r>
        <w:t>Although β-glucose is more abundant than α-glucose in aqueous solution, GLUT3 preferentially binds α-glucose due to favorable interactions and conformational complementarity within the protein binding site. This study explores the anomeric preferences of glucose transporters GLUT1 and GLUT3 for α- and β-glucose using classical MD, providing mechanistic insight into previously reported differences in anomer-specific transport rates during net influx, efflux, and exchange flux, as well as asymmetric binding of glucose anomer derivatives. Analysis of hydrogen-bonding frequencies between glucose anomers and transporter residues, combined with root mean squared fluctuations (RMSF) of these residues during flooding simulations, using either mixed α/β-glucose trajectories or single-anomer trajectories, reveals distinct residue preferences along the transport pathway. GLUT3 residues exposed to the extracellular solution preferentially interact with α-d-glucose, while inward-facing residues show a bias toward β-d-glucose. This distributed network of anomer-selective interactions, particularly concentrated in extramembranous surface regions, highlights previously unrecognized complexity in GLUT stereoselectivity. Enhanced residue displacements adjacent to orthosteric glucose collision sites suggest that allosteric intra- and interchain interactions may contribute to the cooperative transport behavior observed in mixed α + β-glucose simulations compared to single-anomer conditions. Importantly, anomeric stereoselectivity in GLUT1 and GLUT3 is not confined to the central high-affinity binding site, but also involves a multiplicity of extramembranous residues, underscoring the broader structural basis for selective glucose transport.</w:t>
      </w:r>
    </w:p>
    <w:p>
      <w:pPr>
        <w:spacing w:before="120" w:after="120"/>
      </w:pPr>
      <w:r>
        <w:rPr>
          <w:sz w:val="18"/>
        </w:rPr>
        <w:t>——————————————————————————————————————————————————————————————————————</w:t>
      </w:r>
    </w:p>
    <w:p>
      <w:pPr>
        <w:spacing w:before="160" w:after="40" w:line="240" w:lineRule="auto"/>
      </w:pPr>
      <w:r>
        <w:rPr>
          <w:b/>
        </w:rPr>
        <w:t xml:space="preserve">[189] </w:t>
      </w:r>
      <w:hyperlink r:id="rId296">
        <w:r>
          <w:rPr>
            <w:color w:val="1155CC"/>
            <w:u w:val="single"/>
          </w:rPr>
          <w:t>Anion 柱体 使高能量密度高且具有超长周期寿命的二氧化铀电池</w:t>
        </w:r>
      </w:hyperlink>
    </w:p>
    <w:p>
      <w:pPr>
        <w:spacing w:before="0" w:after="80"/>
      </w:pPr>
      <w:r>
        <w:rPr>
          <w:i/>
          <w:sz w:val="20"/>
        </w:rPr>
        <w:t>EN: Anion Pillars Enable High Energy Density Sodium Dual‐Ion Battery With Ultra‐Long Cycle Life</w:t>
      </w:r>
    </w:p>
    <w:p>
      <w:pPr>
        <w:spacing w:before="0" w:after="120"/>
      </w:pPr>
      <w:r>
        <w:rPr>
          <w:b/>
        </w:rPr>
        <w:t xml:space="preserve">Source: </w:t>
      </w:r>
      <w:r>
        <w:t>Wiley: Angewandte Chemie International Edition: Table of Contents</w:t>
      </w:r>
      <w:r>
        <w:t xml:space="preserve">    </w:t>
      </w:r>
      <w:r>
        <w:rPr>
          <w:b/>
        </w:rPr>
        <w:t xml:space="preserve">Pub date: </w:t>
      </w:r>
      <w:r>
        <w:t>2026-02-02 11:02:10+00:00</w:t>
      </w:r>
      <w:r>
        <w:t xml:space="preserve">    </w:t>
      </w:r>
      <w:r>
        <w:rPr>
          <w:b/>
        </w:rPr>
        <w:t xml:space="preserve">DOI: </w:t>
      </w:r>
      <w:hyperlink r:id="rId297">
        <w:r>
          <w:rPr>
            <w:color w:val="1155CC"/>
            <w:u w:val="single"/>
          </w:rPr>
          <w:t>10.1002/anie.202521536</w:t>
        </w:r>
      </w:hyperlink>
    </w:p>
    <w:p>
      <w:pPr>
        <w:spacing w:before="0" w:after="120"/>
      </w:pPr>
      <w:r>
        <w:rPr>
          <w:b/>
        </w:rPr>
        <w:t xml:space="preserve">Notes: </w:t>
      </w:r>
      <w:r>
        <w:t>abstract_source=crossref</w:t>
      </w:r>
    </w:p>
    <w:p>
      <w:pPr>
        <w:spacing w:before="0" w:after="80" w:lineRule="auto" w:line="276"/>
      </w:pPr>
      <w:r>
        <w:rPr>
          <w:b/>
        </w:rPr>
        <w:t xml:space="preserve">摘要（ZH）: </w:t>
      </w:r>
      <w:r>
        <w:t>由于成本低、环境友好和高功率电压,ABSTRACT Sodium 双子电池(SDIBs)正在成为充满希望的能源储存系统,因为其成本低、环境友好和高操作电压,然而,常用的石墨阴极的结构不稳定限制了其长期性能,对大规模应用构成重大障碍。 我们在此首次报告在石墨阴极的中间层使用离子柱战略,以永久扩大和保持层间距,防止结构崩溃和便利(de)间接,导致SDIBs的电化学性能异常。</w:t>
      </w:r>
    </w:p>
    <w:p>
      <w:pPr>
        <w:spacing w:before="0" w:after="200" w:lineRule="auto" w:line="276"/>
      </w:pPr>
      <w:r>
        <w:rPr>
          <w:b/>
        </w:rPr>
        <w:t xml:space="preserve">Abstract (EN): </w:t>
      </w:r>
      <w:r>
        <w:t>Sodium dual‐ion batteries (SDIBs) are emerging as promising energy storage systems due to their low cost, environmental friendliness, and high operating voltage. However, the structural instability of the commonly used graphite cathode limits its long‐term performance, posing a significant obstacle to large‐scale applications. Here, for the first time, we report the use of the anion pillar strategy in the interlayer of the graphite cathode to expand and maintain permanently the layer spacing, preventing structural collapse and facilitating (de)intercalation, leading to an exceptional electrochemical performance of SDIBs. A high specific capacity of 162 mAh g</w:t>
      </w:r>
      <w:r>
        <w:t xml:space="preserve"> </w:t>
      </w:r>
      <w:r>
        <w:t>−1</w:t>
      </w:r>
      <w:r>
        <w:t xml:space="preserve"> </w:t>
      </w:r>
      <w:r>
        <w:t>at a current density of 200 mA g</w:t>
      </w:r>
      <w:r>
        <w:t xml:space="preserve"> </w:t>
      </w:r>
      <w:r>
        <w:t>−1</w:t>
      </w:r>
      <w:r>
        <w:t xml:space="preserve"> </w:t>
      </w:r>
      <w:r>
        <w:t>, corresponding to a high energy density of 560 Wh kg</w:t>
      </w:r>
      <w:r>
        <w:t xml:space="preserve"> </w:t>
      </w:r>
      <w:r>
        <w:t>−1</w:t>
      </w:r>
      <w:r>
        <w:t xml:space="preserve"> </w:t>
      </w:r>
      <w:r>
        <w:t>is achieved. More impressively, the specific capacity can be maintained at 101 mAh g</w:t>
      </w:r>
      <w:r>
        <w:t xml:space="preserve"> </w:t>
      </w:r>
      <w:r>
        <w:t>−1</w:t>
      </w:r>
      <w:r>
        <w:t xml:space="preserve"> </w:t>
      </w:r>
      <w:r>
        <w:t>at a high current density of 2000 mA g</w:t>
      </w:r>
      <w:r>
        <w:t xml:space="preserve"> </w:t>
      </w:r>
      <w:r>
        <w:t>−1</w:t>
      </w:r>
      <w:r>
        <w:t xml:space="preserve"> </w:t>
      </w:r>
      <w:r>
        <w:t>, with a high capacity retention of 74.0% after 15 500 cycles is obtained, corresponding to a capacity decay rate as low as 0.0017% per cycle and anion pillars remain stable in the interlayer of graphite. This study presents a novel and effective strategy for improving the performance and stability of graphite cathodes in SDIBs, offering valuable insights for the development of next‐generation energy storage systems.</w:t>
      </w:r>
    </w:p>
    <w:p>
      <w:pPr>
        <w:spacing w:before="120" w:after="120"/>
      </w:pPr>
      <w:r>
        <w:rPr>
          <w:sz w:val="18"/>
        </w:rPr>
        <w:t>——————————————————————————————————————————————————————————————————————</w:t>
      </w:r>
    </w:p>
    <w:p>
      <w:pPr>
        <w:spacing w:before="160" w:after="40" w:line="240" w:lineRule="auto"/>
      </w:pPr>
      <w:r>
        <w:rPr>
          <w:b/>
        </w:rPr>
        <w:t xml:space="preserve">[190] </w:t>
      </w:r>
      <w:hyperlink r:id="rId298">
        <w:r>
          <w:rPr>
            <w:color w:val="1155CC"/>
            <w:u w:val="single"/>
          </w:rPr>
          <w:t>建造具有竞争性协调效果的离子桥,以促进高性能金属电池固态金属电池电解解液液态电解液体的利+导力</w:t>
        </w:r>
      </w:hyperlink>
    </w:p>
    <w:p>
      <w:pPr>
        <w:spacing w:before="0" w:after="80"/>
      </w:pPr>
      <w:r>
        <w:rPr>
          <w:i/>
          <w:sz w:val="20"/>
        </w:rPr>
        <w:t>EN: Constructing Ion Bridges With Competitive Coordination Effects to Promote Li+ Conduction in Solid‐State Electrolytes for High‐Performance Lithium Metal Batteries</w:t>
      </w:r>
    </w:p>
    <w:p>
      <w:pPr>
        <w:spacing w:before="0" w:after="120"/>
      </w:pPr>
      <w:r>
        <w:rPr>
          <w:b/>
        </w:rPr>
        <w:t xml:space="preserve">Source: </w:t>
      </w:r>
      <w:r>
        <w:t>Wiley: Advanced Materials: Table of Contents</w:t>
      </w:r>
      <w:r>
        <w:t xml:space="preserve">    </w:t>
      </w:r>
      <w:r>
        <w:rPr>
          <w:b/>
        </w:rPr>
        <w:t xml:space="preserve">Pub date: </w:t>
      </w:r>
      <w:r>
        <w:t>2026-02-02 11:02:45+00:00</w:t>
      </w:r>
      <w:r>
        <w:t xml:space="preserve">    </w:t>
      </w:r>
      <w:r>
        <w:rPr>
          <w:b/>
        </w:rPr>
        <w:t xml:space="preserve">DOI: </w:t>
      </w:r>
      <w:hyperlink r:id="rId299">
        <w:r>
          <w:rPr>
            <w:color w:val="1155CC"/>
            <w:u w:val="single"/>
          </w:rPr>
          <w:t>10.1002/adma.202523369</w:t>
        </w:r>
      </w:hyperlink>
    </w:p>
    <w:p>
      <w:pPr>
        <w:spacing w:before="0" w:after="120"/>
      </w:pPr>
      <w:r>
        <w:rPr>
          <w:b/>
        </w:rPr>
        <w:t xml:space="preserve">Notes: </w:t>
      </w:r>
      <w:r>
        <w:t>abstract_source=crossref</w:t>
      </w:r>
    </w:p>
    <w:p>
      <w:pPr>
        <w:spacing w:before="0" w:after="80" w:lineRule="auto" w:line="276"/>
      </w:pPr>
      <w:r>
        <w:rPr>
          <w:b/>
        </w:rPr>
        <w:t xml:space="preserve">摘要（ZH）: </w:t>
      </w:r>
      <w:r>
        <w:t>ABSTACT 以聚(乙烯-氟化烃) -co-HFP(PVDF-HFP)和Li6.4 La 3 Zr 1.4 3 Zr 1.4 Ta 0.6 O 12 (LLLZTO)为基础的复合固态电解液(CSEs)被认为是实现高能量密度固态电池的最有希望的SEs,然而,低电离子传导性和低相干性对其实际应用构成重大挑战。</w:t>
      </w:r>
    </w:p>
    <w:p>
      <w:pPr>
        <w:spacing w:before="0" w:after="200" w:lineRule="auto" w:line="276"/>
      </w:pPr>
      <w:r>
        <w:rPr>
          <w:b/>
        </w:rPr>
        <w:t xml:space="preserve">Abstract (EN): </w:t>
      </w:r>
      <w:r>
        <w:t>Composite solid electrolytes (CSEs) based on poly(vinylidene fluoride)‐co‐hexafluoropropylene (PVDF‐HFP) and Li</w:t>
      </w:r>
      <w:r>
        <w:t xml:space="preserve"> </w:t>
      </w:r>
      <w:r>
        <w:t>6.4</w:t>
      </w:r>
      <w:r>
        <w:t xml:space="preserve"> </w:t>
      </w:r>
      <w:r>
        <w:t>La</w:t>
      </w:r>
      <w:r>
        <w:rPr>
          <w:vertAlign w:val="subscript"/>
        </w:rPr>
        <w:t>3</w:t>
      </w:r>
      <w:r>
        <w:t>Zr</w:t>
      </w:r>
      <w:r>
        <w:t xml:space="preserve"> </w:t>
      </w:r>
      <w:r>
        <w:t>1.4</w:t>
      </w:r>
      <w:r>
        <w:t xml:space="preserve"> </w:t>
      </w:r>
      <w:r>
        <w:t>Ta</w:t>
      </w:r>
      <w:r>
        <w:t xml:space="preserve"> </w:t>
      </w:r>
      <w:r>
        <w:t>0.6</w:t>
      </w:r>
      <w:r>
        <w:t xml:space="preserve"> </w:t>
      </w:r>
      <w:r>
        <w:t>O</w:t>
      </w:r>
      <w:r>
        <w:rPr>
          <w:vertAlign w:val="subscript"/>
        </w:rPr>
        <w:t>12</w:t>
      </w:r>
      <w:r>
        <w:t>(LLZTO) are considered among the most promising SEs for achieving high‐energy‐density solid‐state batteries. However, low ionic conductivity and poor interfacial compatibility pose significant challenges for their practical applications. Herein, a strategy involving the construction of Li</w:t>
      </w:r>
      <w:r>
        <w:t xml:space="preserve"> </w:t>
      </w:r>
      <w:r>
        <w:t>x</w:t>
      </w:r>
      <w:r>
        <w:t xml:space="preserve"> </w:t>
      </w:r>
      <w:r>
        <w:t>TaO</w:t>
      </w:r>
      <w:r>
        <w:t xml:space="preserve"> </w:t>
      </w:r>
      <w:r>
        <w:t>x</w:t>
      </w:r>
      <w:r>
        <w:t xml:space="preserve"> </w:t>
      </w:r>
      <w:r>
        <w:t>F</w:t>
      </w:r>
      <w:r>
        <w:t xml:space="preserve"> </w:t>
      </w:r>
      <w:r>
        <w:t>5‐</w:t>
      </w:r>
      <w:r>
        <w:t xml:space="preserve"> </w:t>
      </w:r>
      <w:r>
        <w:t>x</w:t>
      </w:r>
      <w:r>
        <w:t xml:space="preserve"> </w:t>
      </w:r>
      <w:r>
        <w:t>(LTOF) ion bridges with competitive coordination effects on the LLZTO surface is proposed. This approach alleviates restrictions on Li</w:t>
      </w:r>
      <w:r>
        <w:t xml:space="preserve"> </w:t>
      </w:r>
      <w:r>
        <w:t>+</w:t>
      </w:r>
      <w:r>
        <w:t xml:space="preserve"> </w:t>
      </w:r>
      <w:r>
        <w:t>transport and enhances Li</w:t>
      </w:r>
      <w:r>
        <w:t xml:space="preserve"> </w:t>
      </w:r>
      <w:r>
        <w:t>+</w:t>
      </w:r>
      <w:r>
        <w:t xml:space="preserve"> </w:t>
      </w:r>
      <w:r>
        <w:t>transport kinetics. The introduction of LTOF weakens Li</w:t>
      </w:r>
      <w:r>
        <w:t xml:space="preserve"> </w:t>
      </w:r>
      <w:r>
        <w:t>+</w:t>
      </w:r>
      <w:r>
        <w:t xml:space="preserve"> </w:t>
      </w:r>
      <w:r>
        <w:t>coordination strength, suppresses electron localization at the LLZTO/PVDF‐HFP interface, and simultaneously reduces PVDF‐HFP crystallinity. This creates multiple efficient Li</w:t>
      </w:r>
      <w:r>
        <w:t xml:space="preserve"> </w:t>
      </w:r>
      <w:r>
        <w:t>+</w:t>
      </w:r>
      <w:r>
        <w:t xml:space="preserve"> </w:t>
      </w:r>
      <w:r>
        <w:t>transport pathways and an interphase with excellent compatibility. Consequently, the prepared electrolyte exhibits a high ionic conductivity of 1.21 mS cm</w:t>
      </w:r>
      <w:r>
        <w:t xml:space="preserve"> </w:t>
      </w:r>
      <w:r>
        <w:t>−</w:t>
      </w:r>
      <w:r>
        <w:rPr>
          <w:vertAlign w:val="subscript"/>
        </w:rPr>
        <w:t>1</w:t>
      </w:r>
      <w:r>
        <w:t>. Attributing to easier lithium salt dissociation, the solid electrolyte interface enriched with inorganic components, e.g. LiF/Li</w:t>
      </w:r>
      <w:r>
        <w:rPr>
          <w:vertAlign w:val="subscript"/>
        </w:rPr>
        <w:t>3</w:t>
      </w:r>
      <w:r>
        <w:t>N/Li</w:t>
      </w:r>
      <w:r>
        <w:rPr>
          <w:vertAlign w:val="subscript"/>
        </w:rPr>
        <w:t>2</w:t>
      </w:r>
      <w:r>
        <w:t>S, enables the Li|CSE‐9TF|Li cell to maintain stable plating/stripping for over 1100 h at a current density of 0.8 mA cm</w:t>
      </w:r>
      <w:r>
        <w:t xml:space="preserve"> </w:t>
      </w:r>
      <w:r>
        <w:t>−</w:t>
      </w:r>
      <w:r>
        <w:rPr>
          <w:vertAlign w:val="subscript"/>
        </w:rPr>
        <w:t>2</w:t>
      </w:r>
      <w:r>
        <w:t>. The assembled LiFePO</w:t>
      </w:r>
      <w:r>
        <w:rPr>
          <w:vertAlign w:val="subscript"/>
        </w:rPr>
        <w:t>4</w:t>
      </w:r>
      <w:r>
        <w:t>||Li cells deliver high capacity retention (93.4%) and approaching 100% coulombic efficiency after 1000 cycles at 1C. This work proposes a strategy for regulating the coordination environment and improving interfacial compatibility through surface oxyhalide layers, facilitating new progress in the practical application of CSEs.</w:t>
      </w:r>
    </w:p>
    <w:p>
      <w:pPr>
        <w:spacing w:before="120" w:after="120"/>
      </w:pPr>
      <w:r>
        <w:rPr>
          <w:sz w:val="18"/>
        </w:rPr>
        <w:t>——————————————————————————————————————————————————————————————————————</w:t>
      </w:r>
    </w:p>
    <w:p>
      <w:pPr>
        <w:spacing w:before="160" w:after="40" w:line="240" w:lineRule="auto"/>
      </w:pPr>
      <w:r>
        <w:rPr>
          <w:b/>
        </w:rPr>
        <w:t xml:space="preserve">[191] </w:t>
      </w:r>
      <w:hyperlink r:id="rId300">
        <w:r>
          <w:rPr>
            <w:color w:val="1155CC"/>
            <w:u w:val="single"/>
          </w:rPr>
          <w:t>增强眼脑和小脑脑的磁RI</w:t>
        </w:r>
      </w:hyperlink>
    </w:p>
    <w:p>
      <w:pPr>
        <w:spacing w:before="0" w:after="80"/>
      </w:pPr>
      <w:r>
        <w:rPr>
          <w:i/>
          <w:sz w:val="20"/>
        </w:rPr>
        <w:t>EN: Metamaterial Antennas Enhance MRI of the Eye and Occipital Brain</w:t>
      </w:r>
    </w:p>
    <w:p>
      <w:pPr>
        <w:spacing w:before="0" w:after="120"/>
      </w:pPr>
      <w:r>
        <w:rPr>
          <w:b/>
        </w:rPr>
        <w:t xml:space="preserve">Source: </w:t>
      </w:r>
      <w:r>
        <w:t>Wiley: Advanced Materials: Table of Contents</w:t>
      </w:r>
      <w:r>
        <w:t xml:space="preserve">    </w:t>
      </w:r>
      <w:r>
        <w:rPr>
          <w:b/>
        </w:rPr>
        <w:t xml:space="preserve">Pub date: </w:t>
      </w:r>
      <w:r>
        <w:t>2026-02-02 11:06:10+00:00</w:t>
      </w:r>
      <w:r>
        <w:t xml:space="preserve">    </w:t>
      </w:r>
      <w:r>
        <w:rPr>
          <w:b/>
        </w:rPr>
        <w:t xml:space="preserve">DOI: </w:t>
      </w:r>
      <w:hyperlink r:id="rId301">
        <w:r>
          <w:rPr>
            <w:color w:val="1155CC"/>
            <w:u w:val="single"/>
          </w:rPr>
          <w:t>10.1002/adma.202517760</w:t>
        </w:r>
      </w:hyperlink>
    </w:p>
    <w:p>
      <w:pPr>
        <w:spacing w:before="0" w:after="120"/>
      </w:pPr>
      <w:r>
        <w:rPr>
          <w:b/>
        </w:rPr>
        <w:t xml:space="preserve">Notes: </w:t>
      </w:r>
      <w:r>
        <w:t>abstract_source=crossref</w:t>
      </w:r>
    </w:p>
    <w:p>
      <w:pPr>
        <w:spacing w:before="0" w:after="80" w:lineRule="auto" w:line="276"/>
      </w:pPr>
      <w:r>
        <w:rPr>
          <w:b/>
        </w:rPr>
        <w:t xml:space="preserve">摘要（ZH）: </w:t>
      </w:r>
      <w:r>
        <w:t>以平面和弯曲配置的元材料集成无线电频率天线(MTMA),在7.0 T. 时使眼、轨道和枕头大脑的高分辨率磁共分辨率磁RI得以在7.0 T. 。 其双层共平层结构将双通道传输环与由亚波长四硅内阴性单元细胞组成的元物质层相结合。这些单元细胞是按传统分裂共振共振器设计的,用于在7.0 T. 电磁模拟(包括人类 voxel模型)进行操作,指导MTMA电磁行为的设计和定性。两种MTMA配置都以在幻影和活体中的常规环共线阵为基准,以实验性验证为基准,显示增强的传输(B)。</w:t>
      </w:r>
    </w:p>
    <w:p>
      <w:pPr>
        <w:spacing w:before="0" w:after="200" w:lineRule="auto" w:line="276"/>
      </w:pPr>
      <w:r>
        <w:rPr>
          <w:b/>
        </w:rPr>
        <w:t xml:space="preserve">Abstract (EN): </w:t>
      </w:r>
      <w:r>
        <w:t>A metamaterial‐integrated radio frequency antenna (MTMA), implemented in planar and bend configurations, enables high‐resolution MRI of the eye, orbit, and occipital brain at 7.0 T. Its dual‐layer co‐planar architecture integrates a two‐channel transceive loop with a metamaterial layer composed of subwavelength epsilon‐negative unit cells. These unit cells were custom‐designed based on classical split‐ring resonators for operation at 7.0 T. Electromagnetic simulations, including human voxel models, guided the design and characterization of the MTMA's electromagnetic behavior. Both MTMA configurations were benchmarked against conventional loop coil arrays in phantoms and in vivo for experimental validation, demonstrating enhanced transmit (B</w:t>
      </w:r>
      <w:r>
        <w:rPr>
          <w:vertAlign w:val="subscript"/>
        </w:rPr>
        <w:t>1</w:t>
      </w:r>
      <w:r>
        <w:t>+</w:t>
      </w:r>
      <w:r>
        <w:t xml:space="preserve"> </w:t>
      </w:r>
      <w:r>
        <w:t>) efficiency and receive sensitivity enabled by the metamaterial layer through resonant near‐field coupling. MRI safety was verified through SAR simulations, bio‐thermal modeling, Magnetic Resonance thermometry, and fiber‐optic sensors, confirming compliance with safety guidelines. The Bend‐MTMA enabled in vivo human MRI of the eye and orbit in healthy volunteers, including B</w:t>
      </w:r>
      <w:r>
        <w:rPr>
          <w:vertAlign w:val="subscript"/>
        </w:rPr>
        <w:t>1</w:t>
      </w:r>
      <w:r>
        <w:t>+</w:t>
      </w:r>
      <w:r>
        <w:t xml:space="preserve"> </w:t>
      </w:r>
      <w:r>
        <w:t>mapping, and provided diagnostic T</w:t>
      </w:r>
      <w:r>
        <w:rPr>
          <w:vertAlign w:val="subscript"/>
        </w:rPr>
        <w:t>1</w:t>
      </w:r>
      <w:r>
        <w:t>‐ and T</w:t>
      </w:r>
      <w:r>
        <w:rPr>
          <w:vertAlign w:val="subscript"/>
        </w:rPr>
        <w:t>2</w:t>
      </w:r>
      <w:r>
        <w:t>‐weighted imaging in volunteers with retinal pathology and sinus cysts, demonstrating clinical applicability. The Planar‐MTMA enabled occipital lobe MRI in human volunteers, achieving superior signal coverage and transmit performance. The modular unit cell design enables tuning across MRI magnetic field strengths, establishing a clinically translatable metamaterial‐integrated antenna platform for ocular and neurological imaging.</w:t>
      </w:r>
    </w:p>
    <w:p>
      <w:pPr>
        <w:spacing w:before="120" w:after="120"/>
      </w:pPr>
      <w:r>
        <w:rPr>
          <w:sz w:val="18"/>
        </w:rPr>
        <w:t>——————————————————————————————————————————————————————————————————————</w:t>
      </w:r>
    </w:p>
    <w:p>
      <w:pPr>
        <w:spacing w:before="160" w:after="40" w:line="240" w:lineRule="auto"/>
      </w:pPr>
      <w:r>
        <w:rPr>
          <w:b/>
        </w:rPr>
        <w:t xml:space="preserve">[192] </w:t>
      </w:r>
      <w:hyperlink r:id="rId302">
        <w:r>
          <w:rPr>
            <w:color w:val="1155CC"/>
            <w:u w:val="single"/>
          </w:rPr>
          <w:t>通过量吨点点光谱区中量度选择性电荷运输而实现的宽带环极极光探测</w:t>
        </w:r>
      </w:hyperlink>
    </w:p>
    <w:p>
      <w:pPr>
        <w:spacing w:before="0" w:after="80"/>
      </w:pPr>
      <w:r>
        <w:rPr>
          <w:i/>
          <w:sz w:val="20"/>
        </w:rPr>
        <w:t>EN: Broadband Circularly Polarized Light Detection via Spin‐Selective Charge Transport in Quantum Dot Photodiodes</w:t>
      </w:r>
    </w:p>
    <w:p>
      <w:pPr>
        <w:spacing w:before="0" w:after="120"/>
      </w:pPr>
      <w:r>
        <w:rPr>
          <w:b/>
        </w:rPr>
        <w:t xml:space="preserve">Source: </w:t>
      </w:r>
      <w:r>
        <w:t>Wiley: Advanced Materials: Table of Contents</w:t>
      </w:r>
      <w:r>
        <w:t xml:space="preserve">    </w:t>
      </w:r>
      <w:r>
        <w:rPr>
          <w:b/>
        </w:rPr>
        <w:t xml:space="preserve">Pub date: </w:t>
      </w:r>
      <w:r>
        <w:t>2026-02-02 11:09:41+00:00</w:t>
      </w:r>
      <w:r>
        <w:t xml:space="preserve">    </w:t>
      </w:r>
      <w:r>
        <w:rPr>
          <w:b/>
        </w:rPr>
        <w:t xml:space="preserve">DOI: </w:t>
      </w:r>
      <w:hyperlink r:id="rId303">
        <w:r>
          <w:rPr>
            <w:color w:val="1155CC"/>
            <w:u w:val="single"/>
          </w:rPr>
          <w:t>10.1002/adma.202519146</w:t>
        </w:r>
      </w:hyperlink>
    </w:p>
    <w:p>
      <w:pPr>
        <w:spacing w:before="0" w:after="120"/>
      </w:pPr>
      <w:r>
        <w:rPr>
          <w:b/>
        </w:rPr>
        <w:t xml:space="preserve">Notes: </w:t>
      </w:r>
      <w:r>
        <w:t>abstract_source=crossref</w:t>
      </w:r>
    </w:p>
    <w:p>
      <w:pPr>
        <w:spacing w:before="0" w:after="80" w:lineRule="auto" w:line="276"/>
      </w:pPr>
      <w:r>
        <w:rPr>
          <w:b/>
        </w:rPr>
        <w:t xml:space="preserve">摘要（ZH）: </w:t>
      </w:r>
      <w:r>
        <w:t>环极分极光探测(CPL)提供分极分解信息,从而能够在量子技术、生物成像、安全通信和多级光学数据处理方面进行先进的应用。 但是,常规CPL光检测器通常依赖内在的手感吸收器,将操作限制在紫外线和短波红外线(SWIR)范围,并阻碍其延伸至近红外线和短波红外线(SWIR),后者对于深组织成像和低可见度感测至关重要。在这里,我们用量子点(QD)光谱显示宽带的CPL检测,利用在手动电路传输层中由气动核诱发的旋转选择性效应。</w:t>
      </w:r>
    </w:p>
    <w:p>
      <w:pPr>
        <w:spacing w:before="0" w:after="200" w:lineRule="auto" w:line="276"/>
      </w:pPr>
      <w:r>
        <w:rPr>
          <w:b/>
        </w:rPr>
        <w:t xml:space="preserve">Abstract (EN): </w:t>
      </w:r>
      <w:r>
        <w:t>Circularly polarized light (CPL) detection provides polarization‐resolved information, enabling advanced applications in quantum technologies, bioimaging, secure communications, and multi‐level optical data processing. However, conventional CPL photodetectors typically rely on intrinsically chiral absorbers, restricting operation to the UV–vis range and hindering extension into the near‐infrared (NIR) and shortwave infrared (SWIR), which are critical for deep tissue imaging and low‐visibility sensing. Here, we demonstrate broadband CPL detection with quantum dot (QD) photodiodes that exploit the chiral‐induced spin selectivity effect in chiral‐ZnO charge transport layers. Chiral ligand‐functionalized ZnO electron transport layers selectively transmit spin‐polarized charge carriers from QDs, enabling CPL‐specific photocurrent generation even in spectral regions without intrinsic chiral absorption. Heavy‐metal‐free Cu–In–Se QD‐photodiodes exhibit outstanding specific detectivity (</w:t>
      </w:r>
      <w:r>
        <w:t xml:space="preserve"> </w:t>
      </w:r>
      <w:r>
        <w:t>D</w:t>
      </w:r>
      <w:r>
        <w:t xml:space="preserve"> </w:t>
      </w:r>
      <w:r>
        <w:t>*</w:t>
      </w:r>
      <w:r>
        <w:t xml:space="preserve"> </w:t>
      </w:r>
      <w:r>
        <w:t>) of 1.28 × 10</w:t>
      </w:r>
      <w:r>
        <w:rPr>
          <w:vertAlign w:val="subscript"/>
        </w:rPr>
        <w:t>12</w:t>
      </w:r>
      <w:r>
        <w:t>Jones without external bias and broadband CPL detection (</w:t>
      </w:r>
      <w:r>
        <w:t xml:space="preserve"> </w:t>
      </w:r>
      <w:r>
        <w:t>g</w:t>
      </w:r>
      <w:r>
        <w:t xml:space="preserve"> </w:t>
      </w:r>
      <w:r>
        <w:t>Iph</w:t>
      </w:r>
      <w:r>
        <w:t xml:space="preserve"> </w:t>
      </w:r>
      <w:r>
        <w:t>: ∼0.17 at 260 nm and ∼0.13 at 780 nm), while PbS QD‐devices extend CPL detection across 250–1700 nm (UV–Vis–NIR–SWIR) with superior performance (</w:t>
      </w:r>
      <w:r>
        <w:t xml:space="preserve"> </w:t>
      </w:r>
      <w:r>
        <w:t>D</w:t>
      </w:r>
      <w:r>
        <w:t xml:space="preserve"> </w:t>
      </w:r>
      <w:r>
        <w:t>*</w:t>
      </w:r>
      <w:r>
        <w:t xml:space="preserve"> </w:t>
      </w:r>
      <w:r>
        <w:t>: 1.45 × 10</w:t>
      </w:r>
      <w:r>
        <w:rPr>
          <w:vertAlign w:val="subscript"/>
        </w:rPr>
        <w:t>12</w:t>
      </w:r>
      <w:r>
        <w:t>Jones). The chiral‐transport‐driven strategy offers fundamental insights into CPL photodetection and establishes a scalable and optically passive platform for broadband polarization‐resolved optoelectronics.</w:t>
      </w:r>
    </w:p>
    <w:p>
      <w:pPr>
        <w:spacing w:before="120" w:after="120"/>
      </w:pPr>
      <w:r>
        <w:rPr>
          <w:sz w:val="18"/>
        </w:rPr>
        <w:t>——————————————————————————————————————————————————————————————————————</w:t>
      </w:r>
    </w:p>
    <w:p>
      <w:pPr>
        <w:spacing w:before="160" w:after="40" w:line="240" w:lineRule="auto"/>
      </w:pPr>
      <w:r>
        <w:rPr>
          <w:b/>
        </w:rPr>
        <w:t xml:space="preserve">[193] </w:t>
      </w:r>
      <w:hyperlink r:id="rId304">
        <w:r>
          <w:rPr>
            <w:color w:val="1155CC"/>
            <w:u w:val="single"/>
          </w:rPr>
          <w:t>[ASAP]机械透视进入I2O4自动催化水解解的I2O4机械透析:反应核心模型</w:t>
        </w:r>
      </w:hyperlink>
    </w:p>
    <w:p>
      <w:pPr>
        <w:spacing w:before="0" w:after="80"/>
      </w:pPr>
      <w:r>
        <w:rPr>
          <w:i/>
          <w:sz w:val="20"/>
        </w:rPr>
        <w:t>EN: [ASAP] Mechanistic Insights into the Autocatalyzed Hydrolysis of I2O4: A Paradigm for Reactive Nucleation</w:t>
      </w:r>
    </w:p>
    <w:p>
      <w:pPr>
        <w:spacing w:before="0" w:after="120"/>
      </w:pPr>
      <w:r>
        <w:rPr>
          <w:b/>
        </w:rPr>
        <w:t xml:space="preserve">Source: </w:t>
      </w:r>
      <w:r>
        <w:t>Journal of the American Chemical Society: Latest Articles (ACS Publications)</w:t>
      </w:r>
      <w:r>
        <w:t xml:space="preserve">    </w:t>
      </w:r>
      <w:r>
        <w:rPr>
          <w:b/>
        </w:rPr>
        <w:t xml:space="preserve">Pub date: </w:t>
      </w:r>
      <w:r>
        <w:t>2026-02-02 11:17:44+00:00</w:t>
      </w:r>
      <w:r>
        <w:t xml:space="preserve">    </w:t>
      </w:r>
      <w:r>
        <w:rPr>
          <w:b/>
        </w:rPr>
        <w:t xml:space="preserve">DOI: </w:t>
      </w:r>
      <w:hyperlink r:id="rId305">
        <w:r>
          <w:rPr>
            <w:color w:val="1155CC"/>
            <w:u w:val="single"/>
          </w:rPr>
          <w:t>10.1021/jacs.5c21808</w:t>
        </w:r>
      </w:hyperlink>
    </w:p>
    <w:p>
      <w:pPr>
        <w:spacing w:before="0" w:after="120"/>
      </w:pPr>
      <w:r>
        <w:rPr>
          <w:b/>
        </w:rPr>
        <w:t xml:space="preserve">Notes: </w:t>
      </w:r>
      <w:r>
        <w:t>abstract_source=pubmed</w:t>
      </w:r>
    </w:p>
    <w:p>
      <w:pPr>
        <w:spacing w:before="0" w:after="80" w:lineRule="auto" w:line="276"/>
      </w:pPr>
      <w:r>
        <w:rPr>
          <w:b/>
        </w:rPr>
        <w:t xml:space="preserve">摘要（ZH）: </w:t>
      </w:r>
      <w:r>
        <w:t>新的海洋粒子形成(NPF)维持着全球云凝聚核心(CCN)的丰度;然而,仅靠碘氧化酸不能解释碘驱动的强烈的NPF暴发是否为碘氧化物,建议填补这一空白。I2O4驱动在干燥条件下进行核分离,但与潮湿海洋空气中的NPF比率没有关系。虽然广泛建议将HIO3和HIO2的气相水解作为I2O4的主要损耗路径,但直接水解受到动力障碍(活性屏障为25.8千卡摩尔-1)。在这里,我们确定I2O4的产品(HIO3)-烟化水解为管理海洋碘核分离的新型和主要反应路径。我们确定I2O4的产物(HIO3)是调节海洋碘核分离的新型和主要反应路径。由强卤素和氢调调的推动。</w:t>
      </w:r>
    </w:p>
    <w:p>
      <w:pPr>
        <w:spacing w:before="0" w:after="200" w:lineRule="auto" w:line="276"/>
      </w:pPr>
      <w:r>
        <w:rPr>
          <w:b/>
        </w:rPr>
        <w:t xml:space="preserve">Abstract (EN): </w:t>
      </w:r>
      <w:r>
        <w:t>Marine new particle formation (NPF) sustains the abundance of global cloud condensation nuclei (CCN); however, intense iodine-driven NPF bursts cannot be explained by iodine oxoacids alone. Iodine tetroxide (I2O4), which is the top candidate among iodine oxides (IxOy), is proposed to fill this gap. I2O4 drives nucleation under dry conditions but is not correlated with the NPF rate in humid marine air. Although gas-phase hydrolysis to HIO3 and HIO2 has been widely proposed as the primary loss pathway of I2O4, direct hydrolysis is kinetically hindered (the activation barrier is ∼25.8 kcal mol-1). Here, we identify the product (HIO3)-autocatalyzed hydrolysis of I2O4 as the novel and dominant reactive pathway that governs marine iodine nucleation. Facilitated by strong halogen and hydrogen bonds, this autocatalyzed pathway lowers the activation barrier to 1.7 kcal mol-1, yielding an effective reaction rate that is competitive with cluster collision rates. I2O4 first seeds initial clusters but is rapidly converted to HIO3 and HIO2 via this pathway, which dominates iodine nucleation under nearly all marine conditions. The residual gas-phase I2O4 concentration decreases to &lt;1% of its initial abundance in humid air, quantitatively explaining its persistent ambient scarcity in the marine atmosphere. Collectively, these results not only resolve the longstanding I2O4 paradox but also establish a paradigm for reactive nucleation in marine iodine chemistry, while further advancing our understanding of marine iodine cycling.</w:t>
      </w:r>
    </w:p>
    <w:p>
      <w:pPr>
        <w:spacing w:before="120" w:after="120"/>
      </w:pPr>
      <w:r>
        <w:rPr>
          <w:sz w:val="18"/>
        </w:rPr>
        <w:t>——————————————————————————————————————————————————————————————————————</w:t>
      </w:r>
    </w:p>
    <w:p>
      <w:pPr>
        <w:spacing w:before="160" w:after="40" w:line="240" w:lineRule="auto"/>
      </w:pPr>
      <w:r>
        <w:rPr>
          <w:b/>
        </w:rPr>
        <w:t xml:space="preserve">[194] </w:t>
      </w:r>
      <w:hyperlink r:id="rId306">
        <w:r>
          <w:rPr>
            <w:color w:val="1155CC"/>
            <w:u w:val="single"/>
          </w:rPr>
          <w:t>[ASAP] Ta3N5 纳米表从TAS2中提取,作为水氧化高效光催化器</w:t>
        </w:r>
      </w:hyperlink>
    </w:p>
    <w:p>
      <w:pPr>
        <w:spacing w:before="0" w:after="80"/>
      </w:pPr>
      <w:r>
        <w:rPr>
          <w:i/>
          <w:sz w:val="20"/>
        </w:rPr>
        <w:t>EN: [ASAP] Ta3N5 Nanosheets Derived from TaS2 as Efficient Photocatalysts for Water 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2026-02-02 12:38:45+00:00</w:t>
      </w:r>
      <w:r>
        <w:t xml:space="preserve">    </w:t>
      </w:r>
      <w:r>
        <w:rPr>
          <w:b/>
        </w:rPr>
        <w:t xml:space="preserve">DOI: </w:t>
      </w:r>
      <w:hyperlink r:id="rId307">
        <w:r>
          <w:rPr>
            <w:color w:val="1155CC"/>
            <w:u w:val="single"/>
          </w:rPr>
          <w:t>10.1021/jacs.5c18457</w:t>
        </w:r>
      </w:hyperlink>
    </w:p>
    <w:p>
      <w:pPr>
        <w:spacing w:before="0" w:after="120"/>
      </w:pPr>
      <w:r>
        <w:rPr>
          <w:b/>
        </w:rPr>
        <w:t xml:space="preserve">Notes: </w:t>
      </w:r>
      <w:r>
        <w:t>abstract_source=pubmed</w:t>
      </w:r>
    </w:p>
    <w:p>
      <w:pPr>
        <w:spacing w:before="0" w:after="80" w:lineRule="auto" w:line="276"/>
      </w:pPr>
      <w:r>
        <w:rPr>
          <w:b/>
        </w:rPr>
        <w:t xml:space="preserve">摘要（ZH）: </w:t>
      </w:r>
      <w:r>
        <w:t>半导体材料的形态学和晶体结构在确定此类材料的光催化活动方面起着重要作用。在这方面,硝酸钽(Ta3N5)显示出前景,是太阳驱动水分分流的可见光光反应光电闪光催化器。即使如此,这种材料的性能受到其散装形态学、高缺陷密度和低电荷运输的限制。目前的工作综合了单晶体Ta3N5纳米单晶片,降低了缺陷浓度,并通过两维TaS2纳米表的直接硝化增加了特定表面面积。Ta3N5纳米表的厚度约为30纳米,有明确界定的外表层和统一的单晶体结构,因此导致电荷变短。</w:t>
      </w:r>
    </w:p>
    <w:p>
      <w:pPr>
        <w:spacing w:before="0" w:after="200" w:lineRule="auto" w:line="276"/>
      </w:pPr>
      <w:r>
        <w:rPr>
          <w:b/>
        </w:rPr>
        <w:t xml:space="preserve">Abstract (EN): </w:t>
      </w:r>
      <w:r>
        <w:t>The morphology and crystalline structure of semiconductor materials both play important roles in determining the photocatalytic activity of such materials. In this regard, tantalum nitride (Ta3N5) shows promise as a visible-light-responsive photocatalyst for solar-driven water splitting. Even so, the performance of this material is limited by its bulk morphology and by high defect densities and inefficient charge transport. The present work synthesized single-crystalline Ta3N5 nanosheets having reduced defect concentrations and an increased specific surface area via the direct nitridation of two-dimensional TaS2 nanosheets. The Ta3N5 nanosheets had a thickness of approximately 30 nm with well-defined exposed facets and a uniform single-crystalline structure, and so led to a shorter charge-carrier diffusion length along with efficient charge separation and transport. When modified with IrOx as a cocatalyst, these nanosheets provided an apparent quantum yield of 32.4% at 420 nm during photocatalytic oxygen evolution with sacrificial electron acceptors, outperforming Ta3N5 synthesized from Ta2O5. This material was also integrated into Z-scheme photocatalyst sheets together with La5Ti2Cu0.9Ag0.1O7S5 as the hydrogen evolution photocatalyst and carbon nanotubes as the electron mediator. These sheets enabled overall water splitting with stoichiometric H2 and O2 evolution in response to visible light, with a light absorption range extended to approximately 600 nm. This work underscores the critical roles of precursor selection and nanoscale morphological control in the development of photocatalysts with minimal defects and provides new insights expected to advance the field of solar-to-chemical energy conversion.</w:t>
      </w:r>
    </w:p>
    <w:p>
      <w:pPr>
        <w:spacing w:before="120" w:after="120"/>
      </w:pPr>
      <w:r>
        <w:rPr>
          <w:sz w:val="18"/>
        </w:rPr>
        <w:t>——————————————————————————————————————————————————————————————————————</w:t>
      </w:r>
    </w:p>
    <w:p>
      <w:pPr>
        <w:spacing w:before="160" w:after="40" w:line="240" w:lineRule="auto"/>
      </w:pPr>
      <w:r>
        <w:rPr>
          <w:b/>
        </w:rPr>
        <w:t xml:space="preserve">[195] </w:t>
      </w:r>
      <w:hyperlink r:id="rId308">
        <w:r>
          <w:rPr>
            <w:color w:val="1155CC"/>
            <w:u w:val="single"/>
          </w:rPr>
          <w:t>新兴生物物质阻断 PD1PD1/PDL1 癌症治疗途径</w:t>
        </w:r>
      </w:hyperlink>
    </w:p>
    <w:p>
      <w:pPr>
        <w:spacing w:before="0" w:after="80"/>
      </w:pPr>
      <w:r>
        <w:rPr>
          <w:i/>
          <w:sz w:val="20"/>
        </w:rPr>
        <w:t>EN: Emerging Biomaterials Blocking PD‐1/PD‐L1 Pathway for Cancer Therapy</w:t>
      </w:r>
    </w:p>
    <w:p>
      <w:pPr>
        <w:spacing w:before="0" w:after="120"/>
      </w:pPr>
      <w:r>
        <w:rPr>
          <w:b/>
        </w:rPr>
        <w:t xml:space="preserve">Source: </w:t>
      </w:r>
      <w:r>
        <w:t>Wiley: Advanced Materials: Table of Contents</w:t>
      </w:r>
      <w:r>
        <w:t xml:space="preserve">    </w:t>
      </w:r>
      <w:r>
        <w:rPr>
          <w:b/>
        </w:rPr>
        <w:t xml:space="preserve">Pub date: </w:t>
      </w:r>
      <w:r>
        <w:t>2026-02-02 13:01:19+00:00</w:t>
      </w:r>
      <w:r>
        <w:t xml:space="preserve">    </w:t>
      </w:r>
      <w:r>
        <w:rPr>
          <w:b/>
        </w:rPr>
        <w:t xml:space="preserve">DOI: </w:t>
      </w:r>
      <w:hyperlink r:id="rId309">
        <w:r>
          <w:rPr>
            <w:color w:val="1155CC"/>
            <w:u w:val="single"/>
          </w:rPr>
          <w:t>10.1002/adma.202517019</w:t>
        </w:r>
      </w:hyperlink>
    </w:p>
    <w:p>
      <w:pPr>
        <w:spacing w:before="0" w:after="120"/>
      </w:pPr>
      <w:r>
        <w:rPr>
          <w:b/>
        </w:rPr>
        <w:t xml:space="preserve">Notes: </w:t>
      </w:r>
      <w:r>
        <w:t>abstract_source=crossref</w:t>
      </w:r>
    </w:p>
    <w:p>
      <w:pPr>
        <w:spacing w:before="0" w:after="80" w:lineRule="auto" w:line="276"/>
      </w:pPr>
      <w:r>
        <w:rPr>
          <w:b/>
        </w:rPr>
        <w:t xml:space="preserve">摘要（ZH）: </w:t>
      </w:r>
      <w:r>
        <w:t>尽管作为免疫检查站抑制剂(ICIs)具有临床重要性,但针对PD1或PDL1的常规单克隆抗体是PD1或PDZL1的常规单克隆抗体,对大多数癌症病人的影响有限。国际癌症检查中心的持久性挑战促使人们广泛研究下一代生物物质免疫治疗战略,以抑制PD1路径。本审查从最近对PDL1表达形态动态规范及其在肿瘤微环境中的多方面功能机制的回顾开始,随后,PD1/PDL1抑制剂的新兴替代品按其类别进行了总结,包括Peptides、核酸、小分子抑制剂和自然化合物,这些化合物可能具有共鸣。</w:t>
      </w:r>
    </w:p>
    <w:p>
      <w:pPr>
        <w:spacing w:before="0" w:after="200" w:lineRule="auto" w:line="276"/>
      </w:pPr>
      <w:r>
        <w:rPr>
          <w:b/>
        </w:rPr>
        <w:t xml:space="preserve">Abstract (EN): </w:t>
      </w:r>
      <w:r>
        <w:t>Conventional monoclonal antibodies targeting either PD‐1 or PD‐L1, despite the clinical significance as immune checkpoint inhibitors (ICIs), exhibit limited effect in the majority of cancer patients. The persistent challenges in ICIs have prompted extensive research into next‐generation biomaterial‐based immunotherapeutic strategies to inhibit PD‐1/PD‐L1 pathway. Herein, this review started with the retrospect of recent insights into the dynamic regulation of PD‐L1 expression patterns and its multifaceted functional mechanisms within the tumor microenvironment. Subsequently, the emerging alternatives to PD‐1/PD‐L1 inhibitors are summarized by their categories, including peptides, nucleic acids, small molecule inhibitors, and natural compounds, which could function by reducing PD‐L1 expression, degrading PD‐L1, or inhibiting PD‐1/PD‐L1 interactions. Furthermore, recent efforts on combination therapy based on these biomaterials are discussed, especially those with chemotherapy, radiotherapy, phototherapy, and sonodynamic therapy. This paradigm shift in PD‐1/PD‐L1 immune checkpoint blockade therapy underscores the prospects of emerging biomaterials in orchestrating anticancer immune responses, which would provide insights for developing next‐generation immunotherapeutic strategies for clinical oncology to improve patient outcomes.</w:t>
      </w:r>
    </w:p>
    <w:p>
      <w:pPr>
        <w:spacing w:before="120" w:after="120"/>
      </w:pPr>
      <w:r>
        <w:rPr>
          <w:sz w:val="18"/>
        </w:rPr>
        <w:t>——————————————————————————————————————————————————————————————————————</w:t>
      </w:r>
    </w:p>
    <w:p>
      <w:pPr>
        <w:spacing w:before="160" w:after="40" w:line="240" w:lineRule="auto"/>
      </w:pPr>
      <w:r>
        <w:rPr>
          <w:b/>
        </w:rPr>
        <w:t xml:space="preserve">[196] </w:t>
      </w:r>
      <w:hyperlink r:id="rId310">
        <w:r>
          <w:rPr>
            <w:color w:val="1155CC"/>
            <w:u w:val="single"/>
          </w:rPr>
          <w:t>AllSolid State Sodium电池的卤化电解液:从基本化学到接口工程</w:t>
        </w:r>
      </w:hyperlink>
    </w:p>
    <w:p>
      <w:pPr>
        <w:spacing w:before="0" w:after="80"/>
      </w:pPr>
      <w:r>
        <w:rPr>
          <w:i/>
          <w:sz w:val="20"/>
        </w:rPr>
        <w:t>EN: Halide Electrolytes for All‐Solid‐State Sodium Batteries: From Fundamental Chemistry to Interface Engineering</w:t>
      </w:r>
    </w:p>
    <w:p>
      <w:pPr>
        <w:spacing w:before="0" w:after="120"/>
      </w:pPr>
      <w:r>
        <w:rPr>
          <w:b/>
        </w:rPr>
        <w:t xml:space="preserve">Source: </w:t>
      </w:r>
      <w:r>
        <w:t>Wiley: Advanced Materials: Table of Contents</w:t>
      </w:r>
      <w:r>
        <w:t xml:space="preserve">    </w:t>
      </w:r>
      <w:r>
        <w:rPr>
          <w:b/>
        </w:rPr>
        <w:t xml:space="preserve">Pub date: </w:t>
      </w:r>
      <w:r>
        <w:t>2026-02-02 13:02:15+00:00</w:t>
      </w:r>
      <w:r>
        <w:t xml:space="preserve">    </w:t>
      </w:r>
      <w:r>
        <w:rPr>
          <w:b/>
        </w:rPr>
        <w:t xml:space="preserve">DOI: </w:t>
      </w:r>
      <w:hyperlink r:id="rId311">
        <w:r>
          <w:rPr>
            <w:color w:val="1155CC"/>
            <w:u w:val="single"/>
          </w:rPr>
          <w:t>10.1002/adma.202521368</w:t>
        </w:r>
      </w:hyperlink>
    </w:p>
    <w:p>
      <w:pPr>
        <w:spacing w:before="0" w:after="120"/>
      </w:pPr>
      <w:r>
        <w:rPr>
          <w:b/>
        </w:rPr>
        <w:t xml:space="preserve">Notes: </w:t>
      </w:r>
      <w:r>
        <w:t>abstract_source=crossref</w:t>
      </w:r>
    </w:p>
    <w:p>
      <w:pPr>
        <w:spacing w:before="0" w:after="80" w:lineRule="auto" w:line="276"/>
      </w:pPr>
      <w:r>
        <w:rPr>
          <w:b/>
        </w:rPr>
        <w:t xml:space="preserve">摘要（ZH）: </w:t>
      </w:r>
      <w:r>
        <w:t>ALSTACT All-SUDSBs(ASSBs)是一个变革性能源储存技术,将钠的天然丰度与增强的安全和竞争性能源密度相结合,固态电解液是这一创新的关键,而卤化物电解液由于其独特的优势而成为主要候选物,它们具有超强性能,可以进行亲密电极接触,具有很强的阴极兼容性,并具有有希望的Naiion传导性。尽管最近取得了进展,但在可伸缩的合成、性能优化和机械化地理解离子传输和相互作用方面仍然存在重大挑战。本审查全面涵盖了氢化氢化物电解液,包括其结构化学、离子运输、合成、摩迪卡提。本审查全面涵盖了氢化氢化物电解液,包括其结构化学、电解、合成、合成、合成等。</w:t>
      </w:r>
    </w:p>
    <w:p>
      <w:pPr>
        <w:spacing w:before="0" w:after="200" w:lineRule="auto" w:line="276"/>
      </w:pPr>
      <w:r>
        <w:rPr>
          <w:b/>
        </w:rPr>
        <w:t xml:space="preserve">Abstract (EN): </w:t>
      </w:r>
      <w:r>
        <w:t>All‐solid‐state sodium batteries (ASSSBs) stand out as a transformative energy storage technology, combining sodium's natural abundance with enhanced safety and competitive energy density. Solid electrolytes are pivotal to this innovation, with halide electrolytes emerging as prominent candidates due to their unique strengths—superior deformability for intimate electrode contact, strong cathode compatibility, and promising Na‐ion conductivity. Despite recent progress, significant challenges persist in scalable synthesis, performance optimization, and mechanistic understanding of ion transport and interfacial interactions. This review comprehensively covers sodium‐based halide electrolytes, including their structural chemistry, ion transport, synthesis, modification, electrochemical stability, interfacial behavior, and computational insights. We further integrate a systematic framework to elucidate intricate synthesis–structure–property relationships, enabling a holistic understanding for rational material design. Crucially, this work distinguishes itself by distilling concrete design principles for Na‐halide conductors, providing quantitative insights into humidity stability, and establishing in‐depth correlations between interphases/degradation modes and full‐cell metrics. Moreover, a practical assessment of key performance metrics (energy density, power density, cycle life) and design guidance is presented. Finally, we pinpoint critical barriers (moisture sensitivity, anode incompatibility, and conductivity limitations) and outline a roadmap emphasizing compositional design, interface engineering, manufacturing scalability, machine learning, operando characterization, and standardized metrics to accelerate commercialization.</w:t>
      </w:r>
    </w:p>
    <w:p>
      <w:pPr>
        <w:spacing w:before="120" w:after="120"/>
      </w:pPr>
      <w:r>
        <w:rPr>
          <w:sz w:val="18"/>
        </w:rPr>
        <w:t>——————————————————————————————————————————————————————————————————————</w:t>
      </w:r>
    </w:p>
    <w:p>
      <w:pPr>
        <w:spacing w:before="160" w:after="40" w:line="240" w:lineRule="auto"/>
      </w:pPr>
      <w:r>
        <w:rPr>
          <w:b/>
        </w:rPr>
        <w:t xml:space="preserve">[197] </w:t>
      </w:r>
      <w:hyperlink r:id="rId312">
        <w:r>
          <w:rPr>
            <w:color w:val="1155CC"/>
            <w:u w:val="single"/>
          </w:rPr>
          <w:t>[ASAP]七名成员组成的 " 共七人 " 的 " 共环环环虫:综合、跟踪和立体化学转移研究 " 。</w:t>
        </w:r>
      </w:hyperlink>
    </w:p>
    <w:p>
      <w:pPr>
        <w:spacing w:before="0" w:after="80"/>
      </w:pPr>
      <w:r>
        <w:rPr>
          <w:i/>
          <w:sz w:val="20"/>
        </w:rPr>
        <w:t>EN: [ASAP] Seven-Membered Azacyclic Allenes: Synthesis, Trapping, and Stereochemical Transfer Studies</w:t>
      </w:r>
    </w:p>
    <w:p>
      <w:pPr>
        <w:spacing w:before="0" w:after="120"/>
      </w:pPr>
      <w:r>
        <w:rPr>
          <w:b/>
        </w:rPr>
        <w:t xml:space="preserve">Source: </w:t>
      </w:r>
      <w:r>
        <w:t>Journal of the American Chemical Society: Latest Articles (ACS Publications)</w:t>
      </w:r>
      <w:r>
        <w:t xml:space="preserve">    </w:t>
      </w:r>
      <w:r>
        <w:rPr>
          <w:b/>
        </w:rPr>
        <w:t xml:space="preserve">Pub date: </w:t>
      </w:r>
      <w:r>
        <w:t>2026-02-02 13:06:13+00:00</w:t>
      </w:r>
      <w:r>
        <w:t xml:space="preserve">    </w:t>
      </w:r>
      <w:r>
        <w:rPr>
          <w:b/>
        </w:rPr>
        <w:t xml:space="preserve">DOI: </w:t>
      </w:r>
      <w:hyperlink r:id="rId313">
        <w:r>
          <w:rPr>
            <w:color w:val="1155CC"/>
            <w:u w:val="single"/>
          </w:rPr>
          <w:t>10.1021/jacs.5c14361</w:t>
        </w:r>
      </w:hyperlink>
    </w:p>
    <w:p>
      <w:pPr>
        <w:spacing w:before="0" w:after="120"/>
      </w:pPr>
      <w:r>
        <w:rPr>
          <w:b/>
        </w:rPr>
        <w:t xml:space="preserve">Notes: </w:t>
      </w:r>
      <w:r>
        <w:t>abstract_source=pubmed</w:t>
      </w:r>
    </w:p>
    <w:p>
      <w:pPr>
        <w:spacing w:before="0" w:after="80" w:lineRule="auto" w:line="276"/>
      </w:pPr>
      <w:r>
        <w:rPr>
          <w:b/>
        </w:rPr>
        <w:t xml:space="preserve">摘要（ZH）: </w:t>
      </w:r>
      <w:r>
        <w:t>合成功能化七人环,特别是那些含有氮原子的七人环环的合成方法尚未开发,但仍令人羡慕。我们报告七人环绕环环球球的化学化,以此作为接触含有最多三个新形成立体分数的环绕环绕环斑人的手段。我们证明,七人环绕环环环的合成比六人环绕对等在对应研究中表现得要好,这与对抗消化障碍的计算预测是一致的。除了为取消环绕环绕和解释选择性趋势提供实用方法外,我们的调查结果还揭示了环绕环环形大小和捕捉实验中特定特性之间的相互作用。这些研究可望进一步利用。</w:t>
      </w:r>
    </w:p>
    <w:p>
      <w:pPr>
        <w:spacing w:before="0" w:after="200" w:lineRule="auto" w:line="276"/>
      </w:pPr>
      <w:r>
        <w:rPr>
          <w:b/>
        </w:rPr>
        <w:t xml:space="preserve">Abstract (EN): </w:t>
      </w:r>
      <w:r>
        <w:t>Methods for the synthesis of functionalized seven-membered rings, especially those containing nitrogen atoms, are underdeveloped but remain coveted. We report the chemistry of seven-membered azacyclic allenes as a means to access ring-fused azepanes that possess up to three newly formed stereocenters. We demonstrate that seven-membered azacyclic allenes outperform their six-membered counterparts in enantiospecific cycloaddition studies, consistent with computational predictions of enantiomerization barriers. Beyond providing a practical method for annulated azepane synthesis and elucidating selectivity trends, our findings offer insight into the interplay between cyclic allene ring size and enantiospecificity in trapping experiments. These studies are expected to further enable the use of strained cyclic allenes in synthesis.</w:t>
      </w:r>
    </w:p>
    <w:p>
      <w:pPr>
        <w:spacing w:before="120" w:after="120"/>
      </w:pPr>
      <w:r>
        <w:rPr>
          <w:sz w:val="18"/>
        </w:rPr>
        <w:t>——————————————————————————————————————————————————————————————————————</w:t>
      </w:r>
    </w:p>
    <w:p>
      <w:pPr>
        <w:spacing w:before="160" w:after="40" w:line="240" w:lineRule="auto"/>
      </w:pPr>
      <w:r>
        <w:rPr>
          <w:b/>
        </w:rPr>
        <w:t xml:space="preserve">[198] </w:t>
      </w:r>
      <w:hyperlink r:id="rId314">
        <w:r>
          <w:rPr>
            <w:color w:val="1155CC"/>
            <w:u w:val="single"/>
          </w:rPr>
          <w:t>[ASAP] [2+1] 和 [2+1+1]和[2+1+1] 分类:通过1,3-二极分解的光动力存取,使小型碳循环周期的高度多样化</w:t>
        </w:r>
      </w:hyperlink>
    </w:p>
    <w:p>
      <w:pPr>
        <w:spacing w:before="0" w:after="80"/>
      </w:pPr>
      <w:r>
        <w:rPr>
          <w:i/>
          <w:sz w:val="20"/>
        </w:rPr>
        <w:t>EN: [ASAP] [2 + 1] and [2 + 1 + 1] Cyclization: Diversifying Alkenes for Small Carbocycles via Photocatalytically Accessed 1,3-Dielectrophiles</w:t>
      </w:r>
    </w:p>
    <w:p>
      <w:pPr>
        <w:spacing w:before="0" w:after="120"/>
      </w:pPr>
      <w:r>
        <w:rPr>
          <w:b/>
        </w:rPr>
        <w:t xml:space="preserve">Source: </w:t>
      </w:r>
      <w:r>
        <w:t>Journal of the American Chemical Society: Latest Articles (ACS Publications)</w:t>
      </w:r>
      <w:r>
        <w:t xml:space="preserve">    </w:t>
      </w:r>
      <w:r>
        <w:rPr>
          <w:b/>
        </w:rPr>
        <w:t xml:space="preserve">Pub date: </w:t>
      </w:r>
      <w:r>
        <w:t>2026-02-02 13:54:04+00:00</w:t>
      </w:r>
      <w:r>
        <w:t xml:space="preserve">    </w:t>
      </w:r>
      <w:r>
        <w:rPr>
          <w:b/>
        </w:rPr>
        <w:t xml:space="preserve">DOI: </w:t>
      </w:r>
      <w:hyperlink r:id="rId315">
        <w:r>
          <w:rPr>
            <w:color w:val="1155CC"/>
            <w:u w:val="single"/>
          </w:rPr>
          <w:t>10.1021/jacs.5c21279</w:t>
        </w:r>
      </w:hyperlink>
    </w:p>
    <w:p>
      <w:pPr>
        <w:spacing w:before="0" w:after="120"/>
      </w:pPr>
      <w:r>
        <w:rPr>
          <w:b/>
        </w:rPr>
        <w:t xml:space="preserve">Notes: </w:t>
      </w:r>
      <w:r>
        <w:t>abstract_source=pubmed</w:t>
      </w:r>
    </w:p>
    <w:p>
      <w:pPr>
        <w:spacing w:before="0" w:after="80" w:lineRule="auto" w:line="276"/>
      </w:pPr>
      <w:r>
        <w:rPr>
          <w:b/>
        </w:rPr>
        <w:t xml:space="preserve">摘要（ZH）: </w:t>
      </w:r>
      <w:r>
        <w:t>环丙烷和环丁烷等小碳循环器被公认为药物发现运动中的关键结构元体,然而,它们的合成仍然主要以循环添加化学为主,其中碳源的选择决定了可获得的环体大小和替代多样性。我们在此报告,在单成分硫代亚甲基苯乙烯试剂的推动下,从藻类中获取环丙烷和环丁烷的独特战略。这些转变的关键在于利用光化学生成的3-二二亚基二苯乙烯的双重再活动来影响大小可耐受的环形形成。在适当的基底存在时,通过二+1环苯二苯乙烯的中间作用触发了环丁烷的循环化。由此产生的环丙二硝基苯乙烯的环丙胺罐罐。</w:t>
      </w:r>
    </w:p>
    <w:p>
      <w:pPr>
        <w:spacing w:before="0" w:after="200" w:lineRule="auto" w:line="276"/>
      </w:pPr>
      <w:r>
        <w:rPr>
          <w:b/>
        </w:rPr>
        <w:t xml:space="preserve">Abstract (EN): </w:t>
      </w:r>
      <w:r>
        <w:t>Small carbocycles such as cyclopropanes and cyclobutanes are widely recognized as key structural motifs in drug discovery campaigns. However, their synthesis remains largely dominated by cycloaddition chemistry, wherein the choice of carbon sources defines the accessible ring size and substitutional diversity. Here, we report a distinct strategy for accessing both cyclopropanes and cyclobutanes from alkenes, enabled by a single-component iodomethylthianthrenium reagent. The key to these transformations lies in harnessing the dual reactivity of photocatalytically generated 3-iodoalkyl thianthrenium to effect size-tunable ring formation. In the presence of a suitable base, a [2 + 1] cyclization is triggered via intermediacy of a thianthrenium ylide. The resulting cyclopropanated linchpin can be readily diversified through diastereoselective C(sp3)-N cross-couplings and a range of radical-mediated functionalizations. In contrast, treatment of the identical 1,3-dielectrophiles with methylene compounds and a milder base switches the reaction mode to a net [2 + 1 + 1] cyclization, selectively furnishing cyclobutanes in a modular fashion. This unified platform not only complements classical retrosynthetic approaches but also enables programmable ring construction that diversifies a common set of starting materials into two distinct small carbocycles.</w:t>
      </w:r>
    </w:p>
    <w:p>
      <w:pPr>
        <w:spacing w:before="120" w:after="120"/>
      </w:pPr>
      <w:r>
        <w:rPr>
          <w:sz w:val="18"/>
        </w:rPr>
        <w:t>——————————————————————————————————————————————————————————————————————</w:t>
      </w:r>
    </w:p>
    <w:p>
      <w:pPr>
        <w:spacing w:before="160" w:after="40" w:line="240" w:lineRule="auto"/>
      </w:pPr>
      <w:r>
        <w:rPr>
          <w:b/>
        </w:rPr>
        <w:t xml:space="preserve">[199] </w:t>
      </w:r>
      <w:hyperlink r:id="rId316">
        <w:r>
          <w:rPr>
            <w:color w:val="1155CC"/>
            <w:u w:val="single"/>
          </w:rPr>
          <w:t>[ASAP]无溶处理后处理后引起的结构和病理变化对CsPbBR3纳米晶体的光电子特性的影响</w:t>
        </w:r>
      </w:hyperlink>
    </w:p>
    <w:p>
      <w:pPr>
        <w:spacing w:before="0" w:after="80"/>
      </w:pPr>
      <w:r>
        <w:rPr>
          <w:i/>
          <w:sz w:val="20"/>
        </w:rPr>
        <w:t>EN: [ASAP] The Effect of Nonsolvent Post-Processing Induced Structural and Morphological Changes on the Optoelectronic Properties of CsPbBr3 Nanocrystals</w:t>
      </w:r>
    </w:p>
    <w:p>
      <w:pPr>
        <w:spacing w:before="0" w:after="120"/>
      </w:pPr>
      <w:r>
        <w:rPr>
          <w:b/>
        </w:rPr>
        <w:t xml:space="preserve">Source: </w:t>
      </w:r>
      <w:r>
        <w:t>Journal of the American Chemical Society: Latest Articles (ACS Publications)</w:t>
      </w:r>
      <w:r>
        <w:t xml:space="preserve">    </w:t>
      </w:r>
      <w:r>
        <w:rPr>
          <w:b/>
        </w:rPr>
        <w:t xml:space="preserve">Pub date: </w:t>
      </w:r>
      <w:r>
        <w:t>2026-02-02 15:07:33+00:00</w:t>
      </w:r>
      <w:r>
        <w:t xml:space="preserve">    </w:t>
      </w:r>
      <w:r>
        <w:rPr>
          <w:b/>
        </w:rPr>
        <w:t xml:space="preserve">DOI: </w:t>
      </w:r>
      <w:hyperlink r:id="rId317">
        <w:r>
          <w:rPr>
            <w:color w:val="1155CC"/>
            <w:u w:val="single"/>
          </w:rPr>
          <w:t>10.1021/jacs.5c20718</w:t>
        </w:r>
      </w:hyperlink>
    </w:p>
    <w:p>
      <w:pPr>
        <w:spacing w:before="0" w:after="120"/>
      </w:pPr>
      <w:r>
        <w:rPr>
          <w:b/>
        </w:rPr>
        <w:t xml:space="preserve">Notes: </w:t>
      </w:r>
      <w:r>
        <w:t>abstract_source=pubmed</w:t>
      </w:r>
    </w:p>
    <w:p>
      <w:pPr>
        <w:spacing w:before="0" w:after="80" w:lineRule="auto" w:line="276"/>
      </w:pPr>
      <w:r>
        <w:rPr>
          <w:b/>
        </w:rPr>
        <w:t xml:space="preserve">摘要（ZH）: </w:t>
      </w:r>
      <w:r>
        <w:t>尽管最近取得了进展,但净化过程中降解的基本机制及其对CsPBBR3 Namcrystals(NCs)光学物理特性的影响仍然不明确。在本研究中,我们研究了非溶液极极性如何影响NCs的结构完整性、包装行为、缺陷形成以及由此产生的光学特性,即光照明闪烁和充电器再组合动态。</w:t>
      </w:r>
    </w:p>
    <w:p>
      <w:pPr>
        <w:spacing w:before="0" w:after="200" w:lineRule="auto" w:line="276"/>
      </w:pPr>
      <w:r>
        <w:rPr>
          <w:b/>
        </w:rPr>
        <w:t xml:space="preserve">Abstract (EN): </w:t>
      </w:r>
      <w:r>
        <w:t>Significant efforts have been devoted to optimizing the postsynthesis processing of all-inorganic colloidal CsPbBr3 nanocrystals (NCs) to achieve stable and ultrapure green emission. However, these NCs harbor a variety of compositional, structural, and surface defects, which undergo dynamic changes during nonsolvent purification. Despite recent advances, the mechanisms underlying degradation during purification and their effects on the photophysical properties of CsPbBr3 NCs remain unclear. In this study, we examine how the polarity of nonsolvents influences the structural integrity, packing behavior, defects formation, as well as optical properties of the resultant NCs, i.e., photoluminescence (PL) blinking, and charge-carrier recombination dynamics. Using synchrotron-based in situ small-angle X-ray scattering, we show that ligand-shell removal during purification induces NC aggregation through a hierarchical, turbostratically stacked assembly process. Ex situ grazing-incidence X-ray scattering further reveals the atomic and nanoscale orientational ordering in NC thin films. Transmission electron microscopy demonstrates that ketone-based washing results in rapid, disordered aggregation and planar defect formation, whereas ester-based washing leads to slower aggregation without stacking faults. Moreover, single-particle PL microscopy indicates pronounced blinking in ketone-treated NCs, attributed to nonradiative structural defect formation. Finally, our findings suggest that ketone-processed NCs exhibit poor electroluminescence performance, whereas ester-processed NCs retain structural integrity and achieve external quantum efficiencies of up to ∼17.6% in light-emitting diodes.</w:t>
      </w:r>
    </w:p>
    <w:p>
      <w:pPr>
        <w:spacing w:before="120" w:after="120"/>
      </w:pPr>
      <w:r>
        <w:rPr>
          <w:sz w:val="18"/>
        </w:rPr>
        <w:t>——————————————————————————————————————————————————————————————————————</w:t>
      </w:r>
    </w:p>
    <w:p>
      <w:pPr>
        <w:spacing w:before="160" w:after="40" w:line="240" w:lineRule="auto"/>
      </w:pPr>
      <w:r>
        <w:rPr>
          <w:b/>
        </w:rPr>
        <w:t xml:space="preserve">[200] </w:t>
      </w:r>
      <w:hyperlink r:id="rId318">
        <w:r>
          <w:rPr>
            <w:color w:val="1155CC"/>
            <w:u w:val="single"/>
          </w:rPr>
          <w:t>[ASAP] 透透定型铜气解析而成的对等克通二二苯共聚</w:t>
        </w:r>
      </w:hyperlink>
    </w:p>
    <w:p>
      <w:pPr>
        <w:spacing w:before="0" w:after="80"/>
      </w:pPr>
      <w:r>
        <w:rPr>
          <w:i/>
          <w:sz w:val="20"/>
        </w:rPr>
        <w:t>EN: [ASAP] Asymmetric Ketone Diene Coupling via Stereodivergent Copper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2026-02-02 15:08:34+00:00</w:t>
      </w:r>
      <w:r>
        <w:t xml:space="preserve">    </w:t>
      </w:r>
      <w:r>
        <w:rPr>
          <w:b/>
        </w:rPr>
        <w:t xml:space="preserve">DOI: </w:t>
      </w:r>
      <w:hyperlink r:id="rId319">
        <w:r>
          <w:rPr>
            <w:color w:val="1155CC"/>
            <w:u w:val="single"/>
          </w:rPr>
          <w:t>10.1021/jacs.5c06735</w:t>
        </w:r>
      </w:hyperlink>
    </w:p>
    <w:p>
      <w:pPr>
        <w:spacing w:before="0" w:after="120"/>
      </w:pPr>
      <w:r>
        <w:rPr>
          <w:b/>
        </w:rPr>
        <w:t xml:space="preserve">Notes: </w:t>
      </w:r>
      <w:r>
        <w:t>abstract_source=pubmed</w:t>
      </w:r>
    </w:p>
    <w:p>
      <w:pPr>
        <w:spacing w:before="0" w:after="80" w:lineRule="auto" w:line="276"/>
      </w:pPr>
      <w:r>
        <w:rPr>
          <w:b/>
        </w:rPr>
        <w:t xml:space="preserve">摘要（ZH）: </w:t>
      </w:r>
      <w:r>
        <w:t>我们在此报告氯酮与狄氏酮的立体分解和对应选择性结合情况,在发达条件下,1,3-丁二烯基异丙基硅烷与氯酮的反应通过α-硅-Z(Z)-溶胶中间体为合成(E)导管提供了极佳的抗异性反应,而1,3-二乙醇和氯酮之间的反应则涉及α-乙醇-(E)-溶胶中间体,以给抗(Z)导管提供极纯度光学的反导。</w:t>
      </w:r>
    </w:p>
    <w:p>
      <w:pPr>
        <w:spacing w:before="0" w:after="200" w:lineRule="auto" w:line="276"/>
      </w:pPr>
      <w:r>
        <w:rPr>
          <w:b/>
        </w:rPr>
        <w:t xml:space="preserve">Abstract (EN): </w:t>
      </w:r>
      <w:r>
        <w:t>We report herein the stereodivergent and enantioselective coupling of ketones with dienes. Under the developed conditions, the reactions of 1,3-butadienyltriisopropylsilane with ketones provide syn-(E)-adducts with excellent enantioselectivities via an α-silyl-(Z)-allylcopper intermediate. By contrast, the reactions between 1,3-dienylboronate and ketones involve an α-boryl-(E)-allylcopper intermediate to give anti-(Z)-adducts with excellent optical purity. The stereodivergence and enantioselectivity of the reactions originate from the distinct allylcopper species involved in the ketone addition step. DFT computational studies provide further evidence to support the analyses.</w:t>
      </w:r>
    </w:p>
    <w:p>
      <w:pPr>
        <w:spacing w:before="120" w:after="120"/>
      </w:pPr>
      <w:r>
        <w:rPr>
          <w:sz w:val="18"/>
        </w:rPr>
        <w:t>——————————————————————————————————————————————————————————————————————</w:t>
      </w:r>
    </w:p>
    <w:p>
      <w:pPr>
        <w:spacing w:before="160" w:after="40" w:line="240" w:lineRule="auto"/>
      </w:pPr>
      <w:r>
        <w:rPr>
          <w:b/>
        </w:rPr>
        <w:t xml:space="preserve">[201] </w:t>
      </w:r>
      <w:hyperlink r:id="rId320">
        <w:r>
          <w:rPr>
            <w:color w:val="1155CC"/>
            <w:u w:val="single"/>
          </w:rPr>
          <w:t>[ASAP] 所有固态电池的硫化固体电解解液溶解液态电池湿化学处理中的溶剂脚印</w:t>
        </w:r>
      </w:hyperlink>
    </w:p>
    <w:p>
      <w:pPr>
        <w:spacing w:before="0" w:after="80"/>
      </w:pPr>
      <w:r>
        <w:rPr>
          <w:i/>
          <w:sz w:val="20"/>
        </w:rPr>
        <w:t>EN: [ASAP] Solvent Footprint in Wet-Chemical Processing of Sulfide Solid Electrolytes for All-Solid-State Batteries</w:t>
      </w:r>
    </w:p>
    <w:p>
      <w:pPr>
        <w:spacing w:before="0" w:after="120"/>
      </w:pPr>
      <w:r>
        <w:rPr>
          <w:b/>
        </w:rPr>
        <w:t xml:space="preserve">Source: </w:t>
      </w:r>
      <w:r>
        <w:t>ACS Energy Letters: Latest Articles (ACS Publications)</w:t>
      </w:r>
      <w:r>
        <w:t xml:space="preserve">    </w:t>
      </w:r>
      <w:r>
        <w:rPr>
          <w:b/>
        </w:rPr>
        <w:t xml:space="preserve">Pub date: </w:t>
      </w:r>
      <w:r>
        <w:t>2026-02-02 15:38:00+00:00</w:t>
      </w:r>
      <w:r>
        <w:t xml:space="preserve">    </w:t>
      </w:r>
      <w:r>
        <w:rPr>
          <w:b/>
        </w:rPr>
        <w:t xml:space="preserve">DOI: </w:t>
      </w:r>
      <w:hyperlink r:id="rId321">
        <w:r>
          <w:rPr>
            <w:color w:val="1155CC"/>
            <w:u w:val="single"/>
          </w:rPr>
          <w:t>10.1021/acsenergylett.5c03985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[202] </w:t>
      </w:r>
      <w:hyperlink r:id="rId322">
        <w:r>
          <w:rPr>
            <w:color w:val="1155CC"/>
            <w:u w:val="single"/>
          </w:rPr>
          <w:t>[ASAP] Ce-doped NiFe LDH 用于高现时高密度高氧气进化中增强活动和稳定性的化学、环境-控制合成</w:t>
        </w:r>
      </w:hyperlink>
    </w:p>
    <w:p>
      <w:pPr>
        <w:spacing w:before="0" w:after="80"/>
      </w:pPr>
      <w:r>
        <w:rPr>
          <w:i/>
          <w:sz w:val="20"/>
        </w:rPr>
        <w:t>EN: [ASAP] Anion-Environment-Controlled Synthesis of Ce-Doped NiFe LDH for Enhanced Activity and Stability in High-Current-Density Alkaline Oxygen Evolution</w:t>
      </w:r>
    </w:p>
    <w:p>
      <w:pPr>
        <w:spacing w:before="0" w:after="120"/>
      </w:pPr>
      <w:r>
        <w:rPr>
          <w:b/>
        </w:rPr>
        <w:t xml:space="preserve">Source: </w:t>
      </w:r>
      <w:r>
        <w:t>ACS Energy Letters: Latest Articles (ACS Publications)</w:t>
      </w:r>
      <w:r>
        <w:t xml:space="preserve">    </w:t>
      </w:r>
      <w:r>
        <w:rPr>
          <w:b/>
        </w:rPr>
        <w:t xml:space="preserve">Pub date: </w:t>
      </w:r>
      <w:r>
        <w:t>2026-02-02 16:11:41+00:00</w:t>
      </w:r>
      <w:r>
        <w:t xml:space="preserve">    </w:t>
      </w:r>
      <w:r>
        <w:rPr>
          <w:b/>
        </w:rPr>
        <w:t xml:space="preserve">DOI: </w:t>
      </w:r>
      <w:hyperlink r:id="rId323">
        <w:r>
          <w:rPr>
            <w:color w:val="1155CC"/>
            <w:u w:val="single"/>
          </w:rPr>
          <w:t>10.1021/acsenergylett.5c04101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[203] </w:t>
      </w:r>
      <w:hyperlink r:id="rId324">
        <w:r>
          <w:rPr>
            <w:color w:val="1155CC"/>
            <w:u w:val="single"/>
          </w:rPr>
          <w:t>[ASAP]通过解锁地表下层,在质子陶瓷细胞中恢复空气电极</w:t>
        </w:r>
      </w:hyperlink>
    </w:p>
    <w:p>
      <w:pPr>
        <w:spacing w:before="0" w:after="80"/>
      </w:pPr>
      <w:r>
        <w:rPr>
          <w:i/>
          <w:sz w:val="20"/>
        </w:rPr>
        <w:t>EN: [ASAP] Reviving Air Electrodes in Protonic Ceramic Cells by Unlocking Subsurface</w:t>
      </w:r>
    </w:p>
    <w:p>
      <w:pPr>
        <w:spacing w:before="0" w:after="120"/>
      </w:pPr>
      <w:r>
        <w:rPr>
          <w:b/>
        </w:rPr>
        <w:t xml:space="preserve">Source: </w:t>
      </w:r>
      <w:r>
        <w:t>ACS Energy Letters: Latest Articles (ACS Publications)</w:t>
      </w:r>
      <w:r>
        <w:t xml:space="preserve">    </w:t>
      </w:r>
      <w:r>
        <w:rPr>
          <w:b/>
        </w:rPr>
        <w:t xml:space="preserve">Pub date: </w:t>
      </w:r>
      <w:r>
        <w:t>2026-02-02 17:19:07+00:00</w:t>
      </w:r>
      <w:r>
        <w:t xml:space="preserve">    </w:t>
      </w:r>
      <w:r>
        <w:rPr>
          <w:b/>
        </w:rPr>
        <w:t xml:space="preserve">DOI: </w:t>
      </w:r>
      <w:hyperlink r:id="rId325">
        <w:r>
          <w:rPr>
            <w:color w:val="1155CC"/>
            <w:u w:val="single"/>
          </w:rPr>
          <w:t>10.1021/acsenergylett.5c03995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[204] </w:t>
      </w:r>
      <w:hyperlink r:id="rId326">
        <w:r>
          <w:rPr>
            <w:color w:val="1155CC"/>
            <w:u w:val="single"/>
          </w:rPr>
          <w:t>[ASAP] Diels-Alder/ retro- Diels- Alder反应作为控制Aromatic Oligoamids 自治大会的易变变化学刺激</w:t>
        </w:r>
      </w:hyperlink>
    </w:p>
    <w:p>
      <w:pPr>
        <w:spacing w:before="0" w:after="80"/>
      </w:pPr>
      <w:r>
        <w:rPr>
          <w:i/>
          <w:sz w:val="20"/>
        </w:rPr>
        <w:t>EN: [ASAP] Diels–Alder/Retro-Diels–Alder Reactions as Fold Altering Chemical Stimuli to Control the Self-Assembly of Aromatic Oligoamides</w:t>
      </w:r>
    </w:p>
    <w:p>
      <w:pPr>
        <w:spacing w:before="0" w:after="120"/>
      </w:pPr>
      <w:r>
        <w:rPr>
          <w:b/>
        </w:rPr>
        <w:t xml:space="preserve">Source: </w:t>
      </w:r>
      <w:r>
        <w:t>Journal of the American Chemical Society: Latest Articles (ACS Publications)</w:t>
      </w:r>
      <w:r>
        <w:t xml:space="preserve">    </w:t>
      </w:r>
      <w:r>
        <w:rPr>
          <w:b/>
        </w:rPr>
        <w:t xml:space="preserve">Pub date: </w:t>
      </w:r>
      <w:r>
        <w:t>2026-02-02 17:20:29+00:00</w:t>
      </w:r>
      <w:r>
        <w:t xml:space="preserve">    </w:t>
      </w:r>
      <w:r>
        <w:rPr>
          <w:b/>
        </w:rPr>
        <w:t xml:space="preserve">DOI: </w:t>
      </w:r>
      <w:hyperlink r:id="rId327">
        <w:r>
          <w:rPr>
            <w:color w:val="1155CC"/>
            <w:u w:val="single"/>
          </w:rPr>
          <w:t>10.1021/jacs.5c14812</w:t>
        </w:r>
      </w:hyperlink>
    </w:p>
    <w:p>
      <w:pPr>
        <w:spacing w:before="0" w:after="120"/>
      </w:pPr>
      <w:r>
        <w:rPr>
          <w:b/>
        </w:rPr>
        <w:t xml:space="preserve">Notes: </w:t>
      </w:r>
      <w:r>
        <w:t>abstract_source=pubmed</w:t>
      </w:r>
    </w:p>
    <w:p>
      <w:pPr>
        <w:spacing w:before="0" w:after="80" w:lineRule="auto" w:line="276"/>
      </w:pPr>
      <w:r>
        <w:rPr>
          <w:b/>
        </w:rPr>
        <w:t xml:space="preserve">摘要（ZH）: </w:t>
      </w:r>
      <w:r>
        <w:t>将芳香寡头自组成多风结构是发展复杂和功能分子结构的有力战略。由于混合化进程由寡头的折叠状态引导,因此可以使用折叠的改变来控制自组。作为这种方法的一种方法,Diels-Alder对diazatharacene单体的反应允许对芳香寡头进行特定地点的修改。该反应导致单体弯曲,反过来扭曲寡头的结构。我们在这里表明,这一战略可以用来控制寡头的自我组装。使用可逆的二头蚁-Alder反应可以使不同的折体状态与不同的自我组装倾向发生转换。这一战略可以在 ol 期间应用。</w:t>
      </w:r>
    </w:p>
    <w:p>
      <w:pPr>
        <w:spacing w:before="0" w:after="200" w:lineRule="auto" w:line="276"/>
      </w:pPr>
      <w:r>
        <w:rPr>
          <w:b/>
        </w:rPr>
        <w:t xml:space="preserve">Abstract (EN): </w:t>
      </w:r>
      <w:r>
        <w:t>Self-assembly of aromatic oligoamides into multihelical structures is a powerful strategy for developing complex and functional molecular architectures. As the hybridization process is directed by the folded state of the oligomers, inducing changes in the folding can be used to control the self-assembly. As one approach for this, Diels-Alder reactions on diazaanthracene monomers allow site-specific modification of aromatic oligoamides. The reaction leads to a bend in the monomer that, in turn, distorts the structure of the oligomer. Herein, we show that this strategy can be used to control the self-assembly of the oligomers. Using reversible Diels-Alder reactions allows switching between distinct folded states with different self-assembly preferences. This strategy can be applied during oligomer synthesis to prevent self-assembly or postsynthetically to disassemble multihelical structures. In complex systems containing multiple oligomers, we show that the modification can further be used to direct social versus narcissistic self-sorting, allowing for the switch between homomeric and heteromeric double helical assemblies.</w:t>
      </w:r>
    </w:p>
    <w:p>
      <w:pPr>
        <w:spacing w:before="120" w:after="120"/>
      </w:pPr>
      <w:r>
        <w:rPr>
          <w:sz w:val="18"/>
        </w:rPr>
        <w:t>——————————————————————————————————————————————————————————————————————</w:t>
      </w:r>
    </w:p>
    <w:p>
      <w:pPr>
        <w:spacing w:before="160" w:after="40" w:line="240" w:lineRule="auto"/>
      </w:pPr>
      <w:r>
        <w:rPr>
          <w:b/>
        </w:rPr>
        <w:t xml:space="preserve">[205] </w:t>
      </w:r>
      <w:hyperlink r:id="rId328">
        <w:r>
          <w:rPr>
            <w:color w:val="1155CC"/>
            <w:u w:val="single"/>
          </w:rPr>
          <w:t>[ASAP] 超超超超潜能光电辅助激光-N2电池,通过与高斯皮国的低端钴硫磷化物而启用</w:t>
        </w:r>
      </w:hyperlink>
    </w:p>
    <w:p>
      <w:pPr>
        <w:spacing w:before="0" w:after="80"/>
      </w:pPr>
      <w:r>
        <w:rPr>
          <w:i/>
          <w:sz w:val="20"/>
        </w:rPr>
        <w:t>EN: [ASAP] Ultralow Overpotential Photoassisted Li–N2 Battery Enabled by Defective Cobalt Phosphide with High-Spin States</w:t>
      </w:r>
    </w:p>
    <w:p>
      <w:pPr>
        <w:spacing w:before="0" w:after="120"/>
      </w:pPr>
      <w:r>
        <w:rPr>
          <w:b/>
        </w:rPr>
        <w:t xml:space="preserve">Source: </w:t>
      </w:r>
      <w:r>
        <w:t>Journal of the American Chemical Society: Latest Articles (ACS Publications)</w:t>
      </w:r>
      <w:r>
        <w:t xml:space="preserve">    </w:t>
      </w:r>
      <w:r>
        <w:rPr>
          <w:b/>
        </w:rPr>
        <w:t xml:space="preserve">Pub date: </w:t>
      </w:r>
      <w:r>
        <w:t>2026-02-02 17:31:39+00:00</w:t>
      </w:r>
      <w:r>
        <w:t xml:space="preserve">    </w:t>
      </w:r>
      <w:r>
        <w:rPr>
          <w:b/>
        </w:rPr>
        <w:t xml:space="preserve">DOI: </w:t>
      </w:r>
      <w:hyperlink r:id="rId329">
        <w:r>
          <w:rPr>
            <w:color w:val="1155CC"/>
            <w:u w:val="single"/>
          </w:rPr>
          <w:t>10.1021/jacs.5c16583</w:t>
        </w:r>
      </w:hyperlink>
    </w:p>
    <w:p>
      <w:pPr>
        <w:spacing w:before="0" w:after="120"/>
      </w:pPr>
      <w:r>
        <w:rPr>
          <w:b/>
        </w:rPr>
        <w:t xml:space="preserve">Notes: </w:t>
      </w:r>
      <w:r>
        <w:t>abstract_source=pubmed</w:t>
      </w:r>
    </w:p>
    <w:p>
      <w:pPr>
        <w:spacing w:before="0" w:after="80" w:lineRule="auto" w:line="276"/>
      </w:pPr>
      <w:r>
        <w:rPr>
          <w:b/>
        </w:rPr>
        <w:t xml:space="preserve">摘要（ZH）: </w:t>
      </w:r>
      <w:r>
        <w:t>锂-氮(Li-N2)电池是一种新兴的能源储存和N2固化电化学技术,是一种新兴的能源储存和N2固定电化学技术,然而,由于N2的内在电化学惰性以及常规阴极材料的低等催化活动,电池的实际实施受到阻碍。在本研究报告中,我们报告了通过对磷的空缺进行战略性引进而设计出以高温状态为特征的有缺陷的钴磷化(CoPv)光电催化阴极阴极。操作机制涉及一种复杂的协同效应,P空缺作为N2吸附场,而高脊柱状钴矿点的脊柱化电子则促进电子转移至吸附层N2。受污染,光电通过P直接注入N2的抗卵轨道。</w:t>
      </w:r>
    </w:p>
    <w:p>
      <w:pPr>
        <w:spacing w:before="0" w:after="200" w:lineRule="auto" w:line="276"/>
      </w:pPr>
      <w:r>
        <w:rPr>
          <w:b/>
        </w:rPr>
        <w:t xml:space="preserve">Abstract (EN): </w:t>
      </w:r>
      <w:r>
        <w:t>Lithium-nitrogen (Li-N2) battery represents an emerging electrochemical technology for energy storage and N2 fixation. However, its practical implementation is hindered by the inherent electrochemical inertness of N2 and the inferior catalytic activity of conventional cathode materials. In this study, we report a defective cobalt phosphide (CoPv) photoelectrocatalytic cathode featuring high-spin states, engineered through strategic introduction of phosphorus vacancies. The operational mechanism involves a sophisticated synergy, where P vacancies serve as N2 adsorption sites, while spin-polarized electrons from high-spin-state Co sites facilitate electron transfer to adsorbed N2. Under illumination, photoexcited electrons are directly injected into the π* antibonding orbital of N2 via the P vacancies, significantly enhancing nitrogen activation and accelerating the nitrogen reduction reaction (NRR) kinetics during discharge. Furthermore, light also facilitates the formation of a uniform film-like discharge product, enhancing nitrogen evolution reaction (NER) kinetics. Thus, the photoassisted Li-N2 battery demonstrates exceptional performance metrics: a high discharge specific capacity of 2.71 mAh cm-2, excellent cyclic stability (∼900 h), and an ultralow overpotential of 1.3 V, the lowest overpotential reported to date. Significant nitrogen fixation is achieved in the photoassisted process, offering crucial mechanistic insights into photoassisted Li-N2 batteries and suggesting an innovative approach to enhance Li-N2 battery technology toward energy storage applications.</w:t>
      </w:r>
    </w:p>
    <w:p>
      <w:pPr>
        <w:spacing w:before="120" w:after="120"/>
      </w:pPr>
      <w:r>
        <w:rPr>
          <w:sz w:val="18"/>
        </w:rPr>
        <w:t>——————————————————————————————————————————————————————————————————————</w:t>
      </w:r>
    </w:p>
    <w:p>
      <w:pPr>
        <w:spacing w:before="160" w:after="40" w:line="240" w:lineRule="auto"/>
      </w:pPr>
      <w:r>
        <w:rPr>
          <w:b/>
        </w:rPr>
        <w:t xml:space="preserve">[206] </w:t>
      </w:r>
      <w:hyperlink r:id="rId330">
        <w:r>
          <w:rPr>
            <w:color w:val="1155CC"/>
            <w:u w:val="single"/>
          </w:rPr>
          <w:t>[ASAP] 机械机械化机 机械化机</w:t>
        </w:r>
      </w:hyperlink>
    </w:p>
    <w:p>
      <w:pPr>
        <w:spacing w:before="0" w:after="80"/>
      </w:pPr>
      <w:r>
        <w:rPr>
          <w:i/>
          <w:sz w:val="20"/>
        </w:rPr>
        <w:t>EN: [ASAP] Mechanochromic Mechanophores</w:t>
      </w:r>
    </w:p>
    <w:p>
      <w:pPr>
        <w:spacing w:before="0" w:after="120"/>
      </w:pPr>
      <w:r>
        <w:rPr>
          <w:b/>
        </w:rPr>
        <w:t xml:space="preserve">Source: </w:t>
      </w:r>
      <w:r>
        <w:t>Chemical Reviews: Latest Articles (ACS Publications)</w:t>
      </w:r>
      <w:r>
        <w:t xml:space="preserve">    </w:t>
      </w:r>
      <w:r>
        <w:rPr>
          <w:b/>
        </w:rPr>
        <w:t xml:space="preserve">Pub date: </w:t>
      </w:r>
      <w:r>
        <w:t>2026-02-02 18:30:34+00:00</w:t>
      </w:r>
      <w:r>
        <w:t xml:space="preserve">    </w:t>
      </w:r>
      <w:r>
        <w:rPr>
          <w:b/>
        </w:rPr>
        <w:t xml:space="preserve">DOI: </w:t>
      </w:r>
      <w:hyperlink r:id="rId331">
        <w:r>
          <w:rPr>
            <w:color w:val="1155CC"/>
            <w:u w:val="single"/>
          </w:rPr>
          <w:t>10.1021/acs.chemrev.5c00789</w:t>
        </w:r>
      </w:hyperlink>
    </w:p>
    <w:p>
      <w:pPr>
        <w:spacing w:before="0" w:after="120"/>
      </w:pPr>
      <w:r>
        <w:rPr>
          <w:b/>
        </w:rPr>
        <w:t xml:space="preserve">Notes: </w:t>
      </w:r>
      <w:r>
        <w:t>abstract_source=pubmed</w:t>
      </w:r>
    </w:p>
    <w:p>
      <w:pPr>
        <w:spacing w:before="0" w:after="80" w:lineRule="auto" w:line="276"/>
      </w:pPr>
      <w:r>
        <w:rPr>
          <w:b/>
        </w:rPr>
        <w:t xml:space="preserve">摘要（ZH）: </w:t>
      </w:r>
      <w:r>
        <w:t>机械化技术作为控制化学反应和通过应用力调整材料特性的有力战略,已经形成为控制化学反应和调整材料特性的强大战略。在这个日益壮大的领域中,机械化机械植物已经引起人们的特别关注,因为多用途分子探测器通过由武力引起的结构转型将机械输入光学信号。这些系统能够实时直接直观地显示压力和损害,为压力感应、损害探测和适应材料的设计提供了独特的应用机会。本审查报告提供了一个对机械化机械植物进行分类的系统框架,重点是其分子设计原则和激活机制。我们强调武力应用和特征分析方法如何被运用和定性。</w:t>
      </w:r>
    </w:p>
    <w:p>
      <w:pPr>
        <w:spacing w:before="0" w:after="200" w:lineRule="auto" w:line="276"/>
      </w:pPr>
      <w:r>
        <w:rPr>
          <w:b/>
        </w:rPr>
        <w:t xml:space="preserve">Abstract (EN): </w:t>
      </w:r>
      <w:r>
        <w:t>Mechanochemistry has emerged as a powerful strategy for controlling chemical reactivity and tuning material properties through applied force. Within this growing field, mechanochromic mechanophores have attracted particular attention as versatile molecular probes that transduce mechanical inputs into optical signals via force-induced structural transformations. By enabling direct visualization of stress and damage in real time, these systems provide unique opportunities for applications in stress sensing, damage detection, and the design of adaptive materials. This Review offers a systematic framework of classifying mechanochromic mechanophores, with a focus on their molecular design principles and activation mechanisms. We highlight how methods of force application and characterization critically shape the study of mechanochromism and examine how mechanophore scaffolds, polymer architectures, and environmental factors collectively dictate optical responses. Applications are critically assessed to underscore the role of mechanochromic systems as a bridge between fundamental mechanochemistry and functional materials engineering. Finally, we outline current challenges and emerging opportunities, with particular emphasis on the growing potential of mechanochromic systems in biological and biomedical contexts.</w:t>
      </w:r>
    </w:p>
    <w:p>
      <w:pPr>
        <w:spacing w:before="120" w:after="120"/>
      </w:pPr>
      <w:r>
        <w:rPr>
          <w:sz w:val="18"/>
        </w:rPr>
        <w:t>——————————————————————————————————————————————————————————————————————</w:t>
      </w:r>
    </w:p>
    <w:p>
      <w:pPr>
        <w:spacing w:before="160" w:after="40" w:line="240" w:lineRule="auto"/>
      </w:pPr>
      <w:r>
        <w:rPr>
          <w:b/>
        </w:rPr>
        <w:t xml:space="preserve">[207] </w:t>
      </w:r>
      <w:hyperlink r:id="rId332">
        <w:r>
          <w:rPr>
            <w:color w:val="1155CC"/>
            <w:u w:val="single"/>
          </w:rPr>
          <w:t>[ASAP]高效的Perovskite-Cu(In,Ga)</w:t>
        </w:r>
      </w:hyperlink>
    </w:p>
    <w:p>
      <w:pPr>
        <w:spacing w:before="0" w:after="80"/>
      </w:pPr>
      <w:r>
        <w:rPr>
          <w:i/>
          <w:sz w:val="20"/>
        </w:rPr>
        <w:t>EN: [ASAP] Efficient Perovskite–Cu(In,Ga)Se2 Tandem Solar Cells Enabled by Coevaporation</w:t>
      </w:r>
    </w:p>
    <w:p>
      <w:pPr>
        <w:spacing w:before="0" w:after="120"/>
      </w:pPr>
      <w:r>
        <w:rPr>
          <w:b/>
        </w:rPr>
        <w:t xml:space="preserve">Source: </w:t>
      </w:r>
      <w:r>
        <w:t>ACS Energy Letters: Latest Articles (ACS Publications)</w:t>
      </w:r>
      <w:r>
        <w:t xml:space="preserve">    </w:t>
      </w:r>
      <w:r>
        <w:rPr>
          <w:b/>
        </w:rPr>
        <w:t xml:space="preserve">Pub date: </w:t>
      </w:r>
      <w:r>
        <w:t>2026-02-02 18:43:57+00:00</w:t>
      </w:r>
      <w:r>
        <w:t xml:space="preserve">    </w:t>
      </w:r>
      <w:r>
        <w:rPr>
          <w:b/>
        </w:rPr>
        <w:t xml:space="preserve">DOI: </w:t>
      </w:r>
      <w:hyperlink r:id="rId333">
        <w:r>
          <w:rPr>
            <w:color w:val="1155CC"/>
            <w:u w:val="single"/>
          </w:rPr>
          <w:t>10.1021/acsenergylett.5c04203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[208] </w:t>
      </w:r>
      <w:hyperlink r:id="rId334">
        <w:r>
          <w:rPr>
            <w:color w:val="1155CC"/>
            <w:u w:val="single"/>
          </w:rPr>
          <w:t>[ASAP] 电气化CO2-to-HCOOH 贵化:关于酸性流动电池和固态电解电池反应堆的比较技术分析</w:t>
        </w:r>
      </w:hyperlink>
    </w:p>
    <w:p>
      <w:pPr>
        <w:spacing w:before="0" w:after="80"/>
      </w:pPr>
      <w:r>
        <w:rPr>
          <w:i/>
          <w:sz w:val="20"/>
        </w:rPr>
        <w:t>EN: [ASAP] Electrified CO2-to-HCOOH Valorization: A Comparative Technical Analysis on Acidic Flow Cell and Solid-State Electrolyte Cell Reactors</w:t>
      </w:r>
    </w:p>
    <w:p>
      <w:pPr>
        <w:spacing w:before="0" w:after="120"/>
      </w:pPr>
      <w:r>
        <w:rPr>
          <w:b/>
        </w:rPr>
        <w:t xml:space="preserve">Source: </w:t>
      </w:r>
      <w:r>
        <w:t>ACS Energy Letters: Latest Articles (ACS Publications)</w:t>
      </w:r>
      <w:r>
        <w:t xml:space="preserve">    </w:t>
      </w:r>
      <w:r>
        <w:rPr>
          <w:b/>
        </w:rPr>
        <w:t xml:space="preserve">Pub date: </w:t>
      </w:r>
      <w:r>
        <w:t>2026-02-02 18:45:05+00:00</w:t>
      </w:r>
      <w:r>
        <w:t xml:space="preserve">    </w:t>
      </w:r>
      <w:r>
        <w:rPr>
          <w:b/>
        </w:rPr>
        <w:t xml:space="preserve">DOI: </w:t>
      </w:r>
      <w:hyperlink r:id="rId335">
        <w:r>
          <w:rPr>
            <w:color w:val="1155CC"/>
            <w:u w:val="single"/>
          </w:rPr>
          <w:t>10.1021/acsenergylett.5c03557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[209] </w:t>
      </w:r>
      <w:hyperlink r:id="rId336">
        <w:r>
          <w:rPr>
            <w:color w:val="1155CC"/>
            <w:u w:val="single"/>
          </w:rPr>
          <w:t>[ASAP] 稳定、高Y当量的乙乙烯生产,利用蒸气辅助的轻干光气分解脱氢</w:t>
        </w:r>
      </w:hyperlink>
    </w:p>
    <w:p>
      <w:pPr>
        <w:spacing w:before="0" w:after="80"/>
      </w:pPr>
      <w:r>
        <w:rPr>
          <w:i/>
          <w:sz w:val="20"/>
        </w:rPr>
        <w:t>EN: [ASAP] Stable, High-Yield Ethylene Production from Vapor-Assisted Light-Driven Ethane Dehydrogenation</w:t>
      </w:r>
    </w:p>
    <w:p>
      <w:pPr>
        <w:spacing w:before="0" w:after="120"/>
      </w:pPr>
      <w:r>
        <w:rPr>
          <w:b/>
        </w:rPr>
        <w:t xml:space="preserve">Source: </w:t>
      </w:r>
      <w:r>
        <w:t>Journal of the American Chemical Society: Latest Articles (ACS Publications)</w:t>
      </w:r>
      <w:r>
        <w:t xml:space="preserve">    </w:t>
      </w:r>
      <w:r>
        <w:rPr>
          <w:b/>
        </w:rPr>
        <w:t xml:space="preserve">Pub date: </w:t>
      </w:r>
      <w:r>
        <w:t>2026-02-02 19:15:35+00:00</w:t>
      </w:r>
      <w:r>
        <w:t xml:space="preserve">    </w:t>
      </w:r>
      <w:r>
        <w:rPr>
          <w:b/>
        </w:rPr>
        <w:t xml:space="preserve">DOI: </w:t>
      </w:r>
      <w:hyperlink r:id="rId337">
        <w:r>
          <w:rPr>
            <w:color w:val="1155CC"/>
            <w:u w:val="single"/>
          </w:rPr>
          <w:t>10.1021/jacs.5c21432</w:t>
        </w:r>
      </w:hyperlink>
    </w:p>
    <w:p>
      <w:pPr>
        <w:spacing w:before="0" w:after="120"/>
      </w:pPr>
      <w:r>
        <w:rPr>
          <w:b/>
        </w:rPr>
        <w:t xml:space="preserve">Notes: </w:t>
      </w:r>
      <w:r>
        <w:t>abstract_source=pubmed</w:t>
      </w:r>
    </w:p>
    <w:p>
      <w:pPr>
        <w:spacing w:before="0" w:after="80" w:lineRule="auto" w:line="276"/>
      </w:pPr>
      <w:r>
        <w:rPr>
          <w:b/>
        </w:rPr>
        <w:t xml:space="preserve">摘要（ZH）: </w:t>
      </w:r>
      <w:r>
        <w:t>Ethane(C2H6)脱水(EDH)是用于生产乙烯的核心工业过程,但受到热动力学的严格限制,通常需要高温(&gt;600°C),光驱动的EDH(LDEDH)提供了可持续的替代方法,在温和条件下收获太阳能,生产乙烯(C2H4),但在开发过程中受到低C2H4生产率和低运行稳定性(通常为&lt;12小时)的阻碍。 在这里,我们发现在ZnO-TiO2型热力组合支持的Pd纳米集束上,一个蒸气辅助LDEDDH过程持续流动,在ZnO上安装一个自成一体的TiO2超层,建造一个能保护Ti-O-Zn接口,以最大限度地扩大间带间区域,并为氧化而专门设计的定向电源分离。</w:t>
      </w:r>
    </w:p>
    <w:p>
      <w:pPr>
        <w:spacing w:before="0" w:after="200" w:lineRule="auto" w:line="276"/>
      </w:pPr>
      <w:r>
        <w:rPr>
          <w:b/>
        </w:rPr>
        <w:t xml:space="preserve">Abstract (EN): </w:t>
      </w:r>
      <w:r>
        <w:t>Ethane (C2H6) dehydrogenation (EDH) is a core industrial process for on-purpose ethylene production but is severely constrained by thermodynamics and typically requires elevated temperatures (&gt;600 °C). Light-driven EDH (LDEDH) offers a sustainable alternative by harvesting solar energy to produce ethylene (C2H4) under mild conditions, yet its development has been hindered by low C2H4 productivity and poor operational stability (typically &lt;12 h). Here, we realize a vapor-assisted LDEDH process in a continuous-flow reactor over Pd nanoclusters supported on an interface-engineered ZnO-TiO2 heterojunction in which a conformal TiO2 overlayer on ZnO constructs a lattice-preserving Ti-O-Zn interface that maximizes the interfacial area and enables directional charge separation tailored for oxidative EDH. Mechanistic studies reveal that this strong interfacial synergy drives photogenerated electrons to ZnO and holes to the TiO2 overlayer while Pd nanoclusters promote electron transfer and enhance C2H6 adsorption. As a result, Pd/ZnO-TiO2 achieves a record-high C2H4 productivity of 1640.9 μmol h-1 with a selectivity of 98.7%, surpassing the current state of the art by more than 7-fold and setting a new benchmark for LDEDH. In addition, the presence of water vapor not only supplies ·OH species for LDEDH but also can suppress coke deposition, which enables superior long-term stability for 152 h, largely surpassing that of the reported catalysts (typically below 12 h).</w:t>
      </w:r>
    </w:p>
    <w:p>
      <w:pPr>
        <w:spacing w:before="120" w:after="120"/>
      </w:pPr>
      <w:r>
        <w:rPr>
          <w:sz w:val="18"/>
        </w:rPr>
        <w:t>——————————————————————————————————————————————————————————————————————</w:t>
      </w:r>
    </w:p>
    <w:p>
      <w:pPr>
        <w:spacing w:before="160" w:after="40" w:line="240" w:lineRule="auto"/>
      </w:pPr>
      <w:r>
        <w:rPr>
          <w:b/>
        </w:rPr>
        <w:t xml:space="preserve">[210] </w:t>
      </w:r>
      <w:hyperlink r:id="rId338">
        <w:r>
          <w:rPr>
            <w:color w:val="1155CC"/>
            <w:u w:val="single"/>
          </w:rPr>
          <w:t>[ASAP] AgSnSe2中Sn3+Vlence和电子阶段演变的确定性控制</w:t>
        </w:r>
      </w:hyperlink>
    </w:p>
    <w:p>
      <w:pPr>
        <w:spacing w:before="0" w:after="80"/>
      </w:pPr>
      <w:r>
        <w:rPr>
          <w:i/>
          <w:sz w:val="20"/>
        </w:rPr>
        <w:t>EN: [ASAP] Deterministic Control of Sn3+ Valence and Electronic Phase Evolution in AgSnSe2</w:t>
      </w:r>
    </w:p>
    <w:p>
      <w:pPr>
        <w:spacing w:before="0" w:after="120"/>
      </w:pPr>
      <w:r>
        <w:rPr>
          <w:b/>
        </w:rPr>
        <w:t xml:space="preserve">Source: </w:t>
      </w:r>
      <w:r>
        <w:t>Journal of the American Chemical Society: Latest Articles (ACS Publications)</w:t>
      </w:r>
      <w:r>
        <w:t xml:space="preserve">    </w:t>
      </w:r>
      <w:r>
        <w:rPr>
          <w:b/>
        </w:rPr>
        <w:t xml:space="preserve">Pub date: </w:t>
      </w:r>
      <w:r>
        <w:t>2026-02-02 19:41:43+00:00</w:t>
      </w:r>
      <w:r>
        <w:t xml:space="preserve">    </w:t>
      </w:r>
      <w:r>
        <w:rPr>
          <w:b/>
        </w:rPr>
        <w:t xml:space="preserve">DOI: </w:t>
      </w:r>
      <w:hyperlink r:id="rId339">
        <w:r>
          <w:rPr>
            <w:color w:val="1155CC"/>
            <w:u w:val="single"/>
          </w:rPr>
          <w:t>10.1021/jacs.5c21696</w:t>
        </w:r>
      </w:hyperlink>
    </w:p>
    <w:p>
      <w:pPr>
        <w:spacing w:before="0" w:after="120"/>
      </w:pPr>
      <w:r>
        <w:rPr>
          <w:b/>
        </w:rPr>
        <w:t xml:space="preserve">Notes: </w:t>
      </w:r>
      <w:r>
        <w:t>abstract_source=pubmed</w:t>
      </w:r>
    </w:p>
    <w:p>
      <w:pPr>
        <w:spacing w:before="0" w:after="80" w:lineRule="auto" w:line="276"/>
      </w:pPr>
      <w:r>
        <w:rPr>
          <w:b/>
        </w:rPr>
        <w:t xml:space="preserve">摘要（ZH）: </w:t>
      </w:r>
      <w:r>
        <w:t>AgSnSe2特别令人着迷,因为它稳定了稀有的和长期辩论的Sn3+氧化状态,其真实存在和作用多年来一直令人迷惑。在这项工作中,我们使用X射线光电子光谱、Mössbauer光谱和X射线吸收光谱直接探测Sn的氧化状态及其在化学替代下的演变。所有实验证据都一致证实Sn在AgSnSe2的+3氧化状态中的存在。补充密度功能理论计算进一步证实了这项任务。我们用Sb取代Sn,就是系统地控制电子状态及其在化学替代下的演变。</w:t>
      </w:r>
    </w:p>
    <w:p>
      <w:pPr>
        <w:spacing w:before="0" w:after="200" w:lineRule="auto" w:line="276"/>
      </w:pPr>
      <w:r>
        <w:rPr>
          <w:b/>
        </w:rPr>
        <w:t xml:space="preserve">Abstract (EN): </w:t>
      </w:r>
      <w:r>
        <w:t>Understanding how unusual oxidation states influence material properties is important for both fundamental science and energy applications. AgSnSe2 is particularly intriguing because it stabilizes the rare and long-debated Sn3+ oxidation state, whose true existence and role have remained enigmatic for many years. In this work, we employ X-ray photoelectron spectroscopy, Mössbauer spectroscopy, and X-ray absorption spectroscopy to directly probe the oxidation state of Sn and its evolution under chemical substitution. All experimental evidence consistently confirms the presence of Sn in the +3 oxidation state in AgSnSe2. Complementary density functional theory calculations further corroborate this assignment. By substituting Sn with Sb, we systematically control the electronic state and its impact on the material's physical properties. At low Sb concentrations, AgSnSe2 retains superconductivity with a transition temperature of ∼5 K, while increasing Sb content deterministically drives a metallic-to-semiconducting transition through progressive suppression of superconductivity. Spectroscopic analyses show that Sb substitution provides deterministic control of the Sn oxidation state, evolving from a uniform +3 configuration in AgSnSe2 to a mixed +2/+4 valence-skipping regime at higher Sb levels, thereby establishing a direct chemical handle over the material's electronic phase. This tunability demonstrates that the Sn oxidation state in AgSnSe2 can be precisely engineered through Sb substitution, enabling controlled electronic phase transitions and establishing AgSnSe2 as a promising platform for quantum and energy-related applications.</w:t>
      </w:r>
    </w:p>
    <w:p>
      <w:pPr>
        <w:spacing w:before="120" w:after="120"/>
      </w:pPr>
      <w:r>
        <w:rPr>
          <w:sz w:val="18"/>
        </w:rPr>
        <w:t>——————————————————————————————————————————————————————————————————————</w:t>
      </w:r>
    </w:p>
    <w:p>
      <w:pPr>
        <w:spacing w:before="160" w:after="40" w:line="240" w:lineRule="auto"/>
      </w:pPr>
      <w:r>
        <w:rPr>
          <w:b/>
        </w:rPr>
        <w:t xml:space="preserve">[211] </w:t>
      </w:r>
      <w:hyperlink r:id="rId340">
        <w:r>
          <w:rPr>
            <w:color w:val="1155CC"/>
            <w:u w:val="single"/>
          </w:rPr>
          <w:t>[ASAP]从废用锂-离离散电池猫头目中再循环关键金属:可持续闭路系统的技术、挑战和前景</w:t>
        </w:r>
      </w:hyperlink>
    </w:p>
    <w:p>
      <w:pPr>
        <w:spacing w:before="0" w:after="80"/>
      </w:pPr>
      <w:r>
        <w:rPr>
          <w:i/>
          <w:sz w:val="20"/>
        </w:rPr>
        <w:t>EN: [ASAP] Recycling Critical Metals from Spent Lithium-Ion Battery Cathodes: Technologies, Challenges, and Perspectives to Sustainable Closed-Loop Systems</w:t>
      </w:r>
    </w:p>
    <w:p>
      <w:pPr>
        <w:spacing w:before="0" w:after="120"/>
      </w:pPr>
      <w:r>
        <w:rPr>
          <w:b/>
        </w:rPr>
        <w:t xml:space="preserve">Source: </w:t>
      </w:r>
      <w:r>
        <w:t>ACS Energy Letters: Latest Articles (ACS Publications)</w:t>
      </w:r>
      <w:r>
        <w:t xml:space="preserve">    </w:t>
      </w:r>
      <w:r>
        <w:rPr>
          <w:b/>
        </w:rPr>
        <w:t xml:space="preserve">Pub date: </w:t>
      </w:r>
      <w:r>
        <w:t>2026-02-02 20:32:34+00:00</w:t>
      </w:r>
      <w:r>
        <w:t xml:space="preserve">    </w:t>
      </w:r>
      <w:r>
        <w:rPr>
          <w:b/>
        </w:rPr>
        <w:t xml:space="preserve">DOI: </w:t>
      </w:r>
      <w:hyperlink r:id="rId341">
        <w:r>
          <w:rPr>
            <w:color w:val="1155CC"/>
            <w:u w:val="single"/>
          </w:rPr>
          <w:t>10.1021/acsenergylett.5c03663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[212] </w:t>
      </w:r>
      <w:hyperlink r:id="rId342">
        <w:r>
          <w:rPr>
            <w:color w:val="1155CC"/>
            <w:u w:val="single"/>
          </w:rPr>
          <w:t>[ASAP]质子-共合电子传输 Governs 异质式芬顿式反应性:表层O-H债券分解自由能源和质子活动的变化</w:t>
        </w:r>
      </w:hyperlink>
    </w:p>
    <w:p>
      <w:pPr>
        <w:spacing w:before="0" w:after="80"/>
      </w:pPr>
      <w:r>
        <w:rPr>
          <w:i/>
          <w:sz w:val="20"/>
        </w:rPr>
        <w:t>EN: [ASAP] Proton-Coupled Electron Transfer Governs Heterogeneous Fenton-like Reactivity: Modulation of Surface O–H Bond Dissociation Free Energy and Proton Activity</w:t>
      </w:r>
    </w:p>
    <w:p>
      <w:pPr>
        <w:spacing w:before="0" w:after="120"/>
      </w:pPr>
      <w:r>
        <w:rPr>
          <w:b/>
        </w:rPr>
        <w:t xml:space="preserve">Source: </w:t>
      </w:r>
      <w:r>
        <w:t>Journal of the American Chemical Society: Latest Articles (ACS Publications)</w:t>
      </w:r>
      <w:r>
        <w:t xml:space="preserve">    </w:t>
      </w:r>
      <w:r>
        <w:rPr>
          <w:b/>
        </w:rPr>
        <w:t xml:space="preserve">Pub date: </w:t>
      </w:r>
      <w:r>
        <w:t>2026-02-02 20:51:50+00:00</w:t>
      </w:r>
      <w:r>
        <w:t xml:space="preserve">    </w:t>
      </w:r>
      <w:r>
        <w:rPr>
          <w:b/>
        </w:rPr>
        <w:t xml:space="preserve">DOI: </w:t>
      </w:r>
      <w:hyperlink r:id="rId343">
        <w:r>
          <w:rPr>
            <w:color w:val="1155CC"/>
            <w:u w:val="single"/>
          </w:rPr>
          <w:t>10.1021/jacs.5c21821</w:t>
        </w:r>
      </w:hyperlink>
    </w:p>
    <w:p>
      <w:pPr>
        <w:spacing w:before="0" w:after="120"/>
      </w:pPr>
      <w:r>
        <w:rPr>
          <w:b/>
        </w:rPr>
        <w:t xml:space="preserve">Notes: </w:t>
      </w:r>
      <w:r>
        <w:t>abstract_source=pubmed</w:t>
      </w:r>
    </w:p>
    <w:p>
      <w:pPr>
        <w:spacing w:before="0" w:after="80" w:lineRule="auto" w:line="276"/>
      </w:pPr>
      <w:r>
        <w:rPr>
          <w:b/>
        </w:rPr>
        <w:t xml:space="preserve">摘要（ZH）: </w:t>
      </w:r>
      <w:r>
        <w:t>常规电子中心框架忽略了重要的质子转移贡献。在这里,我们证明质子转让的战略调控通过验证质子相联电子转移(PCET)机制,将异异异芬顿式反应量增加两个数量级,通过两个数量级的质子相联电子转移(PCET)机制,产生了两个互补战略:修改催化剂表面氢氧化氢密度和调试溶液pH。 机械学调查显示,氢氧基改变表层O-H联系离散自由能源(BDFE),而pH调整则遵循Brønsted-Evans-Polanii(BEP)关系。我们开发了电子化学方法,用以量化溴化二苯乙烯与测量净H-涉及苏的转移率的技术一起计算净H-转移率。</w:t>
      </w:r>
    </w:p>
    <w:p>
      <w:pPr>
        <w:spacing w:before="0" w:after="200" w:lineRule="auto" w:line="276"/>
      </w:pPr>
      <w:r>
        <w:rPr>
          <w:b/>
        </w:rPr>
        <w:t xml:space="preserve">Abstract (EN): </w:t>
      </w:r>
      <w:r>
        <w:t>Fenton-like reactions are fundamental to environmental remediation, yet conventional electron-centric frameworks overlook critical proton transfer contributions. Here, we demonstrate that strategic modulation of proton transfer enhances heterogeneous Fenton-like reactivity by two orders of magnitude through validated proton-coupled electron transfer (PCET) mechanisms. Two complementary strategies emerged: modifying catalyst surface hydroxyl density and tuning solution pH. Mechanistic investigations revealed that hydroxyl modifications alter the surface O-H bond dissociation free energy (BDFE), while pH adjustments follow Brønsted-Evans-Polanyi (BEP) relationships. We developed electrochemical methods for quantifying BDFE alongside techniques for measuring net H• transfer rates involving surface hydroxyl groups. This paradigm transcends electron-centric approaches by establishing comprehensive theoretical frameworks for reaction enhancement and by providing transformative proton-transfer-based modulation strategies to overcome inherent activity limitations in practical Fenton-like applications.</w:t>
      </w:r>
    </w:p>
    <w:p>
      <w:pPr>
        <w:spacing w:before="120" w:after="120"/>
      </w:pPr>
      <w:r>
        <w:rPr>
          <w:sz w:val="18"/>
        </w:rPr>
        <w:t>——————————————————————————————————————————————————————————————————————</w:t>
      </w:r>
    </w:p>
    <w:p>
      <w:pPr>
        <w:spacing w:before="160" w:after="40" w:line="240" w:lineRule="auto"/>
      </w:pPr>
      <w:r>
        <w:rPr>
          <w:b/>
        </w:rPr>
        <w:t xml:space="preserve">[213] </w:t>
      </w:r>
      <w:hyperlink r:id="rId344">
        <w:r>
          <w:rPr>
            <w:color w:val="1155CC"/>
            <w:u w:val="single"/>
          </w:rPr>
          <w:t>利用点击化学,扩大人造金属核核素的DNA破坏潜力</w:t>
        </w:r>
      </w:hyperlink>
    </w:p>
    <w:p>
      <w:pPr>
        <w:spacing w:before="0" w:after="80"/>
      </w:pPr>
      <w:r>
        <w:rPr>
          <w:i/>
          <w:sz w:val="20"/>
        </w:rPr>
        <w:t>EN: Expanding the DNA damaging potential of artificial metallo-nucleases with click chemistry</w:t>
      </w:r>
    </w:p>
    <w:p>
      <w:pPr>
        <w:spacing w:before="0" w:after="120"/>
      </w:pPr>
      <w:r>
        <w:rPr>
          <w:b/>
        </w:rPr>
        <w:t xml:space="preserve">Source: </w:t>
      </w:r>
      <w:r>
        <w:t>Nature Communications</w:t>
      </w:r>
      <w:r>
        <w:t xml:space="preserve">    </w:t>
      </w:r>
      <w:r>
        <w:rPr>
          <w:b/>
        </w:rPr>
        <w:t xml:space="preserve">Pub date: </w:t>
      </w:r>
      <w:r>
        <w:t>2026-02-03 00:00:00+00:00</w:t>
      </w:r>
    </w:p>
    <w:p>
      <w:pPr>
        <w:spacing w:before="0" w:after="120"/>
      </w:pPr>
      <w:r>
        <w:rPr>
          <w:b/>
        </w:rPr>
        <w:t xml:space="preserve">Notes: </w:t>
      </w:r>
      <w:r>
        <w:t>abstract_source=nature_html</w:t>
      </w:r>
    </w:p>
    <w:p>
      <w:pPr>
        <w:spacing w:before="0" w:after="80" w:lineRule="auto" w:line="276"/>
      </w:pPr>
      <w:r>
        <w:rPr>
          <w:b/>
        </w:rPr>
        <w:t xml:space="preserve">摘要（ZH）: </w:t>
      </w:r>
      <w:r>
        <w:t>最近,铜(I)催化了丙烯-丙烯环球添加剂(CuAAC)的点击化学(CuAAC)已成为设计具有DNA破坏特性的新的人造金属核素(AMNs)的很有希望的方法。通过与3个烷基捐赠者一起将中央有机亚齐化的功能化,可以产生通过捐赠者群体和三亚硝基苯连接器对3个铜离子进行切合的Tri-Click(TC)离子(Tri-Click (Tr-Click)离子(Tr-Click)和三亚硝基烷链路。然而,这一方法的多功能性,以及特定捐赠者在抗癌环境下对金属装订、DNA识别和细胞DNA损伤的影响仍然不为人所熟知。 在这里,我们准备了一系列三千立方基离子(Tri-Clickligands)集成系统循环和自行车N-O-O-和S-s-denters,并评估其AM活动。</w:t>
      </w:r>
    </w:p>
    <w:p>
      <w:pPr>
        <w:spacing w:before="0" w:after="200" w:lineRule="auto" w:line="276"/>
      </w:pPr>
      <w:r>
        <w:rPr>
          <w:b/>
        </w:rPr>
        <w:t xml:space="preserve">Abstract (EN): </w:t>
      </w:r>
      <w:r>
        <w:t>Recently, copper(I)-catalysed azide-alkyne cycloaddition (CuAAC) click chemistry has emerged as a promising approach for designing new artificial metallo-nucleases (AMNs) with DNA-damaging properties. By functionalising a central organic azide with three alkyne donors, Tri-Click (TC) ligands capable of chelating three copper ions through the donor group and triazole linker can be generated. However, the versatility of this approach along with the influence of specific donors on metal binding, DNA recognition, and cellular DNA damage in an anticancer context remains poorly understood. Here, we prepare a series of Tri-Click ligands incorporating systematic cyclic and acyclic N-, O-, and S-donors and evaluate their AMN activities. Screening experiments pinpoint planar N-donor ligands as high value agents. Among these, the copper complex of Tri-Click-Pyridine (Cu3-TC-Py) displays significant potential. We characterise its activity using single-molecule imaging, microscale thermophoresis, FRET-based binding assays, molecular dynamics, and intracellular DNA interaction studies in human and functional bacterial cells. We report the emergence of Cu3-TC-Py as a lead AMN with high reactivity for DNA damage applications central to anticancer therapy.</w:t>
      </w:r>
    </w:p>
    <w:p>
      <w:pPr>
        <w:spacing w:before="120" w:after="120"/>
      </w:pPr>
      <w:r>
        <w:rPr>
          <w:sz w:val="18"/>
        </w:rPr>
        <w:t>——————————————————————————————————————————————————————————————————————</w:t>
      </w:r>
    </w:p>
    <w:p>
      <w:pPr>
        <w:spacing w:before="160" w:after="40" w:line="240" w:lineRule="auto"/>
      </w:pPr>
      <w:r>
        <w:rPr>
          <w:b/>
        </w:rPr>
        <w:t xml:space="preserve">[214] </w:t>
      </w:r>
      <w:hyperlink r:id="rId345">
        <w:r>
          <w:rPr>
            <w:color w:val="1155CC"/>
            <w:u w:val="single"/>
          </w:rPr>
          <w:t>接受不同的博士监督风格,但执行基本标准</w:t>
        </w:r>
      </w:hyperlink>
    </w:p>
    <w:p>
      <w:pPr>
        <w:spacing w:before="0" w:after="80"/>
      </w:pPr>
      <w:r>
        <w:rPr>
          <w:i/>
          <w:sz w:val="20"/>
        </w:rPr>
        <w:t>EN: Embrace diverse PhD supervision styles — but enforce essential standards</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[215] </w:t>
      </w:r>
      <w:hyperlink r:id="rId346">
        <w:r>
          <w:rPr>
            <w:color w:val="1155CC"/>
            <w:u w:val="single"/>
          </w:rPr>
          <w:t>人为气候变化驱动全球热应激上升及其空间不平等</w:t>
        </w:r>
      </w:hyperlink>
    </w:p>
    <w:p>
      <w:pPr>
        <w:spacing w:before="0" w:after="80"/>
      </w:pPr>
      <w:r>
        <w:rPr>
          <w:i/>
          <w:sz w:val="20"/>
        </w:rPr>
        <w:t>EN: Anthropogenic climate change drives rising global heat stress and its spatial inequality</w:t>
      </w:r>
    </w:p>
    <w:p>
      <w:pPr>
        <w:spacing w:before="0" w:after="120"/>
      </w:pPr>
      <w:r>
        <w:rPr>
          <w:b/>
        </w:rPr>
        <w:t xml:space="preserve">Source: </w:t>
      </w:r>
      <w:r>
        <w:t>Nature Communications</w:t>
      </w:r>
      <w:r>
        <w:t xml:space="preserve">    </w:t>
      </w:r>
      <w:r>
        <w:rPr>
          <w:b/>
        </w:rPr>
        <w:t xml:space="preserve">Pub date: </w:t>
      </w:r>
      <w:r>
        <w:t>2026-02-03 00:00:00+00:00</w:t>
      </w:r>
    </w:p>
    <w:p>
      <w:pPr>
        <w:spacing w:before="0" w:after="120"/>
      </w:pPr>
      <w:r>
        <w:rPr>
          <w:b/>
        </w:rPr>
        <w:t xml:space="preserve">Notes: </w:t>
      </w:r>
      <w:r>
        <w:t>abstract_source=nature_html</w:t>
      </w:r>
    </w:p>
    <w:p>
      <w:pPr>
        <w:spacing w:before="0" w:after="80" w:lineRule="auto" w:line="276"/>
      </w:pPr>
      <w:r>
        <w:rPr>
          <w:b/>
        </w:rPr>
        <w:t xml:space="preserve">摘要（ZH）: </w:t>
      </w:r>
      <w:r>
        <w:t>全球热应激在气候变化下正在加剧,但自然和人为强迫的相对作用仍未得到充分量化。 这里,我们显示全球热应力趋势,根据普遍热气候指数的评估,在过去四十年中明显上升,52%的陆地地区平均热应激强度上升,67%的陆地地区极端热应激日上升。 我们发现,人为气候变化压倒了这些趋势,其支配面积几乎是自然气候变化所支配面积的两倍。 人为气候变化还导致不同经济体在热应力方面明显出现空间不平等,低收入经济体的增长率是其增长率的二至三倍。</w:t>
      </w:r>
    </w:p>
    <w:p>
      <w:pPr>
        <w:spacing w:before="0" w:after="200" w:lineRule="auto" w:line="276"/>
      </w:pPr>
      <w:r>
        <w:rPr>
          <w:b/>
        </w:rPr>
        <w:t xml:space="preserve">Abstract (EN): </w:t>
      </w:r>
      <w:r>
        <w:t>Global heat stress is intensifying under climate change, yet the relative roles of natural and anthropogenic forcing remain insufficiently quantified. Here, we show that global heat stress trend, assessed with the Universal Thermal Climate Index, increases markedly over the past four decades, with 52% of land area experiencing rises in mean heat stress intensity and 67% showing increases in extreme heat stress days. We find that anthropogenic climate change overwhelmingly dominates these trends, with the land area it dominates nearly twice as large as that dominated by natural climate change. Anthropogenic climate change also results in pronounced spatial inequality in heat stress trends across different economies, with low-income economies experiencing a growth rate two to three times higher than that of high-income economies. These findings demonstrate that human-induced climate change is amplifying global heat stress while deepening existing spatial inequalities, underscoring the urgency of equitable climate change adaptation.</w:t>
      </w:r>
    </w:p>
    <w:p>
      <w:pPr>
        <w:spacing w:before="120" w:after="120"/>
      </w:pPr>
      <w:r>
        <w:rPr>
          <w:sz w:val="18"/>
        </w:rPr>
        <w:t>——————————————————————————————————————————————————————————————————————</w:t>
      </w:r>
    </w:p>
    <w:p>
      <w:pPr>
        <w:spacing w:before="160" w:after="40" w:line="240" w:lineRule="auto"/>
      </w:pPr>
      <w:r>
        <w:rPr>
          <w:b/>
        </w:rPr>
        <w:t xml:space="preserve">[216] </w:t>
      </w:r>
      <w:hyperlink r:id="rId347">
        <w:r>
          <w:rPr>
            <w:color w:val="1155CC"/>
            <w:u w:val="single"/>
          </w:rPr>
          <w:t>作者更正: 生物前整洁反应条件范围和酒精尿素辅助磷酸化机制的范围</w:t>
        </w:r>
      </w:hyperlink>
    </w:p>
    <w:p>
      <w:pPr>
        <w:spacing w:before="0" w:after="80"/>
      </w:pPr>
      <w:r>
        <w:rPr>
          <w:i/>
          <w:sz w:val="20"/>
        </w:rPr>
        <w:t>EN: Author Correction: A scope of prebiotic neat reaction conditions and the mechanism of urea-assisted phosphorylations of alcohols</w:t>
      </w:r>
    </w:p>
    <w:p>
      <w:pPr>
        <w:spacing w:before="0" w:after="120"/>
      </w:pPr>
      <w:r>
        <w:rPr>
          <w:b/>
        </w:rPr>
        <w:t xml:space="preserve">Source: </w:t>
      </w:r>
      <w:r>
        <w:t>Nature Communications</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[217] </w:t>
      </w:r>
      <w:hyperlink r:id="rId348">
        <w:r>
          <w:rPr>
            <w:color w:val="1155CC"/>
            <w:u w:val="single"/>
          </w:rPr>
          <w:t>分布于不同哺乳动物组织和细胞线的小型非编码 RNA 绝对量化图集</w:t>
        </w:r>
      </w:hyperlink>
    </w:p>
    <w:p>
      <w:pPr>
        <w:spacing w:before="0" w:after="80"/>
      </w:pPr>
      <w:r>
        <w:rPr>
          <w:i/>
          <w:sz w:val="20"/>
        </w:rPr>
        <w:t>EN: An absolute quantification atlas of small non-coding RNAs across diverse mammalian tissues and cell lines</w:t>
      </w:r>
    </w:p>
    <w:p>
      <w:pPr>
        <w:spacing w:before="0" w:after="120"/>
      </w:pPr>
      <w:r>
        <w:rPr>
          <w:b/>
        </w:rPr>
        <w:t xml:space="preserve">Source: </w:t>
      </w:r>
      <w:r>
        <w:t>Nature Communications</w:t>
      </w:r>
      <w:r>
        <w:t xml:space="preserve">    </w:t>
      </w:r>
      <w:r>
        <w:rPr>
          <w:b/>
        </w:rPr>
        <w:t xml:space="preserve">Pub date: </w:t>
      </w:r>
      <w:r>
        <w:t>2026-02-03 00:00:00+00:00</w:t>
      </w:r>
    </w:p>
    <w:p>
      <w:pPr>
        <w:spacing w:before="0" w:after="120"/>
      </w:pPr>
      <w:r>
        <w:rPr>
          <w:b/>
        </w:rPr>
        <w:t xml:space="preserve">Notes: </w:t>
      </w:r>
      <w:r>
        <w:t>abstract_source=nature_html</w:t>
      </w:r>
    </w:p>
    <w:p>
      <w:pPr>
        <w:spacing w:before="0" w:after="80" w:lineRule="auto" w:line="276"/>
      </w:pPr>
      <w:r>
        <w:rPr>
          <w:b/>
        </w:rPr>
        <w:t xml:space="preserve">摘要（ZH）: </w:t>
      </w:r>
      <w:r>
        <w:t>常规小型非编码 RNA 序列( sncRNA-seq) 方法的定量精度较低, 其原因是广泛的离线偏差, 通常限制了对微RNAs(miRNAs)和PIWI互动RNAs(pirNAs)的功能性调查。 这里, 我们开发了4NBost, 一个单管SncRNA-seg协议, 目的是通过纳入定量外源RNA 溢出量来尽量减少对MIRNA 和 pirNA 记录笔数估计绝对量化中的偏差。 我们用 4NBosost 绘制了20个肌肉组织、 18 macaque 组织、 24 广泛使用的细胞线和 4个阿拉伯二氧组织之间的表达方式, 以建立一个全面的定量参考图。 与现有的小RNA 数据库相比, 我们的数据显示在 MIRNA 丰度、 条选择和组织剖面中存在重大偏差。</w:t>
      </w:r>
    </w:p>
    <w:p>
      <w:pPr>
        <w:spacing w:before="0" w:after="200" w:lineRule="auto" w:line="276"/>
      </w:pPr>
      <w:r>
        <w:rPr>
          <w:b/>
        </w:rPr>
        <w:t xml:space="preserve">Abstract (EN): </w:t>
      </w:r>
      <w:r>
        <w:t>The low quantitative accuracy of conventional small noncoding RNA sequencing (sncRNA-seq) methods due to extensive ligation bias commonly limits functional investigation of microRNAs (miRNAs) and PIWI-interacting RNAs (piRNAs). Here, we develop 4NBoost, a single-tube sncRNA-seq protocol designed to minimize bias in the estimated absolute quantification of miRNA and piRNA transcripts through the incorporation of quantitative exogenous RNA spike-ins. With 4NBoost, we profile sncRNA expression across 20 murine tissues, 18 macaque tissues, and 24 widely used cell lines, as well as 4 Arabidopsis tissues, to establish a comprehensive quantitative reference atlas. Compared with existing small RNA databases, our data reveal substantial biases in miRNA abundance, strand selection, and tissue-specific expression at both individual and family levels. To further extend its utility, we employ machine learning to model and correct biases in conventional datasets, effectively recovering ground truth transcript abundances. All 4NBoost data and the accompanying bias-correction model are freely available via SmRNAQuant (http://wulg-lab.sibcb.ac.cn/SmRNAQuant/), a web-based repository for exploring sncRNA expression. Together, the 4NBoost, bias-correction model, and SmRNAQuant provide powerful resources to advance sncRNA research.</w:t>
      </w:r>
    </w:p>
    <w:p>
      <w:pPr>
        <w:spacing w:before="120" w:after="120"/>
      </w:pPr>
      <w:r>
        <w:rPr>
          <w:sz w:val="18"/>
        </w:rPr>
        <w:t>——————————————————————————————————————————————————————————————————————</w:t>
      </w:r>
    </w:p>
    <w:p>
      <w:pPr>
        <w:spacing w:before="160" w:after="40" w:line="240" w:lineRule="auto"/>
      </w:pPr>
      <w:r>
        <w:rPr>
          <w:b/>
        </w:rPr>
        <w:t xml:space="preserve">[218] </w:t>
      </w:r>
      <w:hyperlink r:id="rId349">
        <w:r>
          <w:rPr>
            <w:color w:val="1155CC"/>
            <w:u w:val="single"/>
          </w:rPr>
          <w:t>作者校正:变种人第53页对核酸新陈代谢的监管有助于其获得功能活动。</w:t>
        </w:r>
      </w:hyperlink>
    </w:p>
    <w:p>
      <w:pPr>
        <w:spacing w:before="0" w:after="80"/>
      </w:pPr>
      <w:r>
        <w:rPr>
          <w:i/>
          <w:sz w:val="20"/>
        </w:rPr>
        <w:t>EN: Author Correction: Regulation of nucleotide metabolism by mutant p53 contributes to its gain-of-function activities</w:t>
      </w:r>
    </w:p>
    <w:p>
      <w:pPr>
        <w:spacing w:before="0" w:after="120"/>
      </w:pPr>
      <w:r>
        <w:rPr>
          <w:b/>
        </w:rPr>
        <w:t xml:space="preserve">Source: </w:t>
      </w:r>
      <w:r>
        <w:t>Nature Communications</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[219] </w:t>
      </w:r>
      <w:hyperlink r:id="rId350">
        <w:r>
          <w:rPr>
            <w:color w:val="1155CC"/>
            <w:u w:val="single"/>
          </w:rPr>
          <w:t>作者更正: Rehmannia chingi 基因组分析发现RcCYP72H7是硅状甘油生物合成物中的天花。</w:t>
        </w:r>
      </w:hyperlink>
    </w:p>
    <w:p>
      <w:pPr>
        <w:spacing w:before="0" w:after="80"/>
      </w:pPr>
      <w:r>
        <w:rPr>
          <w:i/>
          <w:sz w:val="20"/>
        </w:rPr>
        <w:t>EN: Author Correction: Analysis of the Rehmannia chingii genome identifies RcCYP72H7 as an epoxidase in iridoid glycoside biosynthesis</w:t>
      </w:r>
    </w:p>
    <w:p>
      <w:pPr>
        <w:spacing w:before="0" w:after="120"/>
      </w:pPr>
      <w:r>
        <w:rPr>
          <w:b/>
        </w:rPr>
        <w:t xml:space="preserve">Source: </w:t>
      </w:r>
      <w:r>
        <w:t>Nature Communications</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[220] </w:t>
      </w:r>
      <w:hyperlink r:id="rId351">
        <w:r>
          <w:rPr>
            <w:color w:val="1155CC"/>
            <w:u w:val="single"/>
          </w:rPr>
          <w:t>每日简报:没有「心神」眼的人能告诉我们什么是意识</w:t>
        </w:r>
      </w:hyperlink>
    </w:p>
    <w:p>
      <w:pPr>
        <w:spacing w:before="0" w:after="80"/>
      </w:pPr>
      <w:r>
        <w:rPr>
          <w:i/>
          <w:sz w:val="20"/>
        </w:rPr>
        <w:t>EN: Daily briefing: What people with no ‘mind’s eye’ can tell us about consciousness</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[221] </w:t>
      </w:r>
      <w:hyperlink r:id="rId352">
        <w:r>
          <w:rPr>
            <w:color w:val="1155CC"/>
            <w:u w:val="single"/>
          </w:rPr>
          <w:t>Paclitaxel驱动TREM2+宏观扩展,其治疗效力低于Nab-palitaxel,其基础是其低效的治疗效力。</w:t>
        </w:r>
      </w:hyperlink>
    </w:p>
    <w:p>
      <w:pPr>
        <w:spacing w:before="0" w:after="80"/>
      </w:pPr>
      <w:r>
        <w:rPr>
          <w:i/>
          <w:sz w:val="20"/>
        </w:rPr>
        <w:t>EN: Paclitaxel drives TREM2+ macrophage expansion underlying its inferior therapeutic efficacy compared to Nab-paclitaxel</w:t>
      </w:r>
    </w:p>
    <w:p>
      <w:pPr>
        <w:spacing w:before="0" w:after="120"/>
      </w:pPr>
      <w:r>
        <w:rPr>
          <w:b/>
        </w:rPr>
        <w:t xml:space="preserve">Source: </w:t>
      </w:r>
      <w:r>
        <w:t>Nature Communications</w:t>
      </w:r>
      <w:r>
        <w:t xml:space="preserve">    </w:t>
      </w:r>
      <w:r>
        <w:rPr>
          <w:b/>
        </w:rPr>
        <w:t xml:space="preserve">Pub date: </w:t>
      </w:r>
      <w:r>
        <w:t>2026-02-03 00:00:00+00:00</w:t>
      </w:r>
    </w:p>
    <w:p>
      <w:pPr>
        <w:spacing w:before="0" w:after="120"/>
      </w:pPr>
      <w:r>
        <w:rPr>
          <w:b/>
        </w:rPr>
        <w:t xml:space="preserve">Notes: </w:t>
      </w:r>
      <w:r>
        <w:t>abstract_source=nature_html</w:t>
      </w:r>
    </w:p>
    <w:p>
      <w:pPr>
        <w:spacing w:before="0" w:after="80" w:lineRule="auto" w:line="276"/>
      </w:pPr>
      <w:r>
        <w:rPr>
          <w:b/>
        </w:rPr>
        <w:t xml:space="preserve">摘要（ZH）: </w:t>
      </w:r>
      <w:r>
        <w:t>帕利塔克斯和nab-palitaxel在肿瘤免疫微生物环境的治疗效果和调控方面差异不一,但分子基础仍不明确。在这里,根据元分析,我们首先表明,对纳利塔克斯的治疗导致乳腺癌女性患者的总体反应率和病理完整反应率高于帕利塔克斯。值得注意的是,在帕利塔克斯-但非纳利塔克斯-经治疗的女性患者的初级肿瘤中,巨形中TREM2的表达率有所提高。在乳癌中,TREM2+大型细胞渗透率在初级肿瘤中有所增加。在母鼠乳腺癌模型中,帕利塔克斯(palitaxel)的乳腺癌模型通过将TREM2+大型细胞移植到初级肿瘤中,促进肺部转移。机械学上,帕利塔克斯(caltaxel)会增强乳癌的传播能力。</w:t>
      </w:r>
    </w:p>
    <w:p>
      <w:pPr>
        <w:spacing w:before="0" w:after="200" w:lineRule="auto" w:line="276"/>
      </w:pPr>
      <w:r>
        <w:rPr>
          <w:b/>
        </w:rPr>
        <w:t xml:space="preserve">Abstract (EN): </w:t>
      </w:r>
      <w:r>
        <w:t>Paclitaxel and nab-paclitaxel differ in therapeutic efficacy and modulation of the tumor immune microenvironment, yet the molecular basis remains poorly defined. Here, based on a meta-analysis, we first show that treatment with nab-paclitaxel results in a higher overall response rate and pathological complete response compared to paclitaxel in female patients with breast cancer. Notably, TREM2 expression in macrophages is elevated in primary tumors of paclitaxel- but not nab-paclitaxel-treated female patients. In metastatic breast cancer, TREM2+ macrophage infiltration is increased in primary tumors. In breast cancer models in female mice, paclitaxel, but not nab-paclitaxel, promotes lung metastasis by recruiting TREM2+ macrophages to primary tumors. Mechanistically, paclitaxel enhances the ATF3-FGF2 axis in breast cancer cells; secreted FGF2 activates the EGR1-TREM2-EMT cytokine axis in macrophages. Genetic ablation of Trem2 or pharmacologic targeting with antisense oligonucleotides suppress paclitaxel-induced breast cancer lung metastasis in vivo. Collectively, our findings demonstrate that paclitaxel, but not nab-paclitaxel, stimulates TREM2 expression and expands TREM2+ macrophages, suggesting that TREM2 targeting could enhance paclitaxel efficacy while limiting metastasis.</w:t>
      </w:r>
    </w:p>
    <w:p>
      <w:pPr>
        <w:spacing w:before="120" w:after="120"/>
      </w:pPr>
      <w:r>
        <w:rPr>
          <w:sz w:val="18"/>
        </w:rPr>
        <w:t>——————————————————————————————————————————————————————————————————————</w:t>
      </w:r>
    </w:p>
    <w:p>
      <w:pPr>
        <w:spacing w:before="160" w:after="40" w:line="240" w:lineRule="auto"/>
      </w:pPr>
      <w:r>
        <w:rPr>
          <w:b/>
        </w:rPr>
        <w:t xml:space="preserve">[222] </w:t>
      </w:r>
      <w:hyperlink r:id="rId353">
        <w:r>
          <w:rPr>
            <w:color w:val="1155CC"/>
            <w:u w:val="single"/>
          </w:rPr>
          <w:t>利用3D和多维X光成像在表层下观测</w:t>
        </w:r>
      </w:hyperlink>
    </w:p>
    <w:p>
      <w:pPr>
        <w:spacing w:before="0" w:after="80"/>
      </w:pPr>
      <w:r>
        <w:rPr>
          <w:i/>
          <w:sz w:val="20"/>
        </w:rPr>
        <w:t>EN: Use of 3D and multidimensional X-ray imaging to see beneath the surface</w:t>
      </w:r>
    </w:p>
    <w:p>
      <w:pPr>
        <w:spacing w:before="0" w:after="120"/>
      </w:pPr>
      <w:r>
        <w:rPr>
          <w:b/>
        </w:rPr>
        <w:t xml:space="preserve">Source: </w:t>
      </w:r>
      <w:r>
        <w:t>Nature Communications</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[223] </w:t>
      </w:r>
      <w:hyperlink r:id="rId354">
        <w:r>
          <w:rPr>
            <w:color w:val="1155CC"/>
            <w:u w:val="single"/>
          </w:rPr>
          <w:t>使社会技术系统的观点与采纳准备水平保持一致,以加快采用清洁能源</w:t>
        </w:r>
      </w:hyperlink>
    </w:p>
    <w:p>
      <w:pPr>
        <w:spacing w:before="0" w:after="80"/>
      </w:pPr>
      <w:r>
        <w:rPr>
          <w:i/>
          <w:sz w:val="20"/>
        </w:rPr>
        <w:t>EN: Aligning sociotechnical systems perspectives and adoption readiness levels to accelerate clean energy adoption</w:t>
      </w:r>
    </w:p>
    <w:p>
      <w:pPr>
        <w:spacing w:before="0" w:after="120"/>
      </w:pPr>
      <w:r>
        <w:rPr>
          <w:b/>
        </w:rPr>
        <w:t xml:space="preserve">Source: </w:t>
      </w:r>
      <w:r>
        <w:t>Nature Reviews Clean Technology</w:t>
      </w:r>
      <w:r>
        <w:t xml:space="preserve">    </w:t>
      </w:r>
      <w:r>
        <w:rPr>
          <w:b/>
        </w:rPr>
        <w:t xml:space="preserve">Pub date: </w:t>
      </w:r>
      <w:r>
        <w:t>2026-02-03 00:00:00+00:00</w:t>
      </w:r>
    </w:p>
    <w:p>
      <w:pPr>
        <w:spacing w:before="0" w:after="120"/>
      </w:pPr>
      <w:r>
        <w:rPr>
          <w:b/>
        </w:rPr>
        <w:t xml:space="preserve">Notes: </w:t>
      </w:r>
      <w:r>
        <w:t>abstract_source=nature_html</w:t>
      </w:r>
    </w:p>
    <w:p>
      <w:pPr>
        <w:spacing w:before="0" w:after="80" w:lineRule="auto" w:line="276"/>
      </w:pPr>
      <w:r>
        <w:rPr>
          <w:b/>
        </w:rPr>
        <w:t xml:space="preserve">摘要（ZH）: </w:t>
      </w:r>
      <w:r>
        <w:t>加速采用清洁能源技术需要全面了解技术和社会因素之间的复杂相互作用。从这个角度出发,我们讨论社会技术(ST)研究系统(STS)研究领域,作为更广泛的科学和技术研究领域的一部分,如何与采用准备水平(ARL)框架保持一致。与技术准备水平(侧重于技术的技术成熟程度)不同的是,ARL与STS和ST系统思维一致,重点是阻碍技术采用的技术、经济、社会、政治和文化因素。我们绘制了ARL的四个核心风险领域——价值主张、市场接受、资源成熟度和操作许可——与ST系统要素相匹配。这个框架提供了学术知识。</w:t>
      </w:r>
    </w:p>
    <w:p>
      <w:pPr>
        <w:spacing w:before="0" w:after="200" w:lineRule="auto" w:line="276"/>
      </w:pPr>
      <w:r>
        <w:rPr>
          <w:b/>
        </w:rPr>
        <w:t xml:space="preserve">Abstract (EN): </w:t>
      </w:r>
      <w:r>
        <w:t>Accelerating clean energy technology adoption requires a comprehensive understanding of the complex interplay between technological and social factors. In this Perspective, we discuss how the sociotechnical (ST) systems field of research, which is part of the broader field of science and technology studies (STS), aligns to the adoption readiness level (ARL) framework. Unlike the technology readiness levels, which focuses on the technical maturity of technologies, ARL aligns with STS and ST systems thinking through emphasis on the technical, economic, social, political and cultural factors that hinder technology adoption. We map four core risk areas of ARL — value proposition, market acceptance, resource maturity and licence to operate — to ST systems elements. This framework provides academics, policymakers and practitioners with theoretically grounded, context-tailored tools for improved assessment of clean technology adoption readiness.</w:t>
      </w:r>
    </w:p>
    <w:p>
      <w:pPr>
        <w:spacing w:before="120" w:after="120"/>
      </w:pPr>
      <w:r>
        <w:rPr>
          <w:sz w:val="18"/>
        </w:rPr>
        <w:t>——————————————————————————————————————————————————————————————————————</w:t>
      </w:r>
    </w:p>
    <w:p>
      <w:pPr>
        <w:spacing w:before="160" w:after="40" w:line="240" w:lineRule="auto"/>
      </w:pPr>
      <w:r>
        <w:rPr>
          <w:b/>
        </w:rPr>
        <w:t xml:space="preserve">[224] </w:t>
      </w:r>
      <w:hyperlink r:id="rId355">
        <w:r>
          <w:rPr>
            <w:color w:val="1155CC"/>
            <w:u w:val="single"/>
          </w:rPr>
          <w:t>呼吁所有科学家:支持你的伊朗同事</w:t>
        </w:r>
      </w:hyperlink>
    </w:p>
    <w:p>
      <w:pPr>
        <w:spacing w:before="0" w:after="80"/>
      </w:pPr>
      <w:r>
        <w:rPr>
          <w:i/>
          <w:sz w:val="20"/>
        </w:rPr>
        <w:t>EN: Calling all scientists: Support your Iranian colleagues</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[225] </w:t>
      </w:r>
      <w:hyperlink r:id="rId356">
        <w:r>
          <w:rPr>
            <w:color w:val="1155CC"/>
            <w:u w:val="single"/>
          </w:rPr>
          <w:t>普鲁斯蓝色模拟物离离子互缩的选择性机制</w:t>
        </w:r>
      </w:hyperlink>
    </w:p>
    <w:p>
      <w:pPr>
        <w:spacing w:before="0" w:after="80"/>
      </w:pPr>
      <w:r>
        <w:rPr>
          <w:i/>
          <w:sz w:val="20"/>
        </w:rPr>
        <w:t>EN: Selectivity mechanisms of ion intercalation in Prussian blue analogs</w:t>
      </w:r>
    </w:p>
    <w:p>
      <w:pPr>
        <w:spacing w:before="0" w:after="120"/>
      </w:pPr>
      <w:r>
        <w:rPr>
          <w:b/>
        </w:rPr>
        <w:t xml:space="preserve">Source: </w:t>
      </w:r>
      <w:r>
        <w:t>Matter</w:t>
      </w:r>
      <w:r>
        <w:t xml:space="preserve">    </w:t>
      </w:r>
      <w:r>
        <w:rPr>
          <w:b/>
        </w:rPr>
        <w:t xml:space="preserve">Pub date: </w:t>
      </w:r>
      <w:r>
        <w:t>2026-02-03 00:00:00+00:00</w:t>
      </w:r>
    </w:p>
    <w:p>
      <w:pPr>
        <w:spacing w:before="0" w:after="120"/>
      </w:pPr>
      <w:r>
        <w:rPr>
          <w:b/>
        </w:rPr>
        <w:t xml:space="preserve">Notes: </w:t>
      </w:r>
      <w:r>
        <w:t>abstract_source=rss_cell</w:t>
      </w:r>
    </w:p>
    <w:p>
      <w:pPr>
        <w:spacing w:before="0" w:after="80" w:lineRule="auto" w:line="276"/>
      </w:pPr>
      <w:r>
        <w:rPr>
          <w:b/>
        </w:rPr>
        <w:t xml:space="preserve">摘要（ZH）: </w:t>
      </w:r>
      <w:r>
        <w:t>Sun等人揭示了在使用六环乙酸铜作为模型的普鲁士蓝色类比(PBAs)中,离子选择性的机械来源,研究结果为识别和利用化学“手”以调节和增强关键元素分离的离子选择性提供了更深刻的理解。</w:t>
      </w:r>
    </w:p>
    <w:p>
      <w:pPr>
        <w:spacing w:before="0" w:after="200" w:lineRule="auto" w:line="276"/>
      </w:pPr>
      <w:r>
        <w:rPr>
          <w:b/>
        </w:rPr>
        <w:t xml:space="preserve">Abstract (EN): </w:t>
      </w:r>
      <w:r>
        <w:t>Sun et al. revealed the mechanistic origins of ion selectivity in Prussian blue analogs (PBAs) using copper hexacyanoferrate as a model. The findings offer deeper understanding for identifying and harnessing chemical “handles” to modulate and enhance ion selectivity for critical element separation.</w:t>
      </w:r>
    </w:p>
    <w:p>
      <w:pPr>
        <w:spacing w:before="120" w:after="120"/>
      </w:pPr>
      <w:r>
        <w:rPr>
          <w:sz w:val="18"/>
        </w:rPr>
        <w:t>——————————————————————————————————————————————————————————————————————</w:t>
      </w:r>
    </w:p>
    <w:p>
      <w:pPr>
        <w:spacing w:before="160" w:after="40" w:line="240" w:lineRule="auto"/>
      </w:pPr>
      <w:r>
        <w:rPr>
          <w:b/>
        </w:rPr>
        <w:t xml:space="preserve">[226] </w:t>
      </w:r>
      <w:hyperlink r:id="rId357">
        <w:r>
          <w:rPr>
            <w:color w:val="1155CC"/>
            <w:u w:val="single"/>
          </w:rPr>
          <w:t>古老的巫术史</w:t>
        </w:r>
      </w:hyperlink>
    </w:p>
    <w:p>
      <w:pPr>
        <w:spacing w:before="0" w:after="80"/>
      </w:pPr>
      <w:r>
        <w:rPr>
          <w:i/>
          <w:sz w:val="20"/>
        </w:rPr>
        <w:t>EN: A history of hocus pocus: witchcraft down the ages</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[227] </w:t>
      </w:r>
      <w:hyperlink r:id="rId358">
        <w:r>
          <w:rPr>
            <w:color w:val="1155CC"/>
            <w:u w:val="single"/>
          </w:rPr>
          <w:t>以水为基础的氨基酸结合,以促进可持续固态阶段化合成</w:t>
        </w:r>
      </w:hyperlink>
    </w:p>
    <w:p>
      <w:pPr>
        <w:spacing w:before="0" w:after="80"/>
      </w:pPr>
      <w:r>
        <w:rPr>
          <w:i/>
          <w:sz w:val="20"/>
        </w:rPr>
        <w:t>EN: Water-based coupling of amino acids for sustainable solid-phase peptide synthesis</w:t>
      </w:r>
    </w:p>
    <w:p>
      <w:pPr>
        <w:spacing w:before="0" w:after="120"/>
      </w:pPr>
      <w:r>
        <w:rPr>
          <w:b/>
        </w:rPr>
        <w:t xml:space="preserve">Source: </w:t>
      </w:r>
      <w:r>
        <w:t>Nature Sustainability</w:t>
      </w:r>
      <w:r>
        <w:t xml:space="preserve">    </w:t>
      </w:r>
      <w:r>
        <w:rPr>
          <w:b/>
        </w:rPr>
        <w:t xml:space="preserve">Pub date: </w:t>
      </w:r>
      <w:r>
        <w:t>2026-02-03 00:00:00+00:00</w:t>
      </w:r>
    </w:p>
    <w:p>
      <w:pPr>
        <w:spacing w:before="0" w:after="120"/>
      </w:pPr>
      <w:r>
        <w:rPr>
          <w:b/>
        </w:rPr>
        <w:t xml:space="preserve">Notes: </w:t>
      </w:r>
      <w:r>
        <w:t>abstract_source=nature_html</w:t>
      </w:r>
    </w:p>
    <w:p>
      <w:pPr>
        <w:spacing w:before="0" w:after="80" w:lineRule="auto" w:line="276"/>
      </w:pPr>
      <w:r>
        <w:rPr>
          <w:b/>
        </w:rPr>
        <w:t xml:space="preserve">摘要（ZH）: </w:t>
      </w:r>
      <w:r>
        <w:t>硫化物聚苯乙烯合成(SPPS)是形成潜在的临床、农业、兽医或化妆品应用中的结构功能研究的主要成份来源。尽管SPPS具有效率和可伸缩性,但会产生不可持续数量的有毒废物和不可降解的固体支持。由于目前对法规的修改实际上减少了溶剂的使用,因此迫切需要采用可持续的、以水为基础的合成方法。由于常用的Nα-Fmoc-氨基酸(SPPS的主要构件)的水溶性——SPPPS的主要构件——建立基于水的peptide合成协议是极具挑战性的。这里我们表明,例如N-甲基地态或N,N,N,N,N-三乙醇胺和Nα-Fmoc保护的氨酸的矿盐盐在高温点是水溶性的。</w:t>
      </w:r>
    </w:p>
    <w:p>
      <w:pPr>
        <w:spacing w:before="0" w:after="200" w:lineRule="auto" w:line="276"/>
      </w:pPr>
      <w:r>
        <w:rPr>
          <w:b/>
        </w:rPr>
        <w:t xml:space="preserve">Abstract (EN): </w:t>
      </w:r>
      <w:r>
        <w:t>Solid-phase peptide synthesis (SPPS) is a primary source of peptides for structure–function studies in development of potential clinical, agricultural, veterinary or cosmetic applications. Despite its efficiency and scalability, SPPS produces unsustainable volumes of toxic waste and non-degradable solid supports. With regulatory changes now in effect to reduce solvent use, there is a pressing need for sustainable, water-based synthesis methods. Due to the aqueous insolubility of the commonly employed Nα-Fmoc-amino acids—the primary building blocks in SPPS—establishing water-based peptide synthesis protocols is extremely challenging. Here we show that amine salts of, for example, N-methylmorpholine or N,N,N-triethanolamine and Nα-Fmoc protected amino acids are water soluble at high concentrations. Activation with a pre-formed water-soluble activating agent enables high quality SPPS on a hydrophilic and biodegradable poly-ε-lysine-based solid support in aqueous solution without characteristic side reactions. The presented methodology provides a simple avenue to sustainable, scalable water-based chemical synthesis of peptides.</w:t>
      </w:r>
    </w:p>
    <w:p>
      <w:pPr>
        <w:spacing w:before="120" w:after="120"/>
      </w:pPr>
      <w:r>
        <w:rPr>
          <w:sz w:val="18"/>
        </w:rPr>
        <w:t>——————————————————————————————————————————————————————————————————————</w:t>
      </w:r>
    </w:p>
    <w:p>
      <w:pPr>
        <w:spacing w:before="160" w:after="40" w:line="240" w:lineRule="auto"/>
      </w:pPr>
      <w:r>
        <w:rPr>
          <w:b/>
        </w:rPr>
        <w:t xml:space="preserve">[228] </w:t>
      </w:r>
      <w:hyperlink r:id="rId359">
        <w:r>
          <w:rPr>
            <w:color w:val="1155CC"/>
            <w:u w:val="single"/>
          </w:rPr>
          <w:t>赛跑到生态友好的铅化合成</w:t>
        </w:r>
      </w:hyperlink>
    </w:p>
    <w:p>
      <w:pPr>
        <w:spacing w:before="0" w:after="80"/>
      </w:pPr>
      <w:r>
        <w:rPr>
          <w:i/>
          <w:sz w:val="20"/>
        </w:rPr>
        <w:t>EN: Race out to eco-friendly peptide synthesis</w:t>
      </w:r>
    </w:p>
    <w:p>
      <w:pPr>
        <w:spacing w:before="0" w:after="120"/>
      </w:pPr>
      <w:r>
        <w:rPr>
          <w:b/>
        </w:rPr>
        <w:t xml:space="preserve">Source: </w:t>
      </w:r>
      <w:r>
        <w:t>Nature Sustainability</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[229] </w:t>
      </w:r>
      <w:hyperlink r:id="rId360">
        <w:r>
          <w:rPr>
            <w:color w:val="1155CC"/>
            <w:u w:val="single"/>
          </w:rPr>
          <w:t>氢能电解技术工程</w:t>
        </w:r>
      </w:hyperlink>
    </w:p>
    <w:p>
      <w:pPr>
        <w:spacing w:before="0" w:after="80"/>
      </w:pPr>
      <w:r>
        <w:rPr>
          <w:i/>
          <w:sz w:val="20"/>
        </w:rPr>
        <w:t>EN: Electrolyte engineering for hydrogen energy</w:t>
      </w:r>
    </w:p>
    <w:p>
      <w:pPr>
        <w:spacing w:before="0" w:after="120"/>
      </w:pPr>
      <w:r>
        <w:rPr>
          <w:b/>
        </w:rPr>
        <w:t xml:space="preserve">Source: </w:t>
      </w:r>
      <w:r>
        <w:t>Joule</w:t>
      </w:r>
      <w:r>
        <w:t xml:space="preserve">    </w:t>
      </w:r>
      <w:r>
        <w:rPr>
          <w:b/>
        </w:rPr>
        <w:t xml:space="preserve">Pub date: </w:t>
      </w:r>
      <w:r>
        <w:t>2026-02-03 00:00:00+00:00</w:t>
      </w:r>
    </w:p>
    <w:p>
      <w:pPr>
        <w:spacing w:before="0" w:after="120"/>
      </w:pPr>
      <w:r>
        <w:rPr>
          <w:b/>
        </w:rPr>
        <w:t xml:space="preserve">Notes: </w:t>
      </w:r>
      <w:r>
        <w:t>abstract_source=rss_cell</w:t>
      </w:r>
    </w:p>
    <w:p>
      <w:pPr>
        <w:spacing w:before="0" w:after="80" w:lineRule="auto" w:line="276"/>
      </w:pPr>
      <w:r>
        <w:rPr>
          <w:b/>
        </w:rPr>
        <w:t xml:space="preserve">摘要（ZH）: </w:t>
      </w:r>
      <w:r>
        <w:t>氢能研究的进展凸显了溶剂效应的关键作用,但溶剂效应的具体影响仍然非常复杂,缺乏全面理解。 这一视角凸显了电极-电极界面电解工程,认为这是提高反应效率、促进可持续氢生产以保持碳中和的关键方法。</w:t>
      </w:r>
    </w:p>
    <w:p>
      <w:pPr>
        <w:spacing w:before="0" w:after="200" w:lineRule="auto" w:line="276"/>
      </w:pPr>
      <w:r>
        <w:rPr>
          <w:b/>
        </w:rPr>
        <w:t xml:space="preserve">Abstract (EN): </w:t>
      </w:r>
      <w:r>
        <w:t>Advances in hydrogen energy research highlight the critical role of solvent effects, but their specific impacts remain highly complex and lack comprehensive understanding. This perspective underscores electrolyte engineering at the electrode-electrolyte interface as a key approach to boost reaction efficiency, enabling sustainable hydrogen production for carbon neutrality.</w:t>
      </w:r>
    </w:p>
    <w:p>
      <w:pPr>
        <w:spacing w:before="120" w:after="120"/>
      </w:pPr>
      <w:r>
        <w:rPr>
          <w:sz w:val="18"/>
        </w:rPr>
        <w:t>——————————————————————————————————————————————————————————————————————</w:t>
      </w:r>
    </w:p>
    <w:p>
      <w:pPr>
        <w:spacing w:before="160" w:after="40" w:line="240" w:lineRule="auto"/>
      </w:pPr>
      <w:r>
        <w:rPr>
          <w:b/>
        </w:rPr>
        <w:t xml:space="preserve">[230] </w:t>
      </w:r>
      <w:hyperlink r:id="rId361">
        <w:r>
          <w:rPr>
            <w:color w:val="1155CC"/>
            <w:u w:val="single"/>
          </w:rPr>
          <w:t>协同效应:从咖啡室到协调笼子</w:t>
        </w:r>
      </w:hyperlink>
    </w:p>
    <w:p>
      <w:pPr>
        <w:spacing w:before="0" w:after="80"/>
      </w:pPr>
      <w:r>
        <w:rPr>
          <w:i/>
          <w:sz w:val="20"/>
        </w:rPr>
        <w:t>EN: Synergistic effects: From the coffee room to coordination cages</w:t>
      </w:r>
    </w:p>
    <w:p>
      <w:pPr>
        <w:spacing w:before="0" w:after="120"/>
      </w:pPr>
      <w:r>
        <w:rPr>
          <w:b/>
        </w:rPr>
        <w:t xml:space="preserve">Source: </w:t>
      </w:r>
      <w:r>
        <w:t>Chem</w:t>
      </w:r>
      <w:r>
        <w:t xml:space="preserve">    </w:t>
      </w:r>
      <w:r>
        <w:rPr>
          <w:b/>
        </w:rPr>
        <w:t xml:space="preserve">Pub date: </w:t>
      </w:r>
      <w:r>
        <w:t>2026-02-03 00:00:00+00:00</w:t>
      </w:r>
    </w:p>
    <w:p>
      <w:pPr>
        <w:spacing w:before="0" w:after="120"/>
      </w:pPr>
      <w:r>
        <w:rPr>
          <w:b/>
        </w:rPr>
        <w:t xml:space="preserve">Notes: </w:t>
      </w:r>
      <w:r>
        <w:t>abstract_source=rss_cell</w:t>
      </w:r>
    </w:p>
    <w:p>
      <w:pPr>
        <w:spacing w:before="0" w:after="80" w:lineRule="auto" w:line="276"/>
      </w:pPr>
      <w:r>
        <w:rPr>
          <w:b/>
        </w:rPr>
        <w:t xml:space="preserve">摘要（ZH）: </w:t>
      </w:r>
      <w:r>
        <w:t>共享和对峙思想是科学进步的核心,使合作成为可以直接塑造分子结构的设计原则。 本着同样的精神,这里的多构件Pd(II)协调笼将手性螺旋藻与基于染色体的螺旋藻结合,以产生协同效应。 “相近的骨干互动”的使用引导综合自我分类形成低对称的等分光三角或假三角笼。 这些组合将结构复杂性转化成通过拉链到皮条和手力转移而发挥作用,如手工业光谱和对手艺客人的歧视所证明的那样。</w:t>
      </w:r>
    </w:p>
    <w:p>
      <w:pPr>
        <w:spacing w:before="0" w:after="200" w:lineRule="auto" w:line="276"/>
      </w:pPr>
      <w:r>
        <w:rPr>
          <w:b/>
        </w:rPr>
        <w:t xml:space="preserve">Abstract (EN): </w:t>
      </w:r>
      <w:r>
        <w:t>Sharing and confronting ideas is at the core of scientific progress, making collaboration a design principle that can directly shape molecular architectures. In the same spirit, here multicomponent Pd(II) coordination cages combine chiral ligands with chromophore-based ligands to create synergistic effects. The use of “adjacent backbone interactions” directs integrative self-sorting to form low-symmetry isosceles-triangle or pseudo-tetrahedral cages. These assemblies translate structural complexity into function via ligand-to-ligand chirality transfer, as evidenced by chiroptical spectroscopy, and discrimination of chiral guests.</w:t>
      </w:r>
    </w:p>
    <w:p>
      <w:pPr>
        <w:spacing w:before="120" w:after="120"/>
      </w:pPr>
      <w:r>
        <w:rPr>
          <w:sz w:val="18"/>
        </w:rPr>
        <w:t>——————————————————————————————————————————————————————————————————————</w:t>
      </w:r>
    </w:p>
    <w:p>
      <w:pPr>
        <w:spacing w:before="160" w:after="40" w:line="240" w:lineRule="auto"/>
      </w:pPr>
      <w:r>
        <w:rPr>
          <w:b/>
        </w:rPr>
        <w:t xml:space="preserve">[231] </w:t>
      </w:r>
      <w:hyperlink r:id="rId362">
        <w:r>
          <w:rPr>
            <w:color w:val="1155CC"/>
            <w:u w:val="single"/>
          </w:rPr>
          <w:t>塞蒂斯细胞的本体和笔录调节</w:t>
        </w:r>
      </w:hyperlink>
    </w:p>
    <w:p>
      <w:pPr>
        <w:spacing w:before="0" w:after="80"/>
      </w:pPr>
      <w:r>
        <w:rPr>
          <w:i/>
          <w:sz w:val="20"/>
        </w:rPr>
        <w:t>EN: Ontogeny and transcriptional regulation of Thetis cells</w:t>
      </w:r>
    </w:p>
    <w:p>
      <w:pPr>
        <w:spacing w:before="0" w:after="120"/>
      </w:pPr>
      <w:r>
        <w:rPr>
          <w:b/>
        </w:rPr>
        <w:t xml:space="preserve">Source: </w:t>
      </w:r>
      <w:r>
        <w:t>Nature</w:t>
      </w:r>
      <w:r>
        <w:t xml:space="preserve">    </w:t>
      </w:r>
      <w:r>
        <w:rPr>
          <w:b/>
        </w:rPr>
        <w:t xml:space="preserve">Pub date: </w:t>
      </w:r>
      <w:r>
        <w:t>2026-02-03 00:00:00+00:00</w:t>
      </w:r>
    </w:p>
    <w:p>
      <w:pPr>
        <w:spacing w:before="0" w:after="120"/>
      </w:pPr>
      <w:r>
        <w:rPr>
          <w:b/>
        </w:rPr>
        <w:t xml:space="preserve">Notes: </w:t>
      </w:r>
      <w:r>
        <w:t>abstract_source=nature_html</w:t>
      </w:r>
    </w:p>
    <w:p>
      <w:pPr>
        <w:spacing w:before="0" w:after="80" w:lineRule="auto" w:line="276"/>
      </w:pPr>
      <w:r>
        <w:rPr>
          <w:b/>
        </w:rPr>
        <w:t xml:space="preserve">摘要（ZH）: </w:t>
      </w:r>
      <w:r>
        <w:t>理论细胞(TCs)是最近确定的ROR-Qt+抗原呈现细胞的直系,由四个子组组成,包括一个耐力子集(TC IV),该子组指示对肠中微生物和食物抗原1-6的耐受性。 早期三联细胞的发育浪潮为建立肠道耐受性1.5创造了一个关键的机会之窗。 然而,计算其丰度和异质性的转基因和导线仍然不为人知,限制了利用其治疗潜力的努力。 在这里,我们确定了一组ROR-Qt+先生生物,称为Thetis-Lymphoid 质导发体(TLP),这组生物引发了直接的三联发先发体(TCP)和长发体(Lymphoid Tissu 孕素(LTIP),并确定了PU1为控制技术合作命运的转录系数。</w:t>
      </w:r>
    </w:p>
    <w:p>
      <w:pPr>
        <w:spacing w:before="0" w:after="200" w:lineRule="auto" w:line="276"/>
      </w:pPr>
      <w:r>
        <w:rPr>
          <w:b/>
        </w:rPr>
        <w:t xml:space="preserve">Abstract (EN): </w:t>
      </w:r>
      <w:r>
        <w:t>Thetis cells (TCs) are a recently identified lineage of RORγt+ antigen-presenting cells comprising four subsets including a tolerogenic subset, TC IV, that instructs tolerance to gut microbiota and food antigens1–6. A developmental wave of TCs during early life creates a critical window of opportunity for establishing intestinal tolerance1,5. Yet the ontogeny of TCs and the cues shaping their abundance and heterogeneity remain unknown, limiting efforts to harness their therapeutic potential. Here we identify a population of RORγt+ progenitors, termed Thetis-Lymphoid Tissue inducer progenitors (TLP), that give rise to the immediate TC progenitor (TCP) and the Lymphoid Tissue inducer progenitor (LTiP), and identify PU.1 as the transcription factor governing TC fate. Despite transcriptional similarity to myeloid-derived conventional dendritic cells (cDCs), we show that TCs descend from the common lymphoid progenitor (CLP). Deletion of the plasmacytoid DC (pDC) lineage-determining transcription factor TCF4 expands TLPs and TCs, suggesting a shared developmental branch with pDCs. TLPs are enriched in fetal liver; however, unlike LTi cells, TCs emerge postnatally, pointing to developmentally-timed environmental cues that promote TCP differentiation. We identify one such cue–RANKL provision by lymphoid tissue organizer cells–which is essential for TC I differentiation. Together, these findings define the ontogeny of TCs and the transcription factors that promote TC differentiation and heterogeneity, facilitating future investigations of these enigmatic cells and their therapeutic potential for tolerance induction in food allergy and autoimmunity.</w:t>
      </w:r>
    </w:p>
    <w:p>
      <w:pPr>
        <w:spacing w:before="120" w:after="120"/>
      </w:pPr>
      <w:r>
        <w:rPr>
          <w:sz w:val="18"/>
        </w:rPr>
        <w:t>——————————————————————————————————————————————————————————————————————</w:t>
      </w:r>
    </w:p>
    <w:p>
      <w:pPr>
        <w:spacing w:before="160" w:after="40" w:line="240" w:lineRule="auto"/>
      </w:pPr>
      <w:r>
        <w:rPr>
          <w:b/>
        </w:rPr>
        <w:t xml:space="preserve">[232] </w:t>
      </w:r>
      <w:hyperlink r:id="rId363">
        <w:r>
          <w:rPr>
            <w:color w:val="1155CC"/>
            <w:u w:val="single"/>
          </w:rPr>
          <w:t>“精神精神病学圣经”正在得到一个改写:您对下一个 DSM 的指南</w:t>
        </w:r>
      </w:hyperlink>
    </w:p>
    <w:p>
      <w:pPr>
        <w:spacing w:before="0" w:after="80"/>
      </w:pPr>
      <w:r>
        <w:rPr>
          <w:i/>
          <w:sz w:val="20"/>
        </w:rPr>
        <w:t>EN: The ‘bible for psychiatry’ is getting a rewrite: your guide to the next DSM</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[233] </w:t>
      </w:r>
      <w:hyperlink r:id="rId364">
        <w:r>
          <w:rPr>
            <w:color w:val="1155CC"/>
            <w:u w:val="single"/>
          </w:rPr>
          <w:t>学术顾问为谁服务?</w:t>
        </w:r>
      </w:hyperlink>
    </w:p>
    <w:p>
      <w:pPr>
        <w:spacing w:before="0" w:after="80"/>
      </w:pPr>
      <w:r>
        <w:rPr>
          <w:i/>
          <w:sz w:val="20"/>
        </w:rPr>
        <w:t>EN: Who does academic consulting serve?</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[234] </w:t>
      </w:r>
      <w:hyperlink r:id="rId365">
        <w:r>
          <w:rPr>
            <w:color w:val="1155CC"/>
            <w:u w:val="single"/>
          </w:rPr>
          <w:t>由光刺激硝酸盐推动的PCET 驱动的脱毒氧化</w:t>
        </w:r>
      </w:hyperlink>
    </w:p>
    <w:p>
      <w:pPr>
        <w:spacing w:before="0" w:after="80"/>
      </w:pPr>
      <w:r>
        <w:rPr>
          <w:i/>
          <w:sz w:val="20"/>
        </w:rPr>
        <w:t>EN: PCET-enabled decarboxylative oxygenation promoted by photoexcited nitroarenes</w:t>
      </w:r>
    </w:p>
    <w:p>
      <w:pPr>
        <w:spacing w:before="0" w:after="120"/>
      </w:pPr>
      <w:r>
        <w:rPr>
          <w:b/>
        </w:rPr>
        <w:t xml:space="preserve">Source: </w:t>
      </w:r>
      <w:r>
        <w:t>Chem</w:t>
      </w:r>
      <w:r>
        <w:t xml:space="preserve">    </w:t>
      </w:r>
      <w:r>
        <w:rPr>
          <w:b/>
        </w:rPr>
        <w:t xml:space="preserve">Pub date: </w:t>
      </w:r>
      <w:r>
        <w:t>2026-02-03 00:00:00+00:00</w:t>
      </w:r>
    </w:p>
    <w:p>
      <w:pPr>
        <w:spacing w:before="0" w:after="120"/>
      </w:pPr>
      <w:r>
        <w:rPr>
          <w:b/>
        </w:rPr>
        <w:t xml:space="preserve">Notes: </w:t>
      </w:r>
      <w:r>
        <w:t>abstract_source=rss_cell</w:t>
      </w:r>
    </w:p>
    <w:p>
      <w:pPr>
        <w:spacing w:before="0" w:after="80" w:lineRule="auto" w:line="276"/>
      </w:pPr>
      <w:r>
        <w:rPr>
          <w:b/>
        </w:rPr>
        <w:t xml:space="preserve">摘要（ZH）: </w:t>
      </w:r>
      <w:r>
        <w:t>Decarboxylective 氧化反应将大量的碳oxylic酸用于合成有用的氧化产品。 在这里,我们展示了一种对碳oxylic酸的实用性、经济性和厌氧性解毒性氧化法 — — 以光刺激硝酸为介质的中间介质的方法。 在可见光辐照下,商业上可获得的硝酸双氧能够直接对强大的碳oxylic O-H 键进行同解,并随后通过碳基基基转移氧原子。 机械实验,包括DFT 和碳-13同位素研究,阐明了关键的PCET进程,为这一强大的试剂级的未来效用打下基础。</w:t>
      </w:r>
    </w:p>
    <w:p>
      <w:pPr>
        <w:spacing w:before="0" w:after="200" w:lineRule="auto" w:line="276"/>
      </w:pPr>
      <w:r>
        <w:rPr>
          <w:b/>
        </w:rPr>
        <w:t xml:space="preserve">Abstract (EN): </w:t>
      </w:r>
      <w:r>
        <w:t>Decarboxylative oxygenation reactions leverage abundant carboxylic acids to synthesize useful oxygenated products. Herein, we present a photoexcited nitroarene-mediated approach for the practical, economical, and anaerobic decarboxylative oxygenation of carboxylic acids. Under visible-light irradiation, the commercially available nitroarene dually enables direct homolysis of strong carboxylic acid O–H bonds and subsequent oxygen atom transfer with the resulting alkyl radicals. Mechanistic experiments, including DFT and carbon-13 isotope studies, elucidate the key PCET process, laying the groundwork for the future utility of this powerful reagent class.</w:t>
      </w:r>
    </w:p>
    <w:p>
      <w:pPr>
        <w:spacing w:before="120" w:after="120"/>
      </w:pPr>
      <w:r>
        <w:rPr>
          <w:sz w:val="18"/>
        </w:rPr>
        <w:t>——————————————————————————————————————————————————————————————————————</w:t>
      </w:r>
    </w:p>
    <w:p>
      <w:pPr>
        <w:spacing w:before="160" w:after="40" w:line="240" w:lineRule="auto"/>
      </w:pPr>
      <w:r>
        <w:rPr>
          <w:b/>
        </w:rPr>
        <w:t xml:space="preserve">[235] </w:t>
      </w:r>
      <w:hyperlink r:id="rId366">
        <w:r>
          <w:rPr>
            <w:color w:val="1155CC"/>
            <w:u w:val="single"/>
          </w:rPr>
          <w:t>现在不是为人体胚胎组织研究减少资金的时候</w:t>
        </w:r>
      </w:hyperlink>
    </w:p>
    <w:p>
      <w:pPr>
        <w:spacing w:before="0" w:after="80"/>
      </w:pPr>
      <w:r>
        <w:rPr>
          <w:i/>
          <w:sz w:val="20"/>
        </w:rPr>
        <w:t>EN: Now is not the time to defund human fetal tissue research</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[236] </w:t>
      </w:r>
      <w:hyperlink r:id="rId367">
        <w:r>
          <w:rPr>
            <w:color w:val="1155CC"/>
            <w:u w:val="single"/>
          </w:rPr>
          <w:t>通过化学还原用电子充电分子纳米纳米体</w:t>
        </w:r>
      </w:hyperlink>
    </w:p>
    <w:p>
      <w:pPr>
        <w:spacing w:before="0" w:after="80"/>
      </w:pPr>
      <w:r>
        <w:rPr>
          <w:i/>
          <w:sz w:val="20"/>
        </w:rPr>
        <w:t>EN: Charging molecular nanographenes with electrons through chemical reduction</w:t>
      </w:r>
    </w:p>
    <w:p>
      <w:pPr>
        <w:spacing w:before="0" w:after="120"/>
      </w:pPr>
      <w:r>
        <w:rPr>
          <w:b/>
        </w:rPr>
        <w:t xml:space="preserve">Source: </w:t>
      </w:r>
      <w:r>
        <w:t>RSC - Chem. Soc. Rev. latest articles</w:t>
      </w:r>
      <w:r>
        <w:t xml:space="preserve">    </w:t>
      </w:r>
      <w:r>
        <w:rPr>
          <w:b/>
        </w:rPr>
        <w:t xml:space="preserve">Pub date: </w:t>
      </w:r>
      <w:r>
        <w:t>2026-02-03 00:00:00+00:00</w:t>
      </w:r>
    </w:p>
    <w:p>
      <w:pPr>
        <w:spacing w:before="0" w:after="120"/>
      </w:pPr>
      <w:r>
        <w:rPr>
          <w:b/>
        </w:rPr>
        <w:t xml:space="preserve">Notes: </w:t>
      </w:r>
      <w:r>
        <w:t>abstract_source=rsc_html</w:t>
      </w:r>
    </w:p>
    <w:p>
      <w:pPr>
        <w:spacing w:before="0" w:after="80" w:lineRule="auto" w:line="276"/>
      </w:pPr>
      <w:r>
        <w:rPr>
          <w:b/>
        </w:rPr>
        <w:t xml:space="preserve">摘要（ZH）: </w:t>
      </w:r>
      <w:r>
        <w:t>对具有不同核心尺寸和地形的分子纳米物进行化学减少研究,以发现其电子接受能力和负电荷积累的原始结果,对逐渐减少的纳米物进行X射线晶体学和光谱学分析,发现其多电子接受特性,加上最初依赖电荷的分化变化、独特的结构变异、特定地点的回动和超分子聚合。通过概述对分步递减的结构和电子反应,本审查的目的是促进对超充电分子纳米物及其用作先进能源储存材料的进一步研究。</w:t>
      </w:r>
    </w:p>
    <w:p>
      <w:pPr>
        <w:spacing w:before="0" w:after="200" w:lineRule="auto" w:line="276"/>
      </w:pPr>
      <w:r>
        <w:rPr>
          <w:b/>
        </w:rPr>
        <w:t xml:space="preserve">Abstract (EN): </w:t>
      </w:r>
      <w:r>
        <w:t>Chemical reduction studies of molecular nanographenes with different core dimensions and topologies are used to uncover their electron accepting abilities and original outcomes of the negative charge build-up. A combination of X-ray crystallographic and spectroscopic analysis of the gradually reduced nanographenes reveals their multi-electron accepting properties, coupled with original charge-dependent conformational changes, unique structural transformations, site-specific reactivity, and supramolecular aggregation. By providing an overview of structural and electronic responses to the stepwise reduction, this review aims to promote further studies of supercharged molecular nanographenes and their use as advanced energy-storage materials.</w:t>
      </w:r>
    </w:p>
    <w:p>
      <w:pPr>
        <w:spacing w:before="120" w:after="120"/>
      </w:pPr>
      <w:r>
        <w:rPr>
          <w:sz w:val="18"/>
        </w:rPr>
        <w:t>——————————————————————————————————————————————————————————————————————</w:t>
      </w:r>
    </w:p>
    <w:p>
      <w:pPr>
        <w:spacing w:before="160" w:after="40" w:line="240" w:lineRule="auto"/>
      </w:pPr>
      <w:r>
        <w:rPr>
          <w:b/>
        </w:rPr>
        <w:t xml:space="preserve">[237] </w:t>
      </w:r>
      <w:hyperlink r:id="rId368">
        <w:r>
          <w:rPr>
            <w:color w:val="1155CC"/>
            <w:u w:val="single"/>
          </w:rPr>
          <w:t>一种由河口驱动的双梯级水凝胶,用于稳定且可缩放的湿度能量收集,直至单模量100毫A输出</w:t>
        </w:r>
      </w:hyperlink>
    </w:p>
    <w:p>
      <w:pPr>
        <w:spacing w:before="0" w:after="80"/>
      </w:pPr>
      <w:r>
        <w:rPr>
          <w:i/>
          <w:sz w:val="20"/>
        </w:rPr>
        <w:t>EN: An estuarine-inspired dual-gradient hydrogel for stable and scalable moisture energy harvesting up to a single-module 100 mA output</w:t>
      </w:r>
    </w:p>
    <w:p>
      <w:pPr>
        <w:spacing w:before="0" w:after="120"/>
      </w:pPr>
      <w:r>
        <w:rPr>
          <w:b/>
        </w:rPr>
        <w:t xml:space="preserve">Source: </w:t>
      </w:r>
      <w:r>
        <w:t>RSC - Energy Environ. Sci. latest articles</w:t>
      </w:r>
      <w:r>
        <w:t xml:space="preserve">    </w:t>
      </w:r>
      <w:r>
        <w:rPr>
          <w:b/>
        </w:rPr>
        <w:t xml:space="preserve">Pub date: </w:t>
      </w:r>
      <w:r>
        <w:t>2026-02-03 00:00:00+00:00</w:t>
      </w:r>
    </w:p>
    <w:p>
      <w:pPr>
        <w:spacing w:before="0" w:after="120"/>
      </w:pPr>
      <w:r>
        <w:rPr>
          <w:b/>
        </w:rPr>
        <w:t xml:space="preserve">Notes: </w:t>
      </w:r>
      <w:r>
        <w:t>abstract_source=rsc_html</w:t>
      </w:r>
    </w:p>
    <w:p>
      <w:pPr>
        <w:spacing w:before="0" w:after="80" w:lineRule="auto" w:line="276"/>
      </w:pPr>
      <w:r>
        <w:rPr>
          <w:b/>
        </w:rPr>
        <w:t xml:space="preserve">摘要（ZH）: </w:t>
      </w:r>
      <w:r>
        <w:t>水分节能的采集具有持续发电的巨大潜力,然而其实际部署却受到水的内在不稳定性 — — 离子梯度的阻碍,导致快速性能退化和可缩缩水性有限。 在这里,我们展示了由不对称的碘水化化学驱动的双层水凝胶平台,为持续能源采集创造了持续水盐梯度。 该系统利用了独特的离子水分动力,其中液化层最大限度地实现了离子分和水吸附,而利2CO3层则通过中度离子结合稳定水含量。 水盐双层的双层梯度设计引发了恒温压力差异,使得水-离子迁移和连续电解。</w:t>
      </w:r>
    </w:p>
    <w:p>
      <w:pPr>
        <w:spacing w:before="0" w:after="200" w:lineRule="auto" w:line="276"/>
      </w:pPr>
      <w:r>
        <w:rPr>
          <w:b/>
        </w:rPr>
        <w:t xml:space="preserve">Abstract (EN): </w:t>
      </w:r>
      <w:r>
        <w:t>Moisture energy harvesting holds immense potential for sustained electricity generation, yet its practical deployment is hindered by the inherent instability of water–ion gradients, leading to rapid performance degradation and limited scalability. Here, we present a dual-layer hydrogel platform driven by asymmetric ionic hydration chemistries, creating persistent water–salt gradients for sustained energy harvesting. The system leverages distinct ionic hydration dynamics, where the LiCl layer maximizes ionic dissociation and water adsorption while the Li2CO3 layer stabilizes the water content through moderate ionic binding. This water–salt dual gradient design induces persistent osmotic pressure differentials, enabling synchronized water–ion migration and continuous ionic transport. Our platform shows a significant improvement in current density compared to conventional long-duration moisture energy generators (MEGs), achieving a peak current density of 96.4 µA cm−2 and a power density of 5.06 µW cm−2, while maintaining stable operation for over 500 h. Additionally, we introduce a highly scalable MEG platform, with an active surface area of 1000 cm2, enabling energy harvesting at scales previously unattainable. This work demonstrates a scalable and durable MEG platform capable of sustainable energy generation in diverse environments, paving the way for self-powered wearable electronics, environmental monitoring, and autonomous sensing technologies.</w:t>
      </w:r>
    </w:p>
    <w:p>
      <w:pPr>
        <w:spacing w:before="120" w:after="120"/>
      </w:pPr>
      <w:r>
        <w:rPr>
          <w:sz w:val="18"/>
        </w:rPr>
        <w:t>——————————————————————————————————————————————————————————————————————</w:t>
      </w:r>
    </w:p>
    <w:p>
      <w:pPr>
        <w:spacing w:before="160" w:after="40" w:line="240" w:lineRule="auto"/>
      </w:pPr>
      <w:r>
        <w:rPr>
          <w:b/>
        </w:rPr>
        <w:t xml:space="preserve">[238] </w:t>
      </w:r>
      <w:hyperlink r:id="rId369">
        <w:r>
          <w:rPr>
            <w:color w:val="1155CC"/>
            <w:u w:val="single"/>
          </w:rPr>
          <w:t>我知道科学无法改变世界,</w:t>
        </w:r>
      </w:hyperlink>
    </w:p>
    <w:p>
      <w:pPr>
        <w:spacing w:before="0" w:after="80"/>
      </w:pPr>
      <w:r>
        <w:rPr>
          <w:i/>
          <w:sz w:val="20"/>
        </w:rPr>
        <w:t>EN: I know science can’t fix the world — here’s why I do it anyway</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[239] </w:t>
      </w:r>
      <w:hyperlink r:id="rId370">
        <w:r>
          <w:rPr>
            <w:color w:val="1155CC"/>
            <w:u w:val="single"/>
          </w:rPr>
          <w:t>许多人没有心理形象。</w:t>
        </w:r>
      </w:hyperlink>
    </w:p>
    <w:p>
      <w:pPr>
        <w:spacing w:before="0" w:after="80"/>
      </w:pPr>
      <w:r>
        <w:rPr>
          <w:i/>
          <w:sz w:val="20"/>
        </w:rPr>
        <w:t>EN: Many people have no mental imagery. What’s going on in their brains?</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[240] </w:t>
      </w:r>
      <w:hyperlink r:id="rId371">
        <w:r>
          <w:rPr>
            <w:color w:val="1155CC"/>
            <w:u w:val="single"/>
          </w:rPr>
          <w:t>全球塑料条约是可以挽救的,</w:t>
        </w:r>
      </w:hyperlink>
    </w:p>
    <w:p>
      <w:pPr>
        <w:spacing w:before="0" w:after="80"/>
      </w:pPr>
      <w:r>
        <w:rPr>
          <w:i/>
          <w:sz w:val="20"/>
        </w:rPr>
        <w:t>EN: The global plastics treaty can be saved — here’s how to break the deadlock</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[241] </w:t>
      </w:r>
      <w:hyperlink r:id="rId372">
        <w:r>
          <w:rPr>
            <w:color w:val="1155CC"/>
            <w:u w:val="single"/>
          </w:rPr>
          <w:t>建立稳定、高效的百夫斯基 -- -- 有机连连体太阳能电池</w:t>
        </w:r>
      </w:hyperlink>
    </w:p>
    <w:p>
      <w:pPr>
        <w:spacing w:before="0" w:after="80"/>
      </w:pPr>
      <w:r>
        <w:rPr>
          <w:i/>
          <w:sz w:val="20"/>
        </w:rPr>
        <w:t>EN: Multidentate silane bridging for stable and efficient perovskite–organic tandem solar cells</w:t>
      </w:r>
    </w:p>
    <w:p>
      <w:pPr>
        <w:spacing w:before="0" w:after="120"/>
      </w:pPr>
      <w:r>
        <w:rPr>
          <w:b/>
        </w:rPr>
        <w:t xml:space="preserve">Source: </w:t>
      </w:r>
      <w:r>
        <w:t>RSC - Energy Environ. Sci. latest articles</w:t>
      </w:r>
      <w:r>
        <w:t xml:space="preserve">    </w:t>
      </w:r>
      <w:r>
        <w:rPr>
          <w:b/>
        </w:rPr>
        <w:t xml:space="preserve">Pub date: </w:t>
      </w:r>
      <w:r>
        <w:t>2026-02-03 00:00:00+00:00</w:t>
      </w:r>
    </w:p>
    <w:p>
      <w:pPr>
        <w:spacing w:before="0" w:after="120"/>
      </w:pPr>
      <w:r>
        <w:rPr>
          <w:b/>
        </w:rPr>
        <w:t xml:space="preserve">Notes: </w:t>
      </w:r>
      <w:r>
        <w:t>abstract_source=rsc_html</w:t>
      </w:r>
    </w:p>
    <w:p>
      <w:pPr>
        <w:spacing w:before="0" w:after="80" w:lineRule="auto" w:line="276"/>
      </w:pPr>
      <w:r>
        <w:rPr>
          <w:b/>
        </w:rPr>
        <w:t xml:space="preserve">摘要（ZH）: </w:t>
      </w:r>
      <w:r>
        <w:t>Perovskite — 有机协同太阳能电池(POTSCs)由于直接处理和可广泛调和,比其他以perovskite为基础的协作结构(POTSCs)有很大的优势。 然而,在宽带宽带宽的perovskite子电池中,干扰性能量紊乱和由此产生的不同光活性阶段极大地破坏了它们的长期稳定性。 在这里,我们制定了多位定位锚定战略,以建立一个定期的钝化阵列,该阵列与在perovskite表面的相交的 Pb2+ 协调, 以减少以空缺为中介的卤化物迁移。 含氟链的网络重组了内部电介质景观,极大地增加了百草枯/电子运输层界面的卤化物空缺的迁移活性屏障,</w:t>
      </w:r>
    </w:p>
    <w:p>
      <w:pPr>
        <w:spacing w:before="0" w:after="200" w:lineRule="auto" w:line="276"/>
      </w:pPr>
      <w:r>
        <w:rPr>
          <w:b/>
        </w:rPr>
        <w:t xml:space="preserve">Abstract (EN): </w:t>
      </w:r>
      <w:r>
        <w:t>Perovskite–organic tandem solar cells (POTSCs) offer significant advantages over other perovskite-based tandem architectures owing to their straightforward processing and broad tuneability. However, the interfacial energetics disorder and resulting heterogeneous photoactive phase in wide bandgap perovskite subcells significantly undermine their long-term stability. Here, we develop a multidentate anchoring-bridging strategy that establishes a periodic passivating array that coordinates with dangling Pb2+ on the perovskite surface to reduce vacancy-mediated halide migration. The network with fluorinated chains reconfigures the interfacial dielectric landscape, significantly increasing the migration activation barrier for halide vacancies at the perovskite/electron transport layer interface, suppressing ion migration and significantly enchancing longevity. Poly-FPTS-treated tandem devices delivered a power conversion efficiency (PCE) of 26.5%, with a high open-circuit voltage of 2.178 V. A steady-state certified efficiency of 25.1% was achieved in Japan Electrical Safety &amp; Environmental Technology Laboratories (JET), as reported in Solar Cell Efficiency Tables (version 65). Under continuous 1-sun illumination at the maximum power point (ISOS-L-1I protocol), these devices retained 92% of their initial efficiency after 1000 hours, and they exhibited an efficiency loss</w:t>
      </w:r>
    </w:p>
    <w:p>
      <w:pPr>
        <w:spacing w:before="120" w:after="120"/>
      </w:pPr>
      <w:r>
        <w:rPr>
          <w:sz w:val="18"/>
        </w:rPr>
        <w:t>——————————————————————————————————————————————————————————————————————</w:t>
      </w:r>
    </w:p>
    <w:p>
      <w:pPr>
        <w:spacing w:before="160" w:after="40" w:line="240" w:lineRule="auto"/>
      </w:pPr>
      <w:r>
        <w:rPr>
          <w:b/>
        </w:rPr>
        <w:t xml:space="preserve">[242] </w:t>
      </w:r>
      <w:hyperlink r:id="rId373">
        <w:r>
          <w:rPr>
            <w:color w:val="1155CC"/>
            <w:u w:val="single"/>
          </w:rPr>
          <w:t>大规模研究发现,三分之一以上的癌症病例是可以预防的</w:t>
        </w:r>
      </w:hyperlink>
    </w:p>
    <w:p>
      <w:pPr>
        <w:spacing w:before="0" w:after="80"/>
      </w:pPr>
      <w:r>
        <w:rPr>
          <w:i/>
          <w:sz w:val="20"/>
        </w:rPr>
        <w:t>EN: More than one-third of cancer cases are preventable, massive study finds</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[243] </w:t>
      </w:r>
      <w:hyperlink r:id="rId374">
        <w:r>
          <w:rPr>
            <w:color w:val="1155CC"/>
            <w:u w:val="single"/>
          </w:rPr>
          <w:t>校正:热带水越来越负,</w:t>
        </w:r>
      </w:hyperlink>
    </w:p>
    <w:p>
      <w:pPr>
        <w:spacing w:before="0" w:after="80"/>
      </w:pPr>
      <w:r>
        <w:rPr>
          <w:i/>
          <w:sz w:val="20"/>
        </w:rPr>
        <w:t>EN: Author Correction: Increasingly negative tropical water–interannual CO2 growth rate coupling</w:t>
      </w:r>
    </w:p>
    <w:p>
      <w:pPr>
        <w:spacing w:before="0" w:after="120"/>
      </w:pPr>
      <w:r>
        <w:rPr>
          <w:b/>
        </w:rPr>
        <w:t xml:space="preserve">Source: </w:t>
      </w:r>
      <w:r>
        <w:t>Nature</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[244] </w:t>
      </w:r>
      <w:hyperlink r:id="rId375">
        <w:r>
          <w:rPr>
            <w:color w:val="1155CC"/>
            <w:u w:val="single"/>
          </w:rPr>
          <w:t>快速对齐电子</w:t>
        </w:r>
      </w:hyperlink>
    </w:p>
    <w:p>
      <w:pPr>
        <w:spacing w:before="0" w:after="80"/>
      </w:pPr>
      <w:r>
        <w:rPr>
          <w:i/>
          <w:sz w:val="20"/>
        </w:rPr>
        <w:t>EN: Aligning electrons for speed</w:t>
      </w:r>
    </w:p>
    <w:p>
      <w:pPr>
        <w:spacing w:before="0" w:after="120"/>
      </w:pPr>
      <w:r>
        <w:rPr>
          <w:b/>
        </w:rPr>
        <w:t xml:space="preserve">Source: </w:t>
      </w:r>
      <w:r>
        <w:t>Nature Energy</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[245] </w:t>
      </w:r>
      <w:hyperlink r:id="rId376">
        <w:r>
          <w:rPr>
            <w:color w:val="1155CC"/>
            <w:u w:val="single"/>
          </w:rPr>
          <w:t>对硅阳极中由间阶段驱动的老龄化的机械理解</w:t>
        </w:r>
      </w:hyperlink>
    </w:p>
    <w:p>
      <w:pPr>
        <w:spacing w:before="0" w:after="80"/>
      </w:pPr>
      <w:r>
        <w:rPr>
          <w:i/>
          <w:sz w:val="20"/>
        </w:rPr>
        <w:t>EN: Mechanistic understanding of interphase-driven ageing in silicon anodes</w:t>
      </w:r>
    </w:p>
    <w:p>
      <w:pPr>
        <w:spacing w:before="0" w:after="120"/>
      </w:pPr>
      <w:r>
        <w:rPr>
          <w:b/>
        </w:rPr>
        <w:t xml:space="preserve">Source: </w:t>
      </w:r>
      <w:r>
        <w:t>Nature Energy</w:t>
      </w:r>
      <w:r>
        <w:t xml:space="preserve">    </w:t>
      </w:r>
      <w:r>
        <w:rPr>
          <w:b/>
        </w:rPr>
        <w:t xml:space="preserve">Pub date: </w:t>
      </w:r>
      <w:r>
        <w:t>2026-02-03 00:00:00+00:00</w:t>
      </w:r>
    </w:p>
    <w:p>
      <w:pPr>
        <w:spacing w:before="0" w:after="120"/>
      </w:pPr>
      <w:r>
        <w:rPr>
          <w:b/>
        </w:rPr>
        <w:t xml:space="preserve">Notes: </w:t>
      </w:r>
      <w:r>
        <w:t>abstract_source=nature_html</w:t>
      </w:r>
    </w:p>
    <w:p>
      <w:pPr>
        <w:spacing w:before="0" w:after="80" w:lineRule="auto" w:line="276"/>
      </w:pPr>
      <w:r>
        <w:rPr>
          <w:b/>
        </w:rPr>
        <w:t xml:space="preserve">摘要（ZH）: </w:t>
      </w:r>
      <w:r>
        <w:t>常规固态电解间链(SEIs)严格遵守微硅(μ-西)和体积变化下的裂缝,造成循环性能差。纳米硅可以改善循环性能,但是在日历寿命有限的情况下仍然昂贵。这里的电动老化测试表明,日历和周期老化都由SEI的裂变和解体管理,其相对贡献不同。当系统不是由SEI的解体主导时,Si阳极的相对日历寿命可以与它们的周期寿命发生积极的关系。因此,在微西中允许长周期寿命的富含LiF-SiSEI预计也会提高日历寿命。利用这个框架,我们筛选电解、SEI和电极,并用全细胞储存来验证它们。富含SEI的SEI可以最大限度地减少克里基。</w:t>
      </w:r>
    </w:p>
    <w:p>
      <w:pPr>
        <w:spacing w:before="0" w:after="200" w:lineRule="auto" w:line="276"/>
      </w:pPr>
      <w:r>
        <w:rPr>
          <w:b/>
        </w:rPr>
        <w:t xml:space="preserve">Abstract (EN): </w:t>
      </w:r>
      <w:r>
        <w:t>Conventional solid electrolyte interphases (SEIs) strongly adhere to micro-silicon (µ-Si) and crack under volume changes, causing poor cycling performance. Nano-silicon improves cycling performance but remains costly with limited calendar life. Here potentiostatic ageing tests demonstrate that both calendar and cycle ageing are governed by SEI cracking and dissolution with different relative contributions. When the system is not dominated by SEI dissolution, the relative calendar life of Si anodes could correlates positively with their cycle life. LiF-rich SEI that enables long cycle life in µ-Si is therefore expected to enhance calendar life as well. Using this framework, we screened electrolytes, SEIs and electrodes and validated them with full-cell storage. LiF-rich SEI minimizes cracking and dissolution, enabling μ-Si to achieve excellent calendar life, whereas nano-silicon suffers from SEI dissolution and needs reduced electrolyte–electrode contact for better calendar life. This work clarifies calendar-ageing behaviour and accelerates electrolytes and SEI development for long-life Si anodes.</w:t>
      </w:r>
    </w:p>
    <w:p>
      <w:pPr>
        <w:spacing w:before="120" w:after="120"/>
      </w:pPr>
      <w:r>
        <w:rPr>
          <w:sz w:val="18"/>
        </w:rPr>
        <w:t>——————————————————————————————————————————————————————————————————————</w:t>
      </w:r>
    </w:p>
    <w:p>
      <w:pPr>
        <w:spacing w:before="160" w:after="40" w:line="240" w:lineRule="auto"/>
      </w:pPr>
      <w:r>
        <w:rPr>
          <w:b/>
        </w:rPr>
        <w:t xml:space="preserve">[246] </w:t>
      </w:r>
      <w:hyperlink r:id="rId377">
        <w:r>
          <w:rPr>
            <w:color w:val="1155CC"/>
            <w:u w:val="single"/>
          </w:rPr>
          <w:t>一种材料-能源-碳碳流动方法,用以量化钢铁场地能源消耗和二氧化碳排放的变化</w:t>
        </w:r>
      </w:hyperlink>
    </w:p>
    <w:p>
      <w:pPr>
        <w:spacing w:before="0" w:after="80"/>
      </w:pPr>
      <w:r>
        <w:rPr>
          <w:i/>
          <w:sz w:val="20"/>
        </w:rPr>
        <w:t>EN: A coupled material-energy‑carbon flow method for quantifying changes in energy consumption and CO2 emissions of iron and steel sites</w:t>
      </w:r>
    </w:p>
    <w:p>
      <w:pPr>
        <w:spacing w:before="0" w:after="120"/>
      </w:pPr>
      <w:r>
        <w:rPr>
          <w:b/>
        </w:rPr>
        <w:t xml:space="preserve">Source: </w:t>
      </w:r>
      <w:r>
        <w:t>ScienceDirect Publication: Applied Energy</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[247] </w:t>
      </w:r>
      <w:hyperlink r:id="rId378">
        <w:r>
          <w:rPr>
            <w:color w:val="1155CC"/>
            <w:u w:val="single"/>
          </w:rPr>
          <w:t>全面审查将超级电容器纳入风力涡轮机的情况</w:t>
        </w:r>
      </w:hyperlink>
    </w:p>
    <w:p>
      <w:pPr>
        <w:spacing w:before="0" w:after="80"/>
      </w:pPr>
      <w:r>
        <w:rPr>
          <w:i/>
          <w:sz w:val="20"/>
        </w:rPr>
        <w:t>EN: A comprehensive review of Supercapacitor integration into wind turbines</w:t>
      </w:r>
    </w:p>
    <w:p>
      <w:pPr>
        <w:spacing w:before="0" w:after="120"/>
      </w:pPr>
      <w:r>
        <w:rPr>
          <w:b/>
        </w:rPr>
        <w:t xml:space="preserve">Source: </w:t>
      </w:r>
      <w:r>
        <w:t>ScienceDirect Publication: Applied Energy</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[248] </w:t>
      </w:r>
      <w:hyperlink r:id="rId379">
        <w:r>
          <w:rPr>
            <w:color w:val="1155CC"/>
            <w:u w:val="single"/>
          </w:rPr>
          <w:t>太阳能光光电池集电池能源储存技术的当前趋势和挑战:关键组成部分、方法和未来前景</w:t>
        </w:r>
      </w:hyperlink>
    </w:p>
    <w:p>
      <w:pPr>
        <w:spacing w:before="0" w:after="80"/>
      </w:pPr>
      <w:r>
        <w:rPr>
          <w:i/>
          <w:sz w:val="20"/>
        </w:rPr>
        <w:t>EN: Current trends and challenges in solar PV-integrated battery energy storage technology: Key components, methods, and future prospects</w:t>
      </w:r>
    </w:p>
    <w:p>
      <w:pPr>
        <w:spacing w:before="0" w:after="120"/>
      </w:pPr>
      <w:r>
        <w:rPr>
          <w:b/>
        </w:rPr>
        <w:t xml:space="preserve">Source: </w:t>
      </w:r>
      <w:r>
        <w:t>ScienceDirect Publication: Applied Energy</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[249] </w:t>
      </w:r>
      <w:hyperlink r:id="rId380">
        <w:r>
          <w:rPr>
            <w:color w:val="1155CC"/>
            <w:u w:val="single"/>
          </w:rPr>
          <w:t>抓住绿色氢的机会? 比较较晚国家工业转型战略</w:t>
        </w:r>
      </w:hyperlink>
    </w:p>
    <w:p>
      <w:pPr>
        <w:spacing w:before="0" w:after="80"/>
      </w:pPr>
      <w:r>
        <w:rPr>
          <w:i/>
          <w:sz w:val="20"/>
        </w:rPr>
        <w:t>EN: Seizing the green hydrogen opportunity? Comparing strategies for industrial transformation in latecomer countries</w:t>
      </w:r>
    </w:p>
    <w:p>
      <w:pPr>
        <w:spacing w:before="0" w:after="120"/>
      </w:pPr>
      <w:r>
        <w:rPr>
          <w:b/>
        </w:rPr>
        <w:t xml:space="preserve">Source: </w:t>
      </w:r>
      <w:r>
        <w:t>ScienceDirect Publication: Energy Policy</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[250] </w:t>
      </w:r>
      <w:hyperlink r:id="rId381">
        <w:r>
          <w:rPr>
            <w:color w:val="1155CC"/>
            <w:u w:val="single"/>
          </w:rPr>
          <w:t>在考虑多种操作条件的情况下,为在轨估计卫星锂离电池的健康状况而进行以不确定性为导向的协作学习</w:t>
        </w:r>
      </w:hyperlink>
    </w:p>
    <w:p>
      <w:pPr>
        <w:spacing w:before="0" w:after="80"/>
      </w:pPr>
      <w:r>
        <w:rPr>
          <w:i/>
          <w:sz w:val="20"/>
        </w:rPr>
        <w:t>EN: Uncertainty-oriented collaborative learning for on-orbit state-of-health estimation of satellite lithium-ion batteries considering multi-operating conditions</w:t>
      </w:r>
    </w:p>
    <w:p>
      <w:pPr>
        <w:spacing w:before="0" w:after="120"/>
      </w:pPr>
      <w:r>
        <w:rPr>
          <w:b/>
        </w:rPr>
        <w:t xml:space="preserve">Source: </w:t>
      </w:r>
      <w:r>
        <w:t>ScienceDirect Publication: Applied Energy</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[251] </w:t>
      </w:r>
      <w:hyperlink r:id="rId382">
        <w:r>
          <w:rPr>
            <w:color w:val="1155CC"/>
            <w:u w:val="single"/>
          </w:rPr>
          <w:t>口口可管理的氢基有机框架(HOF)基于纳米反应器,重新规划新陈代谢,以进行抗体干预</w:t>
        </w:r>
      </w:hyperlink>
    </w:p>
    <w:p>
      <w:pPr>
        <w:spacing w:before="0" w:after="80"/>
      </w:pPr>
      <w:r>
        <w:rPr>
          <w:i/>
          <w:sz w:val="20"/>
        </w:rPr>
        <w:t>EN: An orally administrable hydrogen-bonded organic framework (HOF)-based nanoreactor to reprogram metabolism for senescence intervention</w:t>
      </w:r>
    </w:p>
    <w:p>
      <w:pPr>
        <w:spacing w:before="0" w:after="120"/>
      </w:pPr>
      <w:r>
        <w:rPr>
          <w:b/>
        </w:rPr>
        <w:t xml:space="preserve">Source: </w:t>
      </w:r>
      <w:r>
        <w:t>National Science Review Advance Access</w:t>
      </w:r>
      <w:r>
        <w:t xml:space="preserve">    </w:t>
      </w:r>
      <w:r>
        <w:rPr>
          <w:b/>
        </w:rPr>
        <w:t xml:space="preserve">Pub date: </w:t>
      </w:r>
      <w:r>
        <w:t>2026-02-03 00:00:00+00:00</w:t>
      </w:r>
      <w:r>
        <w:t xml:space="preserve">    </w:t>
      </w:r>
      <w:r>
        <w:rPr>
          <w:b/>
        </w:rPr>
        <w:t xml:space="preserve">DOI: </w:t>
      </w:r>
      <w:hyperlink r:id="rId383">
        <w:r>
          <w:rPr>
            <w:color w:val="1155CC"/>
            <w:u w:val="single"/>
          </w:rPr>
          <w:t>10.1093/nsr/nwag074/8456377</w:t>
        </w:r>
      </w:hyperlink>
    </w:p>
    <w:p>
      <w:pPr>
        <w:spacing w:before="0" w:after="120"/>
      </w:pPr>
      <w:r>
        <w:rPr>
          <w:b/>
        </w:rPr>
        <w:t xml:space="preserve">Notes: </w:t>
      </w:r>
      <w:r>
        <w:t>abstract_source=rss_oup</w:t>
      </w:r>
    </w:p>
    <w:p>
      <w:pPr>
        <w:spacing w:before="0" w:after="80" w:lineRule="auto" w:line="276"/>
      </w:pPr>
      <w:r>
        <w:rPr>
          <w:b/>
        </w:rPr>
        <w:t xml:space="preserve">摘要（ZH）: </w:t>
      </w:r>
      <w:r>
        <w:t>由于功能衰减和对疾病的易感性增加,老龄化对健康构成重大挑战。与年龄有关的代谢性畸变调节提供了充满希望的治疗途径。然而,口服疗法的效力由于严酷胃肠道中活性物剂的降解而严重受阻。在这里,我们报告了一个口服可控氢瓶有机框架(HOF)基纳米反应器(MAO@NADH@NADH@PB@O-HOF@PEG),其目的是通过调节代谢途径来干预耐药性。HOF saffold展示了超酸性条件和沸水的特殊稳定性,为其包装的敏感货物提供了坚固的屏蔽,使其免受GI退化。这种保护使长期的现场保护得以进行。</w:t>
      </w:r>
    </w:p>
    <w:p>
      <w:pPr>
        <w:spacing w:before="0" w:after="200" w:lineRule="auto" w:line="276"/>
      </w:pPr>
      <w:r>
        <w:rPr>
          <w:b/>
        </w:rPr>
        <w:t xml:space="preserve">Abstract (EN): </w:t>
      </w:r>
      <w:r>
        <w:t>Aging poses significant health challenges due to functional decline and increased disease susceptibility. Modulating age-related metabolic dysregulation offers a promising therapeutic avenue. However, the efficacy of oral therapies is severely hampered by the degradation of active agents in the harsh gastrointestinal (GI) tract. Here, we report an orally administrable hydrogen-bonded organic framework (HOF)-based nanoreactor (MAO@NADH@PB@O-HOF@PEG) designed to intervene in senescence by modulating metabolic pathways. The HOF scaffold exhibits exceptional stability in ultra-acidic conditions and boiling water, providing a robust shield for its encapsulated delicate cargo from GI degradation. This protection enables prolonged in situ</w:t>
      </w:r>
    </w:p>
    <w:p>
      <w:pPr>
        <w:spacing w:before="120" w:after="120"/>
      </w:pPr>
      <w:r>
        <w:rPr>
          <w:sz w:val="18"/>
        </w:rPr>
        <w:t>——————————————————————————————————————————————————————————————————————</w:t>
      </w:r>
    </w:p>
    <w:p>
      <w:pPr>
        <w:spacing w:before="160" w:after="40" w:line="240" w:lineRule="auto"/>
      </w:pPr>
      <w:r>
        <w:rPr>
          <w:b/>
        </w:rPr>
        <w:t xml:space="preserve">[252] </w:t>
      </w:r>
      <w:hyperlink r:id="rId384">
        <w:r>
          <w:rPr>
            <w:color w:val="1155CC"/>
            <w:u w:val="single"/>
          </w:rPr>
          <w:t>社会嵌入如何影响农村屋顶太阳能光伏发电的采用意图:中国大规模行为研究的证据</w:t>
        </w:r>
      </w:hyperlink>
    </w:p>
    <w:p>
      <w:pPr>
        <w:spacing w:before="0" w:after="80"/>
      </w:pPr>
      <w:r>
        <w:rPr>
          <w:i/>
          <w:sz w:val="20"/>
        </w:rPr>
        <w:t>EN: How social embeddedness shapes rural rooftop solar photovoltaic adoption intention: Evidence from a large-scale behavioral study in China</w:t>
      </w:r>
    </w:p>
    <w:p>
      <w:pPr>
        <w:spacing w:before="0" w:after="120"/>
      </w:pPr>
      <w:r>
        <w:rPr>
          <w:b/>
        </w:rPr>
        <w:t xml:space="preserve">Source: </w:t>
      </w:r>
      <w:r>
        <w:t>ScienceDirect Publication: Energy Policy</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[253] </w:t>
      </w:r>
      <w:hyperlink r:id="rId385">
        <w:r>
          <w:rPr>
            <w:color w:val="1155CC"/>
            <w:u w:val="single"/>
          </w:rPr>
          <w:t>人工智能动态前沿</w:t>
        </w:r>
      </w:hyperlink>
    </w:p>
    <w:p>
      <w:pPr>
        <w:spacing w:before="0" w:after="80"/>
      </w:pPr>
      <w:r>
        <w:rPr>
          <w:i/>
          <w:sz w:val="20"/>
        </w:rPr>
        <w:t>EN: The dynamic frontier of artificial intelligence</w:t>
      </w:r>
    </w:p>
    <w:p>
      <w:pPr>
        <w:spacing w:before="0" w:after="120"/>
      </w:pPr>
      <w:r>
        <w:rPr>
          <w:b/>
        </w:rPr>
        <w:t xml:space="preserve">Source: </w:t>
      </w:r>
      <w:r>
        <w:t>Nature Materials</w:t>
      </w:r>
      <w:r>
        <w:t xml:space="preserve">    </w:t>
      </w:r>
      <w:r>
        <w:rPr>
          <w:b/>
        </w:rPr>
        <w:t xml:space="preserve">Pub date: </w:t>
      </w:r>
      <w:r>
        <w:t>2026-02-03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386">
        <w:r>
          <w:rPr>
            <w:color w:val="1155CC"/>
            <w:u w:val="single"/>
          </w:rPr>
          <w:t>重力为王室:在Zero-Gap电解器中,王室以电动方式对钴Porphyrin CO2进行冷却</w:t>
        </w:r>
      </w:hyperlink>
    </w:p>
    <w:p>
      <w:pPr>
        <w:spacing w:before="0" w:after="80"/>
      </w:pPr>
      <w:r>
        <w:rPr>
          <w:i/>
          <w:sz w:val="20"/>
        </w:rPr>
        <w:t>EN: Heavy is the Crown: Crown Ether Modulation of Cobalt Porphyrin CO2 Electroreduction in Zero‐Gap Electrolyzers</w:t>
      </w:r>
    </w:p>
    <w:p>
      <w:pPr>
        <w:spacing w:before="0" w:after="120"/>
      </w:pPr>
      <w:r>
        <w:rPr>
          <w:b/>
        </w:rPr>
        <w:t xml:space="preserve">Source: </w:t>
      </w:r>
      <w:r>
        <w:t>Wiley: Angewandte Chemie International Edition: Table of Contents</w:t>
      </w:r>
      <w:r>
        <w:t xml:space="preserve">    </w:t>
      </w:r>
      <w:r>
        <w:rPr>
          <w:b/>
        </w:rPr>
        <w:t xml:space="preserve">Pub date: </w:t>
      </w:r>
      <w:r>
        <w:t>2026-02-03 05:10:14+00:00</w:t>
      </w:r>
      <w:r>
        <w:t xml:space="preserve">    </w:t>
      </w:r>
      <w:r>
        <w:rPr>
          <w:b/>
        </w:rPr>
        <w:t xml:space="preserve">DOI: </w:t>
      </w:r>
      <w:hyperlink r:id="rId387">
        <w:r>
          <w:rPr>
            <w:color w:val="1155CC"/>
            <w:u w:val="single"/>
          </w:rPr>
          <w:t>10.1002/anie.202525189</w:t>
        </w:r>
      </w:hyperlink>
    </w:p>
    <w:p>
      <w:pPr>
        <w:spacing w:before="0" w:after="120"/>
      </w:pPr>
      <w:r>
        <w:rPr>
          <w:b/>
        </w:rPr>
        <w:t xml:space="preserve">Notes: </w:t>
      </w:r>
      <w:r>
        <w:t>abstract_source=crossref</w:t>
      </w:r>
    </w:p>
    <w:p>
      <w:pPr>
        <w:spacing w:before="0" w:after="80" w:lineRule="auto" w:line="276"/>
      </w:pPr>
      <w:r>
        <w:rPr>
          <w:b/>
        </w:rPr>
        <w:t xml:space="preserve">摘要（ZH）: </w:t>
      </w:r>
      <w:r>
        <w:t>自几十年以来,对金属卤素进行了研究,以催化电化化学CO2减量(eCO 2 R),最近的研究重点是固定的复合复合体,目的是实现多种可缩缩放的催化,然而,在工业相关零gap型电解器电池(ZGEs)中的应用报告特别少见。我们在这里介绍四种新颖的碳酸(CE)替代钴碳蜡剂的合成情况,以受益于当地氯化浓度的增加。经过电子化学特性鉴定之后,所有催化剂都在ZGEs中进行了测试。在实验室规模条件下进行的实验(100 mA/cm 2)</w:t>
      </w:r>
    </w:p>
    <w:p>
      <w:pPr>
        <w:spacing w:before="0" w:after="200" w:lineRule="auto" w:line="276"/>
      </w:pPr>
      <w:r>
        <w:rPr>
          <w:b/>
        </w:rPr>
        <w:t xml:space="preserve">Abstract (EN): </w:t>
      </w:r>
      <w:r>
        <w:t>Since decades, metalloporphyrins have been studied to catalyze the electrochemical CO</w:t>
      </w:r>
      <w:r>
        <w:rPr>
          <w:vertAlign w:val="subscript"/>
        </w:rPr>
        <w:t>2</w:t>
      </w:r>
      <w:r>
        <w:t>reduction (eCO</w:t>
      </w:r>
      <w:r>
        <w:rPr>
          <w:vertAlign w:val="subscript"/>
        </w:rPr>
        <w:t>2</w:t>
      </w:r>
      <w:r>
        <w:t>R) with the most recent studies focusing on immobilized complexes aiming for heterogeneous, scalable catalysis. However, reports for the application in industrially relevant zero‐gap type electrolyzer cells (ZGEs) are especially rare. Herein we present the synthesis of four novel crown ether (CE) substituted cobalt porphyrins to benefit from an increased local cation concentration. Following their electrochemical characterization all catalysts have been tested in ZGEs. Experiments under laboratory‐scale conditions (≤100 mA/cm</w:t>
      </w:r>
      <w:r>
        <w:rPr>
          <w:vertAlign w:val="subscript"/>
        </w:rPr>
        <w:t>2</w:t>
      </w:r>
      <w:r>
        <w:t>) revealed that the positioning of the CE influences the catalytic performance in terms of Faradaic Efficiency for CO (FE</w:t>
      </w:r>
      <w:r>
        <w:t xml:space="preserve"> </w:t>
      </w:r>
      <w:r>
        <w:t>CO</w:t>
      </w:r>
      <w:r>
        <w:t xml:space="preserve"> </w:t>
      </w:r>
      <w:r>
        <w:t>) as well as cell voltage. A maximum selectivity for CO of 96% at 100 mA/cm</w:t>
      </w:r>
      <w:r>
        <w:rPr>
          <w:vertAlign w:val="subscript"/>
        </w:rPr>
        <w:t>2</w:t>
      </w:r>
      <w:r>
        <w:t>is reached, ranking the</w:t>
      </w:r>
      <w:r>
        <w:t xml:space="preserve"> </w:t>
      </w:r>
      <w:r>
        <w:t>ortho</w:t>
      </w:r>
      <w:r>
        <w:t xml:space="preserve"> </w:t>
      </w:r>
      <w:r>
        <w:t>substituted complex among the best state of the art systems. Post‐mortem analysis of the prepared electrodes proved that the introduction of CEs enhances the complex stability significantly. At higher current densities (≤500 mA/cm</w:t>
      </w:r>
      <w:r>
        <w:rPr>
          <w:vertAlign w:val="subscript"/>
        </w:rPr>
        <w:t>2</w:t>
      </w:r>
      <w:r>
        <w:t>) the positioning of the CEs is less impactful. Instead, the type and concentration of cations in the reactor play a dominant role determining reaction performance, achieving up to 43% FE</w:t>
      </w:r>
      <w:r>
        <w:t xml:space="preserve"> </w:t>
      </w:r>
      <w:r>
        <w:t>CO</w:t>
      </w:r>
      <w:r>
        <w:t xml:space="preserve"> </w:t>
      </w:r>
      <w:r>
        <w:t>at 300 mA/cm</w:t>
      </w:r>
      <w:r>
        <w:rPr>
          <w:vertAlign w:val="subscript"/>
        </w:rPr>
        <w:t>2</w:t>
      </w:r>
      <w:r>
        <w:t>with a high potassium concentration.</w:t>
      </w:r>
    </w:p>
    <w:p>
      <w:pPr>
        <w:spacing w:before="120" w:after="120"/>
      </w:pPr>
      <w:r>
        <w:rPr>
          <w:sz w:val="18"/>
        </w:rPr>
        <w:t>——————————————————————————————————————————————————————————————————————</w:t>
      </w:r>
    </w:p>
    <w:p>
      <w:pPr>
        <w:spacing w:before="160" w:after="40" w:line="240" w:lineRule="auto"/>
      </w:pPr>
      <w:r>
        <w:rPr>
          <w:b/>
        </w:rPr>
        <w:t xml:space="preserve">[255] </w:t>
      </w:r>
      <w:hyperlink r:id="rId388">
        <w:r>
          <w:rPr>
            <w:color w:val="1155CC"/>
            <w:u w:val="single"/>
          </w:rPr>
          <w:t>自我修正的纳米医学能够使流生虫块状体进入亚丁氨基氨基氨基氨基氨基氨基氨基氨基氨基氨基氨基氨基氨基氨基氨基氨基氨基氨基氨基氨基氨基氨基氨基氨基氨基氨基氨基氨基氨基氨基氨基氨基氨基氨基氨基氨基氨基氨基氨基氨基氨基氨基氨基氨基氨基氨基氨基氨基氨基氨基氨基氨基氨基氨基氨</w:t>
        </w:r>
      </w:hyperlink>
    </w:p>
    <w:p>
      <w:pPr>
        <w:spacing w:before="0" w:after="80"/>
      </w:pPr>
      <w:r>
        <w:rPr>
          <w:i/>
          <w:sz w:val="20"/>
        </w:rPr>
        <w:t>EN: Self‐Amplified Nanomedicine Enables Lysosomal Blockade to Potentiate Starvation Therapy of Pancreatic Ductal Adenocarcinoma</w:t>
      </w:r>
    </w:p>
    <w:p>
      <w:pPr>
        <w:spacing w:before="0" w:after="120"/>
      </w:pPr>
      <w:r>
        <w:rPr>
          <w:b/>
        </w:rPr>
        <w:t xml:space="preserve">Source: </w:t>
      </w:r>
      <w:r>
        <w:t>Wiley: Advanced Materials: Table of Contents</w:t>
      </w:r>
      <w:r>
        <w:t xml:space="preserve">    </w:t>
      </w:r>
      <w:r>
        <w:rPr>
          <w:b/>
        </w:rPr>
        <w:t xml:space="preserve">Pub date: </w:t>
      </w:r>
      <w:r>
        <w:t>2026-02-03 05:11:43+00:00</w:t>
      </w:r>
      <w:r>
        <w:t xml:space="preserve">    </w:t>
      </w:r>
      <w:r>
        <w:rPr>
          <w:b/>
        </w:rPr>
        <w:t xml:space="preserve">DOI: </w:t>
      </w:r>
      <w:hyperlink r:id="rId389">
        <w:r>
          <w:rPr>
            <w:color w:val="1155CC"/>
            <w:u w:val="single"/>
          </w:rPr>
          <w:t>10.1002/adma.202519523</w:t>
        </w:r>
      </w:hyperlink>
    </w:p>
    <w:p>
      <w:pPr>
        <w:spacing w:before="0" w:after="120"/>
      </w:pPr>
      <w:r>
        <w:rPr>
          <w:b/>
        </w:rPr>
        <w:t xml:space="preserve">Notes: </w:t>
      </w:r>
      <w:r>
        <w:t>abstract_source=crossref</w:t>
      </w:r>
    </w:p>
    <w:p>
      <w:pPr>
        <w:spacing w:before="0" w:after="80" w:lineRule="auto" w:line="276"/>
      </w:pPr>
      <w:r>
        <w:rPr>
          <w:b/>
        </w:rPr>
        <w:t xml:space="preserve">摘要（ZH）: </w:t>
      </w:r>
      <w:r>
        <w:t>为打破这种代谢适应性,我们在此设计一种单一的、可导致低氧反应的连锁药物释放和强化肿瘤积累的双氧纳米医学。因此,纳米医学产生了一种低氧诱发的阶段过渡,首先释放了葡萄糖氧化酶,以强化缺氧,随后又触发了叶绿素的爆发释放。这种自我强化的中继药物释放的设计确保了有效的饥荒诱发和精确的碱性碱化。</w:t>
      </w:r>
    </w:p>
    <w:p>
      <w:pPr>
        <w:spacing w:before="0" w:after="200" w:lineRule="auto" w:line="276"/>
      </w:pPr>
      <w:r>
        <w:rPr>
          <w:b/>
        </w:rPr>
        <w:t xml:space="preserve">Abstract (EN): </w:t>
      </w:r>
      <w:r>
        <w:t>Starvation therapy targeting the metabolic vulnerability of pancreatic ductal adenocarcinoma (PDAC) holds great potential; however, analyses of clinical samples and orthotopic models reveal that its efficacy is undermined by lysosome‐mediated metabolic compensation. To disrupt this metabolic adaptability, we herein engineer a homotypic membrane‐camouflaged nanomedicine capable of hypoxia‐responsive cascade drug release and enhanced tumor accumulation. The resulting nanomedicine performs a hypoxia‐induced phase transition that first liberates glucose oxidase to intensify oxygen deprivation and subsequently triggers burst release of chloroquine. Such a design of self‐amplified relay drug release ensures effective starvation induction and precise lysosomal alkalization, thereby shutting down lysosome‐mediated nutrient recycling. In a xenograft orthotopic PDAC model, this nanomedicine achieves 9.75‐fold increase in tumor accumulation, robust tumor inhibition of 92.8%, and an elevated survival rate of 80% with favorable biosafety. Collectively, our findings highlight lysosomal disruption as a therapeutic lever to potentiate starvation therapy and provide a clinically actionable nanoplatform to enhance metabolic interventions for other metabolically vulnerable malignancies.</w:t>
      </w:r>
    </w:p>
    <w:p>
      <w:pPr>
        <w:spacing w:before="120" w:after="120"/>
      </w:pPr>
      <w:r>
        <w:rPr>
          <w:sz w:val="18"/>
        </w:rPr>
        <w:t>——————————————————————————————————————————————————————————————————————</w:t>
      </w:r>
    </w:p>
    <w:p>
      <w:pPr>
        <w:spacing w:before="160" w:after="40" w:line="240" w:lineRule="auto"/>
      </w:pPr>
      <w:r>
        <w:rPr>
          <w:b/>
        </w:rPr>
        <w:t xml:space="preserve">[256] </w:t>
      </w:r>
      <w:hyperlink r:id="rId390">
        <w:r>
          <w:rPr>
            <w:color w:val="1155CC"/>
            <w:u w:val="single"/>
          </w:rPr>
          <w:t>在Al-Solid国家锂电池中高压三相相相相交界面对硫硫进行方向催化</w:t>
        </w:r>
      </w:hyperlink>
    </w:p>
    <w:p>
      <w:pPr>
        <w:spacing w:before="0" w:after="80"/>
      </w:pPr>
      <w:r>
        <w:rPr>
          <w:i/>
          <w:sz w:val="20"/>
        </w:rPr>
        <w:t>EN: Directional Catalysis of Sulfur at Highly Ordered Triple‐Phase Interfaces in All‐Solid‐State Lithium‐Sulfur Batteries</w:t>
      </w:r>
    </w:p>
    <w:p>
      <w:pPr>
        <w:spacing w:before="0" w:after="120"/>
      </w:pPr>
      <w:r>
        <w:rPr>
          <w:b/>
        </w:rPr>
        <w:t xml:space="preserve">Source: </w:t>
      </w:r>
      <w:r>
        <w:t>Wiley: Advanced Materials: Table of Contents</w:t>
      </w:r>
      <w:r>
        <w:t xml:space="preserve">    </w:t>
      </w:r>
      <w:r>
        <w:rPr>
          <w:b/>
        </w:rPr>
        <w:t xml:space="preserve">Pub date: </w:t>
      </w:r>
      <w:r>
        <w:t>2026-02-03 05:13:38+00:00</w:t>
      </w:r>
      <w:r>
        <w:t xml:space="preserve">    </w:t>
      </w:r>
      <w:r>
        <w:rPr>
          <w:b/>
        </w:rPr>
        <w:t xml:space="preserve">DOI: </w:t>
      </w:r>
      <w:hyperlink r:id="rId391">
        <w:r>
          <w:rPr>
            <w:color w:val="1155CC"/>
            <w:u w:val="single"/>
          </w:rPr>
          <w:t>10.1002/adma.202522483</w:t>
        </w:r>
      </w:hyperlink>
    </w:p>
    <w:p>
      <w:pPr>
        <w:spacing w:before="0" w:after="120"/>
      </w:pPr>
      <w:r>
        <w:rPr>
          <w:b/>
        </w:rPr>
        <w:t xml:space="preserve">Notes: </w:t>
      </w:r>
      <w:r>
        <w:t>abstract_source=crossref</w:t>
      </w:r>
    </w:p>
    <w:p>
      <w:pPr>
        <w:spacing w:before="0" w:after="80" w:lineRule="auto" w:line="276"/>
      </w:pPr>
      <w:r>
        <w:rPr>
          <w:b/>
        </w:rPr>
        <w:t xml:space="preserve">摘要（ZH）: </w:t>
      </w:r>
      <w:r>
        <w:t>ABSTACT Sluggish硫磺反应动力学是实际应用基于全固态锂硫化硫硫化电池(SE)的关键障碍。实现高性能既需要降低硫化转化的内在能源屏障,也需要工程高效的运输途径。在这里,我们通过在碳纳米管上设计原子散散散的钴碳纳米管点,以定向催化三相界面的硫化转化,来应对这些挑战。C3d和S3p州之间强有力的轨道混合加强了化学结合,有效地加快了硫化物的减少和锂硫化物氧化。</w:t>
      </w:r>
    </w:p>
    <w:p>
      <w:pPr>
        <w:spacing w:before="0" w:after="200" w:lineRule="auto" w:line="276"/>
      </w:pPr>
      <w:r>
        <w:rPr>
          <w:b/>
        </w:rPr>
        <w:t xml:space="preserve">Abstract (EN): </w:t>
      </w:r>
      <w:r>
        <w:t>Sluggish sulfur reaction kinetics present a critical barrier to the practical application of sulfide‐electrolyte (SE) based all‐solid‐state lithium‐sulfur batteries (ASSLSBs). Achieving high performance requires both lowering the intrinsic energy barrier for sulfur conversion and engineering efficient transport pathways. Herein, we address these challenges by designing atomically dispersed cobalt sites on carbon nanotubes to directionally catalyze sulfur conversion at the triple phase interface. Strong orbital hybridization between Co 3d and S 3p states strengthens chemical bonding, effectively accelerating both sulfur reduction and lithium sulfide oxidation. The interfaces tailored for directional catalysis maximize highly ordered C/S/SE triple‐phase interfaces and minimize SE/C interfaces, establishing hierarchical ionic/electronic transport networks while mitigating side reactions. Consequently, the engineered cathode delivers a high reversible capacity of 1108 mAh g</w:t>
      </w:r>
      <w:r>
        <w:t xml:space="preserve"> </w:t>
      </w:r>
      <w:r>
        <w:t>−</w:t>
      </w:r>
      <w:r>
        <w:rPr>
          <w:vertAlign w:val="subscript"/>
        </w:rPr>
        <w:t>1</w:t>
      </w:r>
      <w:r>
        <w:t>at 0.5 C, retaining 97 % capacity over 500 cycles. The resulting batteries also demonstrate remarkable robustness under demanding conditions. This work offers a powerful catalysis‐driven strategy for high‐performance ASSLSBs.</w:t>
      </w:r>
    </w:p>
    <w:p>
      <w:pPr>
        <w:spacing w:before="120" w:after="120"/>
      </w:pPr>
      <w:r>
        <w:rPr>
          <w:sz w:val="18"/>
        </w:rPr>
        <w:t>——————————————————————————————————————————————————————————————————————</w:t>
      </w:r>
    </w:p>
    <w:p>
      <w:pPr>
        <w:spacing w:before="160" w:after="40" w:line="240" w:lineRule="auto"/>
      </w:pPr>
      <w:r>
        <w:rPr>
          <w:b/>
        </w:rPr>
        <w:t xml:space="preserve">[257] </w:t>
      </w:r>
      <w:hyperlink r:id="rId392">
        <w:r>
          <w:rPr>
            <w:color w:val="1155CC"/>
            <w:u w:val="single"/>
          </w:rPr>
          <w:t>Au/tiO2Vti纳米元件通过推动H2O分离和CO质子使选择性CO2%to CH4 减少照片</w:t>
        </w:r>
      </w:hyperlink>
    </w:p>
    <w:p>
      <w:pPr>
        <w:spacing w:before="0" w:after="80"/>
      </w:pPr>
      <w:r>
        <w:rPr>
          <w:i/>
          <w:sz w:val="20"/>
        </w:rPr>
        <w:t>EN: Selective CO2‐to‐CH4 Photoreduction Enabled by Au/TiO2‐VTi Nanosheets via Boosting H2O Dissociation and CO Protonation</w:t>
      </w:r>
    </w:p>
    <w:p>
      <w:pPr>
        <w:spacing w:before="0" w:after="120"/>
      </w:pPr>
      <w:r>
        <w:rPr>
          <w:b/>
        </w:rPr>
        <w:t xml:space="preserve">Source: </w:t>
      </w:r>
      <w:r>
        <w:t>Wiley: Advanced Energy Materials: Table of Contents</w:t>
      </w:r>
      <w:r>
        <w:t xml:space="preserve">    </w:t>
      </w:r>
      <w:r>
        <w:rPr>
          <w:b/>
        </w:rPr>
        <w:t xml:space="preserve">Pub date: </w:t>
      </w:r>
      <w:r>
        <w:t>2026-02-03 05:19:51+00:00</w:t>
      </w:r>
      <w:r>
        <w:t xml:space="preserve">    </w:t>
      </w:r>
      <w:r>
        <w:rPr>
          <w:b/>
        </w:rPr>
        <w:t xml:space="preserve">DOI: </w:t>
      </w:r>
      <w:hyperlink r:id="rId393">
        <w:r>
          <w:rPr>
            <w:color w:val="1155CC"/>
            <w:u w:val="single"/>
          </w:rPr>
          <w:t>10.1002/aenm.202506793</w:t>
        </w:r>
      </w:hyperlink>
    </w:p>
    <w:p>
      <w:pPr>
        <w:spacing w:before="0" w:after="120"/>
      </w:pPr>
      <w:r>
        <w:rPr>
          <w:b/>
        </w:rPr>
        <w:t xml:space="preserve">Notes: </w:t>
      </w:r>
      <w:r>
        <w:t>abstract_source=crossref</w:t>
      </w:r>
    </w:p>
    <w:p>
      <w:pPr>
        <w:spacing w:before="0" w:after="80" w:lineRule="auto" w:line="276"/>
      </w:pPr>
      <w:r>
        <w:rPr>
          <w:b/>
        </w:rPr>
        <w:t xml:space="preserve">摘要（ZH）: </w:t>
      </w:r>
      <w:r>
        <w:t>ABSTACT 光化催化光化CO2摄氏度受到两个相互交织的瓶颈的根本性制约:H2 O分解的质子生成效率低下,以及关键 *COCO中间体的过早解吸。在这里,我们设计了金属碳化物封存聚集-O-motifs,以加速H2 O分解和提振 *CO质子,同时支持在金属氧化金属纳米表上启动CO2的金属场地。作为一个原型,我们制造了Au/TiO。</w:t>
      </w:r>
    </w:p>
    <w:p>
      <w:pPr>
        <w:spacing w:before="0" w:after="200" w:lineRule="auto" w:line="276"/>
      </w:pPr>
      <w:r>
        <w:rPr>
          <w:b/>
        </w:rPr>
        <w:t xml:space="preserve">Abstract (EN): </w:t>
      </w:r>
      <w:r>
        <w:t>Photocatalytic CO</w:t>
      </w:r>
      <w:r>
        <w:rPr>
          <w:vertAlign w:val="subscript"/>
        </w:rPr>
        <w:t>2</w:t>
      </w:r>
      <w:r>
        <w:t>methanation is fundamentally constrained by two intertwined bottlenecks: inefficient proton generation from H</w:t>
      </w:r>
      <w:r>
        <w:rPr>
          <w:vertAlign w:val="subscript"/>
        </w:rPr>
        <w:t>2</w:t>
      </w:r>
      <w:r>
        <w:t>O dissociation and the premature desorption of the critical</w:t>
      </w:r>
      <w:r>
        <w:t xml:space="preserve"> </w:t>
      </w:r>
      <w:r>
        <w:t>*</w:t>
      </w:r>
      <w:r>
        <w:t xml:space="preserve"> </w:t>
      </w:r>
      <w:r>
        <w:t>CO intermediate. Here, we design metal cation vacancy clusters‐O</w:t>
      </w:r>
      <w:r>
        <w:t xml:space="preserve"> </w:t>
      </w:r>
      <w:r>
        <w:t>−</w:t>
      </w:r>
      <w:r>
        <w:t>motifs for accelerating H</w:t>
      </w:r>
      <w:r>
        <w:rPr>
          <w:vertAlign w:val="subscript"/>
        </w:rPr>
        <w:t>2</w:t>
      </w:r>
      <w:r>
        <w:t>O dissociation and boosting</w:t>
      </w:r>
      <w:r>
        <w:t xml:space="preserve"> </w:t>
      </w:r>
      <w:r>
        <w:t>*</w:t>
      </w:r>
      <w:r>
        <w:t xml:space="preserve"> </w:t>
      </w:r>
      <w:r>
        <w:t>CO protonation, while supported metal sites for CO</w:t>
      </w:r>
      <w:r>
        <w:rPr>
          <w:vertAlign w:val="subscript"/>
        </w:rPr>
        <w:t>2</w:t>
      </w:r>
      <w:r>
        <w:t>activation over metal‐anchored metal oxide nanosheets. As a prototype, we fabricate Au/TiO</w:t>
      </w:r>
      <w:r>
        <w:rPr>
          <w:vertAlign w:val="subscript"/>
        </w:rPr>
        <w:t>2</w:t>
      </w:r>
      <w:r>
        <w:t>‐</w:t>
      </w:r>
      <w:r>
        <w:t xml:space="preserve"> </w:t>
      </w:r>
      <w:r>
        <w:t>V</w:t>
      </w:r>
      <w:r>
        <w:t xml:space="preserve"> </w:t>
      </w:r>
      <w:r>
        <w:t>Ti</w:t>
      </w:r>
      <w:r>
        <w:t xml:space="preserve"> </w:t>
      </w:r>
      <w:r>
        <w:t>nanosheets, where synchrotron‐radiation X‐ray absorption fine structure and electron paramagnetic resonance spectroscopy confirm</w:t>
      </w:r>
      <w:r>
        <w:t xml:space="preserve"> </w:t>
      </w:r>
      <w:r>
        <w:t>V</w:t>
      </w:r>
      <w:r>
        <w:t xml:space="preserve"> </w:t>
      </w:r>
      <w:r>
        <w:t>Ti</w:t>
      </w:r>
      <w:r>
        <w:t xml:space="preserve"> </w:t>
      </w:r>
      <w:r>
        <w:t>‐O</w:t>
      </w:r>
      <w:r>
        <w:t xml:space="preserve"> </w:t>
      </w:r>
      <w:r>
        <w:t>−</w:t>
      </w:r>
      <w:r>
        <w:t>and coordination‐unsaturated Au sites. Density‐functional‐theory calculations reveal the creation of</w:t>
      </w:r>
      <w:r>
        <w:t xml:space="preserve"> </w:t>
      </w:r>
      <w:r>
        <w:t>V</w:t>
      </w:r>
      <w:r>
        <w:t xml:space="preserve"> </w:t>
      </w:r>
      <w:r>
        <w:t>Ti</w:t>
      </w:r>
      <w:r>
        <w:t xml:space="preserve"> </w:t>
      </w:r>
      <w:r>
        <w:t>‐O</w:t>
      </w:r>
      <w:r>
        <w:t xml:space="preserve"> </w:t>
      </w:r>
      <w:r>
        <w:t>−</w:t>
      </w:r>
      <w:r>
        <w:t>sites drive the step of</w:t>
      </w:r>
      <w:r>
        <w:t xml:space="preserve"> </w:t>
      </w:r>
      <w:r>
        <w:t>*</w:t>
      </w:r>
      <w:r>
        <w:t xml:space="preserve"> </w:t>
      </w:r>
      <w:r>
        <w:t>CO protonation toward</w:t>
      </w:r>
      <w:r>
        <w:t xml:space="preserve"> </w:t>
      </w:r>
      <w:r>
        <w:t>*</w:t>
      </w:r>
      <w:r>
        <w:t xml:space="preserve"> </w:t>
      </w:r>
      <w:r>
        <w:t>CHO from an endothermic process (0.09 eV) to an exothermic one (−0.29 eV), and concurrently the energy for H</w:t>
      </w:r>
      <w:r>
        <w:rPr>
          <w:vertAlign w:val="subscript"/>
        </w:rPr>
        <w:t>2</w:t>
      </w:r>
      <w:r>
        <w:t>O dissociation into protons is lowered by a factor of two (1.31 eV → 0.65 eV). In situ Fourier‐transform infrared spectroscopy directly captures a distinct</w:t>
      </w:r>
      <w:r>
        <w:t xml:space="preserve"> </w:t>
      </w:r>
      <w:r>
        <w:t>*</w:t>
      </w:r>
      <w:r>
        <w:t xml:space="preserve"> </w:t>
      </w:r>
      <w:r>
        <w:t>CO intermediate, confirming its stabilization on the photocatalyst surface and thereby promoting the protonation step toward</w:t>
      </w:r>
      <w:r>
        <w:t xml:space="preserve"> </w:t>
      </w:r>
      <w:r>
        <w:t>*</w:t>
      </w:r>
      <w:r>
        <w:t xml:space="preserve"> </w:t>
      </w:r>
      <w:r>
        <w:t>CHO. Consequently, the Au/TiO</w:t>
      </w:r>
      <w:r>
        <w:rPr>
          <w:vertAlign w:val="subscript"/>
        </w:rPr>
        <w:t>2</w:t>
      </w:r>
      <w:r>
        <w:t>‐</w:t>
      </w:r>
      <w:r>
        <w:t xml:space="preserve"> </w:t>
      </w:r>
      <w:r>
        <w:t>V</w:t>
      </w:r>
      <w:r>
        <w:t xml:space="preserve"> </w:t>
      </w:r>
      <w:r>
        <w:t>Ti</w:t>
      </w:r>
      <w:r>
        <w:t xml:space="preserve"> </w:t>
      </w:r>
      <w:r>
        <w:t>nanosheets show a superior CH</w:t>
      </w:r>
      <w:r>
        <w:rPr>
          <w:vertAlign w:val="subscript"/>
        </w:rPr>
        <w:t>4</w:t>
      </w:r>
      <w:r>
        <w:t>formation rate of 156.5 µmol g</w:t>
      </w:r>
      <w:r>
        <w:t xml:space="preserve"> </w:t>
      </w:r>
      <w:r>
        <w:t>−1</w:t>
      </w:r>
      <w:r>
        <w:t xml:space="preserve"> </w:t>
      </w:r>
      <w:r>
        <w:t>h</w:t>
      </w:r>
      <w:r>
        <w:t xml:space="preserve"> </w:t>
      </w:r>
      <w:r>
        <w:t>−1</w:t>
      </w:r>
      <w:r>
        <w:t xml:space="preserve"> </w:t>
      </w:r>
      <w:r>
        <w:t>with near‐100% selectivity. Briefly, this work offers key insights into CO</w:t>
      </w:r>
      <w:r>
        <w:rPr>
          <w:vertAlign w:val="subscript"/>
        </w:rPr>
        <w:t>2</w:t>
      </w:r>
      <w:r>
        <w:t>methanation bottlenecks and proposes a catalyst design blueprint to advance CO</w:t>
      </w:r>
      <w:r>
        <w:rPr>
          <w:vertAlign w:val="subscript"/>
        </w:rPr>
        <w:t>2</w:t>
      </w:r>
      <w:r>
        <w:t>valorization.</w:t>
      </w:r>
    </w:p>
    <w:p>
      <w:pPr>
        <w:spacing w:before="120" w:after="120"/>
      </w:pPr>
      <w:r>
        <w:rPr>
          <w:sz w:val="18"/>
        </w:rPr>
        <w:t>——————————————————————————————————————————————————————————————————————</w:t>
      </w:r>
    </w:p>
    <w:p>
      <w:pPr>
        <w:spacing w:before="160" w:after="40" w:line="240" w:lineRule="auto"/>
      </w:pPr>
      <w:r>
        <w:rPr>
          <w:b/>
        </w:rPr>
        <w:t xml:space="preserve">[258] </w:t>
      </w:r>
      <w:hyperlink r:id="rId394">
        <w:r>
          <w:rPr>
            <w:color w:val="1155CC"/>
            <w:u w:val="single"/>
          </w:rPr>
          <w:t>对重新氧化的经测量的二氧化碳减少反应机制产生的分子结构效应</w:t>
        </w:r>
      </w:hyperlink>
    </w:p>
    <w:p>
      <w:pPr>
        <w:spacing w:before="0" w:after="80"/>
      </w:pPr>
      <w:r>
        <w:rPr>
          <w:i/>
          <w:sz w:val="20"/>
        </w:rPr>
        <w:t>EN: Deciphering Molecular Structural Effect on Redox‐Mediated CO2 Reduction Reaction Mechanisms for Aprotic Li‐CO2 Batteries</w:t>
      </w:r>
    </w:p>
    <w:p>
      <w:pPr>
        <w:spacing w:before="0" w:after="120"/>
      </w:pPr>
      <w:r>
        <w:rPr>
          <w:b/>
        </w:rPr>
        <w:t xml:space="preserve">Source: </w:t>
      </w:r>
      <w:r>
        <w:t>Wiley: Advanced Energy Materials: Table of Contents</w:t>
      </w:r>
      <w:r>
        <w:t xml:space="preserve">    </w:t>
      </w:r>
      <w:r>
        <w:rPr>
          <w:b/>
        </w:rPr>
        <w:t xml:space="preserve">Pub date: </w:t>
      </w:r>
      <w:r>
        <w:t>2026-02-03 05:21:26+00:00</w:t>
      </w:r>
      <w:r>
        <w:t xml:space="preserve">    </w:t>
      </w:r>
      <w:r>
        <w:rPr>
          <w:b/>
        </w:rPr>
        <w:t xml:space="preserve">DOI: </w:t>
      </w:r>
      <w:hyperlink r:id="rId395">
        <w:r>
          <w:rPr>
            <w:color w:val="1155CC"/>
            <w:u w:val="single"/>
          </w:rPr>
          <w:t>10.1002/aenm.202506608</w:t>
        </w:r>
      </w:hyperlink>
    </w:p>
    <w:p>
      <w:pPr>
        <w:spacing w:before="0" w:after="120"/>
      </w:pPr>
      <w:r>
        <w:rPr>
          <w:b/>
        </w:rPr>
        <w:t xml:space="preserve">Notes: </w:t>
      </w:r>
      <w:r>
        <w:t>abstract_source=crossref</w:t>
      </w:r>
    </w:p>
    <w:p>
      <w:pPr>
        <w:spacing w:before="0" w:after="80" w:lineRule="auto" w:line="276"/>
      </w:pPr>
      <w:r>
        <w:rPr>
          <w:b/>
        </w:rPr>
        <w:t xml:space="preserve">摘要（ZH）: </w:t>
      </w:r>
      <w:r>
        <w:t>Redox调解人(RMs)作为关键促进因素,通过溶液(CO 2) CO2 降低CO2反应(CO 2 RR)来释放LiçCO 2 电池的能源潜力。然而,RMs对CO 2 RR 路径和催化效率的结构性影响仍然没有得到充分理解。在此,通过对使用现场光谱学技术及理论计算对基于模型的 Quinone (Q) RMs进行对比调查,发现与CO 2 化学结合的量减少为可变李。</w:t>
      </w:r>
    </w:p>
    <w:p>
      <w:pPr>
        <w:spacing w:before="0" w:after="200" w:lineRule="auto" w:line="276"/>
      </w:pPr>
      <w:r>
        <w:rPr>
          <w:b/>
        </w:rPr>
        <w:t xml:space="preserve">Abstract (EN): </w:t>
      </w:r>
      <w:r>
        <w:t>Redox mediators (RMs) emerge as critical enablers for unlocking the energy potentials of aprotic Li‐CO</w:t>
      </w:r>
      <w:r>
        <w:rPr>
          <w:vertAlign w:val="subscript"/>
        </w:rPr>
        <w:t>2</w:t>
      </w:r>
      <w:r>
        <w:t>batteries through solution‐mediated CO</w:t>
      </w:r>
      <w:r>
        <w:rPr>
          <w:vertAlign w:val="subscript"/>
        </w:rPr>
        <w:t>2</w:t>
      </w:r>
      <w:r>
        <w:t>reduction reaction (CO</w:t>
      </w:r>
      <w:r>
        <w:rPr>
          <w:vertAlign w:val="subscript"/>
        </w:rPr>
        <w:t>2</w:t>
      </w:r>
      <w:r>
        <w:t>RR). However, the structural effect of RMs on CO</w:t>
      </w:r>
      <w:r>
        <w:rPr>
          <w:vertAlign w:val="subscript"/>
        </w:rPr>
        <w:t>2</w:t>
      </w:r>
      <w:r>
        <w:t>RR pathways and catalytic efficiency remains insufficiently understood. Herein, through a comparative investigation of model quinone (Q)‐based RMs using in situ spectroscopic techniques coupled with theoretical calculations, it is revealed that reduced Q species chemically bind with CO</w:t>
      </w:r>
      <w:r>
        <w:rPr>
          <w:vertAlign w:val="subscript"/>
        </w:rPr>
        <w:t>2</w:t>
      </w:r>
      <w:r>
        <w:t>to form metastable Li</w:t>
      </w:r>
      <w:r>
        <w:t xml:space="preserve"> </w:t>
      </w:r>
      <w:r>
        <w:t>n</w:t>
      </w:r>
      <w:r>
        <w:t xml:space="preserve"> </w:t>
      </w:r>
      <w:r>
        <w:t>(Q‐xCO</w:t>
      </w:r>
      <w:r>
        <w:rPr>
          <w:vertAlign w:val="subscript"/>
        </w:rPr>
        <w:t>2</w:t>
      </w:r>
      <w:r>
        <w:t>) adducts (n, x = 1 or 2), which subsequently dissociate into LiCO</w:t>
      </w:r>
      <w:r>
        <w:rPr>
          <w:vertAlign w:val="subscript"/>
        </w:rPr>
        <w:t>2</w:t>
      </w:r>
      <w:r>
        <w:t>intermediates and further generate Li</w:t>
      </w:r>
      <w:r>
        <w:rPr>
          <w:vertAlign w:val="subscript"/>
        </w:rPr>
        <w:t>2</w:t>
      </w:r>
      <w:r>
        <w:t>CO</w:t>
      </w:r>
      <w:r>
        <w:rPr>
          <w:vertAlign w:val="subscript"/>
        </w:rPr>
        <w:t>3</w:t>
      </w:r>
      <w:r>
        <w:t>and CO as discharge product while regenerating Li</w:t>
      </w:r>
      <w:r>
        <w:t xml:space="preserve"> </w:t>
      </w:r>
      <w:r>
        <w:t>n</w:t>
      </w:r>
      <w:r>
        <w:t xml:space="preserve"> </w:t>
      </w:r>
      <w:r>
        <w:t>Q (n = 0 or 1) for sustained redox cycling. The dissociation of Li</w:t>
      </w:r>
      <w:r>
        <w:t xml:space="preserve"> </w:t>
      </w:r>
      <w:r>
        <w:t>n</w:t>
      </w:r>
      <w:r>
        <w:t xml:space="preserve"> </w:t>
      </w:r>
      <w:r>
        <w:t>(Q‐xCO</w:t>
      </w:r>
      <w:r>
        <w:rPr>
          <w:vertAlign w:val="subscript"/>
        </w:rPr>
        <w:t>2</w:t>
      </w:r>
      <w:r>
        <w:t>) adducts constitutes the rate‐determining step under non‐polarization conditions. The introduction of electron‐withdrawing groups (EWGs) into the Q moiety can enhance discharge potentials, but creates a kinetic trade‐off: increased dissociation kinetics of Li</w:t>
      </w:r>
      <w:r>
        <w:t xml:space="preserve"> </w:t>
      </w:r>
      <w:r>
        <w:t>n</w:t>
      </w:r>
      <w:r>
        <w:t xml:space="preserve"> </w:t>
      </w:r>
      <w:r>
        <w:t>(Q‐xCO</w:t>
      </w:r>
      <w:r>
        <w:rPr>
          <w:vertAlign w:val="subscript"/>
        </w:rPr>
        <w:t>2</w:t>
      </w:r>
      <w:r>
        <w:t>) adducts and suppressed adduct formation due to diminished CO</w:t>
      </w:r>
      <w:r>
        <w:rPr>
          <w:vertAlign w:val="subscript"/>
        </w:rPr>
        <w:t>2</w:t>
      </w:r>
      <w:r>
        <w:t>binding affinity for reduced Q species. Strategic electronic modulation via optimized EWG substitution balances this CO</w:t>
      </w:r>
      <w:r>
        <w:rPr>
          <w:vertAlign w:val="subscript"/>
        </w:rPr>
        <w:t>2</w:t>
      </w:r>
      <w:r>
        <w:t>affinity and adducts dissociation equilibrium, achieving simultaneous improvements in discharge potential and capacity. Our work provides fundamental guidelines for the rational design of advanced RMs in next‐generation Li‐CO</w:t>
      </w:r>
      <w:r>
        <w:rPr>
          <w:vertAlign w:val="subscript"/>
        </w:rPr>
        <w:t>2</w:t>
      </w:r>
      <w:r>
        <w:t>batteries.</w:t>
      </w:r>
    </w:p>
    <w:p>
      <w:pPr>
        <w:spacing w:before="120" w:after="120"/>
      </w:pPr>
      <w:r>
        <w:rPr>
          <w:sz w:val="18"/>
        </w:rPr>
        <w:t>——————————————————————————————————————————————————————————————————————</w:t>
      </w:r>
    </w:p>
    <w:p>
      <w:pPr>
        <w:spacing w:before="160" w:after="40" w:line="240" w:lineRule="auto"/>
      </w:pPr>
      <w:r>
        <w:rPr>
          <w:b/>
        </w:rPr>
        <w:t xml:space="preserve">[259] </w:t>
      </w:r>
      <w:hyperlink r:id="rId396">
        <w:r>
          <w:rPr>
            <w:color w:val="1155CC"/>
            <w:u w:val="single"/>
          </w:rPr>
          <w:t>管理电池中层层氧化氧化碳电池中平斗斗斗斗的分散域域</w:t>
        </w:r>
      </w:hyperlink>
    </w:p>
    <w:p>
      <w:pPr>
        <w:spacing w:before="0" w:after="80"/>
      </w:pPr>
      <w:r>
        <w:rPr>
          <w:i/>
          <w:sz w:val="20"/>
        </w:rPr>
        <w:t>EN: Manipulating the Dispersed Domain of Pinning Dopants in Layered Oxide Cathodes for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2026-02-03 05:30:09+00:00</w:t>
      </w:r>
      <w:r>
        <w:t xml:space="preserve">    </w:t>
      </w:r>
      <w:r>
        <w:rPr>
          <w:b/>
        </w:rPr>
        <w:t xml:space="preserve">DOI: </w:t>
      </w:r>
      <w:hyperlink r:id="rId397">
        <w:r>
          <w:rPr>
            <w:color w:val="1155CC"/>
            <w:u w:val="single"/>
          </w:rPr>
          <w:t>10.1002/anie.202520105</w:t>
        </w:r>
      </w:hyperlink>
    </w:p>
    <w:p>
      <w:pPr>
        <w:spacing w:before="0" w:after="120"/>
      </w:pPr>
      <w:r>
        <w:rPr>
          <w:b/>
        </w:rPr>
        <w:t xml:space="preserve">Notes: </w:t>
      </w:r>
      <w:r>
        <w:t>abstract_source=crossref</w:t>
      </w:r>
    </w:p>
    <w:p>
      <w:pPr>
        <w:spacing w:before="0" w:after="80" w:lineRule="auto" w:line="276"/>
      </w:pPr>
      <w:r>
        <w:rPr>
          <w:b/>
        </w:rPr>
        <w:t xml:space="preserve">摘要（ZH）: </w:t>
      </w:r>
      <w:r>
        <w:t>高性能钠酸钠电池在深纳+(de)隔热过程中经常受到结构降解。 将不使用电化学作用的电离层纳入过渡金属(TM)层已经成为一种主流战略,通过所谓的钉子效应加强结构稳定。然而,对高性能钠电池的主要候选产品是高性能钠化电池,这种电池往往在深纳+(de)隔热过程中受到结构降解。 将不使用电化学作用的电化学作用纳入过渡金属层已成为主流战略,通过所谓的钉子效应加强结构稳定。 然而,对TM层内不活动铜的微结构异质性及其影响的空间范围仍然不甚为清楚。 在这项工作中,我们通过调节不活动离子的配置酶(Sconpig I)来规范针管域,从而推动其解体。</w:t>
      </w:r>
    </w:p>
    <w:p>
      <w:pPr>
        <w:spacing w:before="0" w:after="200" w:lineRule="auto" w:line="276"/>
      </w:pPr>
      <w:r>
        <w:rPr>
          <w:b/>
        </w:rPr>
        <w:t xml:space="preserve">Abstract (EN): </w:t>
      </w:r>
      <w:r>
        <w:t>Layered oxide cathodes are primary candidates for high‐performance sodium‐ion batteries, which often suffer from structural degradation during deep Na</w:t>
      </w:r>
      <w:r>
        <w:t xml:space="preserve"> </w:t>
      </w:r>
      <w:r>
        <w:t>+</w:t>
      </w:r>
      <w:r>
        <w:t xml:space="preserve"> </w:t>
      </w:r>
      <w:r>
        <w:t>(de)intercalation processes. Incorporating electrochemically inactive cations into the transition metal (TM) layers has emerged as a mainstream strategy to enhance structural stability through the so‐called pinning effect. However, the microstructural heterogeneity of inactive cations within the TM layers and the spatial extent of their influence remain poorly understood. In this work, we regulate the pinning domain by modulating configurational entropy of inactive ions (S</w:t>
      </w:r>
      <w:r>
        <w:t xml:space="preserve"> </w:t>
      </w:r>
      <w:r>
        <w:t>config</w:t>
      </w:r>
      <w:r>
        <w:t xml:space="preserve"> </w:t>
      </w:r>
      <w:r>
        <w:t>‐I), thereby promoting their dispersion and maximizing the spatial extent of the pinning effect. Additionally, we establish a correlation between S</w:t>
      </w:r>
      <w:r>
        <w:t xml:space="preserve"> </w:t>
      </w:r>
      <w:r>
        <w:t>config</w:t>
      </w:r>
      <w:r>
        <w:t xml:space="preserve"> </w:t>
      </w:r>
      <w:r>
        <w:t>‐I and local structural fluctuations using quantitative experimental analyses. Compared with samples lacking sufficient pinning domains, the sample with 21% S</w:t>
      </w:r>
      <w:r>
        <w:t xml:space="preserve"> </w:t>
      </w:r>
      <w:r>
        <w:t>config</w:t>
      </w:r>
      <w:r>
        <w:t xml:space="preserve"> </w:t>
      </w:r>
      <w:r>
        <w:t>‐I (denoted as S‐I‐21%) exhibits markedly improved structural homogeneity and optimally dispersed pinning dopants. Accordingly, S‐I‐21% delivers a high reversible capacity of 145 mAh g</w:t>
      </w:r>
      <w:r>
        <w:t xml:space="preserve"> </w:t>
      </w:r>
      <w:r>
        <w:t>−1</w:t>
      </w:r>
      <w:r>
        <w:t xml:space="preserve"> </w:t>
      </w:r>
      <w:r>
        <w:t>and maintains ∼80% capacity retention after 500 cycles within a wide voltage window (2.0−4.3 V). These findings highlight the effect domain of dopants and their role in regulating structural chemistry, providing design principles for robust layered cathodes.</w:t>
      </w:r>
    </w:p>
    <w:p>
      <w:pPr>
        <w:spacing w:before="120" w:after="120"/>
      </w:pPr>
      <w:r>
        <w:rPr>
          <w:sz w:val="18"/>
        </w:rPr>
        <w:t>——————————————————————————————————————————————————————————————————————</w:t>
      </w:r>
    </w:p>
    <w:p>
      <w:pPr>
        <w:spacing w:before="160" w:after="40" w:line="240" w:lineRule="auto"/>
      </w:pPr>
      <w:r>
        <w:rPr>
          <w:b/>
        </w:rPr>
        <w:t xml:space="preserve">[260] </w:t>
      </w:r>
      <w:hyperlink r:id="rId398">
        <w:r>
          <w:rPr>
            <w:color w:val="1155CC"/>
            <w:u w:val="single"/>
          </w:rPr>
          <w:t>PROTAC脱贫者发展</w:t>
        </w:r>
      </w:hyperlink>
    </w:p>
    <w:p>
      <w:pPr>
        <w:spacing w:before="0" w:after="80"/>
      </w:pPr>
      <w:r>
        <w:rPr>
          <w:i/>
          <w:sz w:val="20"/>
        </w:rPr>
        <w:t>EN: Development of PolyHis‐Targeting PROTAC Degraders</w:t>
      </w:r>
    </w:p>
    <w:p>
      <w:pPr>
        <w:spacing w:before="0" w:after="120"/>
      </w:pPr>
      <w:r>
        <w:rPr>
          <w:b/>
        </w:rPr>
        <w:t xml:space="preserve">Source: </w:t>
      </w:r>
      <w:r>
        <w:t>Wiley: Angewandte Chemie International Edition: Table of Contents</w:t>
      </w:r>
      <w:r>
        <w:t xml:space="preserve">    </w:t>
      </w:r>
      <w:r>
        <w:rPr>
          <w:b/>
        </w:rPr>
        <w:t xml:space="preserve">Pub date: </w:t>
      </w:r>
      <w:r>
        <w:t>2026-02-03 05:32:31+00:00</w:t>
      </w:r>
      <w:r>
        <w:t xml:space="preserve">    </w:t>
      </w:r>
      <w:r>
        <w:rPr>
          <w:b/>
        </w:rPr>
        <w:t xml:space="preserve">DOI: </w:t>
      </w:r>
      <w:hyperlink r:id="rId399">
        <w:r>
          <w:rPr>
            <w:color w:val="1155CC"/>
            <w:u w:val="single"/>
          </w:rPr>
          <w:t>10.1002/anie.202522845</w:t>
        </w:r>
      </w:hyperlink>
    </w:p>
    <w:p>
      <w:pPr>
        <w:spacing w:before="0" w:after="120"/>
      </w:pPr>
      <w:r>
        <w:rPr>
          <w:b/>
        </w:rPr>
        <w:t xml:space="preserve">Notes: </w:t>
      </w:r>
      <w:r>
        <w:t>abstract_source=crossref</w:t>
      </w:r>
    </w:p>
    <w:p>
      <w:pPr>
        <w:spacing w:before="0" w:after="80" w:lineRule="auto" w:line="276"/>
      </w:pPr>
      <w:r>
        <w:rPr>
          <w:b/>
        </w:rPr>
        <w:t xml:space="preserve">摘要（ZH）: </w:t>
      </w:r>
      <w:r>
        <w:t>通过针对Chimeras(PROTACs)的蛋白质分解(TPD),对目标蛋白降解(TPD)能够通过劫持无处不在的蛋白质系统(UPS),选择性地去除相关蛋白质。然而,广泛应用受到以下因素的限制:许多人类蛋白中仍然少有的高质量目标海螺,限制了对用于UPS中位降解的聚苯乙烯的评估。为了应对这一挑战,我们开发了多希丁对准PROTACs(polyHisTACs),将镍硝酸(Ni 2+NTA)头组与VHL或CRBN的皮层混为一体,从而将这些E3项链酶综合体招募到聚His-tocked POIs。正如所预期的那样,多功能技术中心有效地降解了C。</w:t>
      </w:r>
    </w:p>
    <w:p>
      <w:pPr>
        <w:spacing w:before="0" w:after="200" w:lineRule="auto" w:line="276"/>
      </w:pPr>
      <w:r>
        <w:rPr>
          <w:b/>
        </w:rPr>
        <w:t xml:space="preserve">Abstract (EN): </w:t>
      </w:r>
      <w:r>
        <w:t>Targeted protein degradation (TPD) via proteolysis targeting chimeras (PROTACs) enables selective removal of proteins of interest (POIs) by hijacking the ubiquitin‐proteasome system (UPS). However, broad application is constrained by the availability of high‐quality target ligands, which remain scarce for much of the human proteome, limiting assessment of POIs for UPS‐mediated degradation. To address this challenge, we developed polyhistidine‐targeting PROTACs (polyHisTACs) by conjugating a nickel‐nitrilotriacetic acid (Ni</w:t>
      </w:r>
      <w:r>
        <w:rPr>
          <w:vertAlign w:val="subscript"/>
        </w:rPr>
        <w:t>2</w:t>
      </w:r>
      <w:r>
        <w:t>+</w:t>
      </w:r>
      <w:r>
        <w:t xml:space="preserve"> </w:t>
      </w:r>
      <w:r>
        <w:t>‐NTA) headgroup to ligands of VHL or CRBN, thereby recruiting these E3 ligase complexes to polyHis‐tagged POIs. As expected, polyHisTACs effectively degraded CRISPR‐engineered, endogenously polyHis‐tagged BRD4 and also induced robust degradation of an exogenously expressed polyHis‐tagged RNA‐binding protein, PSPC1, a target that is typically considered undruggable. In summary, polyHisTACs overcome key limitations of existing tag‐based degrader systems by leveraging a minimal, easily implemented polyHis tag. This platform provides a versatile, reliable way to evaluate UPS‐mediated degradability in the absence of target‐specific ligands and serves as a practical tool for acute POI depletion in basic research.</w:t>
      </w:r>
    </w:p>
    <w:p>
      <w:pPr>
        <w:spacing w:before="120" w:after="120"/>
      </w:pPr>
      <w:r>
        <w:rPr>
          <w:sz w:val="18"/>
        </w:rPr>
        <w:t>——————————————————————————————————————————————————————————————————————</w:t>
      </w:r>
    </w:p>
    <w:p>
      <w:pPr>
        <w:spacing w:before="160" w:after="40" w:line="240" w:lineRule="auto"/>
      </w:pPr>
      <w:r>
        <w:rPr>
          <w:b/>
        </w:rPr>
        <w:t xml:space="preserve">[261] </w:t>
      </w:r>
      <w:hyperlink r:id="rId400">
        <w:r>
          <w:rPr>
            <w:color w:val="1155CC"/>
            <w:u w:val="single"/>
          </w:rPr>
          <w:t>用于亚8纳米天线造影的锡硅氧聚束原子精度干涉工程</w:t>
        </w:r>
      </w:hyperlink>
    </w:p>
    <w:p>
      <w:pPr>
        <w:spacing w:before="0" w:after="80"/>
      </w:pPr>
      <w:r>
        <w:rPr>
          <w:i/>
          <w:sz w:val="20"/>
        </w:rPr>
        <w:t>EN: Atomically Precise Interfacial Engineering on Tin‐Silicon Oxo Clusters for Sub‐8 nm Lithography</w:t>
      </w:r>
    </w:p>
    <w:p>
      <w:pPr>
        <w:spacing w:before="0" w:after="120"/>
      </w:pPr>
      <w:r>
        <w:rPr>
          <w:b/>
        </w:rPr>
        <w:t xml:space="preserve">Source: </w:t>
      </w:r>
      <w:r>
        <w:t>Wiley: Angewandte Chemie International Edition: Table of Contents</w:t>
      </w:r>
      <w:r>
        <w:t xml:space="preserve">    </w:t>
      </w:r>
      <w:r>
        <w:rPr>
          <w:b/>
        </w:rPr>
        <w:t xml:space="preserve">Pub date: </w:t>
      </w:r>
      <w:r>
        <w:t>2026-02-03 05:33:19+00:00</w:t>
      </w:r>
      <w:r>
        <w:t xml:space="preserve">    </w:t>
      </w:r>
      <w:r>
        <w:rPr>
          <w:b/>
        </w:rPr>
        <w:t xml:space="preserve">DOI: </w:t>
      </w:r>
      <w:hyperlink r:id="rId401">
        <w:r>
          <w:rPr>
            <w:color w:val="1155CC"/>
            <w:u w:val="single"/>
          </w:rPr>
          <w:t>10.1002/anie.202524320</w:t>
        </w:r>
      </w:hyperlink>
    </w:p>
    <w:p>
      <w:pPr>
        <w:spacing w:before="0" w:after="120"/>
      </w:pPr>
      <w:r>
        <w:rPr>
          <w:b/>
        </w:rPr>
        <w:t xml:space="preserve">Notes: </w:t>
      </w:r>
      <w:r>
        <w:t>abstract_source=crossref</w:t>
      </w:r>
    </w:p>
    <w:p>
      <w:pPr>
        <w:spacing w:before="0" w:after="80" w:lineRule="auto" w:line="276"/>
      </w:pPr>
      <w:r>
        <w:rPr>
          <w:b/>
        </w:rPr>
        <w:t xml:space="preserve">摘要（ZH）: </w:t>
      </w:r>
      <w:r>
        <w:t>亚丁氧(ABSTRACT Tin oxo)集群(TOCs)已被公认为高孔径极端紫外线(Hi_NA EUV)平面测量最有前景的光阻候选物。为了加强暴露的集束物种与硅二氧化二二二二二二基底酸之间的粘合,我们在此将硅基质结合,以便首次使TOC表面功能化。通过协同结合Sn的高度辐射敏感度和Si的基质亲近性,成功地实现了在 irm irm 比例上的超高分辨率图案,这是TOC光阻分子的最佳表现。关于反应机制的多光谱分析和理论计算表明,集成的Simies通过卡布里双倍运行。</w:t>
      </w:r>
    </w:p>
    <w:p>
      <w:pPr>
        <w:spacing w:before="0" w:after="200" w:lineRule="auto" w:line="276"/>
      </w:pPr>
      <w:r>
        <w:rPr>
          <w:b/>
        </w:rPr>
        <w:t xml:space="preserve">Abstract (EN): </w:t>
      </w:r>
      <w:r>
        <w:t>Tin oxo clusters (TOCs) have been recognized as the most promising photoresist candidates for high numerical aperture extreme ultraviolet (High‐NA EUV) lithography. To enhance the adhesion between the exposed cluster species and the silicon dioxide substrate, herein, we incorporate silane moieties to functionalize the surface of TOCs for the first time. By synergistically integrating the high radiation sensitivity of Sn and substrate affinity of Si, ultrahigh resolution patterning at the sub‐8 nm scale has been successfully achieved, which represents the best performance in TOC photoresists. Multiple spectroscopic analyses and theoretical calculations on reaction mechanisms indicate that the incorporated Si moieties function dually by capturing scattered secondary electrons (SEs) to produce silyl radicals that guide the formation of dense Si‐O‐Si structure, while simultaneously enhancing interfacial adhesion to the SiO</w:t>
      </w:r>
      <w:r>
        <w:rPr>
          <w:vertAlign w:val="subscript"/>
        </w:rPr>
        <w:t>2</w:t>
      </w:r>
      <w:r>
        <w:t>substrate. Such a synergistic process yields diverse and abundant Sn‐O‐Sn/Sn‐O‐Si/Si‐O‐Si networks, collectively realizing higher resolution and lower line‐edge roughness (LER). This work not only introduces a new family of Sn‐Si oxo cluster resists but also demonstrates the potential of atomic‐level interfacial engineering for next‐generation ultrahigh‐resolution semiconductor manufacturing technologies.</w:t>
      </w:r>
    </w:p>
    <w:p>
      <w:pPr>
        <w:spacing w:before="120" w:after="120"/>
      </w:pPr>
      <w:r>
        <w:rPr>
          <w:sz w:val="18"/>
        </w:rPr>
        <w:t>——————————————————————————————————————————————————————————————————————</w:t>
      </w:r>
    </w:p>
    <w:p>
      <w:pPr>
        <w:spacing w:before="160" w:after="40" w:line="240" w:lineRule="auto"/>
      </w:pPr>
      <w:r>
        <w:rPr>
          <w:b/>
        </w:rPr>
        <w:t xml:space="preserve">[262] </w:t>
      </w:r>
      <w:hyperlink r:id="rId402">
        <w:r>
          <w:rPr>
            <w:color w:val="1155CC"/>
            <w:u w:val="single"/>
          </w:rPr>
          <w:t>国家各电池中贫化铀阴极的不起作用的故障机制</w:t>
        </w:r>
      </w:hyperlink>
    </w:p>
    <w:p>
      <w:pPr>
        <w:spacing w:before="0" w:after="80"/>
      </w:pPr>
      <w:r>
        <w:rPr>
          <w:i/>
          <w:sz w:val="20"/>
        </w:rPr>
        <w:t>EN: Unraveling Failure Mechanism of Indium Anodes in all‐Solid‐State Batteries</w:t>
      </w:r>
    </w:p>
    <w:p>
      <w:pPr>
        <w:spacing w:before="0" w:after="120"/>
      </w:pPr>
      <w:r>
        <w:rPr>
          <w:b/>
        </w:rPr>
        <w:t xml:space="preserve">Source: </w:t>
      </w:r>
      <w:r>
        <w:t>Wiley: Advanced Energy Materials: Table of Contents</w:t>
      </w:r>
      <w:r>
        <w:t xml:space="preserve">    </w:t>
      </w:r>
      <w:r>
        <w:rPr>
          <w:b/>
        </w:rPr>
        <w:t xml:space="preserve">Pub date: </w:t>
      </w:r>
      <w:r>
        <w:t>2026-02-03 05:36:16+00:00</w:t>
      </w:r>
      <w:r>
        <w:t xml:space="preserve">    </w:t>
      </w:r>
      <w:r>
        <w:rPr>
          <w:b/>
        </w:rPr>
        <w:t xml:space="preserve">DOI: </w:t>
      </w:r>
      <w:hyperlink r:id="rId403">
        <w:r>
          <w:rPr>
            <w:color w:val="1155CC"/>
            <w:u w:val="single"/>
          </w:rPr>
          <w:t>10.1002/aenm.202504932</w:t>
        </w:r>
      </w:hyperlink>
    </w:p>
    <w:p>
      <w:pPr>
        <w:spacing w:before="0" w:after="120"/>
      </w:pPr>
      <w:r>
        <w:rPr>
          <w:b/>
        </w:rPr>
        <w:t xml:space="preserve">Notes: </w:t>
      </w:r>
      <w:r>
        <w:t>abstract_source=crossref</w:t>
      </w:r>
    </w:p>
    <w:p>
      <w:pPr>
        <w:spacing w:before="0" w:after="80" w:lineRule="auto" w:line="276"/>
      </w:pPr>
      <w:r>
        <w:rPr>
          <w:b/>
        </w:rPr>
        <w:t xml:space="preserve">摘要（ZH）: </w:t>
      </w:r>
      <w:r>
        <w:t>Aloy基阳极,特别是(In)正在成为所有固态锂电池(ASSLBs)实现生命周期长的有希望的候选产品,因为它们具有不固定的特性和稳定阳极接口的能力,但是,由于在高密度和低容量的阳极中,对基本故障机制的不完全了解限制了优化战略,这些阳极的实际应用仍然受到限制,因为对基本故障机制的理解不足,因此,我们使用先进的定性技术系统调查当前高密度和低容量阳极的阳极的故障机制。</w:t>
      </w:r>
    </w:p>
    <w:p>
      <w:pPr>
        <w:spacing w:before="0" w:after="200" w:lineRule="auto" w:line="276"/>
      </w:pPr>
      <w:r>
        <w:rPr>
          <w:b/>
        </w:rPr>
        <w:t xml:space="preserve">Abstract (EN): </w:t>
      </w:r>
      <w:r>
        <w:t>Alloy‐based anodes, particularly indium (In) are emerging as promising candidates for achieving long‐cycle life in all‐solid‐state lithium batteries (ASSLBs), due to their dendrite‐free characteristics and ability to stabilize the anode interface. However, their practical applications remain hindered by limitations in the failure of In anodes under high current densities and areal capacities, where the incomplete understanding of the underlying failure mechanism limits the optimization strategies. Herein, we employ advanced characterization techniques to systematically investigate the failure mechanisms of In anodes under high current densities and areal capacities. Our findings reveal that alloying and dealloying processes involve an electro‐chemo‐mechanical coupling failure mechanism and further exacerbate performance degradation. By elucidating these failure mechanisms, our work provides critical insights and rational surface protection strategies by ALD coating with Al</w:t>
      </w:r>
      <w:r>
        <w:rPr>
          <w:vertAlign w:val="subscript"/>
        </w:rPr>
        <w:t>2</w:t>
      </w:r>
      <w:r>
        <w:t>O</w:t>
      </w:r>
      <w:r>
        <w:rPr>
          <w:vertAlign w:val="subscript"/>
        </w:rPr>
        <w:t>3</w:t>
      </w:r>
      <w:r>
        <w:t>layer for enhancing the interfacial stability and performance of alloy anodes in ASSLBs. The maximum cycling capacity of the Li/In asymmetric cell at 0.5 mA/cm</w:t>
      </w:r>
      <w:r>
        <w:rPr>
          <w:vertAlign w:val="subscript"/>
        </w:rPr>
        <w:t>2</w:t>
      </w:r>
      <w:r>
        <w:t>was enhanced from 0.2 to 2 mAh/cm</w:t>
      </w:r>
      <w:r>
        <w:rPr>
          <w:vertAlign w:val="subscript"/>
        </w:rPr>
        <w:t>2</w:t>
      </w:r>
      <w:r>
        <w:t>(&amp;gt;200 cycles). This work paves the way for the development of durable, high‐energy‐density batteries.</w:t>
      </w:r>
    </w:p>
    <w:p>
      <w:pPr>
        <w:spacing w:before="120" w:after="120"/>
      </w:pPr>
      <w:r>
        <w:rPr>
          <w:sz w:val="18"/>
        </w:rPr>
        <w:t>——————————————————————————————————————————————————————————————————————</w:t>
      </w:r>
    </w:p>
    <w:p>
      <w:pPr>
        <w:spacing w:before="160" w:after="40" w:line="240" w:lineRule="auto"/>
      </w:pPr>
      <w:r>
        <w:rPr>
          <w:b/>
        </w:rPr>
        <w:t xml:space="preserve">[263] </w:t>
      </w:r>
      <w:hyperlink r:id="rId404">
        <w:r>
          <w:rPr>
            <w:color w:val="1155CC"/>
            <w:u w:val="single"/>
          </w:rPr>
          <w:t>实固体电解解液钠的热稳定性评估</w:t>
        </w:r>
      </w:hyperlink>
    </w:p>
    <w:p>
      <w:pPr>
        <w:spacing w:before="0" w:after="80"/>
      </w:pPr>
      <w:r>
        <w:rPr>
          <w:i/>
          <w:sz w:val="20"/>
        </w:rPr>
        <w:t>EN: Thermal Stability Assessment of Sodium Solid Electrolytes</w:t>
      </w:r>
    </w:p>
    <w:p>
      <w:pPr>
        <w:spacing w:before="0" w:after="120"/>
      </w:pPr>
      <w:r>
        <w:rPr>
          <w:b/>
        </w:rPr>
        <w:t xml:space="preserve">Source: </w:t>
      </w:r>
      <w:r>
        <w:t>Wiley: Advanced Energy Materials: Table of Contents</w:t>
      </w:r>
      <w:r>
        <w:t xml:space="preserve">    </w:t>
      </w:r>
      <w:r>
        <w:rPr>
          <w:b/>
        </w:rPr>
        <w:t xml:space="preserve">Pub date: </w:t>
      </w:r>
      <w:r>
        <w:t>2026-02-03 05:37:27+00:00</w:t>
      </w:r>
      <w:r>
        <w:t xml:space="preserve">    </w:t>
      </w:r>
      <w:r>
        <w:rPr>
          <w:b/>
        </w:rPr>
        <w:t xml:space="preserve">DOI: </w:t>
      </w:r>
      <w:hyperlink r:id="rId405">
        <w:r>
          <w:rPr>
            <w:color w:val="1155CC"/>
            <w:u w:val="single"/>
          </w:rPr>
          <w:t>10.1002/aenm.202506749</w:t>
        </w:r>
      </w:hyperlink>
    </w:p>
    <w:p>
      <w:pPr>
        <w:spacing w:before="0" w:after="120"/>
      </w:pPr>
      <w:r>
        <w:rPr>
          <w:b/>
        </w:rPr>
        <w:t xml:space="preserve">Notes: </w:t>
      </w:r>
      <w:r>
        <w:t>abstract_source=crossref</w:t>
      </w:r>
    </w:p>
    <w:p>
      <w:pPr>
        <w:spacing w:before="0" w:after="80" w:lineRule="auto" w:line="276"/>
      </w:pPr>
      <w:r>
        <w:rPr>
          <w:b/>
        </w:rPr>
        <w:t xml:space="preserve">摘要（ZH）: </w:t>
      </w:r>
      <w:r>
        <w:t>由于能源密度高、安全程度提高,ABSTRACT ALSTACT ALACT All-固体电池(ASSBs)被广泛视为有前景的下一代能源储存系统,因为其能源密度高、安全性强。 特别是,设在Naús的ASSBs通过使用土丰度和低成本材料,提供了令人信服的优势。然而,关于固态电解钠(SES)的热稳定性,特别是其与电极材料的反动作用,仍然存在着严重的知识差距,这催生了可靠的安全评估。在这里,我们系统地比较了六种具有代表性的SESAS钠(Na 3 Zr 2 Si 2 PO 12)的热行为。</w:t>
      </w:r>
    </w:p>
    <w:p>
      <w:pPr>
        <w:spacing w:before="0" w:after="200" w:lineRule="auto" w:line="276"/>
      </w:pPr>
      <w:r>
        <w:rPr>
          <w:b/>
        </w:rPr>
        <w:t xml:space="preserve">Abstract (EN): </w:t>
      </w:r>
      <w:r>
        <w:t>All‐solid‐state batteries (ASSBs) are widely regarded as promising nextgeneration energy storage systems due to their high energy density and enhanced safety. Na‐based ASSBs, in particular, offer compelling advantages through the use of earth‐abundant and low‐cost materials. However, a critical knowledge gap remains regarding the thermal stability of sodium solid electrolytes (SEs)—especially their reactivity with electrode materials—hindering reliable safety assessment. Herein, we present a systematic comparison of the thermal behavior of six representative sodium SEs: Na</w:t>
      </w:r>
      <w:r>
        <w:rPr>
          <w:vertAlign w:val="subscript"/>
        </w:rPr>
        <w:t>3</w:t>
      </w:r>
      <w:r>
        <w:t>Zr</w:t>
      </w:r>
      <w:r>
        <w:rPr>
          <w:vertAlign w:val="subscript"/>
        </w:rPr>
        <w:t>2</w:t>
      </w:r>
      <w:r>
        <w:t>Si</w:t>
      </w:r>
      <w:r>
        <w:rPr>
          <w:vertAlign w:val="subscript"/>
        </w:rPr>
        <w:t>2</w:t>
      </w:r>
      <w:r>
        <w:t>PO</w:t>
      </w:r>
      <w:r>
        <w:rPr>
          <w:vertAlign w:val="subscript"/>
        </w:rPr>
        <w:t>12</w:t>
      </w:r>
      <w:r>
        <w:t>, Na</w:t>
      </w:r>
      <w:r>
        <w:rPr>
          <w:vertAlign w:val="subscript"/>
        </w:rPr>
        <w:t>3</w:t>
      </w:r>
      <w:r>
        <w:t>PS</w:t>
      </w:r>
      <w:r>
        <w:rPr>
          <w:vertAlign w:val="subscript"/>
        </w:rPr>
        <w:t>4</w:t>
      </w:r>
      <w:r>
        <w:t>, NaAlCl</w:t>
      </w:r>
      <w:r>
        <w:rPr>
          <w:vertAlign w:val="subscript"/>
        </w:rPr>
        <w:t>4</w:t>
      </w:r>
      <w:r>
        <w:t>, Na</w:t>
      </w:r>
      <w:r>
        <w:rPr>
          <w:vertAlign w:val="subscript"/>
        </w:rPr>
        <w:t>2</w:t>
      </w:r>
      <w:r>
        <w:t>ZrCl</w:t>
      </w:r>
      <w:r>
        <w:rPr>
          <w:vertAlign w:val="subscript"/>
        </w:rPr>
        <w:t>6</w:t>
      </w:r>
      <w:r>
        <w:t>, NaAlCl</w:t>
      </w:r>
      <w:r>
        <w:t xml:space="preserve"> </w:t>
      </w:r>
      <w:r>
        <w:t>2.5</w:t>
      </w:r>
      <w:r>
        <w:t xml:space="preserve"> </w:t>
      </w:r>
      <w:r>
        <w:t>O</w:t>
      </w:r>
      <w:r>
        <w:t xml:space="preserve"> </w:t>
      </w:r>
      <w:r>
        <w:t>0.75,</w:t>
      </w:r>
      <w:r>
        <w:t xml:space="preserve"> </w:t>
      </w:r>
      <w:r>
        <w:t>and PEO. While inorganic SEs demonstrate good intrinsic thermal stability, most exhibit significant exothermic reactions with cathode or anode materials upon heating, releasing considerable heat that could trigger thermal runaway. Notably, chloride‐based SEs show markedly different reactivities—NaAlCl</w:t>
      </w:r>
      <w:r>
        <w:rPr>
          <w:vertAlign w:val="subscript"/>
        </w:rPr>
        <w:t>4</w:t>
      </w:r>
      <w:r>
        <w:t>reacts violently with Na</w:t>
      </w:r>
      <w:r>
        <w:rPr>
          <w:vertAlign w:val="subscript"/>
        </w:rPr>
        <w:t>15</w:t>
      </w:r>
      <w:r>
        <w:t>Sn</w:t>
      </w:r>
      <w:r>
        <w:rPr>
          <w:vertAlign w:val="subscript"/>
        </w:rPr>
        <w:t>4</w:t>
      </w:r>
      <w:r>
        <w:t>, whereas Na</w:t>
      </w:r>
      <w:r>
        <w:rPr>
          <w:vertAlign w:val="subscript"/>
        </w:rPr>
        <w:t>2</w:t>
      </w:r>
      <w:r>
        <w:t>ZrCl</w:t>
      </w:r>
      <w:r>
        <w:rPr>
          <w:vertAlign w:val="subscript"/>
        </w:rPr>
        <w:t>6</w:t>
      </w:r>
      <w:r>
        <w:t>remains remarkably stable, highlighting the crucial role of reaction kinetics and melting point in modulating thermal stability. The findings reveal that electrode–electrolyte compatibility under thermal stress—not just the stability of the SE alone—is a decisive factor for ASSB safety. Our work underscores the critical role of electrode‐electrolyte thermal stability, offering new insights into the safety design of all‐solid‐state batteries.</w:t>
      </w:r>
    </w:p>
    <w:p>
      <w:pPr>
        <w:spacing w:before="120" w:after="120"/>
      </w:pPr>
      <w:r>
        <w:rPr>
          <w:sz w:val="18"/>
        </w:rPr>
        <w:t>——————————————————————————————————————————————————————————————————————</w:t>
      </w:r>
    </w:p>
    <w:p>
      <w:pPr>
        <w:spacing w:before="160" w:after="40" w:line="240" w:lineRule="auto"/>
      </w:pPr>
      <w:r>
        <w:rPr>
          <w:b/>
        </w:rPr>
        <w:t xml:space="preserve">[264] </w:t>
      </w:r>
      <w:hyperlink r:id="rId406">
        <w:r>
          <w:rPr>
            <w:color w:val="1155CC"/>
            <w:u w:val="single"/>
          </w:rPr>
          <w:t>在无定形碳阴极建造公路,使10C Fast-C Fast-Charging Sodium-Ion电池</w:t>
        </w:r>
      </w:hyperlink>
    </w:p>
    <w:p>
      <w:pPr>
        <w:spacing w:before="0" w:after="80"/>
      </w:pPr>
      <w:r>
        <w:rPr>
          <w:i/>
          <w:sz w:val="20"/>
        </w:rPr>
        <w:t>EN: Highways Construction in Amorphous Carbon Anode Enables 10C Fast‐Charging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2026-02-03 05:40:44+00:00</w:t>
      </w:r>
      <w:r>
        <w:t xml:space="preserve">    </w:t>
      </w:r>
      <w:r>
        <w:rPr>
          <w:b/>
        </w:rPr>
        <w:t xml:space="preserve">DOI: </w:t>
      </w:r>
      <w:hyperlink r:id="rId407">
        <w:r>
          <w:rPr>
            <w:color w:val="1155CC"/>
            <w:u w:val="single"/>
          </w:rPr>
          <w:t>10.1002/anie.202525941</w:t>
        </w:r>
      </w:hyperlink>
    </w:p>
    <w:p>
      <w:pPr>
        <w:spacing w:before="0" w:after="120"/>
      </w:pPr>
      <w:r>
        <w:rPr>
          <w:b/>
        </w:rPr>
        <w:t xml:space="preserve">Notes: </w:t>
      </w:r>
      <w:r>
        <w:t>abstract_source=crossref</w:t>
      </w:r>
    </w:p>
    <w:p>
      <w:pPr>
        <w:spacing w:before="0" w:after="80" w:lineRule="auto" w:line="276"/>
      </w:pPr>
      <w:r>
        <w:rPr>
          <w:b/>
        </w:rPr>
        <w:t xml:space="preserve">摘要（ZH）: </w:t>
      </w:r>
      <w:r>
        <w:t>ABSTACT ABSTACT 提供高钠(Na+ ) 储存能力的常规硬碳通过由无序短碳堆叠形成的封闭孔孔形成,但受阻碍钠电池(SIBs)的速率能力的曲曲扩散路径的影响。 由此,通过分子交叉连接战略将具有大跨层间距的互联碳薄膜嵌入无序碳矩阵中,通过建造纳+高速公路,成功开发出一种10C型快速充电的无定型碳阳极。 纳+高速公路提供了绕过固有惯性、减少扩散阻力的直接路径,以及f。</w:t>
      </w:r>
    </w:p>
    <w:p>
      <w:pPr>
        <w:spacing w:before="0" w:after="200" w:lineRule="auto" w:line="276"/>
      </w:pPr>
      <w:r>
        <w:rPr>
          <w:b/>
        </w:rPr>
        <w:t xml:space="preserve">Abstract (EN): </w:t>
      </w:r>
      <w:r>
        <w:t>Conventional hard carbons offering high sodium‐ion (Na</w:t>
      </w:r>
      <w:r>
        <w:t xml:space="preserve"> </w:t>
      </w:r>
      <w:r>
        <w:t>+</w:t>
      </w:r>
      <w:r>
        <w:t xml:space="preserve"> </w:t>
      </w:r>
      <w:r>
        <w:t>) storage capacity through closed pores formed by disordered short carbon sheets stacking, but suffer from tortuous diffusion paths that hinder rate capability in sodium‐ion batteries (SIBs). Herein, an amorphous carbon (AC) anode capable of 10C fast‐charging was successfully developed via constructing Na</w:t>
      </w:r>
      <w:r>
        <w:t xml:space="preserve"> </w:t>
      </w:r>
      <w:r>
        <w:t>+</w:t>
      </w:r>
      <w:r>
        <w:t xml:space="preserve"> </w:t>
      </w:r>
      <w:r>
        <w:t>highways through embedding interconnected carbon sheets with large interlayer spacing into a disordered carbon matrix by a molecular cross‐linking strategy. Na</w:t>
      </w:r>
      <w:r>
        <w:t xml:space="preserve"> </w:t>
      </w:r>
      <w:r>
        <w:t>+</w:t>
      </w:r>
      <w:r>
        <w:t xml:space="preserve"> </w:t>
      </w:r>
      <w:r>
        <w:t>Highways provide direct routes that bypass the inherent tortuosity, mitigate diffusion resistance, and facilitate rapid Na</w:t>
      </w:r>
      <w:r>
        <w:t xml:space="preserve"> </w:t>
      </w:r>
      <w:r>
        <w:t>+</w:t>
      </w:r>
      <w:r>
        <w:t xml:space="preserve"> </w:t>
      </w:r>
      <w:r>
        <w:t>access to closed pores that serve as efficient reservoirs, thereby fully unlocking the Na</w:t>
      </w:r>
      <w:r>
        <w:t xml:space="preserve"> </w:t>
      </w:r>
      <w:r>
        <w:t>+</w:t>
      </w:r>
      <w:r>
        <w:t xml:space="preserve"> </w:t>
      </w:r>
      <w:r>
        <w:t>storage potential of AC. As evaluated in practical 1000 mAh pouch full cells, the optimized AC anode delivers a high specific capacity of 298 mAh g</w:t>
      </w:r>
      <w:r>
        <w:t xml:space="preserve"> </w:t>
      </w:r>
      <w:r>
        <w:t>−</w:t>
      </w:r>
      <w:r>
        <w:rPr>
          <w:vertAlign w:val="subscript"/>
        </w:rPr>
        <w:t>1</w:t>
      </w:r>
      <w:r>
        <w:t>at a 10C rate, which directly enables the pouch cells to achieve a 92% state of charge within 6 min. Furthermore, the full cells exhibit excellent cycling stability, retaining 94% of their initial capacity over 1000 cycles due to the structural robustness of the AC anode. This work provides a practical design strategy for high‐performance AC anodes, paving the way for the use of ultra‐fast‐charging SIBs in frequency control within new type power systems.</w:t>
      </w:r>
    </w:p>
    <w:p>
      <w:pPr>
        <w:spacing w:before="120" w:after="120"/>
      </w:pPr>
      <w:r>
        <w:rPr>
          <w:sz w:val="18"/>
        </w:rPr>
        <w:t>——————————————————————————————————————————————————————————————————————</w:t>
      </w:r>
    </w:p>
    <w:p>
      <w:pPr>
        <w:spacing w:before="160" w:after="40" w:line="240" w:lineRule="auto"/>
      </w:pPr>
      <w:r>
        <w:rPr>
          <w:b/>
        </w:rPr>
        <w:t xml:space="preserve">[265] </w:t>
      </w:r>
      <w:hyperlink r:id="rId408">
        <w:r>
          <w:rPr>
            <w:color w:val="1155CC"/>
            <w:u w:val="single"/>
          </w:rPr>
          <w:t>Ni-Coactive Pairs的电离地化,以高效和强力铀氧化电</w:t>
        </w:r>
      </w:hyperlink>
    </w:p>
    <w:p>
      <w:pPr>
        <w:spacing w:before="0" w:after="80"/>
      </w:pPr>
      <w:r>
        <w:rPr>
          <w:i/>
          <w:sz w:val="20"/>
        </w:rPr>
        <w:t>EN: Electron Delocalization in Ni–Co Active Pairs for Efficient and Robust Urea Electrooxidation</w:t>
      </w:r>
    </w:p>
    <w:p>
      <w:pPr>
        <w:spacing w:before="0" w:after="120"/>
      </w:pPr>
      <w:r>
        <w:rPr>
          <w:b/>
        </w:rPr>
        <w:t xml:space="preserve">Source: </w:t>
      </w:r>
      <w:r>
        <w:t>Wiley: Angewandte Chemie International Edition: Table of Contents</w:t>
      </w:r>
      <w:r>
        <w:t xml:space="preserve">    </w:t>
      </w:r>
      <w:r>
        <w:rPr>
          <w:b/>
        </w:rPr>
        <w:t xml:space="preserve">Pub date: </w:t>
      </w:r>
      <w:r>
        <w:t>2026-02-03 05:42:41+00:00</w:t>
      </w:r>
      <w:r>
        <w:t xml:space="preserve">    </w:t>
      </w:r>
      <w:r>
        <w:rPr>
          <w:b/>
        </w:rPr>
        <w:t xml:space="preserve">DOI: </w:t>
      </w:r>
      <w:hyperlink r:id="rId409">
        <w:r>
          <w:rPr>
            <w:color w:val="1155CC"/>
            <w:u w:val="single"/>
          </w:rPr>
          <w:t>10.1002/anie.202525119</w:t>
        </w:r>
      </w:hyperlink>
    </w:p>
    <w:p>
      <w:pPr>
        <w:spacing w:before="0" w:after="120"/>
      </w:pPr>
      <w:r>
        <w:rPr>
          <w:b/>
        </w:rPr>
        <w:t xml:space="preserve">Notes: </w:t>
      </w:r>
      <w:r>
        <w:t>abstract_source=crossref</w:t>
      </w:r>
    </w:p>
    <w:p>
      <w:pPr>
        <w:spacing w:before="0" w:after="80" w:lineRule="auto" w:line="276"/>
      </w:pPr>
      <w:r>
        <w:rPr>
          <w:b/>
        </w:rPr>
        <w:t xml:space="preserve">摘要（ZH）: </w:t>
      </w:r>
      <w:r>
        <w:t>Ni(OH) 2 是一种有前途的尿氧化反应催化剂,但其性能却受到二氧化二(UOR) 电子定位的根本性限制,它阻碍了活性NiIII 物种的形成。 在这里,我们克服了这一限制,通过Ni(OH) 2 共同 doping Ni(OH) 2 和与CoNi合金的结合,建造了电子本地化的Ni-Co活性对子(Ni II             ) 。 这个结构利用工作功能驱动的电荷转移将NiII 3d 迁移到本地化。</w:t>
      </w:r>
    </w:p>
    <w:p>
      <w:pPr>
        <w:spacing w:before="0" w:after="200" w:lineRule="auto" w:line="276"/>
      </w:pPr>
      <w:r>
        <w:rPr>
          <w:b/>
        </w:rPr>
        <w:t xml:space="preserve">Abstract (EN): </w:t>
      </w:r>
      <w:r>
        <w:t>Ni(OH)</w:t>
      </w:r>
      <w:r>
        <w:rPr>
          <w:vertAlign w:val="subscript"/>
        </w:rPr>
        <w:t>2</w:t>
      </w:r>
      <w:r>
        <w:t>is a promising urea oxidation reaction (UOR) catalyst, yet its performance is fundamentally limited by electron localization in Ni</w:t>
      </w:r>
      <w:r>
        <w:t xml:space="preserve"> </w:t>
      </w:r>
      <w:r>
        <w:t>II</w:t>
      </w:r>
      <w:r>
        <w:t xml:space="preserve"> </w:t>
      </w:r>
      <w:r>
        <w:t>that hinders the formation of active Ni</w:t>
      </w:r>
      <w:r>
        <w:t xml:space="preserve"> </w:t>
      </w:r>
      <w:r>
        <w:t>III</w:t>
      </w:r>
      <w:r>
        <w:t xml:space="preserve"> </w:t>
      </w:r>
      <w:r>
        <w:t>species. Herein, we overcome this limitation by constructing electron‐delocalized Ni–Co active pairs (Ni</w:t>
      </w:r>
      <w:r>
        <w:t xml:space="preserve"> </w:t>
      </w:r>
      <w:r>
        <w:t>II+δ</w:t>
      </w:r>
      <w:r>
        <w:t xml:space="preserve"> </w:t>
      </w:r>
      <w:r>
        <w:t>‐O‐Co</w:t>
      </w:r>
      <w:r>
        <w:t xml:space="preserve"> </w:t>
      </w:r>
      <w:r>
        <w:t>II+δ</w:t>
      </w:r>
      <w:r>
        <w:t xml:space="preserve"> </w:t>
      </w:r>
      <w:r>
        <w:t>) through Co doping of Ni(OH)</w:t>
      </w:r>
      <w:r>
        <w:rPr>
          <w:vertAlign w:val="subscript"/>
        </w:rPr>
        <w:t>2</w:t>
      </w:r>
      <w:r>
        <w:t>and integration with a CoNi alloy. This architecture exploits work‐function‐difference‐driven charge transfer to delocalize Ni</w:t>
      </w:r>
      <w:r>
        <w:t xml:space="preserve"> </w:t>
      </w:r>
      <w:r>
        <w:t>II</w:t>
      </w:r>
      <w:r>
        <w:t xml:space="preserve"> </w:t>
      </w:r>
      <w:r>
        <w:t>3d electrons, thus accelerating the Ni</w:t>
      </w:r>
      <w:r>
        <w:t xml:space="preserve"> </w:t>
      </w:r>
      <w:r>
        <w:t>II</w:t>
      </w:r>
      <w:r>
        <w:t xml:space="preserve"> </w:t>
      </w:r>
      <w:r>
        <w:t>/Ni</w:t>
      </w:r>
      <w:r>
        <w:t xml:space="preserve"> </w:t>
      </w:r>
      <w:r>
        <w:t>III</w:t>
      </w:r>
      <w:r>
        <w:t xml:space="preserve"> </w:t>
      </w:r>
      <w:r>
        <w:t>transformation and achieving an ultralow UOR potential of 1.288 V</w:t>
      </w:r>
      <w:r>
        <w:t xml:space="preserve"> </w:t>
      </w:r>
      <w:r>
        <w:t>RHE</w:t>
      </w:r>
      <w:r>
        <w:t xml:space="preserve"> </w:t>
      </w:r>
      <w:r>
        <w:t>at 10 mA cm</w:t>
      </w:r>
      <w:r>
        <w:t xml:space="preserve"> </w:t>
      </w:r>
      <w:r>
        <w:t>−2</w:t>
      </w:r>
      <w:r>
        <w:t xml:space="preserve"> </w:t>
      </w:r>
      <w:r>
        <w:t>, outperforming Ni</w:t>
      </w:r>
      <w:r>
        <w:t xml:space="preserve"> </w:t>
      </w:r>
      <w:r>
        <w:t>II+δ</w:t>
      </w:r>
      <w:r>
        <w:t xml:space="preserve"> </w:t>
      </w:r>
      <w:r>
        <w:t>‐O‐Ni</w:t>
      </w:r>
      <w:r>
        <w:t xml:space="preserve"> </w:t>
      </w:r>
      <w:r>
        <w:t>II+δ</w:t>
      </w:r>
      <w:r>
        <w:t xml:space="preserve"> </w:t>
      </w:r>
      <w:r>
        <w:t>(1.333 V</w:t>
      </w:r>
      <w:r>
        <w:t xml:space="preserve"> </w:t>
      </w:r>
      <w:r>
        <w:t>RHE</w:t>
      </w:r>
      <w:r>
        <w:t xml:space="preserve"> </w:t>
      </w:r>
      <w:r>
        <w:t>), Ni</w:t>
      </w:r>
      <w:r>
        <w:t xml:space="preserve"> </w:t>
      </w:r>
      <w:r>
        <w:t>II</w:t>
      </w:r>
      <w:r>
        <w:t xml:space="preserve"> </w:t>
      </w:r>
      <w:r>
        <w:t>‐O‐Co</w:t>
      </w:r>
      <w:r>
        <w:t xml:space="preserve"> </w:t>
      </w:r>
      <w:r>
        <w:t>II</w:t>
      </w:r>
      <w:r>
        <w:t xml:space="preserve"> </w:t>
      </w:r>
      <w:r>
        <w:t>(1.349 V</w:t>
      </w:r>
      <w:r>
        <w:t xml:space="preserve"> </w:t>
      </w:r>
      <w:r>
        <w:t>RHE</w:t>
      </w:r>
      <w:r>
        <w:t xml:space="preserve"> </w:t>
      </w:r>
      <w:r>
        <w:t>), and Ni</w:t>
      </w:r>
      <w:r>
        <w:t xml:space="preserve"> </w:t>
      </w:r>
      <w:r>
        <w:t>II</w:t>
      </w:r>
      <w:r>
        <w:t xml:space="preserve"> </w:t>
      </w:r>
      <w:r>
        <w:t>‐O‐Ni</w:t>
      </w:r>
      <w:r>
        <w:t xml:space="preserve"> </w:t>
      </w:r>
      <w:r>
        <w:t>II</w:t>
      </w:r>
      <w:r>
        <w:t xml:space="preserve"> </w:t>
      </w:r>
      <w:r>
        <w:t>(1.365 V</w:t>
      </w:r>
      <w:r>
        <w:t xml:space="preserve"> </w:t>
      </w:r>
      <w:r>
        <w:t>RHE</w:t>
      </w:r>
      <w:r>
        <w:t xml:space="preserve"> </w:t>
      </w:r>
      <w:r>
        <w:t>). Concurrently, the electron‐delocalized Ni–Co pairs with upshifted d‐band centers enhance N‐terminal urea adsorption and Ni/Co‐N charge transfer, which weakens N─H bonds and reduces the energy barrier of the rate‐determining step (CONH</w:t>
      </w:r>
      <w:r>
        <w:rPr>
          <w:vertAlign w:val="subscript"/>
        </w:rPr>
        <w:t>2</w:t>
      </w:r>
      <w:r>
        <w:t>NH</w:t>
      </w:r>
      <w:r>
        <w:rPr>
          <w:vertAlign w:val="subscript"/>
        </w:rPr>
        <w:t>2</w:t>
      </w:r>
      <w:r>
        <w:t>*</w:t>
      </w:r>
      <w:r>
        <w:t xml:space="preserve"> </w:t>
      </w:r>
      <w:r>
        <w:t>→ CONH</w:t>
      </w:r>
      <w:r>
        <w:rPr>
          <w:vertAlign w:val="subscript"/>
        </w:rPr>
        <w:t>2</w:t>
      </w:r>
      <w:r>
        <w:t>NH</w:t>
      </w:r>
      <w:r>
        <w:t xml:space="preserve"> </w:t>
      </w:r>
      <w:r>
        <w:t>*</w:t>
      </w:r>
      <w:r>
        <w:t xml:space="preserve"> </w:t>
      </w:r>
      <w:r>
        <w:t>). The strengthened metal‐O bonding suppresses dissolution, achieving record stability for 2100 h across 10–500 mA cm</w:t>
      </w:r>
      <w:r>
        <w:t xml:space="preserve"> </w:t>
      </w:r>
      <w:r>
        <w:t>−2</w:t>
      </w:r>
      <w:r>
        <w:t xml:space="preserve"> </w:t>
      </w:r>
      <w:r>
        <w:t>. Applied in a urea/urine electrolyzer, this catalyst enables energy‐saving hydrogen production (3.68/3.74 kW h m</w:t>
      </w:r>
      <w:r>
        <w:t xml:space="preserve"> </w:t>
      </w:r>
      <w:r>
        <w:t>−3</w:t>
      </w:r>
      <w:r>
        <w:t xml:space="preserve"> </w:t>
      </w:r>
      <w:r>
        <w:t>at 100 mA cm</w:t>
      </w:r>
      <w:r>
        <w:t xml:space="preserve"> </w:t>
      </w:r>
      <w:r>
        <w:t>−2</w:t>
      </w:r>
      <w:r>
        <w:t xml:space="preserve"> </w:t>
      </w:r>
      <w:r>
        <w:t>), providing a dual‐purpose solution for sustainable energy and environmental remediation.</w:t>
      </w:r>
    </w:p>
    <w:p>
      <w:pPr>
        <w:spacing w:before="120" w:after="120"/>
      </w:pPr>
      <w:r>
        <w:rPr>
          <w:sz w:val="18"/>
        </w:rPr>
        <w:t>——————————————————————————————————————————————————————————————————————</w:t>
      </w:r>
    </w:p>
    <w:p>
      <w:pPr>
        <w:spacing w:before="160" w:after="40" w:line="240" w:lineRule="auto"/>
      </w:pPr>
      <w:r>
        <w:rPr>
          <w:b/>
        </w:rPr>
        <w:t xml:space="preserve">[266] </w:t>
      </w:r>
      <w:hyperlink r:id="rId410">
        <w:r>
          <w:rPr>
            <w:color w:val="1155CC"/>
            <w:u w:val="single"/>
          </w:rPr>
          <w:t>Bi4Te3中的Sharpeed Dirac Cone 和高压载运车机动性,由一台高 [Bi2]热电双层内容设计 [Bi2]</w:t>
        </w:r>
      </w:hyperlink>
    </w:p>
    <w:p>
      <w:pPr>
        <w:spacing w:before="0" w:after="80"/>
      </w:pPr>
      <w:r>
        <w:rPr>
          <w:i/>
          <w:sz w:val="20"/>
        </w:rPr>
        <w:t>EN: Sharpened Dirac Cone and Elevated Carrier Mobility in Bi4Te3 Engineered by a High [Bi2] Bilayer Content for Thermoelectrics</w:t>
      </w:r>
    </w:p>
    <w:p>
      <w:pPr>
        <w:spacing w:before="0" w:after="120"/>
      </w:pPr>
      <w:r>
        <w:rPr>
          <w:b/>
        </w:rPr>
        <w:t xml:space="preserve">Source: </w:t>
      </w:r>
      <w:r>
        <w:t>Wiley: Angewandte Chemie International Edition: Table of Contents</w:t>
      </w:r>
      <w:r>
        <w:t xml:space="preserve">    </w:t>
      </w:r>
      <w:r>
        <w:rPr>
          <w:b/>
        </w:rPr>
        <w:t xml:space="preserve">Pub date: </w:t>
      </w:r>
      <w:r>
        <w:t>2026-02-03 05:46:34+00:00</w:t>
      </w:r>
      <w:r>
        <w:t xml:space="preserve">    </w:t>
      </w:r>
      <w:r>
        <w:rPr>
          <w:b/>
        </w:rPr>
        <w:t xml:space="preserve">DOI: </w:t>
      </w:r>
      <w:hyperlink r:id="rId411">
        <w:r>
          <w:rPr>
            <w:color w:val="1155CC"/>
            <w:u w:val="single"/>
          </w:rPr>
          <w:t>10.1002/anie.202524705</w:t>
        </w:r>
      </w:hyperlink>
    </w:p>
    <w:p>
      <w:pPr>
        <w:spacing w:before="0" w:after="120"/>
      </w:pPr>
      <w:r>
        <w:rPr>
          <w:b/>
        </w:rPr>
        <w:t xml:space="preserve">Notes: </w:t>
      </w:r>
      <w:r>
        <w:t>abstract_source=crossref</w:t>
      </w:r>
    </w:p>
    <w:p>
      <w:pPr>
        <w:spacing w:before="0" w:after="80" w:lineRule="auto" w:line="276"/>
      </w:pPr>
      <w:r>
        <w:rPr>
          <w:b/>
        </w:rPr>
        <w:t xml:space="preserve">摘要（ZH）: </w:t>
      </w:r>
      <w:r>
        <w:t>[Bi 2]m [Bi 2 Te 3]nn家庭具有金属[Bi 2]双层和表层绝缘器[Bi 2 Te 和表层绝缘器[Bi 2 Te 的自然异体结构[Bi 2 m [Bi 2 Te 3]m [Bi 2 Te 3]n家庭特征。</w:t>
      </w:r>
    </w:p>
    <w:p>
      <w:pPr>
        <w:spacing w:before="0" w:after="200" w:lineRule="auto" w:line="276"/>
      </w:pPr>
      <w:r>
        <w:rPr>
          <w:b/>
        </w:rPr>
        <w:t xml:space="preserve">Abstract (EN): </w:t>
      </w:r>
      <w:r>
        <w:t>The [Bi</w:t>
      </w:r>
      <w:r>
        <w:rPr>
          <w:vertAlign w:val="subscript"/>
        </w:rPr>
        <w:t>2</w:t>
      </w:r>
      <w:r>
        <w:t>]</w:t>
      </w:r>
      <w:r>
        <w:t xml:space="preserve"> </w:t>
      </w:r>
      <w:r>
        <w:t>m</w:t>
      </w:r>
      <w:r>
        <w:t xml:space="preserve"> </w:t>
      </w:r>
      <w:r>
        <w:t>[Bi</w:t>
      </w:r>
      <w:r>
        <w:rPr>
          <w:vertAlign w:val="subscript"/>
        </w:rPr>
        <w:t>2</w:t>
      </w:r>
      <w:r>
        <w:t>Te</w:t>
      </w:r>
      <w:r>
        <w:rPr>
          <w:vertAlign w:val="subscript"/>
        </w:rPr>
        <w:t>3</w:t>
      </w:r>
      <w:r>
        <w:t>]</w:t>
      </w:r>
      <w:r>
        <w:t xml:space="preserve"> </w:t>
      </w:r>
      <w:r>
        <w:t>n</w:t>
      </w:r>
      <w:r>
        <w:t xml:space="preserve"> </w:t>
      </w:r>
      <w:r>
        <w:t>family features a natural heterostructure of metallic [Bi</w:t>
      </w:r>
      <w:r>
        <w:rPr>
          <w:vertAlign w:val="subscript"/>
        </w:rPr>
        <w:t>2</w:t>
      </w:r>
      <w:r>
        <w:t>] bilayers (BL) and topological insulator [Bi</w:t>
      </w:r>
      <w:r>
        <w:rPr>
          <w:vertAlign w:val="subscript"/>
        </w:rPr>
        <w:t>2</w:t>
      </w:r>
      <w:r>
        <w:t>Te</w:t>
      </w:r>
      <w:r>
        <w:rPr>
          <w:vertAlign w:val="subscript"/>
        </w:rPr>
        <w:t>3</w:t>
      </w:r>
      <w:r>
        <w:t>] quintuple layers (QL). We demonstrate that increasing the BL ratio ((</w:t>
      </w:r>
      <w:r>
        <w:t xml:space="preserve"> </w:t>
      </w:r>
      <w:r>
        <w:t>m</w:t>
      </w:r>
      <w:r>
        <w:t xml:space="preserve"> </w:t>
      </w:r>
      <w:r>
        <w:t>/(</w:t>
      </w:r>
      <w:r>
        <w:t xml:space="preserve"> </w:t>
      </w:r>
      <w:r>
        <w:t>m</w:t>
      </w:r>
      <w:r>
        <w:t xml:space="preserve"> </w:t>
      </w:r>
      <w:r>
        <w:t>+</w:t>
      </w:r>
      <w:r>
        <w:t xml:space="preserve"> </w:t>
      </w:r>
      <w:r>
        <w:t>n</w:t>
      </w:r>
      <w:r>
        <w:t xml:space="preserve"> </w:t>
      </w:r>
      <w:r>
        <w:t>))) enhances key thermoelectric properties. Bi</w:t>
      </w:r>
      <w:r>
        <w:rPr>
          <w:vertAlign w:val="subscript"/>
        </w:rPr>
        <w:t>4</w:t>
      </w:r>
      <w:r>
        <w:t>Te</w:t>
      </w:r>
      <w:r>
        <w:rPr>
          <w:vertAlign w:val="subscript"/>
        </w:rPr>
        <w:t>3</w:t>
      </w:r>
      <w:r>
        <w:t>(</w:t>
      </w:r>
      <w:r>
        <w:t xml:space="preserve"> </w:t>
      </w:r>
      <w:r>
        <w:t>m</w:t>
      </w:r>
      <w:r>
        <w:t xml:space="preserve"> </w:t>
      </w:r>
      <w:r>
        <w:t>= 3;</w:t>
      </w:r>
      <w:r>
        <w:t xml:space="preserve"> </w:t>
      </w:r>
      <w:r>
        <w:t>n</w:t>
      </w:r>
      <w:r>
        <w:t xml:space="preserve"> </w:t>
      </w:r>
      <w:r>
        <w:t>= 3) exhibits a sharpened Dirac cone and a high carrier mobility (117 cm</w:t>
      </w:r>
      <w:r>
        <w:rPr>
          <w:vertAlign w:val="subscript"/>
        </w:rPr>
        <w:t>2</w:t>
      </w:r>
      <w:r>
        <w:t>V</w:t>
      </w:r>
      <w:r>
        <w:t xml:space="preserve"> </w:t>
      </w:r>
      <w:r>
        <w:t>−1</w:t>
      </w:r>
      <w:r>
        <w:t xml:space="preserve"> </w:t>
      </w:r>
      <w:r>
        <w:t>s</w:t>
      </w:r>
      <w:r>
        <w:t xml:space="preserve"> </w:t>
      </w:r>
      <w:r>
        <w:t>−1</w:t>
      </w:r>
      <w:r>
        <w:t xml:space="preserve"> </w:t>
      </w:r>
      <w:r>
        <w:t>) twice that of Bi</w:t>
      </w:r>
      <w:r>
        <w:rPr>
          <w:vertAlign w:val="subscript"/>
        </w:rPr>
        <w:t>1</w:t>
      </w:r>
      <w:r>
        <w:t>Te</w:t>
      </w:r>
      <w:r>
        <w:rPr>
          <w:vertAlign w:val="subscript"/>
        </w:rPr>
        <w:t>1</w:t>
      </w:r>
      <w:r>
        <w:t>(</w:t>
      </w:r>
      <w:r>
        <w:t xml:space="preserve"> </w:t>
      </w:r>
      <w:r>
        <w:t>m</w:t>
      </w:r>
      <w:r>
        <w:t xml:space="preserve"> </w:t>
      </w:r>
      <w:r>
        <w:t>= 1;</w:t>
      </w:r>
      <w:r>
        <w:t xml:space="preserve"> </w:t>
      </w:r>
      <w:r>
        <w:t>n</w:t>
      </w:r>
      <w:r>
        <w:t xml:space="preserve"> </w:t>
      </w:r>
      <w:r>
        <w:t>= 2). This stems from strengthened</w:t>
      </w:r>
      <w:r>
        <w:t xml:space="preserve"> </w:t>
      </w:r>
      <w:r>
        <w:t>σ</w:t>
      </w:r>
      <w:r>
        <w:t xml:space="preserve"> </w:t>
      </w:r>
      <w:r>
        <w:t>‐bonding interlayer coupling, which reduces the carrier effective mass. Concurrently, the abundant [Bi</w:t>
      </w:r>
      <w:r>
        <w:rPr>
          <w:vertAlign w:val="subscript"/>
        </w:rPr>
        <w:t>2</w:t>
      </w:r>
      <w:r>
        <w:t>]‐BL lower Te vacancy formation energy, suppressing electron carrier concentration and synergistically boosting the Seebeck coefficient. This work provides the first direct experimental and theoretical evidence for the sharpening of the Dirac cone via a metallic [Bi</w:t>
      </w:r>
      <w:r>
        <w:rPr>
          <w:vertAlign w:val="subscript"/>
        </w:rPr>
        <w:t>2</w:t>
      </w:r>
      <w:r>
        <w:t>] bilayer engineering strategy. It addresses the key limitations of Bi</w:t>
      </w:r>
      <w:r>
        <w:rPr>
          <w:vertAlign w:val="subscript"/>
        </w:rPr>
        <w:t>1</w:t>
      </w:r>
      <w:r>
        <w:t>Te</w:t>
      </w:r>
      <w:r>
        <w:rPr>
          <w:vertAlign w:val="subscript"/>
        </w:rPr>
        <w:t>1</w:t>
      </w:r>
      <w:r>
        <w:t>, and the established structure‐property relationship, together with the metallic [Bi</w:t>
      </w:r>
      <w:r>
        <w:rPr>
          <w:vertAlign w:val="subscript"/>
        </w:rPr>
        <w:t>2</w:t>
      </w:r>
      <w:r>
        <w:t>]‐BL engineering strategy for sharpening the Dirac cone, further offers valuable insights for the rational design of thermoelectric materials and performance optimization across the entire Bi/Te material family.</w:t>
      </w:r>
    </w:p>
    <w:p>
      <w:pPr>
        <w:spacing w:before="120" w:after="120"/>
      </w:pPr>
      <w:r>
        <w:rPr>
          <w:sz w:val="18"/>
        </w:rPr>
        <w:t>——————————————————————————————————————————————————————————————————————</w:t>
      </w:r>
    </w:p>
    <w:p>
      <w:pPr>
        <w:spacing w:before="160" w:after="40" w:line="240" w:lineRule="auto"/>
      </w:pPr>
      <w:r>
        <w:rPr>
          <w:b/>
        </w:rPr>
        <w:t xml:space="preserve">[267] </w:t>
      </w:r>
      <w:hyperlink r:id="rId412">
        <w:r>
          <w:rPr>
            <w:color w:val="1155CC"/>
            <w:u w:val="single"/>
          </w:rPr>
          <w:t>Au(100) 电极对孤立的移动Au-Br和Au-S表面综合体的观测</w:t>
        </w:r>
      </w:hyperlink>
    </w:p>
    <w:p>
      <w:pPr>
        <w:spacing w:before="0" w:after="80"/>
      </w:pPr>
      <w:r>
        <w:rPr>
          <w:i/>
          <w:sz w:val="20"/>
        </w:rPr>
        <w:t>EN: Observations of Isolated Mobile Au–Br and Au–S Surface Complexes on Au(100) Electrodes</w:t>
      </w:r>
    </w:p>
    <w:p>
      <w:pPr>
        <w:spacing w:before="0" w:after="120"/>
      </w:pPr>
      <w:r>
        <w:rPr>
          <w:b/>
        </w:rPr>
        <w:t xml:space="preserve">Source: </w:t>
      </w:r>
      <w:r>
        <w:t>Wiley: Angewandte Chemie International Edition: Table of Contents</w:t>
      </w:r>
      <w:r>
        <w:t xml:space="preserve">    </w:t>
      </w:r>
      <w:r>
        <w:rPr>
          <w:b/>
        </w:rPr>
        <w:t xml:space="preserve">Pub date: </w:t>
      </w:r>
      <w:r>
        <w:t>2026-02-03 07:00:49+00:00</w:t>
      </w:r>
      <w:r>
        <w:t xml:space="preserve">    </w:t>
      </w:r>
      <w:r>
        <w:rPr>
          <w:b/>
        </w:rPr>
        <w:t xml:space="preserve">DOI: </w:t>
      </w:r>
      <w:hyperlink r:id="rId413">
        <w:r>
          <w:rPr>
            <w:color w:val="1155CC"/>
            <w:u w:val="single"/>
          </w:rPr>
          <w:t>10.1002/anie.202520653</w:t>
        </w:r>
      </w:hyperlink>
    </w:p>
    <w:p>
      <w:pPr>
        <w:spacing w:before="0" w:after="120"/>
      </w:pPr>
      <w:r>
        <w:rPr>
          <w:b/>
        </w:rPr>
        <w:t xml:space="preserve">Notes: </w:t>
      </w:r>
      <w:r>
        <w:t>abstract_source=crossref</w:t>
      </w:r>
    </w:p>
    <w:p>
      <w:pPr>
        <w:spacing w:before="0" w:after="80" w:lineRule="auto" w:line="276"/>
      </w:pPr>
      <w:r>
        <w:rPr>
          <w:b/>
        </w:rPr>
        <w:t xml:space="preserve">摘要（ZH）: </w:t>
      </w:r>
      <w:r>
        <w:t>例如,对金属进行电磁沉积、蚀刻和纳米粒子合成的ABSTRACT Wet化学加工通常需要复合物剂。 特别是对于高贵金属加工、卤化物或硫化物等阴离子复合物种,如卤化物或硫化物是不可或缺的。 虽然已知这些物种在金属表面有很强的吸附作用,并影响金属核化和生长,但这些阴离子在基本原子学过程中的详细作用并不那么清楚。 通常假定地涉及地表复合物,但后者的实验性证据仍然缺乏。 在这里,我们直接展示了对金-溴化物和金-硫化物表面复合物在奥( 100)电极上的现场视频扫描隧道显微观察。 基于分子内部分辨率i。</w:t>
      </w:r>
    </w:p>
    <w:p>
      <w:pPr>
        <w:spacing w:before="0" w:after="200" w:lineRule="auto" w:line="276"/>
      </w:pPr>
      <w:r>
        <w:rPr>
          <w:b/>
        </w:rPr>
        <w:t xml:space="preserve">Abstract (EN): </w:t>
      </w:r>
      <w:r>
        <w:t>Wet‐chemical processing of metals, for example, galvanic deposition, etching, and nanoparticle synthesis, usually requires complexing agents. In particular, for noble metal processing, anionic complexing species, such as halides or sulfide are indispensable. While it is known that these species strongly adsorb on metal surfaces and affect metal nucleation and growth, the detailed role of these anions in the underlying atomistic processes is less clear. Often, it is assumed that surface complexes are involved, but experimental evidence for the latter is still lacking. Here, we present direct in situ video‐rate scanning tunneling microscopy observations of gold–bromide and gold–sulfur surface complexes on Au(100) electrodes. Based on the intramolecular resolution images obtained in these studies, these species can be assigned to a dimeric planar  and a linear  complex. Once formed, the surfaces complexes are stable even at rather negative potentials and diffuse as molecular species on the Au surface.</w:t>
      </w:r>
    </w:p>
    <w:p>
      <w:pPr>
        <w:spacing w:before="120" w:after="120"/>
      </w:pPr>
      <w:r>
        <w:rPr>
          <w:sz w:val="18"/>
        </w:rPr>
        <w:t>——————————————————————————————————————————————————————————————————————</w:t>
      </w:r>
    </w:p>
    <w:p>
      <w:pPr>
        <w:spacing w:before="160" w:after="40" w:line="240" w:lineRule="auto"/>
      </w:pPr>
      <w:r>
        <w:rPr>
          <w:b/>
        </w:rPr>
        <w:t xml:space="preserve">[268] </w:t>
      </w:r>
      <w:hyperlink r:id="rId414">
        <w:r>
          <w:rPr>
            <w:color w:val="1155CC"/>
            <w:u w:val="single"/>
          </w:rPr>
          <w:t>推进光动力催化氢进化的有机框架</w:t>
        </w:r>
      </w:hyperlink>
    </w:p>
    <w:p>
      <w:pPr>
        <w:spacing w:before="0" w:after="80"/>
      </w:pPr>
      <w:r>
        <w:rPr>
          <w:i/>
          <w:sz w:val="20"/>
        </w:rPr>
        <w:t>EN: Band‐Gap Engineering of Isoreticular Hydrogen‐Bonded Organic Frameworks for Boosting Photocatalytic Hydrogen Evolution</w:t>
      </w:r>
    </w:p>
    <w:p>
      <w:pPr>
        <w:spacing w:before="0" w:after="120"/>
      </w:pPr>
      <w:r>
        <w:rPr>
          <w:b/>
        </w:rPr>
        <w:t xml:space="preserve">Source: </w:t>
      </w:r>
      <w:r>
        <w:t>Wiley: Angewandte Chemie International Edition: Table of Contents</w:t>
      </w:r>
      <w:r>
        <w:t xml:space="preserve">    </w:t>
      </w:r>
      <w:r>
        <w:rPr>
          <w:b/>
        </w:rPr>
        <w:t xml:space="preserve">Pub date: </w:t>
      </w:r>
      <w:r>
        <w:t>2026-02-03 07:08:07+00:00</w:t>
      </w:r>
      <w:r>
        <w:t xml:space="preserve">    </w:t>
      </w:r>
      <w:r>
        <w:rPr>
          <w:b/>
        </w:rPr>
        <w:t xml:space="preserve">DOI: </w:t>
      </w:r>
      <w:hyperlink r:id="rId415">
        <w:r>
          <w:rPr>
            <w:color w:val="1155CC"/>
            <w:u w:val="single"/>
          </w:rPr>
          <w:t>10.1002/anie.202525987</w:t>
        </w:r>
      </w:hyperlink>
    </w:p>
    <w:p>
      <w:pPr>
        <w:spacing w:before="0" w:after="120"/>
      </w:pPr>
      <w:r>
        <w:rPr>
          <w:b/>
        </w:rPr>
        <w:t xml:space="preserve">Notes: </w:t>
      </w:r>
      <w:r>
        <w:t>abstract_source=crossref</w:t>
      </w:r>
    </w:p>
    <w:p>
      <w:pPr>
        <w:spacing w:before="0" w:after="80" w:lineRule="auto" w:line="276"/>
      </w:pPr>
      <w:r>
        <w:rPr>
          <w:b/>
        </w:rPr>
        <w:t xml:space="preserve">摘要（ZH）: </w:t>
      </w:r>
      <w:r>
        <w:t>有机半导体中带状结构的合理调制是推进光催化性能的核心,但对于氢氧化有机框架(HOF)来说仍然具有挑战性,因为其结构上对有机建筑单元(OBU)的修改具有敏感性。 这里,根据稳定的中观框架HOF102, conjugation 延伸和捐赠方接受的OBU, 预先设计,用苯乙烯衍生物取代了固烷基单位,该衍生物带有-H、-CH 3 或- CN 。 通过一个形状适合的堆叠策略,从定制的OBUs中合成了三种与HOF102的中观异异构体,即HOF1022, HOF1022 CH 3。</w:t>
      </w:r>
    </w:p>
    <w:p>
      <w:pPr>
        <w:spacing w:before="0" w:after="200" w:lineRule="auto" w:line="276"/>
      </w:pPr>
      <w:r>
        <w:rPr>
          <w:b/>
        </w:rPr>
        <w:t xml:space="preserve">Abstract (EN): </w:t>
      </w:r>
      <w:r>
        <w:t>The rational modulation of band structures in organic semiconductors is central to advancing photocatalytic performance but remains challenging for hydrogen‐bonded organic frameworks (HOFs) due to their structural sensitivity to the modification of organic building units (OBUs). Here, based on the stable mesoporous framework HOF‐102, π‐conjugation‐extended and donor‐acceptor‐tuned OBUs were predesigned by substituting the steric naphthalene units with benzene‐vinyl derivatives bearing ─H, ─CH</w:t>
      </w:r>
      <w:r>
        <w:rPr>
          <w:vertAlign w:val="subscript"/>
        </w:rPr>
        <w:t>3</w:t>
      </w:r>
      <w:r>
        <w:t>, or ─CN groups. Through a shape‐fitted π─π stacking strategy, three mesoporous HOFs isoreticular with HOF‐102 were synthesized from the tailored OBUs, namely HOF‐1022, HOF‐1022(CH</w:t>
      </w:r>
      <w:r>
        <w:rPr>
          <w:vertAlign w:val="subscript"/>
        </w:rPr>
        <w:t>3</w:t>
      </w:r>
      <w:r>
        <w:t>), and HOF‐1022(CN). These as‐synthesized HOFs exhibit pronounced variations in visible‐light absorption, with band gaps adjustable from 2.46 to 1.86 eV. Among these HOFs, the D‐A‐optimized HOF‐1022(CN) possesses the narrowest band gap and exhibits significantly enhanced intraframework electron transfer and suppressed charge recombination, yielding an impressive hydrogen evolution activity of 168.2 mmol g</w:t>
      </w:r>
      <w:r>
        <w:t xml:space="preserve"> </w:t>
      </w:r>
      <w:r>
        <w:t>−1</w:t>
      </w:r>
      <w:r>
        <w:t xml:space="preserve"> </w:t>
      </w:r>
      <w:r>
        <w:t>h</w:t>
      </w:r>
      <w:r>
        <w:t xml:space="preserve"> </w:t>
      </w:r>
      <w:r>
        <w:t>−1</w:t>
      </w:r>
      <w:r>
        <w:t xml:space="preserve"> </w:t>
      </w:r>
      <w:r>
        <w:t>, which is 8.5 times higher than that of HOF‐1022(CH</w:t>
      </w:r>
      <w:r>
        <w:rPr>
          <w:vertAlign w:val="subscript"/>
        </w:rPr>
        <w:t>3</w:t>
      </w:r>
      <w:r>
        <w:t>), and an apparent quantum yield (AQY) of 7.3% at 420 nm. This study represents the first demonstration of band‐gap engineering in HOFs materials and establishes a generalizable molecular‐design principle for developing high‐performance HOFs‐based photocatalysts.</w:t>
      </w:r>
    </w:p>
    <w:p>
      <w:pPr>
        <w:spacing w:before="120" w:after="120"/>
      </w:pPr>
      <w:r>
        <w:rPr>
          <w:sz w:val="18"/>
        </w:rPr>
        <w:t>——————————————————————————————————————————————————————————————————————</w:t>
      </w:r>
    </w:p>
    <w:p>
      <w:pPr>
        <w:spacing w:before="160" w:after="40" w:line="240" w:lineRule="auto"/>
      </w:pPr>
      <w:r>
        <w:rPr>
          <w:b/>
        </w:rPr>
        <w:t xml:space="preserve">[269] </w:t>
      </w:r>
      <w:hyperlink r:id="rId416">
        <w:r>
          <w:rPr>
            <w:color w:val="1155CC"/>
            <w:u w:val="single"/>
          </w:rPr>
          <w:t>对脊椎动物生命-历史特征的控制表明,有效人口规模不影响突变率或基因组规模</w:t>
        </w:r>
      </w:hyperlink>
    </w:p>
    <w:p>
      <w:pPr>
        <w:spacing w:before="0" w:after="80"/>
      </w:pPr>
      <w:r>
        <w:rPr>
          <w:i/>
          <w:sz w:val="20"/>
        </w:rPr>
        <w:t>EN: Controlling for life-history traits in vertebrates reveals that effective population size does not affect mutation rate or genome size</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17">
        <w:r>
          <w:rPr>
            <w:color w:val="1155CC"/>
            <w:u w:val="single"/>
          </w:rPr>
          <w:t>10.1073/pnas.2519649123</w:t>
        </w:r>
      </w:hyperlink>
    </w:p>
    <w:p>
      <w:pPr>
        <w:spacing w:before="0" w:after="120"/>
      </w:pPr>
      <w:r>
        <w:rPr>
          <w:b/>
        </w:rPr>
        <w:t xml:space="preserve">Notes: </w:t>
      </w:r>
      <w:r>
        <w:t>abstract_source=pubmed</w:t>
      </w:r>
    </w:p>
    <w:p>
      <w:pPr>
        <w:spacing w:before="0" w:after="80" w:lineRule="auto" w:line="276"/>
      </w:pPr>
      <w:r>
        <w:rPr>
          <w:b/>
        </w:rPr>
        <w:t xml:space="preserve">摘要（ZH）: </w:t>
      </w:r>
      <w:r>
        <w:t>物种之间为何突变率(微克)和基因组大小(GS)不同,仍然是进化遗传学中的一个中心问题。两种有影响力的模式,即漂浮屏障假设(DBH)和突变危害假设(突变危险假设)都建议,有效的人口规模(Ne)通过选择效率来塑造这些特征,预测小种群中较高和更大的微克和较大基因组。最近对脊椎动物的比较分析表明,Ne和微克之间存在显著的负相关关系,被解释为对DBH的支持。我们通过对植物遗传路径的分析,对分布在哺乳动物、鸟类、爬行动物和鱼类的55种脊椎动物的数据集进行了重新分析,在这些数据中,微子来自高覆盖层的母体脱钩三角体的估计,同时明确控制因果框体内的六种生命史特征。</w:t>
      </w:r>
    </w:p>
    <w:p>
      <w:pPr>
        <w:spacing w:before="0" w:after="200" w:lineRule="auto" w:line="276"/>
      </w:pPr>
      <w:r>
        <w:rPr>
          <w:b/>
        </w:rPr>
        <w:t xml:space="preserve">Abstract (EN): </w:t>
      </w:r>
      <w:r>
        <w:t>Why mutation rates (μ) and genome sizes (GS) vary among species remains a central question in evolutionary genetics. Two influential models, the drift-barrier hypothesis (DBH) and the mutational-hazard hypothesis, propose that effective population size (Ne) shapes these traits via the efficiency of selection, predicting higher μ and larger genomes in small populations. A recent comparative analysis of vertebrates reported a significant negative correlation between Ne and μ, interpreted as support for the DBH. Using phylogenetic path analysis, we reanalyze the same dataset of 55 vertebrate species spanning mammals, birds, reptiles, and fishes, in which μ was estimated from high-coverage parent-offspring trios, while explicitly controlling for six life-history traits within a causal framework that tests model-implied conditional independencies. We show that the reported Ne-μ association is entirely mediated by generation time (GT), which independently influences both variables; once this "back-door" path is blocked, Ne has no detectable effect on μ. Once GT is accounted for, mating system shows the largest association with μ. Parallel analyses of GS within the same validated life-history framework reveal that GS is unrelated to Ne, μ, or their interaction and is decoupled from the life-history covariation that strongly structures μ. These results are robust to alternative Ne estimators and causal model formulations. Together, our findings indicate that Ne provides little explanatory power for variation in μ or GS across vertebrates, challenging the presumed universality of drift-limited genome evolution.</w:t>
      </w:r>
    </w:p>
    <w:p>
      <w:pPr>
        <w:spacing w:before="120" w:after="120"/>
      </w:pPr>
      <w:r>
        <w:rPr>
          <w:sz w:val="18"/>
        </w:rPr>
        <w:t>——————————————————————————————————————————————————————————————————————</w:t>
      </w:r>
    </w:p>
    <w:p>
      <w:pPr>
        <w:spacing w:before="160" w:after="40" w:line="240" w:lineRule="auto"/>
      </w:pPr>
      <w:r>
        <w:rPr>
          <w:b/>
        </w:rPr>
        <w:t xml:space="preserve">[270] </w:t>
      </w:r>
      <w:hyperlink r:id="rId418">
        <w:r>
          <w:rPr>
            <w:color w:val="1155CC"/>
            <w:u w:val="single"/>
          </w:rPr>
          <w:t>静默的 Kv 频道子单元在高频点火期间形成PV 神经神经动作 潜在波形和短期神经合成可塑性</w:t>
        </w:r>
      </w:hyperlink>
    </w:p>
    <w:p>
      <w:pPr>
        <w:spacing w:before="0" w:after="80"/>
      </w:pPr>
      <w:r>
        <w:rPr>
          <w:i/>
          <w:sz w:val="20"/>
        </w:rPr>
        <w:t>EN: A silent Kv channel subunit shapes PV neuron action potential waveform and short-term synaptic plasticity during high-frequency firing</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19">
        <w:r>
          <w:rPr>
            <w:color w:val="1155CC"/>
            <w:u w:val="single"/>
          </w:rPr>
          <w:t>10.1073/pnas.2531946123</w:t>
        </w:r>
      </w:hyperlink>
    </w:p>
    <w:p>
      <w:pPr>
        <w:spacing w:before="0" w:after="120"/>
      </w:pPr>
      <w:r>
        <w:rPr>
          <w:b/>
        </w:rPr>
        <w:t xml:space="preserve">Notes: </w:t>
      </w:r>
      <w:r>
        <w:t>abstract_source=pubmed</w:t>
      </w:r>
    </w:p>
    <w:p>
      <w:pPr>
        <w:spacing w:before="0" w:after="80" w:lineRule="auto" w:line="276"/>
      </w:pPr>
      <w:r>
        <w:rPr>
          <w:b/>
        </w:rPr>
        <w:t xml:space="preserve">摘要（ZH）: </w:t>
      </w:r>
      <w:r>
        <w:t>快速spiging parvalbumin- 阳性神经(PV) 精确地提供时间和根据环境在皮层电路内进行抑制。 光伏神经燃烧特性在皮层神经元中具有专长性, 表明它们表示离离子信道的独特补充。 这里, 我们显示, 光伏专用静电压加固钾( Kv) 频道下Uit Kv6.4( 由 Kcng4 编码) 调节皮层PV神经元的内在和合成特性。 Kv6.4 本身不形成功能性渠道, 但是, 如先前的工作所示, 与 Kv2 子单位聚集, 以创建外向导信道复合, 有效减少 Kv2- 介介导延迟矩形电流 。 我们发现 Kng4 表达方式在一种独特的Pvalb 表达式子类中丰富, 以初级口腔( S1) 和马达 (M1) 。</w:t>
      </w:r>
    </w:p>
    <w:p>
      <w:pPr>
        <w:spacing w:before="0" w:after="200" w:lineRule="auto" w:line="276"/>
      </w:pPr>
      <w:r>
        <w:rPr>
          <w:b/>
        </w:rPr>
        <w:t xml:space="preserve">Abstract (EN): </w:t>
      </w:r>
      <w:r>
        <w:t>Fast-spiking parvalbumin-positive (PV) neurons provide precisely timed, context-dependent inhibition within cortical circuits. PV neuron firing properties are specialized among cortical neurons, suggesting that they express a unique complement of ion channels. Here, we show that the PV-specific silent voltage-gated potassium (Kv) channel subunit Kv6.4 (encoded by Kcng4) modulates both intrinsic and synaptic properties of cortical PV neurons. Kv6.4 does not form functional channels on its own but, as shown in prior work, assembles with Kv2 subunits to create heterotetrameric channel complexes, effectively reducing Kv2-mediated delayed rectifier current. We find that Kcng4 expression is enriched within a distinct Pvalb-expressing subclass in primary somatosensory (S1) and motor (M1) cortex and emerges during postnatal development. In PV neurons, Kv6.4 loss reduces action potential (AP) height and width, hyperpolarizes the threshold and interspike potential, and accelerates AP upstroke particularly during repetitive firing. Kv6.4 loss, potentially due to the changes in AP waveform, also alters GABA release and paired-pulse depression at synapses made by PV onto pyramidal (PYR) neurons. The effects of Kv6.4 loss are amplified during high-frequency firing, within the physiological range of fast-spiking PV neurons, likely due to altered repolarization dynamics that accumulate across successive APs. These findings are thus consistent with the function of Kv6.4 in modifying Kv2-mediated delayed rectifier currents. Hence, Kv6.4 tunes the temporal precision of PV inhibitory output, a feature that may be critical for stable excitation-inhibition ratios and adaptive circuit function underlying learning and behavior.</w:t>
      </w:r>
    </w:p>
    <w:p>
      <w:pPr>
        <w:spacing w:before="120" w:after="120"/>
      </w:pPr>
      <w:r>
        <w:rPr>
          <w:sz w:val="18"/>
        </w:rPr>
        <w:t>——————————————————————————————————————————————————————————————————————</w:t>
      </w:r>
    </w:p>
    <w:p>
      <w:pPr>
        <w:spacing w:before="160" w:after="40" w:line="240" w:lineRule="auto"/>
      </w:pPr>
      <w:r>
        <w:rPr>
          <w:b/>
        </w:rPr>
        <w:t xml:space="preserve">[271] </w:t>
      </w:r>
      <w:hyperlink r:id="rId420">
        <w:r>
          <w:rPr>
            <w:color w:val="1155CC"/>
            <w:u w:val="single"/>
          </w:rPr>
          <w:t>结合的厌食物和极端的分化是生产巨型锂富石的关键。</w:t>
        </w:r>
      </w:hyperlink>
    </w:p>
    <w:p>
      <w:pPr>
        <w:spacing w:before="0" w:after="80"/>
      </w:pPr>
      <w:r>
        <w:rPr>
          <w:i/>
          <w:sz w:val="20"/>
        </w:rPr>
        <w:t>EN: Coupled anatexis and extreme differentiation are the keys for producing giant lithium-rich pegmatites</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21">
        <w:r>
          <w:rPr>
            <w:color w:val="1155CC"/>
            <w:u w:val="single"/>
          </w:rPr>
          <w:t>10.1073/pnas.2517372123</w:t>
        </w:r>
      </w:hyperlink>
    </w:p>
    <w:p>
      <w:pPr>
        <w:spacing w:before="0" w:after="120"/>
      </w:pPr>
      <w:r>
        <w:rPr>
          <w:b/>
        </w:rPr>
        <w:t xml:space="preserve">Notes: </w:t>
      </w:r>
      <w:r>
        <w:t>abstract_source=pubmed</w:t>
      </w:r>
    </w:p>
    <w:p>
      <w:pPr>
        <w:spacing w:before="0" w:after="80" w:lineRule="auto" w:line="276"/>
      </w:pPr>
      <w:r>
        <w:rPr>
          <w:b/>
        </w:rPr>
        <w:t xml:space="preserve">摘要（ZH）: </w:t>
      </w:r>
      <w:r>
        <w:t>尽管锂具有经济重要性,但对于将锂和其他稀有金属浓缩到粘合石类锂矿床中的加工过程存在很大分歧,援引了两个主要过程,即极端区别透光颗粒岩浆和沉积物质蛋白的直接反食物。我们使用地球化学模型,从对Jijika锂粒子石矿场的研究中,通过这两个过程对锂浓缩进行量化。Jijika锂粒子石矿田是全世界同类中最大的一个。根据对围绕4,211米岩芯进行系统取样的锂-硅-硅-B-B同位素研究,从两个深水孔和根茎外的结石区域区划中,我们提出了形成矿场的三阶段模型:</w:t>
      </w:r>
    </w:p>
    <w:p>
      <w:pPr>
        <w:spacing w:before="0" w:after="200" w:lineRule="auto" w:line="276"/>
      </w:pPr>
      <w:r>
        <w:rPr>
          <w:b/>
        </w:rPr>
        <w:t xml:space="preserve">Abstract (EN): </w:t>
      </w:r>
      <w:r>
        <w:t>Despite the economic importance of lithium, there is considerable disagreement over the processes that concentrate it and other rare metals in pegmatite-type lithium deposits. Two main processes have been invoked, namely extreme differentiation of a peraluminous granitic magma and direct anatexis of a sedimentary protolith. We use geochemical modeling to quantify lithium enrichment via these two processes from a study of the Jiajika lithium pegmatite field, one of the largest of its type in the world. Based on a lithium-silicon-boron-barium (Li-Si-B-Ba) isotope study involving systematic sampling along 4,211-m of core from two deep boreholes and from the regional zonation of pegmatites at outcrops, we propose a three-stage model for the formation of the pegmatite field: i) generation of a rare metal-rich melt by deep anatexis, involving ~5% partial melting of metapelitic rocks in the presence of 10 to 30% metamorphic fluid; ii) gradual enrichment of rare metals along a path of continuous magma differentiation until 75% of the initial melt had crystallized; and iii) a final stage of lithium mineralization during the escape of the water-rich magma due to the overpressures created in response to massive fluid exsolution and the extensional stress in the granite dome structure. The study provides important insights into how lithium-rich pegmatites can be targeted during exploration for pegmatite-hosted resources of lithium.</w:t>
      </w:r>
    </w:p>
    <w:p>
      <w:pPr>
        <w:spacing w:before="120" w:after="120"/>
      </w:pPr>
      <w:r>
        <w:rPr>
          <w:sz w:val="18"/>
        </w:rPr>
        <w:t>——————————————————————————————————————————————————————————————————————</w:t>
      </w:r>
    </w:p>
    <w:p>
      <w:pPr>
        <w:spacing w:before="160" w:after="40" w:line="240" w:lineRule="auto"/>
      </w:pPr>
      <w:r>
        <w:rPr>
          <w:b/>
        </w:rPr>
        <w:t xml:space="preserve">[272] </w:t>
      </w:r>
      <w:hyperlink r:id="rId422">
        <w:r>
          <w:rPr>
            <w:color w:val="1155CC"/>
            <w:u w:val="single"/>
          </w:rPr>
          <w:t>快速进化揭示了SARS-COV-2的远距离扩散</w:t>
        </w:r>
      </w:hyperlink>
    </w:p>
    <w:p>
      <w:pPr>
        <w:spacing w:before="0" w:after="80"/>
      </w:pPr>
      <w:r>
        <w:rPr>
          <w:i/>
          <w:sz w:val="20"/>
        </w:rPr>
        <w:t>EN: Rapid evolution reveals long-range spread of SARS-CoV-2</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23">
        <w:r>
          <w:rPr>
            <w:color w:val="1155CC"/>
            <w:u w:val="single"/>
          </w:rPr>
          <w:t>10.1073/pnas.2533093123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[273] </w:t>
      </w:r>
      <w:hyperlink r:id="rId424">
        <w:r>
          <w:rPr>
            <w:color w:val="1155CC"/>
            <w:u w:val="single"/>
          </w:rPr>
          <w:t>本问题</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25">
        <w:r>
          <w:rPr>
            <w:color w:val="1155CC"/>
            <w:u w:val="single"/>
          </w:rPr>
          <w:t>10.1073/iti0526123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[274] </w:t>
      </w:r>
      <w:hyperlink r:id="rId426">
        <w:r>
          <w:rPr>
            <w:color w:val="1155CC"/>
            <w:u w:val="single"/>
          </w:rPr>
          <w:t>将非洲锥体中表面抗原基因的转录和抑制综合在一起的一个因素</w:t>
        </w:r>
      </w:hyperlink>
    </w:p>
    <w:p>
      <w:pPr>
        <w:spacing w:before="0" w:after="80"/>
      </w:pPr>
      <w:r>
        <w:rPr>
          <w:i/>
          <w:sz w:val="20"/>
        </w:rPr>
        <w:t>EN: A factor integrating transcription and repression of surface antigen genes in African trypanosomes</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27">
        <w:r>
          <w:rPr>
            <w:color w:val="1155CC"/>
            <w:u w:val="single"/>
          </w:rPr>
          <w:t>10.1073/pnas.2531377123</w:t>
        </w:r>
      </w:hyperlink>
    </w:p>
    <w:p>
      <w:pPr>
        <w:spacing w:before="0" w:after="120"/>
      </w:pPr>
      <w:r>
        <w:rPr>
          <w:b/>
        </w:rPr>
        <w:t xml:space="preserve">Notes: </w:t>
      </w:r>
      <w:r>
        <w:t>abstract_source=pubmed</w:t>
      </w:r>
    </w:p>
    <w:p>
      <w:pPr>
        <w:spacing w:before="0" w:after="80" w:lineRule="auto" w:line="276"/>
      </w:pPr>
      <w:r>
        <w:rPr>
          <w:b/>
        </w:rPr>
        <w:t xml:space="preserve">摘要（ZH）: </w:t>
      </w:r>
      <w:r>
        <w:t>Trypanosoma brucei(T. Brucei)的抗原变异需要从亚星状血流表表达点之一(BSF)对一种变异的表层玻璃蛋白质(VSG)进行单方表示,这种转录由RNA聚合酶I(RNA Pol I)异常地进行介导,并发生在专门的核体即表达场体(ESB)中。虽然已知促进主动BES转录和静态BES的成份和闭合的因素,但这些对立活动是如何融合的,仍然未知。在这里,我们确定ESBX(Tb927.3.1.660)是这种协调所需的一种特定ESB蛋白质。我们表明,ESBX RNAI 击落后防止RNA Pol I 定位到ESBSB,并减少活性BES转录,同时以低加工率转录解非活性BESs。</w:t>
      </w:r>
    </w:p>
    <w:p>
      <w:pPr>
        <w:spacing w:before="0" w:after="200" w:lineRule="auto" w:line="276"/>
      </w:pPr>
      <w:r>
        <w:rPr>
          <w:b/>
        </w:rPr>
        <w:t xml:space="preserve">Abstract (EN): </w:t>
      </w:r>
      <w:r>
        <w:t>Antigenic variation in Trypanosoma brucei (T. brucei) requires monoallelic expression of one variant surface glycoprotein (VSG) from one of the subtelomeric bloodstream form (BSF) expression sites (BESs). This transcription is unusually mediated by RNA polymerase I (RNA Pol I) and occurs in a specialized nuclear body, the expression site body (ESB). While factors promoting active BES transcription and silencing inactive BESs are known, how these opposing activities are integrated remains unknown. Here, we identify ESBX (Tb927.3.1660) as a BSF-specific ESB protein necessary for this coordination. We show that ESBX RNAi knockdown prevents RNA Pol I localizing to the ESB and reduces active BES transcription, while also derepressing inactive BESs with low processivity transcription. Conversely, ESBX overexpression weakly activates inactive BESs in a distinct manner from ESBX knockdown, leading to processive transcription, without disrupting the active BES or forming supernumerary ESBs. ESBX knockdown causes a similar transcriptomic defect to ESB1 and VEX2 knockdown combined, establishing ESBX as a key factor linking transcriptional activation of the active BES with inactive BES silencing through the VSG exclusion (VEX) phenomenon. This allows us to suggest models for understanding the establishment and maintenance of monoallelic expression critical for parasite immune evasion.</w:t>
      </w:r>
    </w:p>
    <w:p>
      <w:pPr>
        <w:spacing w:before="120" w:after="120"/>
      </w:pPr>
      <w:r>
        <w:rPr>
          <w:sz w:val="18"/>
        </w:rPr>
        <w:t>——————————————————————————————————————————————————————————————————————</w:t>
      </w:r>
    </w:p>
    <w:p>
      <w:pPr>
        <w:spacing w:before="160" w:after="40" w:line="240" w:lineRule="auto"/>
      </w:pPr>
      <w:r>
        <w:rPr>
          <w:b/>
        </w:rPr>
        <w:t xml:space="preserve">[275] </w:t>
      </w:r>
      <w:hyperlink r:id="rId428">
        <w:r>
          <w:rPr>
            <w:color w:val="1155CC"/>
            <w:u w:val="single"/>
          </w:rPr>
          <w:t>一个可解释的分子框架,用于预测癌症驱动力误测突变</w:t>
        </w:r>
      </w:hyperlink>
    </w:p>
    <w:p>
      <w:pPr>
        <w:spacing w:before="0" w:after="80"/>
      </w:pPr>
      <w:r>
        <w:rPr>
          <w:i/>
          <w:sz w:val="20"/>
        </w:rPr>
        <w:t>EN: An interpretable molecular framework for predicting cancer driver missense mutations</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29">
        <w:r>
          <w:rPr>
            <w:color w:val="1155CC"/>
            <w:u w:val="single"/>
          </w:rPr>
          <w:t>10.1073/pnas.2524289123</w:t>
        </w:r>
      </w:hyperlink>
    </w:p>
    <w:p>
      <w:pPr>
        <w:spacing w:before="0" w:after="120"/>
      </w:pPr>
      <w:r>
        <w:rPr>
          <w:b/>
        </w:rPr>
        <w:t xml:space="preserve">Notes: </w:t>
      </w:r>
      <w:r>
        <w:t>abstract_source=pubmed</w:t>
      </w:r>
    </w:p>
    <w:p>
      <w:pPr>
        <w:spacing w:before="0" w:after="80" w:lineRule="auto" w:line="276"/>
      </w:pPr>
      <w:r>
        <w:rPr>
          <w:b/>
        </w:rPr>
        <w:t xml:space="preserve">摘要（ZH）: </w:t>
      </w:r>
      <w:r>
        <w:t>Missense突变在人类疾病中起着关键作用,造成遗传性失调和癌症。然而,准确预测其功能影响(特别是癌症驱动因素突变的功能影响)仍然是一项重大挑战,因为经验证的标签有限,而且相联性基于复杂的分子基础。在这里,我们利用一套全面的机械化分子特征,系统地确定了超过120,000种用于病原体、良性、驱动器、客机、经常性体和普通人口类别的中位变异。我们通过评估变异的统计负担,表明这些特征有效地区分了不同的变异类别,并显示功能地点、结构完整性和生物物理变化在p方面的持续丰富。</w:t>
      </w:r>
    </w:p>
    <w:p>
      <w:pPr>
        <w:spacing w:before="0" w:after="200" w:lineRule="auto" w:line="276"/>
      </w:pPr>
      <w:r>
        <w:rPr>
          <w:b/>
        </w:rPr>
        <w:t xml:space="preserve">Abstract (EN): </w:t>
      </w:r>
      <w:r>
        <w:t>Missense mutations play a critical role in human disease, contributing to both inherited disorders and cancer. However, accurately predicting their functional impact-particularly for cancer driver mutations-remains a major challenge due to limited validated labels and the complex molecular basis of oncogenesis. Here, we systematically characterized over 120,000 missense variants across pathogenic, benign, driver, passenger, recurrent somatic, and common population classes, using a comprehensive set of mechanistically grounded molecular features. By assessing the statistical burden of variations, we demonstrated that these features effectively discriminate among diverse variant classes and reveal a consistent enrichment of functional sites, structural integrity, and biophysical changes in pathogenic and driver mutations. Building on these insights, we developed MutaPheno, an interpretable framework for predicting the functional consequences of missense mutations. The model integrates 34 molecular-level features, encompassing structural, functional, physicochemical, and contextual descriptors, using a random forest algorithm. Trained exclusively on pathogenic and benign variants, MutaPheno achieved strong accuracy in predicting cancer driver mutations, outperforming both cancer-specific and general pathogenicity tools, while also demonstrating superior robustness when tested on unseen proteins. Our findings highlight the shared mechanisms between pathogenic and driver mutations and emphasize the role of molecular features in improving variant interpretation. MutaPheno provides a transparent and generalizable tool that can facilitate driver discovery and the development of targeted therapies.</w:t>
      </w:r>
    </w:p>
    <w:p>
      <w:pPr>
        <w:spacing w:before="120" w:after="120"/>
      </w:pPr>
      <w:r>
        <w:rPr>
          <w:sz w:val="18"/>
        </w:rPr>
        <w:t>——————————————————————————————————————————————————————————————————————</w:t>
      </w:r>
    </w:p>
    <w:p>
      <w:pPr>
        <w:spacing w:before="160" w:after="40" w:line="240" w:lineRule="auto"/>
      </w:pPr>
      <w:r>
        <w:rPr>
          <w:b/>
        </w:rPr>
        <w:t xml:space="preserve">[276] </w:t>
      </w:r>
      <w:hyperlink r:id="rId430">
        <w:r>
          <w:rPr>
            <w:color w:val="1155CC"/>
            <w:u w:val="single"/>
          </w:rPr>
          <w:t>2°C以下2°C以下的热带和亚热带城市扩大变暖</w:t>
        </w:r>
      </w:hyperlink>
    </w:p>
    <w:p>
      <w:pPr>
        <w:spacing w:before="0" w:after="80"/>
      </w:pPr>
      <w:r>
        <w:rPr>
          <w:i/>
          <w:sz w:val="20"/>
        </w:rPr>
        <w:t>EN: Amplified warming in tropical and subtropical cities under 2 °C climate change</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31">
        <w:r>
          <w:rPr>
            <w:color w:val="1155CC"/>
            <w:u w:val="single"/>
          </w:rPr>
          <w:t>10.1073/pnas.2502873123</w:t>
        </w:r>
      </w:hyperlink>
    </w:p>
    <w:p>
      <w:pPr>
        <w:spacing w:before="0" w:after="120"/>
      </w:pPr>
      <w:r>
        <w:rPr>
          <w:b/>
        </w:rPr>
        <w:t xml:space="preserve">Notes: </w:t>
      </w:r>
      <w:r>
        <w:t>abstract_source=pubmed</w:t>
      </w:r>
    </w:p>
    <w:p>
      <w:pPr>
        <w:spacing w:before="0" w:after="80" w:lineRule="auto" w:line="276"/>
      </w:pPr>
      <w:r>
        <w:rPr>
          <w:b/>
        </w:rPr>
        <w:t xml:space="preserve">摘要（ZH）: </w:t>
      </w:r>
      <w:r>
        <w:t>由于被称为城市热岛的现象,城市往往比农村环境更温暖,因为城市热岛可能受到各种因素的影响,例如区域气候和地表类型。在气候变化下,城市不仅面临其周围内地气温上升的挑战,而且还面临热岛潜在变化的挑战。然而,即使是具有“城市砖块”的高分辨率全球地球系统模型(ESM)也只能适当解决最大的城市地区或特大城市。在这里,我们通过对无害环境管理产出应用基于程序的统计学习模型来解决这些局限性,以提供亚热带和热带104个人口为300K至1M的中等城市的地表温度变化预测。在2°C下,在2°C的地球下,我们解决这些局限性。</w:t>
      </w:r>
    </w:p>
    <w:p>
      <w:pPr>
        <w:spacing w:before="0" w:after="200" w:lineRule="auto" w:line="276"/>
      </w:pPr>
      <w:r>
        <w:rPr>
          <w:b/>
        </w:rPr>
        <w:t xml:space="preserve">Abstract (EN): </w:t>
      </w:r>
      <w:r>
        <w:t>Cities are often warmer than rural surroundings due to a phenomenon known as the urban heat island, which can be influenced by various factors, such as regional climate and land surface types. Under climate change, cities face not only the challenge of increasing temperatures in their surrounding hinterland but also the challenge of potential changes in their heat islands. However, even high-resolution global Earth system models (ESMs) with "urban tiles" can only properly resolve the largest urban areas or megacities. Here, we address these limitations by applying a process-based statistical learning model to ESM outputs to provide projections of changes in land surface temperature (LST) for 104 medium-sized cities of population 300 K to 1 M in the subtropics and tropics. Under a 2 °C global warming scenario, annual mean LST in 81% of these cities is projected to increase faster than the surrounding area. In 16% of these cities, mostly in India and China, mean LST is projected to increase by an additional 50-112% above ESM projections of the surrounding area. Our findings underscore the importance of investigating the specific effects of climate change on urban heat exposure.</w:t>
      </w:r>
    </w:p>
    <w:p>
      <w:pPr>
        <w:spacing w:before="120" w:after="120"/>
      </w:pPr>
      <w:r>
        <w:rPr>
          <w:sz w:val="18"/>
        </w:rPr>
        <w:t>——————————————————————————————————————————————————————————————————————</w:t>
      </w:r>
    </w:p>
    <w:p>
      <w:pPr>
        <w:spacing w:before="160" w:after="40" w:line="240" w:lineRule="auto"/>
      </w:pPr>
      <w:r>
        <w:rPr>
          <w:b/>
        </w:rPr>
        <w:t xml:space="preserve">[277] </w:t>
      </w:r>
      <w:hyperlink r:id="rId432">
        <w:r>
          <w:rPr>
            <w:color w:val="1155CC"/>
            <w:u w:val="single"/>
          </w:rPr>
          <w:t>评估科学研究结果可信赖性的框架</w:t>
        </w:r>
      </w:hyperlink>
    </w:p>
    <w:p>
      <w:pPr>
        <w:spacing w:before="0" w:after="80"/>
      </w:pPr>
      <w:r>
        <w:rPr>
          <w:i/>
          <w:sz w:val="20"/>
        </w:rPr>
        <w:t>EN: A framework for assessing the trustworthiness of scientific research findings</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33">
        <w:r>
          <w:rPr>
            <w:color w:val="1155CC"/>
            <w:u w:val="single"/>
          </w:rPr>
          <w:t>10.1073/pnas.2536736123</w:t>
        </w:r>
      </w:hyperlink>
    </w:p>
    <w:p>
      <w:pPr>
        <w:spacing w:before="0" w:after="120"/>
      </w:pPr>
      <w:r>
        <w:rPr>
          <w:b/>
        </w:rPr>
        <w:t xml:space="preserve">Notes: </w:t>
      </w:r>
      <w:r>
        <w:t>abstract_source=pubmed</w:t>
      </w:r>
    </w:p>
    <w:p>
      <w:pPr>
        <w:spacing w:before="0" w:after="80" w:lineRule="auto" w:line="276"/>
      </w:pPr>
      <w:r>
        <w:rPr>
          <w:b/>
        </w:rPr>
        <w:t xml:space="preserve">摘要（ZH）: </w:t>
      </w:r>
      <w:r>
        <w:t>对若干领域科学研究结果的可信赖性进行了激烈的辩论。“什么使研究成果值得信赖?”问题“是什么使研究成果值得信赖?” 引起不同的答案,这取决于强调研究的诚信和伦理、研究方法、透明度、包容性、包容性、评估和同侪审查,还是学术交流。每个问题都提供了部分的洞察力。我们提供了一个系统方法,侧重于研究是否负责任、可评价、完善、完善、评估、控制偏向、减少错误,以及索赔是否为证据所证明。我们将这些组成部分与评估研究本身的可衡量可信度指标、开展研究的研究人员以及支持研究的组织联系起来。</w:t>
      </w:r>
    </w:p>
    <w:p>
      <w:pPr>
        <w:spacing w:before="0" w:after="200" w:lineRule="auto" w:line="276"/>
      </w:pPr>
      <w:r>
        <w:rPr>
          <w:b/>
        </w:rPr>
        <w:t xml:space="preserve">Abstract (EN): </w:t>
      </w:r>
      <w:r>
        <w:t>Vigorous debate has erupted over the trustworthiness of scientific research findings in a number of domains. The question "what makes research findings trustworthy?" elicits different answers depending on whether the emphasis is on research integrity and ethics, research methods, transparency, inclusion, assessment and peer review, or scholarly communication. Each provides partial insight. We offer a systems approach that focuses on whether the research is accountable, evaluable, well-formulated, has been evaluated, controls for bias, reduces error, and whether the claims are warranted by the evidence. We tie each of these components to measurable indicators of trustworthiness for evaluating the research itself, the researchers conducting the research, and the organizations supporting the research. Our goals are to offer a framework that can be applied across methods, approaches, and disciplines and to foster innovation in development of trustworthiness indicators. Developing valid indicators will improve the conduct and assessment of research and, ultimately, public understanding and trust.</w:t>
      </w:r>
    </w:p>
    <w:p>
      <w:pPr>
        <w:spacing w:before="120" w:after="120"/>
      </w:pPr>
      <w:r>
        <w:rPr>
          <w:sz w:val="18"/>
        </w:rPr>
        <w:t>——————————————————————————————————————————————————————————————————————</w:t>
      </w:r>
    </w:p>
    <w:p>
      <w:pPr>
        <w:spacing w:before="160" w:after="40" w:line="240" w:lineRule="auto"/>
      </w:pPr>
      <w:r>
        <w:rPr>
          <w:b/>
        </w:rPr>
        <w:t xml:space="preserve">[278] </w:t>
      </w:r>
      <w:hyperlink r:id="rId434">
        <w:r>
          <w:rPr>
            <w:color w:val="1155CC"/>
            <w:u w:val="single"/>
          </w:rPr>
          <w:t>对Cecchi和Palminteri的答复:关于有必要模拟学习率的时间差异</w:t>
        </w:r>
      </w:hyperlink>
    </w:p>
    <w:p>
      <w:pPr>
        <w:spacing w:before="0" w:after="80"/>
      </w:pPr>
      <w:r>
        <w:rPr>
          <w:i/>
          <w:sz w:val="20"/>
        </w:rPr>
        <w:t>EN: Reply to Cecchi and Palminteri: On the need to model temporal variation in learning rates</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35">
        <w:r>
          <w:rPr>
            <w:color w:val="1155CC"/>
            <w:u w:val="single"/>
          </w:rPr>
          <w:t>10.1073/pnas.2535857123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[279] </w:t>
      </w:r>
      <w:hyperlink r:id="rId436">
        <w:r>
          <w:rPr>
            <w:color w:val="1155CC"/>
            <w:u w:val="single"/>
          </w:rPr>
          <w:t>在计入了时间上下降的学习率之后,真正的学习偏差依然存在:</w:t>
        </w:r>
      </w:hyperlink>
    </w:p>
    <w:p>
      <w:pPr>
        <w:spacing w:before="0" w:after="80"/>
      </w:pPr>
      <w:r>
        <w:rPr>
          <w:i/>
          <w:sz w:val="20"/>
        </w:rPr>
        <w:t>EN: Genuine learning biases persist after accounting for temporally decreasing learning rates: Insight from fitting six datasets</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37">
        <w:r>
          <w:rPr>
            <w:color w:val="1155CC"/>
            <w:u w:val="single"/>
          </w:rPr>
          <w:t>10.1073/pnas.2534141123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[280] </w:t>
      </w:r>
      <w:hyperlink r:id="rId438">
        <w:r>
          <w:rPr>
            <w:color w:val="1155CC"/>
            <w:u w:val="single"/>
          </w:rPr>
          <w:t>脱氧核糖核酸框架的分子调控 -- -- 利用硅石化集束附加物进行程序化硅化</w:t>
        </w:r>
      </w:hyperlink>
    </w:p>
    <w:p>
      <w:pPr>
        <w:spacing w:before="0" w:after="80"/>
      </w:pPr>
      <w:r>
        <w:rPr>
          <w:i/>
          <w:sz w:val="20"/>
        </w:rPr>
        <w:t>EN: Molecular tuning of DNA framework–programmed silicification by cationic silica cluster attachment</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39">
        <w:r>
          <w:rPr>
            <w:color w:val="1155CC"/>
            <w:u w:val="single"/>
          </w:rPr>
          <w:t>10.1073/pnas.2529275123</w:t>
        </w:r>
      </w:hyperlink>
    </w:p>
    <w:p>
      <w:pPr>
        <w:spacing w:before="0" w:after="120"/>
      </w:pPr>
      <w:r>
        <w:rPr>
          <w:b/>
        </w:rPr>
        <w:t xml:space="preserve">Notes: </w:t>
      </w:r>
      <w:r>
        <w:t>abstract_source=pubmed</w:t>
      </w:r>
    </w:p>
    <w:p>
      <w:pPr>
        <w:spacing w:before="0" w:after="80" w:lineRule="auto" w:line="276"/>
      </w:pPr>
      <w:r>
        <w:rPr>
          <w:b/>
        </w:rPr>
        <w:t xml:space="preserve">摘要（ZH）: </w:t>
      </w:r>
      <w:r>
        <w:t>生物矿物在组织上的复杂性长期吸引科学家了解生物编程和实施生物模拟材料化学方面的新发展,在典型的晶状生物矿物(如磷酸钙、碳酸钙和氧化纤维)中观测和分析了非古典结晶途径,包括纳米粒子和有机样板上的集群的控制附加和重新配置,但是对模版不固定硅化矿化的理解仍然有限,妨碍了复杂硅基材料的合理设计。在这里,我们报告发现超常和单分散的硅化聚集(CSC)及其组装,将DNA纳米结构作为可编程的附加模板。</w:t>
      </w:r>
    </w:p>
    <w:p>
      <w:pPr>
        <w:spacing w:before="0" w:after="200" w:lineRule="auto" w:line="276"/>
      </w:pPr>
      <w:r>
        <w:rPr>
          <w:b/>
        </w:rPr>
        <w:t xml:space="preserve">Abstract (EN): </w:t>
      </w:r>
      <w:r>
        <w:t>The organizational complexity of biominerals has long fascinated scientists seeking to understand biological programming and implement new developments in biomimetic materials chemistry. Nonclassical crystallization pathways have been observed and analyzed in typical crystalline biominerals, such as calcium phosphate, calcium carbonate, and ferric oxide, involving the controlled attachment and reconfiguration of nanoparticles and clusters on organic templates. However, the understanding of templated amorphous silica mineralization remains limited, hindering the rational design of complex silica-based materials. Here, we report the finding of ultrastable and monodispersed cationic silica cluster (CSC) and their assembly using DNA nanostructures as programmable attachment templates. Cryo-EM imaging reveal that a typical CSC with a diameter of gyration of ~3.9 nm and an average molecular weight of ~8, 262 Da is characteristic of a branched hierarchical structure. We demonstrate high-fidelity silicification by tuning the composition and structure of CSC, providing a unified model of silicification by cluster attachment. Our findings pave the way toward the molecular tuning of pre- and postnucleation stages of sol-gel reactions and provide insights for the design of silica-based materials with controlled organization and functionality.</w:t>
      </w:r>
    </w:p>
    <w:p>
      <w:pPr>
        <w:spacing w:before="120" w:after="120"/>
      </w:pPr>
      <w:r>
        <w:rPr>
          <w:sz w:val="18"/>
        </w:rPr>
        <w:t>——————————————————————————————————————————————————————————————————————</w:t>
      </w:r>
    </w:p>
    <w:p>
      <w:pPr>
        <w:spacing w:before="160" w:after="40" w:line="240" w:lineRule="auto"/>
      </w:pPr>
      <w:r>
        <w:rPr>
          <w:b/>
        </w:rPr>
        <w:t xml:space="preserve">[281] </w:t>
      </w:r>
      <w:hyperlink r:id="rId440">
        <w:r>
          <w:rPr>
            <w:color w:val="1155CC"/>
            <w:u w:val="single"/>
          </w:rPr>
          <w:t>确定一个风格式、保密的蛋白质效应体家族,作为根结结线虫喂养管的核心组成部分</w:t>
        </w:r>
      </w:hyperlink>
    </w:p>
    <w:p>
      <w:pPr>
        <w:spacing w:before="0" w:after="80"/>
      </w:pPr>
      <w:r>
        <w:rPr>
          <w:i/>
          <w:sz w:val="20"/>
        </w:rPr>
        <w:t>EN: Identification of a stylet-secreted effector protein family as a core component of root-knot nematode feeding tubes</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41">
        <w:r>
          <w:rPr>
            <w:color w:val="1155CC"/>
            <w:u w:val="single"/>
          </w:rPr>
          <w:t>10.1073/pnas.2520476123</w:t>
        </w:r>
      </w:hyperlink>
    </w:p>
    <w:p>
      <w:pPr>
        <w:spacing w:before="0" w:after="120"/>
      </w:pPr>
      <w:r>
        <w:rPr>
          <w:b/>
        </w:rPr>
        <w:t xml:space="preserve">Notes: </w:t>
      </w:r>
      <w:r>
        <w:t>abstract_source=pubmed</w:t>
      </w:r>
    </w:p>
    <w:p>
      <w:pPr>
        <w:spacing w:before="0" w:after="80" w:lineRule="auto" w:line="276"/>
      </w:pPr>
      <w:r>
        <w:rPr>
          <w:b/>
        </w:rPr>
        <w:t xml:space="preserve">摘要（ZH）: </w:t>
      </w:r>
      <w:r>
        <w:t>寄生植物寄生虫根和线性线虫自聚合成一种独特的喂养管结构,在被线虫改造成巨型喂养细胞的宿主细胞中形成一种独特的喂养管结构。喂养管具有基本功能,因为它们与宿主内骨膜系统复杂,具有养分系统以维持寄生虫炎。尽管它们意义重大,但它们仍然是植物寄生虫的线性动物中最不为人所知的方面之一。它们体积小,位于深深嵌入笼罩成年雌性雌性胆中的巨细胞中,因此禁止进行分离和辨别其分子构成的研究。在这里,我们制定了一个议定书,以孤立和半净化从几个宿主植物物种的巨细胞细胞细胞细胞喂养管中分离和净化成。</w:t>
      </w:r>
    </w:p>
    <w:p>
      <w:pPr>
        <w:spacing w:before="0" w:after="200" w:lineRule="auto" w:line="276"/>
      </w:pPr>
      <w:r>
        <w:rPr>
          <w:b/>
        </w:rPr>
        <w:t xml:space="preserve">Abstract (EN): </w:t>
      </w:r>
      <w:r>
        <w:t>Proteins secreted from a mouth stylet of sedentary plant-parasitic root-knot nematodes self-polymerize to form a unique feeding tube structure within host cells modified into giant feeding cells by the nematode. Feeding tubes have essential functions as they complex with the host endomembrane system for nutrient uptake to sustain parasitism. Despite their significance, they remain one of the least understood aspects of nematode parasitism of plants. Their small size and location within giant-cells deeply embedded within galls encasing adult females has prohibited studies to isolate and discern their molecular composition. Here, we developed a protocol for the isolation and semipurification of root-knot nematode feeding tubes from giant-cell cytoplasm of several host plant species to provide a unique view of these structures at the light and scanning electron microscopy level revealing previously undescribed features of their structure. Our methods allowed for the isolation and solubilization of sufficient quantities of enriched feeding tubes enabling a comparative proteome analysis across host species that identified proteins with an increased likelihood to function in feeding tube formation. A comparison across root-knot nematode species further narrowed candidates to a conserved class of secretory proteins that specifically localized within secretory granules of the dorsal gland of adult females and in feeding tubes formed within host cell cytoplasm to unequivocally demonstrate these proteins as core components of feeding tubes. Our finding gives scientists a look into the protein composition of feeding tubes opening the door to a better understanding of their structure and function in nematode parasitism.</w:t>
      </w:r>
    </w:p>
    <w:p>
      <w:pPr>
        <w:spacing w:before="120" w:after="120"/>
      </w:pPr>
      <w:r>
        <w:rPr>
          <w:sz w:val="18"/>
        </w:rPr>
        <w:t>——————————————————————————————————————————————————————————————————————</w:t>
      </w:r>
    </w:p>
    <w:p>
      <w:pPr>
        <w:spacing w:before="160" w:after="40" w:line="240" w:lineRule="auto"/>
      </w:pPr>
      <w:r>
        <w:rPr>
          <w:b/>
        </w:rPr>
        <w:t xml:space="preserve">[282] </w:t>
      </w:r>
      <w:hyperlink r:id="rId442">
        <w:r>
          <w:rPr>
            <w:color w:val="1155CC"/>
            <w:u w:val="single"/>
          </w:rPr>
          <w:t>在喜马拉雅 -- -- 亨江(Hengduan)的大陆辐射中,Pleistocene人口史在当代基因多样性中占据主导地位。</w:t>
        </w:r>
      </w:hyperlink>
    </w:p>
    <w:p>
      <w:pPr>
        <w:spacing w:before="0" w:after="80"/>
      </w:pPr>
      <w:r>
        <w:rPr>
          <w:i/>
          <w:sz w:val="20"/>
        </w:rPr>
        <w:t>EN: Pleistocene demographic histories dominate contemporary genomic diversity in a continental radiation of Himalayan–Hengduan songbirds</w:t>
      </w:r>
    </w:p>
    <w:p>
      <w:pPr>
        <w:spacing w:before="0" w:after="120"/>
      </w:pPr>
      <w:r>
        <w:rPr>
          <w:b/>
        </w:rPr>
        <w:t xml:space="preserve">Source: </w:t>
      </w:r>
      <w:r>
        <w:t>Proceedings of the National Academy of Sciences: Keyword search for query</w:t>
      </w:r>
      <w:r>
        <w:t xml:space="preserve">    </w:t>
      </w:r>
      <w:r>
        <w:rPr>
          <w:b/>
        </w:rPr>
        <w:t xml:space="preserve">Pub date: </w:t>
      </w:r>
      <w:r>
        <w:t>2026-02-03 08:00:00+00:00</w:t>
      </w:r>
      <w:r>
        <w:t xml:space="preserve">    </w:t>
      </w:r>
      <w:r>
        <w:rPr>
          <w:b/>
        </w:rPr>
        <w:t xml:space="preserve">DOI: </w:t>
      </w:r>
      <w:hyperlink r:id="rId443">
        <w:r>
          <w:rPr>
            <w:color w:val="1155CC"/>
            <w:u w:val="single"/>
          </w:rPr>
          <w:t>10.1073/pnas.2505642123</w:t>
        </w:r>
      </w:hyperlink>
    </w:p>
    <w:p>
      <w:pPr>
        <w:spacing w:before="0" w:after="120"/>
      </w:pPr>
      <w:r>
        <w:rPr>
          <w:b/>
        </w:rPr>
        <w:t xml:space="preserve">Notes: </w:t>
      </w:r>
      <w:r>
        <w:t>abstract_source=pubmed</w:t>
      </w:r>
    </w:p>
    <w:p>
      <w:pPr>
        <w:spacing w:before="0" w:after="80" w:lineRule="auto" w:line="276"/>
      </w:pPr>
      <w:r>
        <w:rPr>
          <w:b/>
        </w:rPr>
        <w:t xml:space="preserve">摘要（ZH）: </w:t>
      </w:r>
      <w:r>
        <w:t>基因多样性是进化潜力的基本基质,但全球正在以前所未有的速度下降;然而,关于物种分布的机制仍然不甚为人知,相互竞争的假设强调历史人口统计学或当代生态制约因素;这一辩论限制了我们预测物种对环境变化的反应的能力;在这里,根据系统的抽样和统一的分析管道,我们重新组装了在喜马拉雅-亨都安山繁殖的120种鸟类的基因组,并进行了人口基因组分析,以检查其基因组多样性的驱动因素;我们观察到整个物种基因组的异质性和16.4倍的核分裂多样性。</w:t>
      </w:r>
    </w:p>
    <w:p>
      <w:pPr>
        <w:spacing w:before="0" w:after="200" w:lineRule="auto" w:line="276"/>
      </w:pPr>
      <w:r>
        <w:rPr>
          <w:b/>
        </w:rPr>
        <w:t xml:space="preserve">Abstract (EN): </w:t>
      </w:r>
      <w:r>
        <w:t>Genetic diversity, the fundamental substrate for evolutionary potential, is declining globally at unprecedented rates. Yet the mechanisms governing its distribution across species remain poorly understood, with competing hypotheses emphasizing either historical demography or contemporary ecological constraints. This debate limits our capacity to predict species' responses to environmental change. Here, based on systematic sampling and a unified analytical pipeline, we de novo assembled genomes for 120 songbird species breeding in the Himalayas-Hengduan Mountains (HHMs) and conducted population genomic analysis to examine the drivers of their genomic diversity. We observed a 6.5-fold variation in genome-wide heterogeneity and a 16.4-fold variation nucleotide diversity across species. Notably, these measures of genomic diversity showed no correlation with recent population dynamics, current population size, or other contemporary factors-such as elevational distribution, or life-history traits. Instead, historical demography strongly predicted genetic diversity, with ancestral population size during the late Pleistocene emerging as the sole correlate: Larger ancestral sizes consistently coincided with higher diversity. These findings underscore the critical influence of historical demography on contemporary genetic diversity in natural populations-an insight essential for designing effective conservation strategies.</w:t>
      </w:r>
    </w:p>
    <w:p>
      <w:pPr>
        <w:spacing w:before="120" w:after="120"/>
      </w:pPr>
      <w:r>
        <w:rPr>
          <w:sz w:val="18"/>
        </w:rPr>
        <w:t>——————————————————————————————————————————————————————————————————————</w:t>
      </w:r>
    </w:p>
    <w:p>
      <w:pPr>
        <w:spacing w:before="160" w:after="40" w:line="240" w:lineRule="auto"/>
      </w:pPr>
      <w:r>
        <w:rPr>
          <w:b/>
        </w:rPr>
        <w:t xml:space="preserve">[283] </w:t>
      </w:r>
      <w:hyperlink r:id="rId444">
        <w:r>
          <w:rPr>
            <w:color w:val="1155CC"/>
            <w:u w:val="single"/>
          </w:rPr>
          <w:t>[ASAP] 碳-协调钴热电化学纳米化变形在对Glioblastoma-渗透脑中神经化学分解调节进行有选择的动态选择性监测中能够产生碳-协调钴电化学纳米化变异</w:t>
        </w:r>
      </w:hyperlink>
    </w:p>
    <w:p>
      <w:pPr>
        <w:spacing w:before="0" w:after="80"/>
      </w:pPr>
      <w:r>
        <w:rPr>
          <w:i/>
          <w:sz w:val="20"/>
        </w:rPr>
        <w:t>EN: [ASAP] Carbon-Coordinated Cobalt Electrochemical Nanoplatform Enables in Vivo Selective Monitoring of Neurochemical Dysregulation in Glioblastoma-Infiltrated Brain</w:t>
      </w:r>
    </w:p>
    <w:p>
      <w:pPr>
        <w:spacing w:before="0" w:after="120"/>
      </w:pPr>
      <w:r>
        <w:rPr>
          <w:b/>
        </w:rPr>
        <w:t xml:space="preserve">Source: </w:t>
      </w:r>
      <w:r>
        <w:t>Journal of the American Chemical Society: Latest Articles (ACS Publications)</w:t>
      </w:r>
      <w:r>
        <w:t xml:space="preserve">    </w:t>
      </w:r>
      <w:r>
        <w:rPr>
          <w:b/>
        </w:rPr>
        <w:t xml:space="preserve">Pub date: </w:t>
      </w:r>
      <w:r>
        <w:t>2026-02-03 09:05:51+00:00</w:t>
      </w:r>
      <w:r>
        <w:t xml:space="preserve">    </w:t>
      </w:r>
      <w:r>
        <w:rPr>
          <w:b/>
        </w:rPr>
        <w:t xml:space="preserve">DOI: </w:t>
      </w:r>
      <w:hyperlink r:id="rId445">
        <w:r>
          <w:rPr>
            <w:color w:val="1155CC"/>
            <w:u w:val="single"/>
          </w:rPr>
          <w:t>10.1021/jacs.5c14261</w:t>
        </w:r>
      </w:hyperlink>
    </w:p>
    <w:p>
      <w:pPr>
        <w:spacing w:before="0" w:after="120"/>
      </w:pPr>
      <w:r>
        <w:rPr>
          <w:b/>
        </w:rPr>
        <w:t xml:space="preserve">Notes: </w:t>
      </w:r>
      <w:r>
        <w:t>abstract_source=pubmed</w:t>
      </w:r>
    </w:p>
    <w:p>
      <w:pPr>
        <w:spacing w:before="0" w:after="80" w:lineRule="auto" w:line="276"/>
      </w:pPr>
      <w:r>
        <w:rPr>
          <w:b/>
        </w:rPr>
        <w:t xml:space="preserve">摘要（ZH）: </w:t>
      </w:r>
      <w:r>
        <w:t>在遗传性肿瘤(GBM)进化过程中对神经化学调节性进行纵向监测,对于阐明肿瘤-中中中子相互作用和推进神经防护战略至关重要,但目前的方法有限,因为时间分辨率、空间精确度和复杂肿瘤微环境的操作稳定性不足,目前的方法有限,复杂的肿瘤微环境的时分辨率、空间精确度和操作稳定性不足。我们提出了一个微电子疗法感测平台,以碳协调的过渡性金属纳米催化剂(CoCx@C)为主位,高纤维性多巴胺(DA)跟踪,这是神经功能的关键调控器。设计的协调结构有助于快速、选择性多电子DA氧化,而其调制式的d波带中心则最大限度地减少非特定的相互吸附,产生278倍的敏感度和333倍的选择性改进。</w:t>
      </w:r>
    </w:p>
    <w:p>
      <w:pPr>
        <w:spacing w:before="0" w:after="200" w:lineRule="auto" w:line="276"/>
      </w:pPr>
      <w:r>
        <w:rPr>
          <w:b/>
        </w:rPr>
        <w:t xml:space="preserve">Abstract (EN): </w:t>
      </w:r>
      <w:r>
        <w:t>Longitudinal monitoring of neurochemical dysregulation during glioblastoma (GBM) progression is essential for elucidating tumor-neuron interactions and advancing neuroprotective strategies. Current methods, however, are limited by insufficient temporal resolution, spatial precision, and operational stability in the complex tumor microenvironment. We present a microelectrode sensing platform featuring carbon-coordinated transition metal nanocatalysts (CoCx@C) for in situ, high-fidelity tracking of dopamine (DA), a key modulator of neurological function. The engineered coordination structure facilitates rapid, selective multielectron DA oxidation, while its modulated d-band center minimizes nonspecific interfacial adsorption, yielding 278-fold sensitivity and 333-fold selectivity improvements over conventional electrodes. Longitudinal DA tracking across multiple models with this platform reveals novel insights into GBM-associated neural dysfunction. This work provides the first electrochemical evidence of neurotransmitter-mediated tumor-neuron interplay and offers a robust tool for cancer neuroscience investigations and beyond.</w:t>
      </w:r>
    </w:p>
    <w:p>
      <w:pPr>
        <w:spacing w:before="120" w:after="120"/>
      </w:pPr>
      <w:r>
        <w:rPr>
          <w:sz w:val="18"/>
        </w:rPr>
        <w:t>——————————————————————————————————————————————————————————————————————</w:t>
      </w:r>
    </w:p>
    <w:p>
      <w:pPr>
        <w:spacing w:before="160" w:after="40" w:line="240" w:lineRule="auto"/>
      </w:pPr>
      <w:r>
        <w:rPr>
          <w:b/>
        </w:rPr>
        <w:t xml:space="preserve">[284] </w:t>
      </w:r>
      <w:hyperlink r:id="rId446">
        <w:r>
          <w:rPr>
            <w:color w:val="1155CC"/>
            <w:u w:val="single"/>
          </w:rPr>
          <w:t>使用Manniotol添加剂功能(002)的Zn间阶段工程(Zn)-用压抑性氢气进化反应法将Zn用压抑性氢化镀成的Ah-level 水级Zinc-Iodine Pouch细胞</w:t>
        </w:r>
      </w:hyperlink>
    </w:p>
    <w:p>
      <w:pPr>
        <w:spacing w:before="0" w:after="80"/>
      </w:pPr>
      <w:r>
        <w:rPr>
          <w:i/>
          <w:sz w:val="20"/>
        </w:rPr>
        <w:t>EN: Bulk‐to‐IHP Zn Interphase Engineering With Mannitol Additive Enables (002)‐Textured Zn Plating With Suppressed Hydrogen Evolution Reaction for Ah‐Level Aqueous Zinc‐Iodine Pouch Cells</w:t>
      </w:r>
    </w:p>
    <w:p>
      <w:pPr>
        <w:spacing w:before="0" w:after="120"/>
      </w:pPr>
      <w:r>
        <w:rPr>
          <w:b/>
        </w:rPr>
        <w:t xml:space="preserve">Source: </w:t>
      </w:r>
      <w:r>
        <w:t>Wiley: Advanced Materials: Table of Contents</w:t>
      </w:r>
      <w:r>
        <w:t xml:space="preserve">    </w:t>
      </w:r>
      <w:r>
        <w:rPr>
          <w:b/>
        </w:rPr>
        <w:t xml:space="preserve">Pub date: </w:t>
      </w:r>
      <w:r>
        <w:t>2026-02-03 09:19:41+00:00</w:t>
      </w:r>
      <w:r>
        <w:t xml:space="preserve">    </w:t>
      </w:r>
      <w:r>
        <w:rPr>
          <w:b/>
        </w:rPr>
        <w:t xml:space="preserve">DOI: </w:t>
      </w:r>
      <w:hyperlink r:id="rId447">
        <w:r>
          <w:rPr>
            <w:color w:val="1155CC"/>
            <w:u w:val="single"/>
          </w:rPr>
          <w:t>10.1002/adma.202518824</w:t>
        </w:r>
      </w:hyperlink>
    </w:p>
    <w:p>
      <w:pPr>
        <w:spacing w:before="0" w:after="120"/>
      </w:pPr>
      <w:r>
        <w:rPr>
          <w:b/>
        </w:rPr>
        <w:t xml:space="preserve">Notes: </w:t>
      </w:r>
      <w:r>
        <w:t>abstract_source=crossref</w:t>
      </w:r>
    </w:p>
    <w:p>
      <w:pPr>
        <w:spacing w:before="0" w:after="80" w:lineRule="auto" w:line="276"/>
      </w:pPr>
      <w:r>
        <w:rPr>
          <w:b/>
        </w:rPr>
        <w:t xml:space="preserve">摘要（ZH）: </w:t>
      </w:r>
      <w:r>
        <w:t>ABSTACT 水基锌-碘电池是下一代电网级能源储存电池的有希望的竞争者,然而,由于中自行车速率(0.5-2C)的锌阳极降解,包括由不稳定的Zn/电极交点产生的脱脂生长和寄生性氢进化反应(HER),这些电池的部署受到中自行车速率(0.5-2C)的阻力。 提议通过基于静电极分子特性、H2O装配能量和LUMO水平的理论筛选,将甘醇基多功能添加剂(ML)作为甘醇基多功能添加剂(ML ) 。</w:t>
      </w:r>
    </w:p>
    <w:p>
      <w:pPr>
        <w:spacing w:before="0" w:after="200" w:lineRule="auto" w:line="276"/>
      </w:pPr>
      <w:r>
        <w:rPr>
          <w:b/>
        </w:rPr>
        <w:t xml:space="preserve">Abstract (EN): </w:t>
      </w:r>
      <w:r>
        <w:t>Aqueous zinc‐iodine batteries are promising contenders for next‐generation grid‐scale energy storage batteries. However, their deployment is hindered by zinc anode degradation at moderate cycling rates (0.5–2 C), including dendrite growth and parasitic hydrogen evolution reaction (HER), stemming from an unstable Zn/electrolyte interphase. Herein, a sugar alcohol‐based multifunctional additive of mannitol (ML), identified via theoretical screening based on molecular characteristics of electrostatic polarity, H</w:t>
      </w:r>
      <w:r>
        <w:rPr>
          <w:vertAlign w:val="subscript"/>
        </w:rPr>
        <w:t>2</w:t>
      </w:r>
      <w:r>
        <w:t>O binding energy, and LUMO level, is proposed to achieve comprehensive Zn/electrolyte interphase stabilization from the bulk phase to the inner Helmholtz plane (IHP). Leveraging abundant hydroxyl groups and good Zn</w:t>
      </w:r>
      <w:r>
        <w:t xml:space="preserve"> </w:t>
      </w:r>
      <w:r>
        <w:t>2+</w:t>
      </w:r>
      <w:r>
        <w:t xml:space="preserve"> </w:t>
      </w:r>
      <w:r>
        <w:t>affinity, ML disrupts the bulk hydrogen‐bond network and reconstructs Zn</w:t>
      </w:r>
      <w:r>
        <w:t xml:space="preserve"> </w:t>
      </w:r>
      <w:r>
        <w:t>2+</w:t>
      </w:r>
      <w:r>
        <w:t xml:space="preserve"> </w:t>
      </w:r>
      <w:r>
        <w:t>solvation structure, simultaneously suppressing proton‐hopping pathways and accelerating Zn</w:t>
      </w:r>
      <w:r>
        <w:t xml:space="preserve"> </w:t>
      </w:r>
      <w:r>
        <w:t>2+</w:t>
      </w:r>
      <w:r>
        <w:t xml:space="preserve"> </w:t>
      </w:r>
      <w:r>
        <w:t>desolvation. Moreover, robust chemisorption of ML molecules on both Zn (002) and Zn (101) planes modulates Zn deposition toward the thermodynamically stable (002) texture with enlarged grain size, thereby enabling dendrite‐free plating. Benefiting from these synergistic effects, Zn||I</w:t>
      </w:r>
      <w:r>
        <w:rPr>
          <w:vertAlign w:val="subscript"/>
        </w:rPr>
        <w:t>2</w:t>
      </w:r>
      <w:r>
        <w:t>full cells achieve an ultrahigh areal capacity of 6.5 mAh cm</w:t>
      </w:r>
      <w:r>
        <w:t xml:space="preserve"> </w:t>
      </w:r>
      <w:r>
        <w:t>−2</w:t>
      </w:r>
      <w:r>
        <w:t xml:space="preserve"> </w:t>
      </w:r>
      <w:r>
        <w:t>over 3000 cycles at a practical rate of 1 C. Multiple Ah‐level Zn||I</w:t>
      </w:r>
      <w:r>
        <w:rPr>
          <w:vertAlign w:val="subscript"/>
        </w:rPr>
        <w:t>2</w:t>
      </w:r>
      <w:r>
        <w:t>pouch cells are also demonstrated, sustaining 1000 cycles with only 0.02% capacity decay per cycle, underscoring strong prospects for practical large‐scale application.</w:t>
      </w:r>
    </w:p>
    <w:p>
      <w:pPr>
        <w:spacing w:before="120" w:after="120"/>
      </w:pPr>
      <w:r>
        <w:rPr>
          <w:sz w:val="18"/>
        </w:rPr>
        <w:t>——————————————————————————————————————————————————————————————————————</w:t>
      </w:r>
    </w:p>
    <w:p>
      <w:pPr>
        <w:spacing w:before="160" w:after="40" w:line="240" w:lineRule="auto"/>
      </w:pPr>
      <w:r>
        <w:rPr>
          <w:b/>
        </w:rPr>
        <w:t xml:space="preserve">[285] </w:t>
      </w:r>
      <w:hyperlink r:id="rId448">
        <w:r>
          <w:rPr>
            <w:color w:val="1155CC"/>
            <w:u w:val="single"/>
          </w:rPr>
          <w:t>*选择性硝酸盐电向氮化的选择性硝化电排减路径图</w:t>
        </w:r>
      </w:hyperlink>
    </w:p>
    <w:p>
      <w:pPr>
        <w:spacing w:before="0" w:after="80"/>
      </w:pPr>
      <w:r>
        <w:rPr>
          <w:i/>
          <w:sz w:val="20"/>
        </w:rPr>
        <w:t>EN: Surface Oxophilicity Driven *N Pathway Tuning for Selective Nitrate Electroreduction to Nitrogen</w:t>
      </w:r>
    </w:p>
    <w:p>
      <w:pPr>
        <w:spacing w:before="0" w:after="120"/>
      </w:pPr>
      <w:r>
        <w:rPr>
          <w:b/>
        </w:rPr>
        <w:t xml:space="preserve">Source: </w:t>
      </w:r>
      <w:r>
        <w:t>Wiley: Advanced Materials: Table of Contents</w:t>
      </w:r>
      <w:r>
        <w:t xml:space="preserve">    </w:t>
      </w:r>
      <w:r>
        <w:rPr>
          <w:b/>
        </w:rPr>
        <w:t xml:space="preserve">Pub date: </w:t>
      </w:r>
      <w:r>
        <w:t>2026-02-03 09:21:36+00:00</w:t>
      </w:r>
      <w:r>
        <w:t xml:space="preserve">    </w:t>
      </w:r>
      <w:r>
        <w:rPr>
          <w:b/>
        </w:rPr>
        <w:t xml:space="preserve">DOI: </w:t>
      </w:r>
      <w:hyperlink r:id="rId449">
        <w:r>
          <w:rPr>
            <w:color w:val="1155CC"/>
            <w:u w:val="single"/>
          </w:rPr>
          <w:t>10.1002/adma.202521873</w:t>
        </w:r>
      </w:hyperlink>
    </w:p>
    <w:p>
      <w:pPr>
        <w:spacing w:before="0" w:after="120"/>
      </w:pPr>
      <w:r>
        <w:rPr>
          <w:b/>
        </w:rPr>
        <w:t xml:space="preserve">Notes: </w:t>
      </w:r>
      <w:r>
        <w:t>abstract_source=crossref</w:t>
      </w:r>
    </w:p>
    <w:p>
      <w:pPr>
        <w:spacing w:before="0" w:after="80" w:lineRule="auto" w:line="276"/>
      </w:pPr>
      <w:r>
        <w:rPr>
          <w:b/>
        </w:rPr>
        <w:t xml:space="preserve">摘要（ZH）: </w:t>
      </w:r>
      <w:r>
        <w:t>ABSTACT 将硝酸盐用电化学还氮(N2)是关闭氮循环和减少硝酸盐污染的一个可持续途径,然而,对于Cu、Co和其他过渡性金属催化剂来说,高N2选择性主要依赖断点氯化,它消耗大量氯,并造成二次污染风险。在这里,我们引入了一种表面氧化战略,以引导*N路径,从而提高催化效率和内在氮选择性。在经氧气化的Pd中,Sn doping成为最佳配置。</w:t>
      </w:r>
    </w:p>
    <w:p>
      <w:pPr>
        <w:spacing w:before="0" w:after="200" w:lineRule="auto" w:line="276"/>
      </w:pPr>
      <w:r>
        <w:rPr>
          <w:b/>
        </w:rPr>
        <w:t xml:space="preserve">Abstract (EN): </w:t>
      </w:r>
      <w:r>
        <w:t>Electrochemical reduction of nitrate to nitrogen (N</w:t>
      </w:r>
      <w:r>
        <w:rPr>
          <w:vertAlign w:val="subscript"/>
        </w:rPr>
        <w:t>2</w:t>
      </w:r>
      <w:r>
        <w:t>) offers a sustainable pathway to close the nitrogen cycle and mitigate nitrate pollution. However, for Cu, Co, and other transition‐metal catalysts, high N</w:t>
      </w:r>
      <w:r>
        <w:rPr>
          <w:vertAlign w:val="subscript"/>
        </w:rPr>
        <w:t>2</w:t>
      </w:r>
      <w:r>
        <w:t>selectivity has mainly relied on breakpoint chlorination, which consumes large amounts of chlorine and poses secondary contamination risks. Here, we introduce a surface‐oxophilicity strategy to steer the</w:t>
      </w:r>
      <w:r>
        <w:t xml:space="preserve"> </w:t>
      </w:r>
      <w:r>
        <w:t>*</w:t>
      </w:r>
      <w:r>
        <w:t xml:space="preserve"> </w:t>
      </w:r>
      <w:r>
        <w:t>N pathway, thereby enhancing both catalytic efficiency and intrinsic nitrogen selectivity. Among oxophilicity‐modified Pd, Sn doping emerged as the optimal configuration. The resulting PdSn metallene aerogels achieve remarkable NO</w:t>
      </w:r>
      <w:r>
        <w:rPr>
          <w:vertAlign w:val="subscript"/>
        </w:rPr>
        <w:t>3</w:t>
      </w:r>
      <w:r>
        <w:t>−</w:t>
      </w:r>
      <w:r>
        <w:t>‐N conversion (∼97%) and N</w:t>
      </w:r>
      <w:r>
        <w:rPr>
          <w:vertAlign w:val="subscript"/>
        </w:rPr>
        <w:t>2</w:t>
      </w:r>
      <w:r>
        <w:t>selectivity (∼99%), together with long‐term stability (&amp;gt;600 h) and broad tolerance to variable nitrate concentrations. In situ characterization and theoretical analyses reveal that Sn‐induced oxophilicity strengthens nitrogen‐oxygen intermediate adsorption, ensuring sufficient</w:t>
      </w:r>
      <w:r>
        <w:t xml:space="preserve"> </w:t>
      </w:r>
      <w:r>
        <w:t>*</w:t>
      </w:r>
      <w:r>
        <w:t xml:space="preserve"> </w:t>
      </w:r>
      <w:r>
        <w:t>N availability for N‐N coupling while elevating the hydrogenation barrier of</w:t>
      </w:r>
      <w:r>
        <w:t xml:space="preserve"> </w:t>
      </w:r>
      <w:r>
        <w:t>*</w:t>
      </w:r>
      <w:r>
        <w:t xml:space="preserve"> </w:t>
      </w:r>
      <w:r>
        <w:t>N →</w:t>
      </w:r>
      <w:r>
        <w:t xml:space="preserve"> </w:t>
      </w:r>
      <w:r>
        <w:t>*</w:t>
      </w:r>
      <w:r>
        <w:t xml:space="preserve"> </w:t>
      </w:r>
      <w:r>
        <w:t>NH, thus suppressing NH</w:t>
      </w:r>
      <w:r>
        <w:rPr>
          <w:vertAlign w:val="subscript"/>
        </w:rPr>
        <w:t>3</w:t>
      </w:r>
      <w:r>
        <w:t>formation. Integrated into a Zn‐NO</w:t>
      </w:r>
      <w:r>
        <w:rPr>
          <w:vertAlign w:val="subscript"/>
        </w:rPr>
        <w:t>3</w:t>
      </w:r>
      <w:r>
        <w:t>−</w:t>
      </w:r>
      <w:r>
        <w:t>battery and a customized gas‐integrated flow electrolyzer, the catalyst enables efficient nitrate removal and nearly complete N</w:t>
      </w:r>
      <w:r>
        <w:rPr>
          <w:vertAlign w:val="subscript"/>
        </w:rPr>
        <w:t>2</w:t>
      </w:r>
      <w:r>
        <w:t>selectivity, offering a promising platform for sustainable nitrogen recycling and energy conversion.</w:t>
      </w:r>
    </w:p>
    <w:p>
      <w:pPr>
        <w:spacing w:before="120" w:after="120"/>
      </w:pPr>
      <w:r>
        <w:rPr>
          <w:sz w:val="18"/>
        </w:rPr>
        <w:t>——————————————————————————————————————————————————————————————————————</w:t>
      </w:r>
    </w:p>
    <w:p>
      <w:pPr>
        <w:spacing w:before="160" w:after="40" w:line="240" w:lineRule="auto"/>
      </w:pPr>
      <w:r>
        <w:rPr>
          <w:b/>
        </w:rPr>
        <w:t xml:space="preserve">[286] </w:t>
      </w:r>
      <w:hyperlink r:id="rId450">
        <w:r>
          <w:rPr>
            <w:color w:val="1155CC"/>
            <w:u w:val="single"/>
          </w:rPr>
          <w:t>纳米强效者超越三维防御,使高原抗后天体癌中的有效ChemoMetallaimmuno疗法</w:t>
        </w:r>
      </w:hyperlink>
    </w:p>
    <w:p>
      <w:pPr>
        <w:spacing w:before="0" w:after="80"/>
      </w:pPr>
      <w:r>
        <w:rPr>
          <w:i/>
          <w:sz w:val="20"/>
        </w:rPr>
        <w:t>EN: Epigenetic Metal‐Organic Framework Nanoagonist Overcomes Triple Defenses to Enable Effective Chemo‐Metalloimmunotherapy in Platinum‐Resistant Ovarian Cancer</w:t>
      </w:r>
    </w:p>
    <w:p>
      <w:pPr>
        <w:spacing w:before="0" w:after="120"/>
      </w:pPr>
      <w:r>
        <w:rPr>
          <w:b/>
        </w:rPr>
        <w:t xml:space="preserve">Source: </w:t>
      </w:r>
      <w:r>
        <w:t>Wiley: Advanced Materials: Table of Contents</w:t>
      </w:r>
      <w:r>
        <w:t xml:space="preserve">    </w:t>
      </w:r>
      <w:r>
        <w:rPr>
          <w:b/>
        </w:rPr>
        <w:t xml:space="preserve">Pub date: </w:t>
      </w:r>
      <w:r>
        <w:t>2026-02-03 09:23:09+00:00</w:t>
      </w:r>
      <w:r>
        <w:t xml:space="preserve">    </w:t>
      </w:r>
      <w:r>
        <w:rPr>
          <w:b/>
        </w:rPr>
        <w:t xml:space="preserve">DOI: </w:t>
      </w:r>
      <w:hyperlink r:id="rId451">
        <w:r>
          <w:rPr>
            <w:color w:val="1155CC"/>
            <w:u w:val="single"/>
          </w:rPr>
          <w:t>10.1002/adma.202517286</w:t>
        </w:r>
      </w:hyperlink>
    </w:p>
    <w:p>
      <w:pPr>
        <w:spacing w:before="0" w:after="120"/>
      </w:pPr>
      <w:r>
        <w:rPr>
          <w:b/>
        </w:rPr>
        <w:t xml:space="preserve">Notes: </w:t>
      </w:r>
      <w:r>
        <w:t>abstract_source=crossref</w:t>
      </w:r>
    </w:p>
    <w:p>
      <w:pPr>
        <w:spacing w:before="0" w:after="80" w:lineRule="auto" w:line="276"/>
      </w:pPr>
      <w:r>
        <w:rPr>
          <w:b/>
        </w:rPr>
        <w:t xml:space="preserve">摘要（ZH）: </w:t>
      </w:r>
      <w:r>
        <w:t>ABSTACT Platinum-耐抗卵巢癌(PROC)对白金化化疗反应不良,通过抑制凝胶路径,避免免疫监测,导致结果不良。在这里,我们开发了一种抗遗传性金属有机机能框架(MOF)纳米农业学家(CMPtSA@HA),在恢复免疫激活的同时克服了皮氏抗药性(CisPt)抗药性。平台由MnIF_8封装CaO 2和与CisPt 和SAHA(一种丙酮脱乙基酶抑制剂)共同装填的CisPt和SAHA(一种丙基酶抑制剂)组成,然后用高压酸进行改造,以便能够瞄准和控制肿瘤释放。CMPtSA@HA具有多种功能:SAHAHA降调抗性抗性蛋白球成膜,CAO 2触发钙覆盖</w:t>
      </w:r>
    </w:p>
    <w:p>
      <w:pPr>
        <w:spacing w:before="0" w:after="200" w:lineRule="auto" w:line="276"/>
      </w:pPr>
      <w:r>
        <w:rPr>
          <w:b/>
        </w:rPr>
        <w:t xml:space="preserve">Abstract (EN): </w:t>
      </w:r>
      <w:r>
        <w:t>Platinum‐resistant ovarian cancer (PROC) responds poorly to platinum chemotherapy and evades immune surveillance by suppressing the cGAS‐STING pathway, leading to poor outcomes. Herein, we developed an epigenetic metal‐organic framework (MOF) nanoagonist (CMZ‐Pt‐SA@HA) that overcomes cisplatin (CisPt) resistance while restoring immune activation. The platform consists of Mn‐ZIF‐8 encapsulating CaO</w:t>
      </w:r>
      <w:r>
        <w:rPr>
          <w:vertAlign w:val="subscript"/>
        </w:rPr>
        <w:t>2</w:t>
      </w:r>
      <w:r>
        <w:t>and co‐loaded with CisPt and SAHA (a histone deacetylase inhibitor), then modified with hyaluronic acid to enable tumor targeting and controlled release. CMZ‐Pt‐SA@HA is multifunctional: SAHA downregulates resistance proteins epigenetically, CaO</w:t>
      </w:r>
      <w:r>
        <w:rPr>
          <w:vertAlign w:val="subscript"/>
        </w:rPr>
        <w:t>2</w:t>
      </w:r>
      <w:r>
        <w:t>triggers calcium overload and oxygen release, and Mn</w:t>
      </w:r>
      <w:r>
        <w:t xml:space="preserve"> </w:t>
      </w:r>
      <w:r>
        <w:t>2+</w:t>
      </w:r>
      <w:r>
        <w:t xml:space="preserve"> </w:t>
      </w:r>
      <w:r>
        <w:t>/Zn</w:t>
      </w:r>
      <w:r>
        <w:t xml:space="preserve"> </w:t>
      </w:r>
      <w:r>
        <w:t>2+</w:t>
      </w:r>
      <w:r>
        <w:t xml:space="preserve"> </w:t>
      </w:r>
      <w:r>
        <w:t>enhances oxidative stress and STING signaling, collectively strengthening chemo‐metalloimmunotherapy. These mechanisms intensify CisPt‐induced DNA damage and stimulate immune activation. CMZ‐Pt‐SA@HA applies a three‐step “POP” strategy to overcome PROC's triple defenses: (I) Pre‐targeting to enhance DNA‐CisPt adducts; (II) On‐targeting to block DNA repair; and (III) Post‐targeting to induce apoptosis by relieving hypoxia, arresting the cell cycle, damaging mitochondria, and activating cGAS‐STING. Whether used alone in subcutaneous tumors in preclinical ID8 and patient‐derived xenograft mouse models, or combined with anti‐PD‐L1 therapy in ascites metastasis models, CMZ‐Pt‐SA@HA consistently showed strong therapeutic efficacy. Its Mn</w:t>
      </w:r>
      <w:r>
        <w:t xml:space="preserve"> </w:t>
      </w:r>
      <w:r>
        <w:t>2+</w:t>
      </w:r>
      <w:r>
        <w:t xml:space="preserve"> </w:t>
      </w:r>
      <w:r>
        <w:t>‐based magnetic resonance imaging (MRI) capability further supports image‐guided therapy and clinical translation.</w:t>
      </w:r>
    </w:p>
    <w:p>
      <w:pPr>
        <w:spacing w:before="120" w:after="120"/>
      </w:pPr>
      <w:r>
        <w:rPr>
          <w:sz w:val="18"/>
        </w:rPr>
        <w:t>——————————————————————————————————————————————————————————————————————</w:t>
      </w:r>
    </w:p>
    <w:p>
      <w:pPr>
        <w:spacing w:before="160" w:after="40" w:line="240" w:lineRule="auto"/>
      </w:pPr>
      <w:r>
        <w:rPr>
          <w:b/>
        </w:rPr>
        <w:t xml:space="preserve">[287] </w:t>
      </w:r>
      <w:hyperlink r:id="rId452">
        <w:r>
          <w:rPr>
            <w:color w:val="1155CC"/>
            <w:u w:val="single"/>
          </w:rPr>
          <w:t>以2.74%的太阳能和化学效率生产Gram per-Per-Litre 水平的过氧化氢,通过以W'为基地的无定形金属有机聚合体的同步光热催化法,实现2.74%的太阳能和化学效率</w:t>
        </w:r>
      </w:hyperlink>
    </w:p>
    <w:p>
      <w:pPr>
        <w:spacing w:before="0" w:after="80"/>
      </w:pPr>
      <w:r>
        <w:rPr>
          <w:i/>
          <w:sz w:val="20"/>
        </w:rPr>
        <w:t>EN: Solar‐Driven Ultrafast Production of Gram‐Per‐Litre Level Hydrogen Peroxide With 2.74% Solar‐to‐Chemical Efficiency via Synergistic Photothermal Catalysis by W‐Based Amorphous Metal–Organic Polymers</w:t>
      </w:r>
    </w:p>
    <w:p>
      <w:pPr>
        <w:spacing w:before="0" w:after="120"/>
      </w:pPr>
      <w:r>
        <w:rPr>
          <w:b/>
        </w:rPr>
        <w:t xml:space="preserve">Source: </w:t>
      </w:r>
      <w:r>
        <w:t>Wiley: Advanced Materials: Table of Contents</w:t>
      </w:r>
      <w:r>
        <w:t xml:space="preserve">    </w:t>
      </w:r>
      <w:r>
        <w:rPr>
          <w:b/>
        </w:rPr>
        <w:t xml:space="preserve">Pub date: </w:t>
      </w:r>
      <w:r>
        <w:t>2026-02-03 09:24:27+00:00</w:t>
      </w:r>
      <w:r>
        <w:t xml:space="preserve">    </w:t>
      </w:r>
      <w:r>
        <w:rPr>
          <w:b/>
        </w:rPr>
        <w:t xml:space="preserve">DOI: </w:t>
      </w:r>
      <w:hyperlink r:id="rId453">
        <w:r>
          <w:rPr>
            <w:color w:val="1155CC"/>
            <w:u w:val="single"/>
          </w:rPr>
          <w:t>10.1002/adma.202522526</w:t>
        </w:r>
      </w:hyperlink>
    </w:p>
    <w:p>
      <w:pPr>
        <w:spacing w:before="0" w:after="120"/>
      </w:pPr>
      <w:r>
        <w:rPr>
          <w:b/>
        </w:rPr>
        <w:t xml:space="preserve">Notes: </w:t>
      </w:r>
      <w:r>
        <w:t>abstract_source=crossref</w:t>
      </w:r>
    </w:p>
    <w:p>
      <w:pPr>
        <w:spacing w:before="0" w:after="80" w:lineRule="auto" w:line="276"/>
      </w:pPr>
      <w:r>
        <w:rPr>
          <w:b/>
        </w:rPr>
        <w:t xml:space="preserve">摘要（ZH）: </w:t>
      </w:r>
      <w:r>
        <w:t>ABSTACT 氢过氧化氢(H 2 O 2)是传统上通过能源密集型炭疽工艺生产的一种关键工业化学品,我们在此报告一种低成本( &amp; lt; 0. 6/g),氢氧化金属有机聚合物(MIL2OH),其中含有大量未经协调[WO6] 6 - 太阳能驱动H 2 O 2生产中心。</w:t>
      </w:r>
    </w:p>
    <w:p>
      <w:pPr>
        <w:spacing w:before="0" w:after="200" w:lineRule="auto" w:line="276"/>
      </w:pPr>
      <w:r>
        <w:rPr>
          <w:b/>
        </w:rPr>
        <w:t xml:space="preserve">Abstract (EN): </w:t>
      </w:r>
      <w:r>
        <w:t>Hydrogen peroxide (H</w:t>
      </w:r>
      <w:r>
        <w:rPr>
          <w:vertAlign w:val="subscript"/>
        </w:rPr>
        <w:t>2</w:t>
      </w:r>
      <w:r>
        <w:t>O</w:t>
      </w:r>
      <w:r>
        <w:rPr>
          <w:vertAlign w:val="subscript"/>
        </w:rPr>
        <w:t>2</w:t>
      </w:r>
      <w:r>
        <w:t>) is a critical industrial chemical traditionally produced via the energy‐intensive anthraquinone process. Here, we report a low‐cost (&amp;lt;$0.6/g), hydroxyl‐functionalized metal‐organic polymer (MIL‐2OH‐W) featuring abundant undercoordinated [WO</w:t>
      </w:r>
      <w:r>
        <w:rPr>
          <w:vertAlign w:val="subscript"/>
        </w:rPr>
        <w:t>6</w:t>
      </w:r>
      <w:r>
        <w:t>]</w:t>
      </w:r>
      <w:r>
        <w:rPr>
          <w:vertAlign w:val="subscript"/>
        </w:rPr>
        <w:t>6</w:t>
      </w:r>
      <w:r>
        <w:t>−</w:t>
      </w:r>
      <w:r>
        <w:t>centers for solar‐driven H</w:t>
      </w:r>
      <w:r>
        <w:rPr>
          <w:vertAlign w:val="subscript"/>
        </w:rPr>
        <w:t>2</w:t>
      </w:r>
      <w:r>
        <w:t>O</w:t>
      </w:r>
      <w:r>
        <w:rPr>
          <w:vertAlign w:val="subscript"/>
        </w:rPr>
        <w:t>2</w:t>
      </w:r>
      <w:r>
        <w:t>production. MIL‐2OH‐W achieves a record production rate of 11.25 mmol·g</w:t>
      </w:r>
      <w:r>
        <w:t xml:space="preserve"> </w:t>
      </w:r>
      <w:r>
        <w:t>−</w:t>
      </w:r>
      <w:r>
        <w:rPr>
          <w:vertAlign w:val="subscript"/>
        </w:rPr>
        <w:t>1</w:t>
      </w:r>
      <w:r>
        <w:t>·h</w:t>
      </w:r>
      <w:r>
        <w:t xml:space="preserve"> </w:t>
      </w:r>
      <w:r>
        <w:t>−</w:t>
      </w:r>
      <w:r>
        <w:rPr>
          <w:vertAlign w:val="subscript"/>
        </w:rPr>
        <w:t>1</w:t>
      </w:r>
      <w:r>
        <w:t>in the first 10 min and becomes saturated to 3 mmol·g</w:t>
      </w:r>
      <w:r>
        <w:t xml:space="preserve"> </w:t>
      </w:r>
      <w:r>
        <w:t>−</w:t>
      </w:r>
      <w:r>
        <w:rPr>
          <w:vertAlign w:val="subscript"/>
        </w:rPr>
        <w:t>1</w:t>
      </w:r>
      <w:r>
        <w:t>·h</w:t>
      </w:r>
      <w:r>
        <w:t xml:space="preserve"> </w:t>
      </w:r>
      <w:r>
        <w:t>−</w:t>
      </w:r>
      <w:r>
        <w:rPr>
          <w:vertAlign w:val="subscript"/>
        </w:rPr>
        <w:t>1</w:t>
      </w:r>
      <w:r>
        <w:t>in 1 h, reaching a concentration of 1.02 g·L</w:t>
      </w:r>
      <w:r>
        <w:t xml:space="preserve"> </w:t>
      </w:r>
      <w:r>
        <w:t>−</w:t>
      </w:r>
      <w:r>
        <w:rPr>
          <w:vertAlign w:val="subscript"/>
        </w:rPr>
        <w:t>1</w:t>
      </w:r>
      <w:r>
        <w:t>(30 mmol·L</w:t>
      </w:r>
      <w:r>
        <w:t xml:space="preserve"> </w:t>
      </w:r>
      <w:r>
        <w:t>−</w:t>
      </w:r>
      <w:r>
        <w:rPr>
          <w:vertAlign w:val="subscript"/>
        </w:rPr>
        <w:t>1</w:t>
      </w:r>
      <w:r>
        <w:t>) with a 2.74% solar‐to‐chemical efficiency under mild conditions (40°C). Mechanistic studies from</w:t>
      </w:r>
      <w:r>
        <w:t xml:space="preserve"> </w:t>
      </w:r>
      <w:r>
        <w:t>in</w:t>
      </w:r>
      <w:r>
        <w:t xml:space="preserve"> </w:t>
      </w:r>
      <w:r>
        <w:t>‐</w:t>
      </w:r>
      <w:r>
        <w:t xml:space="preserve"> </w:t>
      </w:r>
      <w:r>
        <w:t>situ</w:t>
      </w:r>
      <w:r>
        <w:t xml:space="preserve"> </w:t>
      </w:r>
      <w:r>
        <w:t>transient absorption,</w:t>
      </w:r>
      <w:r>
        <w:t xml:space="preserve"> </w:t>
      </w:r>
      <w:r>
        <w:t>in</w:t>
      </w:r>
      <w:r>
        <w:t xml:space="preserve"> </w:t>
      </w:r>
      <w:r>
        <w:t>‐</w:t>
      </w:r>
      <w:r>
        <w:t xml:space="preserve"> </w:t>
      </w:r>
      <w:r>
        <w:t>situ</w:t>
      </w:r>
      <w:r>
        <w:t xml:space="preserve"> </w:t>
      </w:r>
      <w:r>
        <w:t>infrared,</w:t>
      </w:r>
      <w:r>
        <w:t xml:space="preserve"> </w:t>
      </w:r>
      <w:r>
        <w:t>in</w:t>
      </w:r>
      <w:r>
        <w:t xml:space="preserve"> </w:t>
      </w:r>
      <w:r>
        <w:t>‐</w:t>
      </w:r>
      <w:r>
        <w:t xml:space="preserve"> </w:t>
      </w:r>
      <w:r>
        <w:t>situ</w:t>
      </w:r>
      <w:r>
        <w:t xml:space="preserve"> </w:t>
      </w:r>
      <w:r>
        <w:t>electron paramagnetic resonance and density functional theory reveal a synergistic photothermal pathway, where aromatic hydroxyl linkers mimic anthraquinone‐like redox cycling, stabilize radical intermediates, and accelerate oxygen reduction. The catalyst exhibits exceptional stability (&amp;gt;40 days) and scalability, aligning with the United Nations decarbonization goals. This work provides a blueprint for sustainable H</w:t>
      </w:r>
      <w:r>
        <w:rPr>
          <w:vertAlign w:val="subscript"/>
        </w:rPr>
        <w:t>2</w:t>
      </w:r>
      <w:r>
        <w:t>O</w:t>
      </w:r>
      <w:r>
        <w:rPr>
          <w:vertAlign w:val="subscript"/>
        </w:rPr>
        <w:t>2</w:t>
      </w:r>
      <w:r>
        <w:t>synthesis by integrating photothermal catalysis with waste‐heat utilization.</w:t>
      </w:r>
    </w:p>
    <w:p>
      <w:pPr>
        <w:spacing w:before="120" w:after="120"/>
      </w:pPr>
      <w:r>
        <w:rPr>
          <w:sz w:val="18"/>
        </w:rPr>
        <w:t>——————————————————————————————————————————————————————————————————————</w:t>
      </w:r>
    </w:p>
    <w:p>
      <w:pPr>
        <w:spacing w:before="160" w:after="40" w:line="240" w:lineRule="auto"/>
      </w:pPr>
      <w:r>
        <w:rPr>
          <w:b/>
        </w:rPr>
        <w:t xml:space="preserve">[288] </w:t>
      </w:r>
      <w:hyperlink r:id="rId454">
        <w:r>
          <w:rPr>
            <w:color w:val="1155CC"/>
            <w:u w:val="single"/>
          </w:rPr>
          <w:t>具有“电与复合”连接界面的合成铁铁外热结构阴道,使ZincIon电池能够高性能</w:t>
        </w:r>
      </w:hyperlink>
    </w:p>
    <w:p>
      <w:pPr>
        <w:spacing w:before="0" w:after="80"/>
      </w:pPr>
      <w:r>
        <w:rPr>
          <w:i/>
          <w:sz w:val="20"/>
        </w:rPr>
        <w:t>EN: Synergistic Ternary Heterostructures Cathode With “Electron‐Complementation” Bridging Interfaces Enable High‐Performance Zinc‐Ion Batteries</w:t>
      </w:r>
    </w:p>
    <w:p>
      <w:pPr>
        <w:spacing w:before="0" w:after="120"/>
      </w:pPr>
      <w:r>
        <w:rPr>
          <w:b/>
        </w:rPr>
        <w:t xml:space="preserve">Source: </w:t>
      </w:r>
      <w:r>
        <w:t>Wiley: Advanced Materials: Table of Contents</w:t>
      </w:r>
      <w:r>
        <w:t xml:space="preserve">    </w:t>
      </w:r>
      <w:r>
        <w:rPr>
          <w:b/>
        </w:rPr>
        <w:t xml:space="preserve">Pub date: </w:t>
      </w:r>
      <w:r>
        <w:t>2026-02-03 09:25:15+00:00</w:t>
      </w:r>
      <w:r>
        <w:t xml:space="preserve">    </w:t>
      </w:r>
      <w:r>
        <w:rPr>
          <w:b/>
        </w:rPr>
        <w:t xml:space="preserve">DOI: </w:t>
      </w:r>
      <w:hyperlink r:id="rId455">
        <w:r>
          <w:rPr>
            <w:color w:val="1155CC"/>
            <w:u w:val="single"/>
          </w:rPr>
          <w:t>10.1002/adma.202522996</w:t>
        </w:r>
      </w:hyperlink>
    </w:p>
    <w:p>
      <w:pPr>
        <w:spacing w:before="0" w:after="120"/>
      </w:pPr>
      <w:r>
        <w:rPr>
          <w:b/>
        </w:rPr>
        <w:t xml:space="preserve">Notes: </w:t>
      </w:r>
      <w:r>
        <w:t>abstract_source=crossref</w:t>
      </w:r>
    </w:p>
    <w:p>
      <w:pPr>
        <w:spacing w:before="0" w:after="80" w:lineRule="auto" w:line="276"/>
      </w:pPr>
      <w:r>
        <w:rPr>
          <w:b/>
        </w:rPr>
        <w:t xml:space="preserve">摘要（ZH）: </w:t>
      </w:r>
      <w:r>
        <w:t>ABSTACT 构建多相异结构的多相异结构,通过相互交织具有特征互补作用的氧化物、硫化物和金属,对推进水电池电极、多功能合成和异性界面洞察提出了巨大的挑战,但传统方法往往受到特殊性优化和非热氧化活性基底依赖、损害性能的影响。在此,我们克服了这些局限性,采用了多种多功能超潜能驱动的合成战略,使精确的工程定时性成分异性结构能够实现无损高性能水态锌电池。分析地方结构和模型集成V 2中的第一个原则计算。</w:t>
      </w:r>
    </w:p>
    <w:p>
      <w:pPr>
        <w:spacing w:before="0" w:after="200" w:lineRule="auto" w:line="276"/>
      </w:pPr>
      <w:r>
        <w:rPr>
          <w:b/>
        </w:rPr>
        <w:t xml:space="preserve">Abstract (EN): </w:t>
      </w:r>
      <w:r>
        <w:t>Constructing multiphase heterostructures by interweaving characteristically complementary oxides, sulfides, and metals is promising for advancing aqueous battery electrodes, yet versatile synthesis and heterointerface insight pose significant challenges. Traditional methods often suffer from specificity optimization and non‐redox‐active substrate dependency, compromising performance. Herein, we overcome these limitations with a versatile overpotential‐driven synthetic strategy that enables precisely engineering ternary all‐component‐active heterostructures for compromise‐free high‐performance aqueous zinc batteries. Analysis of localized structure and first‐principles calculations in the model integrated V</w:t>
      </w:r>
      <w:r>
        <w:rPr>
          <w:vertAlign w:val="subscript"/>
        </w:rPr>
        <w:t>2</w:t>
      </w:r>
      <w:r>
        <w:t>O</w:t>
      </w:r>
      <w:r>
        <w:rPr>
          <w:vertAlign w:val="subscript"/>
        </w:rPr>
        <w:t>5</w:t>
      </w:r>
      <w:r>
        <w:t>@Cu</w:t>
      </w:r>
      <w:r>
        <w:rPr>
          <w:vertAlign w:val="subscript"/>
        </w:rPr>
        <w:t>2</w:t>
      </w:r>
      <w:r>
        <w:t>S@Cu heterostructure strongly suggest the formation of amorphous/crystalline bridging interfaces with electronic complementarity, which facilitates deep charge transfer and superior kinetics. In situ synchrotron X‐ray diffraction and ex situ X‐ray absorption spectra reveal the synergistic multi‐electron redox merging anion coordination, collectively enabling the all‐component redox activity and preferred rate capability. As results, V</w:t>
      </w:r>
      <w:r>
        <w:rPr>
          <w:vertAlign w:val="subscript"/>
        </w:rPr>
        <w:t>2</w:t>
      </w:r>
      <w:r>
        <w:t>O</w:t>
      </w:r>
      <w:r>
        <w:rPr>
          <w:vertAlign w:val="subscript"/>
        </w:rPr>
        <w:t>5</w:t>
      </w:r>
      <w:r>
        <w:t>@Cu</w:t>
      </w:r>
      <w:r>
        <w:rPr>
          <w:vertAlign w:val="subscript"/>
        </w:rPr>
        <w:t>2</w:t>
      </w:r>
      <w:r>
        <w:t>S@Cu delivers a high reversible capacity of 492 mAh g</w:t>
      </w:r>
      <w:r>
        <w:t xml:space="preserve"> </w:t>
      </w:r>
      <w:r>
        <w:t>−1</w:t>
      </w:r>
      <w:r>
        <w:t xml:space="preserve"> </w:t>
      </w:r>
      <w:r>
        <w:t>, enabling 9000 cycles at 5 A g</w:t>
      </w:r>
      <w:r>
        <w:t xml:space="preserve"> </w:t>
      </w:r>
      <w:r>
        <w:t>−1</w:t>
      </w:r>
      <w:r>
        <w:t xml:space="preserve"> </w:t>
      </w:r>
      <w:r>
        <w:t>with 90% capacity retention, greatly surpassing those of any single component. Such synthesis method has been further extended to other accessible vanadium‐based, manganese‐based and bismuth‐based ternary heterostructures, representing an important yet unexplored path to the fabrication of high‐performance aqueous battery cathodes featuring elaborate heterointerface manipulation.</w:t>
      </w:r>
    </w:p>
    <w:p>
      <w:pPr>
        <w:spacing w:before="120" w:after="120"/>
      </w:pPr>
      <w:r>
        <w:rPr>
          <w:sz w:val="18"/>
        </w:rPr>
        <w:t>——————————————————————————————————————————————————————————————————————</w:t>
      </w:r>
    </w:p>
    <w:p>
      <w:pPr>
        <w:spacing w:before="160" w:after="40" w:line="240" w:lineRule="auto"/>
      </w:pPr>
      <w:r>
        <w:rPr>
          <w:b/>
        </w:rPr>
        <w:t xml:space="preserve">[289] </w:t>
      </w:r>
      <w:hyperlink r:id="rId456">
        <w:r>
          <w:rPr>
            <w:color w:val="1155CC"/>
            <w:u w:val="single"/>
          </w:rPr>
          <w:t>Curtachalasin B 和与生物合成有关联的 生物合成综合综合综合</w:t>
        </w:r>
      </w:hyperlink>
    </w:p>
    <w:p>
      <w:pPr>
        <w:spacing w:before="0" w:after="80"/>
      </w:pPr>
      <w:r>
        <w:rPr>
          <w:i/>
          <w:sz w:val="20"/>
        </w:rPr>
        <w:t>EN: Bioinspired Total Synthesis of Curtachalasin B and Biosynthetically Related Cytochalasans</w:t>
      </w:r>
    </w:p>
    <w:p>
      <w:pPr>
        <w:spacing w:before="0" w:after="120"/>
      </w:pPr>
      <w:r>
        <w:rPr>
          <w:b/>
        </w:rPr>
        <w:t xml:space="preserve">Source: </w:t>
      </w:r>
      <w:r>
        <w:t>Wiley: Angewandte Chemie International Edition: Table of Contents</w:t>
      </w:r>
      <w:r>
        <w:t xml:space="preserve">    </w:t>
      </w:r>
      <w:r>
        <w:rPr>
          <w:b/>
        </w:rPr>
        <w:t xml:space="preserve">Pub date: </w:t>
      </w:r>
      <w:r>
        <w:t>2026-02-03 09:29:05+00:00</w:t>
      </w:r>
      <w:r>
        <w:t xml:space="preserve">    </w:t>
      </w:r>
      <w:r>
        <w:rPr>
          <w:b/>
        </w:rPr>
        <w:t xml:space="preserve">DOI: </w:t>
      </w:r>
      <w:hyperlink r:id="rId457">
        <w:r>
          <w:rPr>
            <w:color w:val="1155CC"/>
            <w:u w:val="single"/>
          </w:rPr>
          <w:t>10.1002/anie.202524740</w:t>
        </w:r>
      </w:hyperlink>
    </w:p>
    <w:p>
      <w:pPr>
        <w:spacing w:before="0" w:after="120"/>
      </w:pPr>
      <w:r>
        <w:rPr>
          <w:b/>
        </w:rPr>
        <w:t xml:space="preserve">Notes: </w:t>
      </w:r>
      <w:r>
        <w:t>abstract_source=crossref</w:t>
      </w:r>
    </w:p>
    <w:p>
      <w:pPr>
        <w:spacing w:before="0" w:after="80" w:lineRule="auto" w:line="276"/>
      </w:pPr>
      <w:r>
        <w:rPr>
          <w:b/>
        </w:rPr>
        <w:t xml:space="preserve">摘要（ZH）: </w:t>
      </w:r>
      <w:r>
        <w:t>我们报告了由共同前体zygosporin G 所衍生的Curtachalasin B 和一系列生物合成的细胞合成合成物,包括 ketocytochalassin、 xyliasins、 brunnesins、 zygosporins、 arbuschalasins、 cytochalassins 和 curtachalasin Q 。 关键中间体从战略上通过分子间分子Diels-Alder反应、两支Horner-Wadsworth-Emmons(HWE) 大型循环化和后期甲基1,1,2-添加来组合。 高功能化的Curtachalasin B 6/6环系统是通过生物合成网络分析激发的跨核循环化和ketool 重新布局。 这一统一的骨骼重组战略不仅完成了15个细胞的首次全面合成。</w:t>
      </w:r>
    </w:p>
    <w:p>
      <w:pPr>
        <w:spacing w:before="0" w:after="200" w:lineRule="auto" w:line="276"/>
      </w:pPr>
      <w:r>
        <w:rPr>
          <w:b/>
        </w:rPr>
        <w:t xml:space="preserve">Abstract (EN): </w:t>
      </w:r>
      <w:r>
        <w:t>We report the first total syntheses of curtachalasin B and a series of biosynthetically related cytochalasans, including ketocytochalasin, xylariasins, brunnesins, zygosporins, arbuschalasins, cytochalasins, and curtachalasin Q, derived from the common precursor zygosporin G. The key intermediate was strategically assembled through an intermolecular Diels–Alder reaction, two Horner–Wadsworth–Emmons (HWE) macrocyclizations, and a late‐stage methyl 1,2‐addition. The highly functionalized 6/6 ring system of curtachalasin B was efficiently constructed through a biosynthetic network analysis inspired transannular cyclization and α‐ketol rearrangement cascade. This unified skeletal reorganization strategy not only accomplished the first total synthesis of fifteen cytochalasans but also provided compelling experimental support for the proposed biosynthetic pathway of curtachalasin B, thereby establishing a chemical link between multiple subclasses of this family.</w:t>
      </w:r>
    </w:p>
    <w:p>
      <w:pPr>
        <w:spacing w:before="120" w:after="120"/>
      </w:pPr>
      <w:r>
        <w:rPr>
          <w:sz w:val="18"/>
        </w:rPr>
        <w:t>——————————————————————————————————————————————————————————————————————</w:t>
      </w:r>
    </w:p>
    <w:p>
      <w:pPr>
        <w:spacing w:before="160" w:after="40" w:line="240" w:lineRule="auto"/>
      </w:pPr>
      <w:r>
        <w:rPr>
          <w:b/>
        </w:rPr>
        <w:t xml:space="preserve">[290] </w:t>
      </w:r>
      <w:hyperlink r:id="rId458">
        <w:r>
          <w:rPr>
            <w:color w:val="1155CC"/>
            <w:u w:val="single"/>
          </w:rPr>
          <w:t>优化低地球氧化物中用于所有固态锂 -- -- 硫电池中高效硫化催化的高效硫氧化物中的氟化混合描述器</w:t>
        </w:r>
      </w:hyperlink>
    </w:p>
    <w:p>
      <w:pPr>
        <w:spacing w:before="0" w:after="80"/>
      </w:pPr>
      <w:r>
        <w:rPr>
          <w:i/>
          <w:sz w:val="20"/>
        </w:rPr>
        <w:t>EN: Optimizing f‐d Hybridization Descriptor in Rare‐Earth Oxides for Efficient Sulfur Catalysis in all Solid‐State Lithium–Sulfur Batteries</w:t>
      </w:r>
    </w:p>
    <w:p>
      <w:pPr>
        <w:spacing w:before="0" w:after="120"/>
      </w:pPr>
      <w:r>
        <w:rPr>
          <w:b/>
        </w:rPr>
        <w:t xml:space="preserve">Source: </w:t>
      </w:r>
      <w:r>
        <w:t>Wiley: Advanced Materials: Table of Contents</w:t>
      </w:r>
      <w:r>
        <w:t xml:space="preserve">    </w:t>
      </w:r>
      <w:r>
        <w:rPr>
          <w:b/>
        </w:rPr>
        <w:t xml:space="preserve">Pub date: </w:t>
      </w:r>
      <w:r>
        <w:t>2026-02-03 09:30:29+00:00</w:t>
      </w:r>
      <w:r>
        <w:t xml:space="preserve">    </w:t>
      </w:r>
      <w:r>
        <w:rPr>
          <w:b/>
        </w:rPr>
        <w:t xml:space="preserve">DOI: </w:t>
      </w:r>
      <w:hyperlink r:id="rId459">
        <w:r>
          <w:rPr>
            <w:color w:val="1155CC"/>
            <w:u w:val="single"/>
          </w:rPr>
          <w:t>10.1002/adma.202520011</w:t>
        </w:r>
      </w:hyperlink>
    </w:p>
    <w:p>
      <w:pPr>
        <w:spacing w:before="0" w:after="120"/>
      </w:pPr>
      <w:r>
        <w:rPr>
          <w:b/>
        </w:rPr>
        <w:t xml:space="preserve">Notes: </w:t>
      </w:r>
      <w:r>
        <w:t>abstract_source=crossref</w:t>
      </w:r>
    </w:p>
    <w:p>
      <w:pPr>
        <w:spacing w:before="0" w:after="80" w:lineRule="auto" w:line="276"/>
      </w:pPr>
      <w:r>
        <w:rPr>
          <w:b/>
        </w:rPr>
        <w:t xml:space="preserve">摘要（ZH）: </w:t>
      </w:r>
      <w:r>
        <w:t>ABSTACT ABSTACT ALSTACT All-固体锂 — — 硫电池(ASSLSBs)提供了高理论能源密度和内在安全性高的理论性能源密度和内在安全性,但由于这些区域轨道重叠薄弱和不连续电子联结,固体固体界面的硫硫重新氧化动力学缓慢,阻碍了它们的发展。 在这里,我们建议使用稀有氧化氧化物催化剂加速ASSSLSBs的减少硫反应(SRR ), 其方法是加强催化剂-硫化电解介界面的混合化。 我们首先定义了从被占用的 4 电子密度中衍生出来的混合成因子, I f-d 。</w:t>
      </w:r>
    </w:p>
    <w:p>
      <w:pPr>
        <w:spacing w:before="0" w:after="200" w:lineRule="auto" w:line="276"/>
      </w:pPr>
      <w:r>
        <w:rPr>
          <w:b/>
        </w:rPr>
        <w:t xml:space="preserve">Abstract (EN): </w:t>
      </w:r>
      <w:r>
        <w:t>All‐solid‐state lithium–sulfur batteries (ASSLSBs) offer high theoretical energy density and intrinsic safety, yet their development is hindered by sluggish sulfur redox kinetics at the solid–solid interfaces due to the weak orbital overlap and discontinuous electronic coupling at these regions. Here, we propose rare‐earth oxide catalysts that accelerate the sulfur reduction reaction (SRR) in ASSLSBs by strengthening the</w:t>
      </w:r>
      <w:r>
        <w:t xml:space="preserve"> </w:t>
      </w:r>
      <w:r>
        <w:t>f‐d‐p</w:t>
      </w:r>
      <w:r>
        <w:t xml:space="preserve"> </w:t>
      </w:r>
      <w:r>
        <w:t>hybridization at catalyst‐sulfur‐electrolyte interfaces. We first define a hybridization‐strength factor,</w:t>
      </w:r>
      <w:r>
        <w:t xml:space="preserve"> </w:t>
      </w:r>
      <w:r>
        <w:t>I</w:t>
      </w:r>
      <w:r>
        <w:t xml:space="preserve"> </w:t>
      </w:r>
      <w:r>
        <w:t>f‐d</w:t>
      </w:r>
      <w:r>
        <w:t xml:space="preserve"> </w:t>
      </w:r>
      <w:r>
        <w:t>, derived from the electron densities of occupied 4</w:t>
      </w:r>
      <w:r>
        <w:t xml:space="preserve"> </w:t>
      </w:r>
      <w:r>
        <w:t>f</w:t>
      </w:r>
      <w:r>
        <w:t xml:space="preserve"> </w:t>
      </w:r>
      <w:r>
        <w:t>and unoccupied 5</w:t>
      </w:r>
      <w:r>
        <w:t xml:space="preserve"> </w:t>
      </w:r>
      <w:r>
        <w:t>d</w:t>
      </w:r>
      <w:r>
        <w:t xml:space="preserve"> </w:t>
      </w:r>
      <w:r>
        <w:t>states, which quantifies interfacial hybridization and directly correlates with the metal‐sulfur coupling strength. Catalysts with higher</w:t>
      </w:r>
      <w:r>
        <w:t xml:space="preserve"> </w:t>
      </w:r>
      <w:r>
        <w:t>I</w:t>
      </w:r>
      <w:r>
        <w:t xml:space="preserve"> </w:t>
      </w:r>
      <w:r>
        <w:t>f‐d</w:t>
      </w:r>
      <w:r>
        <w:t xml:space="preserve"> </w:t>
      </w:r>
      <w:r>
        <w:t>exhibit lower activation energy (</w:t>
      </w:r>
      <w:r>
        <w:t xml:space="preserve"> </w:t>
      </w:r>
      <w:r>
        <w:t>E</w:t>
      </w:r>
      <w:r>
        <w:t xml:space="preserve"> </w:t>
      </w:r>
      <w:r>
        <w:t>a</w:t>
      </w:r>
      <w:r>
        <w:t xml:space="preserve"> </w:t>
      </w:r>
      <w:r>
        <w:t>) and the overpotential (</w:t>
      </w:r>
      <w:r>
        <w:t xml:space="preserve"> </w:t>
      </w:r>
      <w:r>
        <w:t>η</w:t>
      </w:r>
      <w:r>
        <w:t xml:space="preserve"> </w:t>
      </w:r>
      <w:r>
        <w:t>) during SRR, validating its role as a structure‐activity descriptor for catalyst screening and design. Guided by this descriptor, the screened Lu</w:t>
      </w:r>
      <w:r>
        <w:rPr>
          <w:vertAlign w:val="subscript"/>
        </w:rPr>
        <w:t>2</w:t>
      </w:r>
      <w:r>
        <w:t>O</w:t>
      </w:r>
      <w:r>
        <w:rPr>
          <w:vertAlign w:val="subscript"/>
        </w:rPr>
        <w:t>3</w:t>
      </w:r>
      <w:r>
        <w:t>catalyst minimizes kinetic barriers (0.088 eV), and thus enabling stable cycling for over 20 000 cycles at 5 C, and an ultra‐high areal capacity of 14.48 mAh cm</w:t>
      </w:r>
      <w:r>
        <w:t xml:space="preserve"> </w:t>
      </w:r>
      <w:r>
        <w:t>−2</w:t>
      </w:r>
      <w:r>
        <w:t xml:space="preserve"> </w:t>
      </w:r>
      <w:r>
        <w:t>at room temperature, among the highest performances reported for ASSLSBs. This work fills the mechanistic gap between interfacial orbital interactions and battery performance and paves the way toward catalyst design for high‐energy, long‐life ASSLSBs.</w:t>
      </w:r>
    </w:p>
    <w:p>
      <w:pPr>
        <w:spacing w:before="120" w:after="120"/>
      </w:pPr>
      <w:r>
        <w:rPr>
          <w:sz w:val="18"/>
        </w:rPr>
        <w:t>——————————————————————————————————————————————————————————————————————</w:t>
      </w:r>
    </w:p>
    <w:p>
      <w:pPr>
        <w:spacing w:before="160" w:after="40" w:line="240" w:lineRule="auto"/>
      </w:pPr>
      <w:r>
        <w:rPr>
          <w:b/>
        </w:rPr>
        <w:t xml:space="preserve">[291] </w:t>
      </w:r>
      <w:hyperlink r:id="rId460">
        <w:r>
          <w:rPr>
            <w:color w:val="1155CC"/>
            <w:u w:val="single"/>
          </w:rPr>
          <w:t>通过化学机械组合重写聚合物命运</w:t>
        </w:r>
      </w:hyperlink>
    </w:p>
    <w:p>
      <w:pPr>
        <w:spacing w:before="0" w:after="80"/>
      </w:pPr>
      <w:r>
        <w:rPr>
          <w:i/>
          <w:sz w:val="20"/>
        </w:rPr>
        <w:t>EN: Rewriting Polymer Fate via Chemomechanical Coupling</w:t>
      </w:r>
    </w:p>
    <w:p>
      <w:pPr>
        <w:spacing w:before="0" w:after="120"/>
      </w:pPr>
      <w:r>
        <w:rPr>
          <w:b/>
        </w:rPr>
        <w:t xml:space="preserve">Source: </w:t>
      </w:r>
      <w:r>
        <w:t>Wiley: Advanced Materials: Table of Contents</w:t>
      </w:r>
      <w:r>
        <w:t xml:space="preserve">    </w:t>
      </w:r>
      <w:r>
        <w:rPr>
          <w:b/>
        </w:rPr>
        <w:t xml:space="preserve">Pub date: </w:t>
      </w:r>
      <w:r>
        <w:t>2026-02-03 09:33:16+00:00</w:t>
      </w:r>
      <w:r>
        <w:t xml:space="preserve">    </w:t>
      </w:r>
      <w:r>
        <w:rPr>
          <w:b/>
        </w:rPr>
        <w:t xml:space="preserve">DOI: </w:t>
      </w:r>
      <w:hyperlink r:id="rId461">
        <w:r>
          <w:rPr>
            <w:color w:val="1155CC"/>
            <w:u w:val="single"/>
          </w:rPr>
          <w:t>10.1002/adma.202518567</w:t>
        </w:r>
      </w:hyperlink>
    </w:p>
    <w:p>
      <w:pPr>
        <w:spacing w:before="0" w:after="120"/>
      </w:pPr>
      <w:r>
        <w:rPr>
          <w:b/>
        </w:rPr>
        <w:t xml:space="preserve">Notes: </w:t>
      </w:r>
      <w:r>
        <w:t>abstract_source=crossref</w:t>
      </w:r>
    </w:p>
    <w:p>
      <w:pPr>
        <w:spacing w:before="0" w:after="80" w:lineRule="auto" w:line="276"/>
      </w:pPr>
      <w:r>
        <w:rPr>
          <w:b/>
        </w:rPr>
        <w:t xml:space="preserve">摘要（ZH）: </w:t>
      </w:r>
      <w:r>
        <w:t>合成聚合物在制造后如何赋予其持续、生命般的生长、脱毛、愈合和改变其化学和物理特性的能力?本研究通过结合理论和实验来解决这一问题,建立一个开放的系统“活性”聚合物平台,将大规模运输、可逆聚合化、链交换和不断演进的弹性整合为一个完全化学结合的网络。控制式运输、反应和压力能够通过轻活性催化剂的微规模控制来持续生长和脱增长。其化学成分可以按需要重新编程,调整模量最高为两级,使材料硬化或软化。这些能力可以使可自我增长的选用能够进行自我增长。</w:t>
      </w:r>
    </w:p>
    <w:p>
      <w:pPr>
        <w:spacing w:before="0" w:after="200" w:lineRule="auto" w:line="276"/>
      </w:pPr>
      <w:r>
        <w:rPr>
          <w:b/>
        </w:rPr>
        <w:t xml:space="preserve">Abstract (EN): </w:t>
      </w:r>
      <w:r>
        <w:t>How can synthetic polymers be endowed with the continuous, life‐like ability to grow, degrow, heal, and alter their chemical and physical properties after fabrication? This study addresses this question by coupling theory and experiment to create an open‐system “living” polymer platform that integrates mass transport, reversible polymerization, chain exchange, and evolving elasticity into a fully chemomechanically coupled network. Controlled transport, reaction, and stresses enable continuous growth and degrowth with microscale control enabled by light‐activated catalysts. Their chemical composition can be reprogrammed on demand, tuning modulus by up to two orders of magnitude to either stiffen or soften the material. These capabilities enable self‐growable electronics, transformative soft robots, and on‐site damage‐regenerating devices, establishing a foundation for sustainable, endlessly reprogrammable polymers.</w:t>
      </w:r>
    </w:p>
    <w:p>
      <w:pPr>
        <w:spacing w:before="120" w:after="120"/>
      </w:pPr>
      <w:r>
        <w:rPr>
          <w:sz w:val="18"/>
        </w:rPr>
        <w:t>——————————————————————————————————————————————————————————————————————</w:t>
      </w:r>
    </w:p>
    <w:p>
      <w:pPr>
        <w:spacing w:before="160" w:after="40" w:line="240" w:lineRule="auto"/>
      </w:pPr>
      <w:r>
        <w:rPr>
          <w:b/>
        </w:rPr>
        <w:t xml:space="preserve">[292] </w:t>
      </w:r>
      <w:hyperlink r:id="rId462">
        <w:r>
          <w:rPr>
            <w:color w:val="1155CC"/>
            <w:u w:val="single"/>
          </w:rPr>
          <w:t>[ASAP] 聚碳化合物与聚氧辛醇-聚氧辛醇-聚氧辛烷磺酰胺:通过受控圆环开放聚氨酯,重新焦-和定型的定型β-1-2-链-聚氨酯-聚氨酯-聚氨酯-聚氨酯-聚氨酯-聚氨酯-聚氨酯-聚氨酯-聚氨酯-聚氨酯-聚氨酯-聚氨酯-聚氨酯-聚氨酯-聚氨酯-聚氨酯-聚氨酯-聚氨酯-聚氨</w:t>
        </w:r>
      </w:hyperlink>
    </w:p>
    <w:p>
      <w:pPr>
        <w:spacing w:before="0" w:after="80"/>
      </w:pPr>
      <w:r>
        <w:rPr>
          <w:i/>
          <w:sz w:val="20"/>
        </w:rPr>
        <w:t>EN: [ASAP] Polysaccharide Meets Polyoxazoline: Regio- and Stereodefined β-1,2-Linked Pseudo-polysaccharides via Controlled Cationic Ring-Opening 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2026-02-03 09:33:48+00:00</w:t>
      </w:r>
      <w:r>
        <w:t xml:space="preserve">    </w:t>
      </w:r>
      <w:r>
        <w:rPr>
          <w:b/>
        </w:rPr>
        <w:t xml:space="preserve">DOI: </w:t>
      </w:r>
      <w:hyperlink r:id="rId463">
        <w:r>
          <w:rPr>
            <w:color w:val="1155CC"/>
            <w:u w:val="single"/>
          </w:rPr>
          <w:t>10.1021/jacs.5c19479</w:t>
        </w:r>
      </w:hyperlink>
    </w:p>
    <w:p>
      <w:pPr>
        <w:spacing w:before="0" w:after="120"/>
      </w:pPr>
      <w:r>
        <w:rPr>
          <w:b/>
        </w:rPr>
        <w:t xml:space="preserve">Notes: </w:t>
      </w:r>
      <w:r>
        <w:t>abstract_source=pubmed</w:t>
      </w:r>
    </w:p>
    <w:p>
      <w:pPr>
        <w:spacing w:before="0" w:after="80" w:lineRule="auto" w:line="276"/>
      </w:pPr>
      <w:r>
        <w:rPr>
          <w:b/>
        </w:rPr>
        <w:t xml:space="preserve">摘要（ZH）: </w:t>
      </w:r>
      <w:r>
        <w:t>聚氰菊酯具有显著的立体化学和再生化学复杂性,然而它们的自然异质性却在成分和物质行为上产生难以控制或预测的差异。在这里,我们报告一种合成方法,通过控制、开立晶状环状聚合聚合甘烃胺衍生物2-氧化氮线单体,克服了这些挑战,提供了新一类定义明确的伪粒子化学化合物,其中每个亚元素通过含有支聚乙基的氮1,200-N相连,其中每个亚元素通过含有支聚乙基的氮组成1,200-N相连。 在使用苯基保护单体(Obn-GlcOx)和甲基聚氨酸酯的优化条件下,聚合过程在75°C的3小时内全面转化,其分子重量增长、一等级动能和低分解度(D      ) 。</w:t>
      </w:r>
    </w:p>
    <w:p>
      <w:pPr>
        <w:spacing w:before="0" w:after="200" w:lineRule="auto" w:line="276"/>
      </w:pPr>
      <w:r>
        <w:rPr>
          <w:b/>
        </w:rPr>
        <w:t xml:space="preserve">Abstract (EN): </w:t>
      </w:r>
      <w:r>
        <w:t>Polysaccharides exhibit remarkable stereochemical and regiochemical complexity, yet their natural heterogeneity produces differences in composition and material behavior that are difficult to control or predict. Here, we report a synthetic approach that overcomes these challenges through the controlled, cationic ring-opening polymerization of glucosamine-derived 2-oxazoline monomers, affording a new class of well-defined pseudo-polysaccharides, wherein each saccharide subunit is 1,2-N-linked through a nitrogen containing a pendant acyl group. Under optimized conditions using a benzyl-protected monomer (OBn-GlcOx) and a methyl tosylate initiator, polymerization proceeds to full conversion within 3 h at 75 °C with linear molecular weight growth, first-order kinetics, and low dispersity (D̵ ≤ 1.2), consistent with a controlled polymerization mechanism. The resulting polymers exhibit complete β-1,2-regio- and stereoselectivity, narrow molecular-weight distributions, and retention of chain-end functionality that enables chain extension to form diblock copolymers with 2-methyl-2-oxazoline. Following quantitative deprotection, the resulting polymer is water-soluble and both protected and nonprotected versions display markedly enhanced resistance to ultrasonic, acidic, and thermal degradation as compared to chitosan (mass loss ≤63% vs 93% under harshest conditions). These findings establish a synthetic route to stereoregular, amide-linked pseudo-polysaccharides with tunable physicochemical properties, expanding the accessible design space for well-defined, carbohydrate-based materials.</w:t>
      </w:r>
    </w:p>
    <w:p>
      <w:pPr>
        <w:spacing w:before="120" w:after="120"/>
      </w:pPr>
      <w:r>
        <w:rPr>
          <w:sz w:val="18"/>
        </w:rPr>
        <w:t>——————————————————————————————————————————————————————————————————————</w:t>
      </w:r>
    </w:p>
    <w:p>
      <w:pPr>
        <w:spacing w:before="160" w:after="40" w:line="240" w:lineRule="auto"/>
      </w:pPr>
      <w:r>
        <w:rPr>
          <w:b/>
        </w:rPr>
        <w:t xml:space="preserve">[293] </w:t>
      </w:r>
      <w:hyperlink r:id="rId464">
        <w:r>
          <w:rPr>
            <w:color w:val="1155CC"/>
            <w:u w:val="single"/>
          </w:rPr>
          <w:t>动态 Binder 交换提高DNADNADNAPAINT中蛋白标签的效率,最多15-Fold</w:t>
        </w:r>
      </w:hyperlink>
    </w:p>
    <w:p>
      <w:pPr>
        <w:spacing w:before="0" w:after="80"/>
      </w:pPr>
      <w:r>
        <w:rPr>
          <w:i/>
          <w:sz w:val="20"/>
        </w:rPr>
        <w:t>EN: Dynamic Binder Exchange Improves Protein Labeling Efficiency in DNA‐PAINT up to 15‐Fold</w:t>
      </w:r>
    </w:p>
    <w:p>
      <w:pPr>
        <w:spacing w:before="0" w:after="120"/>
      </w:pPr>
      <w:r>
        <w:rPr>
          <w:b/>
        </w:rPr>
        <w:t xml:space="preserve">Source: </w:t>
      </w:r>
      <w:r>
        <w:t>Wiley: Angewandte Chemie International Edition: Table of Contents</w:t>
      </w:r>
      <w:r>
        <w:t xml:space="preserve">    </w:t>
      </w:r>
      <w:r>
        <w:rPr>
          <w:b/>
        </w:rPr>
        <w:t xml:space="preserve">Pub date: </w:t>
      </w:r>
      <w:r>
        <w:t>2026-02-03 09:38:24+00:00</w:t>
      </w:r>
      <w:r>
        <w:t xml:space="preserve">    </w:t>
      </w:r>
      <w:r>
        <w:rPr>
          <w:b/>
        </w:rPr>
        <w:t xml:space="preserve">DOI: </w:t>
      </w:r>
      <w:hyperlink r:id="rId465">
        <w:r>
          <w:rPr>
            <w:color w:val="1155CC"/>
            <w:u w:val="single"/>
          </w:rPr>
          <w:t>10.1002/anie.202518685</w:t>
        </w:r>
      </w:hyperlink>
    </w:p>
    <w:p>
      <w:pPr>
        <w:spacing w:before="0" w:after="120"/>
      </w:pPr>
      <w:r>
        <w:rPr>
          <w:b/>
        </w:rPr>
        <w:t xml:space="preserve">Notes: </w:t>
      </w:r>
      <w:r>
        <w:t>abstract_source=crossref</w:t>
      </w:r>
    </w:p>
    <w:p>
      <w:pPr>
        <w:spacing w:before="0" w:after="80" w:lineRule="auto" w:line="276"/>
      </w:pPr>
      <w:r>
        <w:rPr>
          <w:b/>
        </w:rPr>
        <w:t xml:space="preserve">摘要（ZH）: </w:t>
      </w:r>
      <w:r>
        <w:t>Binder Exchange (DyBE) 通过利用可逆的瞬态粘合器目标互动,增强DNA(Nanosial地形成像的积聚点)超分辨率显微镜。DyBE使用DNA(Conjudgated)粘合器,如纳米体,既瞄准目标,又对接粘合器,将它们的特性与高离差率的DNA(DyBE)相融合到高效的采样目标点。这个双重基因计划提高了标签效率,达到15倍,使得能够敏感地探测由于高超离差粘合器的限制而以前无法进入的目标。这项研究利用DyBE, 揭示了HER2同族同体和Igandá(EGEFRHER2) 诱发的单苯丙胺溶剂在高忠诚度的单苯丙胺溶液中的存在。DyBE扩展了可用的粘合器粘合体,</w:t>
      </w:r>
    </w:p>
    <w:p>
      <w:pPr>
        <w:spacing w:before="0" w:after="200" w:lineRule="auto" w:line="276"/>
      </w:pPr>
      <w:r>
        <w:rPr>
          <w:b/>
        </w:rPr>
        <w:t xml:space="preserve">Abstract (EN): </w:t>
      </w:r>
      <w:r>
        <w:t>Dynamic Binder Exchange (DyBE) enhances DNA‐PAINT (Point Accumulation for Imaging in Nanoscale Topography) super‐resolution microscopy by exploiting transient, reversible binder‐target interactions. DyBE uses DNA‐conjugated binders such as nanobodies as both targeting and docking moieties, integrating their characteristic higher off‐rates with DNA‐PAINT blinking to efficiently sample target sites. This dual‐kinetic scheme increases labeling efficiency up to 15‐fold, enabling sensitive detection of targets previously inaccessible due to limitations of high‐off‐rate binders. Using DyBE, the study reveals pre‐existing HER2 homodimers and ligand‐induced EGFR‐HER2 heterodimers at single‐protein resolution with high fidelity. DyBE expands the usable binder repertoire, advancing spatial proteomics and enabling mechanistic drug studies of receptor organization and signaling.</w:t>
      </w:r>
    </w:p>
    <w:p>
      <w:pPr>
        <w:spacing w:before="120" w:after="120"/>
      </w:pPr>
      <w:r>
        <w:rPr>
          <w:sz w:val="18"/>
        </w:rPr>
        <w:t>——————————————————————————————————————————————————————————————————————</w:t>
      </w:r>
    </w:p>
    <w:p>
      <w:pPr>
        <w:spacing w:before="160" w:after="40" w:line="240" w:lineRule="auto"/>
      </w:pPr>
      <w:r>
        <w:rPr>
          <w:b/>
        </w:rPr>
        <w:t xml:space="preserve">[294] </w:t>
      </w:r>
      <w:hyperlink r:id="rId466">
        <w:r>
          <w:rPr>
            <w:color w:val="1155CC"/>
            <w:u w:val="single"/>
          </w:rPr>
          <w:t>用于在严重条件下运行的高绩效和耐久燃料电池的无质子交换质子交换聚体</w:t>
        </w:r>
      </w:hyperlink>
    </w:p>
    <w:p>
      <w:pPr>
        <w:spacing w:before="0" w:after="80"/>
      </w:pPr>
      <w:r>
        <w:rPr>
          <w:i/>
          <w:sz w:val="20"/>
        </w:rPr>
        <w:t>EN: Universal Fluorine‐Free Proton Exchange Polymers for High‐Performance and Durable Fuel Cells Operable Under Severe Conditions</w:t>
      </w:r>
    </w:p>
    <w:p>
      <w:pPr>
        <w:spacing w:before="0" w:after="120"/>
      </w:pPr>
      <w:r>
        <w:rPr>
          <w:b/>
        </w:rPr>
        <w:t xml:space="preserve">Source: </w:t>
      </w:r>
      <w:r>
        <w:t>Wiley: Advanced Materials: Table of Contents</w:t>
      </w:r>
      <w:r>
        <w:t xml:space="preserve">    </w:t>
      </w:r>
      <w:r>
        <w:rPr>
          <w:b/>
        </w:rPr>
        <w:t xml:space="preserve">Pub date: </w:t>
      </w:r>
      <w:r>
        <w:t>2026-02-03 09:40:27+00:00</w:t>
      </w:r>
      <w:r>
        <w:t xml:space="preserve">    </w:t>
      </w:r>
      <w:r>
        <w:rPr>
          <w:b/>
        </w:rPr>
        <w:t xml:space="preserve">DOI: </w:t>
      </w:r>
      <w:hyperlink r:id="rId467">
        <w:r>
          <w:rPr>
            <w:color w:val="1155CC"/>
            <w:u w:val="single"/>
          </w:rPr>
          <w:t>10.1002/adma.202520137</w:t>
        </w:r>
      </w:hyperlink>
    </w:p>
    <w:p>
      <w:pPr>
        <w:spacing w:before="0" w:after="120"/>
      </w:pPr>
      <w:r>
        <w:rPr>
          <w:b/>
        </w:rPr>
        <w:t xml:space="preserve">Notes: </w:t>
      </w:r>
      <w:r>
        <w:t>abstract_source=crossref</w:t>
      </w:r>
    </w:p>
    <w:p>
      <w:pPr>
        <w:spacing w:before="0" w:after="80" w:lineRule="auto" w:line="276"/>
      </w:pPr>
      <w:r>
        <w:rPr>
          <w:b/>
        </w:rPr>
        <w:t xml:space="preserve">摘要（ZH）: </w:t>
      </w:r>
      <w:r>
        <w:t>ABSTACT无氟质子交换薄膜(PEM)可以为全氟硫酸(PFSA)膜提供一个大有希望的替代品,应对负面环境影响、高成本和恶劣条件下性能有限等挑战,然而,无氟质质子交换质膜(PEM)由于酸性较弱、缺水/缺氢分相差,以及机械和化学稳定性有限,天生的质子传导性较低,无氟质子交换质子交换膜(PEMs)本可成为全氟硫酸(PEMs)的有希望的替代品,应对在恶劣条件下对环境造成负面影响、成本高和性能有限等挑战;然而,无氟质质聚苯乙烯由于酸性较弱和缺水/缺氢分相差,以及机械和化学稳定性有限,因此本可造成无氟氟全氟碳酸(PPAC12)新颖而普遍无氟全氟聚氨烷基聚苯乙烯的替代品,我们在这里报告,这是首次解决上述所有问题,如质子导力比PFSA系统高出2.6倍于2.6倍于PFSAs等。</w:t>
      </w:r>
    </w:p>
    <w:p>
      <w:pPr>
        <w:spacing w:before="0" w:after="200" w:lineRule="auto" w:line="276"/>
      </w:pPr>
      <w:r>
        <w:rPr>
          <w:b/>
        </w:rPr>
        <w:t xml:space="preserve">Abstract (EN): </w:t>
      </w:r>
      <w:r>
        <w:t>Fluorine‐free proton exchange membranes (PEMs) could offer a promising alternative to perfluorosulfonic acid (PFSA) membranes, addressing challenges such as negative environmental impact, high cost, and limited performance under harsh conditions. However, fluorine‐free PEMs inherently suffer from low proton conductivity due to weaker acidity and poorly developed hydrophilic/hydrophobic phase‐separation, along with limited mechanical and chemical stability. Here, we report a novel and universal fluorine‐free PEMs featuring aliphatic chains in the backbone, which for the first time to dissolve all the issues mentioned, such as 2.6 times higher proton conductivity than PFSAs. Further physical reinforcement (SP‐PAC12</w:t>
      </w:r>
      <w:r>
        <w:rPr>
          <w:vertAlign w:val="subscript"/>
        </w:rPr>
        <w:t>67</w:t>
      </w:r>
      <w:r>
        <w:t>‐QP‐4.5‐PE‐7) effectively extended their lifetime to 335.1 times of the original SP‐PAC12</w:t>
      </w:r>
      <w:r>
        <w:rPr>
          <w:vertAlign w:val="subscript"/>
        </w:rPr>
        <w:t>67</w:t>
      </w:r>
      <w:r>
        <w:t>‐QP‐3.5, and exceeded 1.3 times of the state‐of‐the‐art fluorinated Nafion XL reinforced membrane, in the severely accelerated durability test. Furthermore, the fluorine‐free PEMs exhibited outstanding performance than Nafion XL, especially at elevated temperatures, proving their practical applicability as a promising alternative to the fluorinated counterparts.</w:t>
      </w:r>
    </w:p>
    <w:p>
      <w:pPr>
        <w:spacing w:before="120" w:after="120"/>
      </w:pPr>
      <w:r>
        <w:rPr>
          <w:sz w:val="18"/>
        </w:rPr>
        <w:t>——————————————————————————————————————————————————————————————————————</w:t>
      </w:r>
    </w:p>
    <w:p>
      <w:pPr>
        <w:spacing w:before="160" w:after="40" w:line="240" w:lineRule="auto"/>
      </w:pPr>
      <w:r>
        <w:rPr>
          <w:b/>
        </w:rPr>
        <w:t xml:space="preserve">[295] </w:t>
      </w:r>
      <w:hyperlink r:id="rId468">
        <w:r>
          <w:rPr>
            <w:color w:val="1155CC"/>
            <w:u w:val="single"/>
          </w:rPr>
          <w:t>Bright 2D 极地 Perovskite Scintillator, 与超速衰减, 通过抑制自由载体再组合</w:t>
        </w:r>
      </w:hyperlink>
    </w:p>
    <w:p>
      <w:pPr>
        <w:spacing w:before="0" w:after="80"/>
      </w:pPr>
      <w:r>
        <w:rPr>
          <w:i/>
          <w:sz w:val="20"/>
        </w:rPr>
        <w:t>EN: Bright 2D Polar Perovskite Scintillator with Ultrafast Decay by Suppressing Free Carrier Recombination</w:t>
      </w:r>
    </w:p>
    <w:p>
      <w:pPr>
        <w:spacing w:before="0" w:after="120"/>
      </w:pPr>
      <w:r>
        <w:rPr>
          <w:b/>
        </w:rPr>
        <w:t xml:space="preserve">Source: </w:t>
      </w:r>
      <w:r>
        <w:t>Wiley: Advanced Materials: Table of Contents</w:t>
      </w:r>
      <w:r>
        <w:t xml:space="preserve">    </w:t>
      </w:r>
      <w:r>
        <w:rPr>
          <w:b/>
        </w:rPr>
        <w:t xml:space="preserve">Pub date: </w:t>
      </w:r>
      <w:r>
        <w:t>2026-02-03 09:41:14+00:00</w:t>
      </w:r>
      <w:r>
        <w:t xml:space="preserve">    </w:t>
      </w:r>
      <w:r>
        <w:rPr>
          <w:b/>
        </w:rPr>
        <w:t xml:space="preserve">DOI: </w:t>
      </w:r>
      <w:hyperlink r:id="rId469">
        <w:r>
          <w:rPr>
            <w:color w:val="1155CC"/>
            <w:u w:val="single"/>
          </w:rPr>
          <w:t>10.1002/adma.202517639</w:t>
        </w:r>
      </w:hyperlink>
    </w:p>
    <w:p>
      <w:pPr>
        <w:spacing w:before="0" w:after="120"/>
      </w:pPr>
      <w:r>
        <w:rPr>
          <w:b/>
        </w:rPr>
        <w:t xml:space="preserve">Notes: </w:t>
      </w:r>
      <w:r>
        <w:t>abstract_source=crossref</w:t>
      </w:r>
    </w:p>
    <w:p>
      <w:pPr>
        <w:spacing w:before="0" w:after="80" w:lineRule="auto" w:line="276"/>
      </w:pPr>
      <w:r>
        <w:rPr>
          <w:b/>
        </w:rPr>
        <w:t xml:space="preserve">摘要（ZH）: </w:t>
      </w:r>
      <w:r>
        <w:t>在敏感、快速辐射探测和成像中,对敏感、快速辐射探测和成像中的焚化炉高度要求高光量和超快衰变时间,但两种特性迄今都很难在焚化炉中共存。在这里,我们报告了2D有机无机混合过密的2D有机无机杂交渗透剂中自发两极化强化闪烁设计原则。 正如所预期的,2 PbBR 4 (APB)  Perovskite 显示高光率最高达19,660光子/MeV, 寿命为0.90 ns。 结合实验和计算结果,我们证明加强电离子筛选效应和抑制自由载体再组合是对应的。</w:t>
      </w:r>
    </w:p>
    <w:p>
      <w:pPr>
        <w:spacing w:before="0" w:after="200" w:lineRule="auto" w:line="276"/>
      </w:pPr>
      <w:r>
        <w:rPr>
          <w:b/>
        </w:rPr>
        <w:t xml:space="preserve">Abstract (EN): </w:t>
      </w:r>
      <w:r>
        <w:t>High light yield and ultrafast decay time are highly demanded for scintillators in sensitive, rapid radiation detection and imaging, but both properties can hardly coexist in a scintillator so far. Herein, we report a design principle for spontaneous polarization‐enhanced scintillation in 2D organic–inorganic hybrid perovskites. As anticipated, the (4‐aminomethyl‐1‐cyclohexanecarboxylate)</w:t>
      </w:r>
      <w:r>
        <w:rPr>
          <w:vertAlign w:val="subscript"/>
        </w:rPr>
        <w:t>2</w:t>
      </w:r>
      <w:r>
        <w:t>PbBr</w:t>
      </w:r>
      <w:r>
        <w:rPr>
          <w:vertAlign w:val="subscript"/>
        </w:rPr>
        <w:t>4</w:t>
      </w:r>
      <w:r>
        <w:t>(APB) perovskite displays high light yield up to 19 660 photons/MeV and a lifetime of 0.90 ns. Combining the experimental and computational results, we demonstrate that enhancement of dielectric screening effect and suppression of free carrier recombination are responsible for the ultrafast decay time and high light yield, respectively. Moreover, the practical applications for fast neutron imaging and flash X‐ray radiography are successfully demonstrated with excellent spatial resolutions of 2.4 and 31 lp/mm, respectively. In addition, the potential for PET technique is verified by shorter CTR values than (Lu</w:t>
      </w:r>
      <w:r>
        <w:t xml:space="preserve"> </w:t>
      </w:r>
      <w:r>
        <w:t>x</w:t>
      </w:r>
      <w:r>
        <w:t xml:space="preserve"> </w:t>
      </w:r>
      <w:r>
        <w:t>Y</w:t>
      </w:r>
      <w:r>
        <w:t xml:space="preserve"> </w:t>
      </w:r>
      <w:r>
        <w:t>1‐x</w:t>
      </w:r>
      <w:r>
        <w:t xml:space="preserve"> </w:t>
      </w:r>
      <w:r>
        <w:t>)</w:t>
      </w:r>
      <w:r>
        <w:rPr>
          <w:vertAlign w:val="subscript"/>
        </w:rPr>
        <w:t>2</w:t>
      </w:r>
      <w:r>
        <w:t>SiO</w:t>
      </w:r>
      <w:r>
        <w:rPr>
          <w:vertAlign w:val="subscript"/>
        </w:rPr>
        <w:t>5</w:t>
      </w:r>
      <w:r>
        <w:t>: Ce (LYSO). This work will open up a new avenue for developing high‐performance ultrafast scintillators for practical applications in biomedical and nuclear detection techniques.</w:t>
      </w:r>
    </w:p>
    <w:p>
      <w:pPr>
        <w:spacing w:before="120" w:after="120"/>
      </w:pPr>
      <w:r>
        <w:rPr>
          <w:sz w:val="18"/>
        </w:rPr>
        <w:t>——————————————————————————————————————————————————————————————————————</w:t>
      </w:r>
    </w:p>
    <w:p>
      <w:pPr>
        <w:spacing w:before="160" w:after="40" w:line="240" w:lineRule="auto"/>
      </w:pPr>
      <w:r>
        <w:rPr>
          <w:b/>
        </w:rPr>
        <w:t xml:space="preserve">[296] </w:t>
      </w:r>
      <w:hyperlink r:id="rId470">
        <w:r>
          <w:rPr>
            <w:color w:val="1155CC"/>
            <w:u w:val="single"/>
          </w:rPr>
          <w:t>[ASAP] Chem-Bio复合合成综合促进以天然产品为基础的甲基苯乙胺的重新设计</w:t>
        </w:r>
      </w:hyperlink>
    </w:p>
    <w:p>
      <w:pPr>
        <w:spacing w:before="0" w:after="80"/>
      </w:pPr>
      <w:r>
        <w:rPr>
          <w:i/>
          <w:sz w:val="20"/>
        </w:rPr>
        <w:t>EN: [ASAP] Chem–Bio Hybrid Synthesis Enables Reengineering of Natural Product-Based Methionine Aminopeptidase 2 Inhibitors for Treating Amebiasis</w:t>
      </w:r>
    </w:p>
    <w:p>
      <w:pPr>
        <w:spacing w:before="0" w:after="120"/>
      </w:pPr>
      <w:r>
        <w:rPr>
          <w:b/>
        </w:rPr>
        <w:t xml:space="preserve">Source: </w:t>
      </w:r>
      <w:r>
        <w:t>Journal of the American Chemical Society: Latest Articles (ACS Publications)</w:t>
      </w:r>
      <w:r>
        <w:t xml:space="preserve">    </w:t>
      </w:r>
      <w:r>
        <w:rPr>
          <w:b/>
        </w:rPr>
        <w:t xml:space="preserve">Pub date: </w:t>
      </w:r>
      <w:r>
        <w:t>2026-02-03 10:14:42+00:00</w:t>
      </w:r>
      <w:r>
        <w:t xml:space="preserve">    </w:t>
      </w:r>
      <w:r>
        <w:rPr>
          <w:b/>
        </w:rPr>
        <w:t xml:space="preserve">DOI: </w:t>
      </w:r>
      <w:hyperlink r:id="rId471">
        <w:r>
          <w:rPr>
            <w:color w:val="1155CC"/>
            <w:u w:val="single"/>
          </w:rPr>
          <w:t>10.1021/jacs.5c18554</w:t>
        </w:r>
      </w:hyperlink>
    </w:p>
    <w:p>
      <w:pPr>
        <w:spacing w:before="0" w:after="120"/>
      </w:pPr>
      <w:r>
        <w:rPr>
          <w:b/>
        </w:rPr>
        <w:t xml:space="preserve">Notes: </w:t>
      </w:r>
      <w:r>
        <w:t>abstract_source=pubmed</w:t>
      </w:r>
    </w:p>
    <w:p>
      <w:pPr>
        <w:spacing w:before="0" w:after="80" w:lineRule="auto" w:line="276"/>
      </w:pPr>
      <w:r>
        <w:rPr>
          <w:b/>
        </w:rPr>
        <w:t xml:space="preserve">摘要（ZH）: </w:t>
      </w:r>
      <w:r>
        <w:t>天然产品仍然是治疗创新的重要来源,但其结构复杂性往往限制了系统性优化和临床翻译。 这一挑战的例证是:真菌代谢物Fumagillin,一种对氨基苯丙胺2(MetAP2)的共价抑制剂,它向临床发展迈进,但其半合成衍生物在癌症和肥胖试验中因不利影响而停止使用。为了克服这些障碍,我们重新设计了Aspergillusnidulans的fumagillin生物合成途径,以扩大化学多样性,发现其天然类仿的卵巢素是活跃于Entamoeba 血清疗法的更强大的剂。 尽管卵巢素从未在临床上开发,但我们的分析显示,由于肝脏病的迅速退化。</w:t>
      </w:r>
    </w:p>
    <w:p>
      <w:pPr>
        <w:spacing w:before="0" w:after="200" w:lineRule="auto" w:line="276"/>
      </w:pPr>
      <w:r>
        <w:rPr>
          <w:b/>
        </w:rPr>
        <w:t xml:space="preserve">Abstract (EN): </w:t>
      </w:r>
      <w:r>
        <w:t>Natural products remain a vital source of therapeutic innovation, but their structural complexity often limits the systematic optimization and clinical translation. This challenge is exemplified by the fungal metabolite fumagillin, a covalent inhibitor of methionine aminopeptidase 2 (MetAP2), which advanced toward clinical development but whose semisynthetic derivatives were discontinued in trials for cancer and obesity because of adverse effects. To overcome these barriers, we reengineered the fumagillin biosynthetic pathway in Aspergillus nidulans to expand chemical diversity, uncovering its natural analog ovalicin as a more potent agent active against Entamoeba histolytica. Although ovalicin had never been developed clinically, our analyses revealed that its rapid degradation by hepatic cytochrome P450 enzymes underlies its therapeutic ineffectiveness in preclinical studies. We then established a chem-bio hybrid platform that integrates pathway-engineered biosynthesis with site-selective chemical derivatization to address this metabolic fragility. Introduction of a C6-hydroxyl group as a built-in functional handle enabled preparative-scale diversification and the synthesis of about 30 analogs. Several C6-modified derivatives maintained subnanomolar MetAP2 inhibition, resisted P450-mediated metabolism, and exhibited negligible cytotoxicity. Two optimized compounds, YOK24 and NS-181, achieved complete resolution of amebic liver abscess in hamsters after both subcutaneous and oral administration. Together, these findings establish a general and broadly applicable strategy for the biosynthetic reprogramming of natural products, providing a blueprint for expanding the chemical and therapeutic space of complex metabolites beyond conventional synthetic and biosynthetic limits.</w:t>
      </w:r>
    </w:p>
    <w:p>
      <w:pPr>
        <w:spacing w:before="120" w:after="120"/>
      </w:pPr>
      <w:r>
        <w:rPr>
          <w:sz w:val="18"/>
        </w:rPr>
        <w:t>——————————————————————————————————————————————————————————————————————</w:t>
      </w:r>
    </w:p>
    <w:p>
      <w:pPr>
        <w:spacing w:before="160" w:after="40" w:line="240" w:lineRule="auto"/>
      </w:pPr>
      <w:r>
        <w:rPr>
          <w:b/>
        </w:rPr>
        <w:t xml:space="preserve">[297] </w:t>
      </w:r>
      <w:hyperlink r:id="rId472">
        <w:r>
          <w:rPr>
            <w:color w:val="1155CC"/>
            <w:u w:val="single"/>
          </w:rPr>
          <w:t>通过铁催化法对Alkenyl电极进行电离解</w:t>
        </w:r>
      </w:hyperlink>
    </w:p>
    <w:p>
      <w:pPr>
        <w:spacing w:before="0" w:after="80"/>
      </w:pPr>
      <w:r>
        <w:rPr>
          <w:i/>
          <w:sz w:val="20"/>
        </w:rPr>
        <w:t>EN: Cine‐Reductive Carboboration of Alkenyl Electrophiles via Iron Catalysis</w:t>
      </w:r>
    </w:p>
    <w:p>
      <w:pPr>
        <w:spacing w:before="0" w:after="120"/>
      </w:pPr>
      <w:r>
        <w:rPr>
          <w:b/>
        </w:rPr>
        <w:t xml:space="preserve">Source: </w:t>
      </w:r>
      <w:r>
        <w:t>Wiley: Angewandte Chemie International Edition: Table of Contents</w:t>
      </w:r>
      <w:r>
        <w:t xml:space="preserve">    </w:t>
      </w:r>
      <w:r>
        <w:rPr>
          <w:b/>
        </w:rPr>
        <w:t xml:space="preserve">Pub date: </w:t>
      </w:r>
      <w:r>
        <w:t>2026-02-03 11:39:37+00:00</w:t>
      </w:r>
      <w:r>
        <w:t xml:space="preserve">    </w:t>
      </w:r>
      <w:r>
        <w:rPr>
          <w:b/>
        </w:rPr>
        <w:t xml:space="preserve">DOI: </w:t>
      </w:r>
      <w:hyperlink r:id="rId473">
        <w:r>
          <w:rPr>
            <w:color w:val="1155CC"/>
            <w:u w:val="single"/>
          </w:rPr>
          <w:t>10.1002/anie.202525623</w:t>
        </w:r>
      </w:hyperlink>
    </w:p>
    <w:p>
      <w:pPr>
        <w:spacing w:before="0" w:after="120"/>
      </w:pPr>
      <w:r>
        <w:rPr>
          <w:b/>
        </w:rPr>
        <w:t xml:space="preserve">Notes: </w:t>
      </w:r>
      <w:r>
        <w:t>abstract_source=crossref</w:t>
      </w:r>
    </w:p>
    <w:p>
      <w:pPr>
        <w:spacing w:before="0" w:after="80" w:lineRule="auto" w:line="276"/>
      </w:pPr>
      <w:r>
        <w:rPr>
          <w:b/>
        </w:rPr>
        <w:t xml:space="preserve">摘要（ZH）: </w:t>
      </w:r>
      <w:r>
        <w:t>在传统的过渡性转基因金属催化交叉交错反应中,正烷基蛋白细胞通常在离子组的自然位置上发生变异,形成单一结合,而不是在CC单元中安装两个功能。 实现正烷基细胞的直接二功能化对于简化复杂分子的合成越来越可取,这对于提高有机合成中的分子复杂性至关重要。 我们在这里报告,一种用烷基卤化物对烷基对硫酸甲酸盐进行铁催化,为合成价值高的合成分子提供了一条简化的路径。</w:t>
      </w:r>
    </w:p>
    <w:p>
      <w:pPr>
        <w:spacing w:before="0" w:after="200" w:lineRule="auto" w:line="276"/>
      </w:pPr>
      <w:r>
        <w:rPr>
          <w:b/>
        </w:rPr>
        <w:t xml:space="preserve">Abstract (EN): </w:t>
      </w:r>
      <w:r>
        <w:t>In traditional transition‐metal‐catalyzed cross‐coupling reactions, alkenyl electrophiles typically undergo transformation at the</w:t>
      </w:r>
      <w:r>
        <w:t xml:space="preserve"> </w:t>
      </w:r>
      <w:r>
        <w:t>ipso</w:t>
      </w:r>
      <w:r>
        <w:t xml:space="preserve"> </w:t>
      </w:r>
      <w:r>
        <w:t>‐position of the leaving group, resulting in the formation of a single bond, rather than the installation of two functionalities across a C═C unit. Achieving the direct difunctionalization of alkenyl electrophiles has become increasingly desirable for streamlining the synthesis of complex molecules, which is essential for advancing molecular complexity in organic synthesis. Here, we report an iron‐catalyzed</w:t>
      </w:r>
      <w:r>
        <w:t xml:space="preserve"> </w:t>
      </w:r>
      <w:r>
        <w:t>cine</w:t>
      </w:r>
      <w:r>
        <w:t xml:space="preserve"> </w:t>
      </w:r>
      <w:r>
        <w:t>‐reductive carboboration of alkenyl tosylates with alkyl halides, providing a streamlined route to synthetically valuable tetrasubstituted alkenyl boronates. Mechanistic studies support a pathway that involves selective</w:t>
      </w:r>
      <w:r>
        <w:t xml:space="preserve"> </w:t>
      </w:r>
      <w:r>
        <w:t>cine</w:t>
      </w:r>
      <w:r>
        <w:t xml:space="preserve"> </w:t>
      </w:r>
      <w:r>
        <w:t>‐alkylation of alkenyl tosylates followed by borylation, enabling the sequential formation of C(sp</w:t>
      </w:r>
      <w:r>
        <w:rPr>
          <w:vertAlign w:val="subscript"/>
        </w:rPr>
        <w:t>3</w:t>
      </w:r>
      <w:r>
        <w:t>)─C(sp</w:t>
      </w:r>
      <w:r>
        <w:rPr>
          <w:vertAlign w:val="subscript"/>
        </w:rPr>
        <w:t>3</w:t>
      </w:r>
      <w:r>
        <w:t>) and C(sp</w:t>
      </w:r>
      <w:r>
        <w:rPr>
          <w:vertAlign w:val="subscript"/>
        </w:rPr>
        <w:t>3</w:t>
      </w:r>
      <w:r>
        <w:t>)─B bonds, with subsequent elimination affording the desired C(sp</w:t>
      </w:r>
      <w:r>
        <w:rPr>
          <w:vertAlign w:val="subscript"/>
        </w:rPr>
        <w:t>2</w:t>
      </w:r>
      <w:r>
        <w:t>)─C(sp</w:t>
      </w:r>
      <w:r>
        <w:rPr>
          <w:vertAlign w:val="subscript"/>
        </w:rPr>
        <w:t>2</w:t>
      </w:r>
      <w:r>
        <w:t>) and C(sp</w:t>
      </w:r>
      <w:r>
        <w:rPr>
          <w:vertAlign w:val="subscript"/>
        </w:rPr>
        <w:t>2</w:t>
      </w:r>
      <w:r>
        <w:t>)─B bonds. These findings not only provide new mechanistic insights into iron‐catalyzed</w:t>
      </w:r>
      <w:r>
        <w:t xml:space="preserve"> </w:t>
      </w:r>
      <w:r>
        <w:t>cine</w:t>
      </w:r>
      <w:r>
        <w:t xml:space="preserve"> </w:t>
      </w:r>
      <w:r>
        <w:t>‐coupling processes but also establish a foundation for the rational design of new transformations of alkenyl electrophiles under iron catalysis.</w:t>
      </w:r>
    </w:p>
    <w:p>
      <w:pPr>
        <w:spacing w:before="120" w:after="120"/>
      </w:pPr>
      <w:r>
        <w:rPr>
          <w:sz w:val="18"/>
        </w:rPr>
        <w:t>——————————————————————————————————————————————————————————————————————</w:t>
      </w:r>
    </w:p>
    <w:p>
      <w:pPr>
        <w:spacing w:before="160" w:after="40" w:line="240" w:lineRule="auto"/>
      </w:pPr>
      <w:r>
        <w:rPr>
          <w:b/>
        </w:rPr>
        <w:t xml:space="preserve">[298] </w:t>
      </w:r>
      <w:hyperlink r:id="rId474">
        <w:r>
          <w:rPr>
            <w:color w:val="1155CC"/>
            <w:u w:val="single"/>
          </w:rPr>
          <w:t>质子交换薄膜电解器中减少酸性CO2电</w:t>
        </w:r>
      </w:hyperlink>
    </w:p>
    <w:p>
      <w:pPr>
        <w:spacing w:before="0" w:after="80"/>
      </w:pPr>
      <w:r>
        <w:rPr>
          <w:i/>
          <w:sz w:val="20"/>
        </w:rPr>
        <w:t>EN: Interfacial Microenvironmental Engineering for Acidic CO2 Electroreduction in Proton Exchange Membrane Electrolyzers</w:t>
      </w:r>
    </w:p>
    <w:p>
      <w:pPr>
        <w:spacing w:before="0" w:after="120"/>
      </w:pPr>
      <w:r>
        <w:rPr>
          <w:b/>
        </w:rPr>
        <w:t xml:space="preserve">Source: </w:t>
      </w:r>
      <w:r>
        <w:t>Wiley: Advanced Energy Materials: Table of Contents</w:t>
      </w:r>
      <w:r>
        <w:t xml:space="preserve">    </w:t>
      </w:r>
      <w:r>
        <w:rPr>
          <w:b/>
        </w:rPr>
        <w:t xml:space="preserve">Pub date: </w:t>
      </w:r>
      <w:r>
        <w:t>2026-02-03 11:40:46+00:00</w:t>
      </w:r>
      <w:r>
        <w:t xml:space="preserve">    </w:t>
      </w:r>
      <w:r>
        <w:rPr>
          <w:b/>
        </w:rPr>
        <w:t xml:space="preserve">DOI: </w:t>
      </w:r>
      <w:hyperlink r:id="rId475">
        <w:r>
          <w:rPr>
            <w:color w:val="1155CC"/>
            <w:u w:val="single"/>
          </w:rPr>
          <w:t>10.1002/aenm.202506790</w:t>
        </w:r>
      </w:hyperlink>
    </w:p>
    <w:p>
      <w:pPr>
        <w:spacing w:before="0" w:after="120"/>
      </w:pPr>
      <w:r>
        <w:rPr>
          <w:b/>
        </w:rPr>
        <w:t xml:space="preserve">Notes: </w:t>
      </w:r>
      <w:r>
        <w:t>abstract_source=crossref</w:t>
      </w:r>
    </w:p>
    <w:p>
      <w:pPr>
        <w:spacing w:before="0" w:after="80" w:lineRule="auto" w:line="276"/>
      </w:pPr>
      <w:r>
        <w:rPr>
          <w:b/>
        </w:rPr>
        <w:t xml:space="preserve">摘要（ZH）: </w:t>
      </w:r>
      <w:r>
        <w:t>在质子交换膜电解器中的ABSTACT 电化学CO 2 减少反应(CO 2 RR)为关闭碳循环和在工业规模目前的密度下生产可持续燃料和化学品提供了一条途径。酸性作业使紧凑反应堆结构得以形成,并能够使用优劣的单子碳,但面临长期挑战,包括寄生氢的进化、催化剂腐蚀和失能,以及当地CO 2运输受限。本审查突出介绍了在将酸性操作与选择性和耐久性CO调和的酸性操作的跨式微环境工程方面最近取得的进展。</w:t>
      </w:r>
    </w:p>
    <w:p>
      <w:pPr>
        <w:spacing w:before="0" w:after="200" w:lineRule="auto" w:line="276"/>
      </w:pPr>
      <w:r>
        <w:rPr>
          <w:b/>
        </w:rPr>
        <w:t xml:space="preserve">Abstract (EN): </w:t>
      </w:r>
      <w:r>
        <w:t>Electrochemical CO</w:t>
      </w:r>
      <w:r>
        <w:rPr>
          <w:vertAlign w:val="subscript"/>
        </w:rPr>
        <w:t>2</w:t>
      </w:r>
      <w:r>
        <w:t>reduction reaction (CO</w:t>
      </w:r>
      <w:r>
        <w:rPr>
          <w:vertAlign w:val="subscript"/>
        </w:rPr>
        <w:t>2</w:t>
      </w:r>
      <w:r>
        <w:t>RR) in proton exchange membrane electrolyzers offers a pathway to close the carbon cycle and produce sustainable fuels and chemicals at industrial‐scale current densities. Acidic operation enables compact reactor architectures and superior single‐pass carbon utilization, yet faces persistent challenges including parasitic hydrogen evolution, catalyst corrosion and deactivation, along with constrained local CO</w:t>
      </w:r>
      <w:r>
        <w:rPr>
          <w:vertAlign w:val="subscript"/>
        </w:rPr>
        <w:t>2</w:t>
      </w:r>
      <w:r>
        <w:t>transport. This review highlights recent progress in interfacial microenvironmental engineering that reconcile acidic operation with selective and durable CO</w:t>
      </w:r>
      <w:r>
        <w:rPr>
          <w:vertAlign w:val="subscript"/>
        </w:rPr>
        <w:t>2</w:t>
      </w:r>
      <w:r>
        <w:t>conversion. We organize strategies across four critical interfaces: (1) the gas diffusion layer‐catalyst layer interface, where engineered hydrophobicity and pore structure promote CO</w:t>
      </w:r>
      <w:r>
        <w:rPr>
          <w:vertAlign w:val="subscript"/>
        </w:rPr>
        <w:t>2</w:t>
      </w:r>
      <w:r>
        <w:t>delivery while maintaining a stable three‐phase boundary; (2) the catalyst‐electrolyte electric double layer interface, where control over interfacial fields, pH gradients, and adsorbate binding energetics suppresses the hydrogen evolution reaction while promoting CO</w:t>
      </w:r>
      <w:r>
        <w:rPr>
          <w:vertAlign w:val="subscript"/>
        </w:rPr>
        <w:t>2</w:t>
      </w:r>
      <w:r>
        <w:t>RR selectivity; (3) at the catalyst layer‐membrane interface, where optimized ionomer distribution and tailored proton conductivity balance local proton availability, mitigating catalyst degradation; and (4) the integrated membrane‐electrode assembly, where harmonized ion transport, CO</w:t>
      </w:r>
      <w:r>
        <w:rPr>
          <w:vertAlign w:val="subscript"/>
        </w:rPr>
        <w:t>2</w:t>
      </w:r>
      <w:r>
        <w:t>flux, and electron conduction stabilizes the microenvironment for long‐term durability. By consolidating mechanistic insights and practical design principles, this review provides a roadmap for rational interfacial engineering to realize efficient, durable, and scalable acidic CO</w:t>
      </w:r>
      <w:r>
        <w:rPr>
          <w:vertAlign w:val="subscript"/>
        </w:rPr>
        <w:t>2</w:t>
      </w:r>
      <w:r>
        <w:t>electroreduction in PEM electrolyzers.</w:t>
      </w:r>
    </w:p>
    <w:p>
      <w:pPr>
        <w:spacing w:before="120" w:after="120"/>
      </w:pPr>
      <w:r>
        <w:rPr>
          <w:sz w:val="18"/>
        </w:rPr>
        <w:t>——————————————————————————————————————————————————————————————————————</w:t>
      </w:r>
    </w:p>
    <w:p>
      <w:pPr>
        <w:spacing w:before="160" w:after="40" w:line="240" w:lineRule="auto"/>
      </w:pPr>
      <w:r>
        <w:rPr>
          <w:b/>
        </w:rPr>
        <w:t xml:space="preserve">[299] </w:t>
      </w:r>
      <w:hyperlink r:id="rId476">
        <w:r>
          <w:rPr>
            <w:color w:val="1155CC"/>
            <w:u w:val="single"/>
          </w:rPr>
          <w:t>Aeqorea Victoria - 受启发共价振动使水能适应和可缩放室</w:t>
        </w:r>
      </w:hyperlink>
    </w:p>
    <w:p>
      <w:pPr>
        <w:spacing w:before="0" w:after="80"/>
      </w:pPr>
      <w:r>
        <w:rPr>
          <w:i/>
          <w:sz w:val="20"/>
        </w:rPr>
        <w:t>EN: Aequorea Victoria‐Inspired Covalent Anchoring Enables Water‐Resistant and Scalable Room‐Temperature Phosphorescence in Cellulose</w:t>
      </w:r>
    </w:p>
    <w:p>
      <w:pPr>
        <w:spacing w:before="0" w:after="120"/>
      </w:pPr>
      <w:r>
        <w:rPr>
          <w:b/>
        </w:rPr>
        <w:t xml:space="preserve">Source: </w:t>
      </w:r>
      <w:r>
        <w:t>Wiley: Advanced Materials: Table of Contents</w:t>
      </w:r>
      <w:r>
        <w:t xml:space="preserve">    </w:t>
      </w:r>
      <w:r>
        <w:rPr>
          <w:b/>
        </w:rPr>
        <w:t xml:space="preserve">Pub date: </w:t>
      </w:r>
      <w:r>
        <w:t>2026-02-03 11:41:16+00:00</w:t>
      </w:r>
      <w:r>
        <w:t xml:space="preserve">    </w:t>
      </w:r>
      <w:r>
        <w:rPr>
          <w:b/>
        </w:rPr>
        <w:t xml:space="preserve">DOI: </w:t>
      </w:r>
      <w:hyperlink r:id="rId477">
        <w:r>
          <w:rPr>
            <w:color w:val="1155CC"/>
            <w:u w:val="single"/>
          </w:rPr>
          <w:t>10.1002/adma.202520138</w:t>
        </w:r>
      </w:hyperlink>
    </w:p>
    <w:p>
      <w:pPr>
        <w:spacing w:before="0" w:after="120"/>
      </w:pPr>
      <w:r>
        <w:rPr>
          <w:b/>
        </w:rPr>
        <w:t xml:space="preserve">Notes: </w:t>
      </w:r>
      <w:r>
        <w:t>abstract_source=crossref</w:t>
      </w:r>
    </w:p>
    <w:p>
      <w:pPr>
        <w:spacing w:before="0" w:after="80" w:lineRule="auto" w:line="276"/>
      </w:pPr>
      <w:r>
        <w:rPr>
          <w:b/>
        </w:rPr>
        <w:t xml:space="preserve">摘要（ZH）: </w:t>
      </w:r>
      <w:r>
        <w:t>在绿色荧光蛋白(Aeqororea Vicria)保护管结构的启发下,该研究提出了一个共价锚定战略,其基础是用于建造耐水和可缩缩的RTP材料的二手纤维素衍生物(纤维乙酸),在水环境中稳定稳定的有机室温磷(RTP)材料。</w:t>
      </w:r>
    </w:p>
    <w:p>
      <w:pPr>
        <w:spacing w:before="0" w:after="200" w:lineRule="auto" w:line="276"/>
      </w:pPr>
      <w:r>
        <w:rPr>
          <w:b/>
        </w:rPr>
        <w:t xml:space="preserve">Abstract (EN): </w:t>
      </w:r>
      <w:r>
        <w:t>Developing organic room‐temperature phosphorescence (RTP) materials stable in aqueous environments remains highly challenging due to the facile quenching of triplet excitons. Inspired by the protective β‐barrel architecture of the green fluorescent protein (</w:t>
      </w:r>
      <w:r>
        <w:t xml:space="preserve"> </w:t>
      </w:r>
      <w:r>
        <w:t>Aequorea victoria</w:t>
      </w:r>
      <w:r>
        <w:t xml:space="preserve"> </w:t>
      </w:r>
      <w:r>
        <w:t>), the study presented a covalent anchoring strategy based on an amphiphilic cellulose derivative (cellulose acetate) to construct water‐resistant and scalable RTP materials. Covalent immobilization of chromophores within the rigid framework yields dynamic photoactivated afterglow, extending the lifetime from 2.1 to 946.4 ms. The resulting films retain bright RTP even under water while exhibiting water‐mediated tunable mechanical properties. Furthermore, Förster resonance energy transfer with Rhodamine B enables full‐color RTP spanning blue to orange. Benefiting from the inherent thermoplasticity and hydroplasticity of cellulose acetate, the RTP cellulose derivatives are readily processed into diverse 1D/2D/3D architectures and applied in multilevel information encryption. This covalent anchoring strategy offers a sustainable and commercially viable pathway to robust polysaccharide‐based RTP, opening new opportunities for optoelectronics, security, and eco‐friendly photonic technologies.</w:t>
      </w:r>
    </w:p>
    <w:p>
      <w:pPr>
        <w:spacing w:before="120" w:after="120"/>
      </w:pPr>
      <w:r>
        <w:rPr>
          <w:sz w:val="18"/>
        </w:rPr>
        <w:t>——————————————————————————————————————————————————————————————————————</w:t>
      </w:r>
    </w:p>
    <w:p>
      <w:pPr>
        <w:spacing w:before="160" w:after="40" w:line="240" w:lineRule="auto"/>
      </w:pPr>
      <w:r>
        <w:rPr>
          <w:b/>
        </w:rPr>
        <w:t xml:space="preserve">[300] </w:t>
      </w:r>
      <w:hyperlink r:id="rId478">
        <w:r>
          <w:rPr>
            <w:color w:val="1155CC"/>
            <w:u w:val="single"/>
          </w:rPr>
          <w:t>与制导骨骨再生多尺度建筑相结合的生物模拟性Janus膜与制导骨骨再生多层结构组合大会</w:t>
        </w:r>
      </w:hyperlink>
    </w:p>
    <w:p>
      <w:pPr>
        <w:spacing w:before="0" w:after="80"/>
      </w:pPr>
      <w:r>
        <w:rPr>
          <w:i/>
          <w:sz w:val="20"/>
        </w:rPr>
        <w:t>EN: Combinatorial Assembly of Biomimetic Janus Membrane with Multiscale Architectures for Guided Bone Regeneration</w:t>
      </w:r>
    </w:p>
    <w:p>
      <w:pPr>
        <w:spacing w:before="0" w:after="120"/>
      </w:pPr>
      <w:r>
        <w:rPr>
          <w:b/>
        </w:rPr>
        <w:t xml:space="preserve">Source: </w:t>
      </w:r>
      <w:r>
        <w:t>Wiley: Advanced Materials: Table of Contents</w:t>
      </w:r>
      <w:r>
        <w:t xml:space="preserve">    </w:t>
      </w:r>
      <w:r>
        <w:rPr>
          <w:b/>
        </w:rPr>
        <w:t xml:space="preserve">Pub date: </w:t>
      </w:r>
      <w:r>
        <w:t>2026-02-03 11:41:55+00:00</w:t>
      </w:r>
      <w:r>
        <w:t xml:space="preserve">    </w:t>
      </w:r>
      <w:r>
        <w:rPr>
          <w:b/>
        </w:rPr>
        <w:t xml:space="preserve">DOI: </w:t>
      </w:r>
      <w:hyperlink r:id="rId479">
        <w:r>
          <w:rPr>
            <w:color w:val="1155CC"/>
            <w:u w:val="single"/>
          </w:rPr>
          <w:t>10.1002/adma.202519731</w:t>
        </w:r>
      </w:hyperlink>
    </w:p>
    <w:p>
      <w:pPr>
        <w:spacing w:before="0" w:after="120"/>
      </w:pPr>
      <w:r>
        <w:rPr>
          <w:b/>
        </w:rPr>
        <w:t xml:space="preserve">Notes: </w:t>
      </w:r>
      <w:r>
        <w:t>abstract_source=crossref</w:t>
      </w:r>
    </w:p>
    <w:p>
      <w:pPr>
        <w:spacing w:before="0" w:after="80" w:lineRule="auto" w:line="276"/>
      </w:pPr>
      <w:r>
        <w:rPr>
          <w:b/>
        </w:rPr>
        <w:t xml:space="preserve">摘要（ZH）: </w:t>
      </w:r>
      <w:r>
        <w:t>ABSTACT 制导骨骼再生(GBR)在骨骼组织工程领域引起了极大关注。 然而,设计一个能同时满足软硬组织界面的机械和生物要求的有效屏障膜仍是一个相当大的挑战。 在这里,我们引入了组合组装战略,以建造一个由生物材料启发的多尺度建筑特征的连续的Janus膜。 从结构上看,膜具有不对称的设计,包括一个紧凑层,包括一个含有无定型磷酸钙(ACP)的布利甘德结构结构,以提高机械强度,防止软组织渗透,以及一个可重新组装断层的透镜结构的孔隙层。</w:t>
      </w:r>
    </w:p>
    <w:p>
      <w:pPr>
        <w:spacing w:before="0" w:after="200" w:lineRule="auto" w:line="276"/>
      </w:pPr>
      <w:r>
        <w:rPr>
          <w:b/>
        </w:rPr>
        <w:t xml:space="preserve">Abstract (EN): </w:t>
      </w:r>
      <w:r>
        <w:t>Guided bone regeneration (GBR) has gained significant attention in the field of bone tissue engineering. However, designing an effective barrier membrane that simultaneously meets the mechanical and biological requirements at the soft–hard tissue interface remains a considerable challenge. Herein, we introduce a combinatorial assembly strategy to construct a continuous Janus membrane with multiscale architectural features inspired by biological materials. Structurally, the membrane features an asymmetric design, comprising a compact layer with a Bouligand architecture that incorporates amorphous calcium phosphate (ACP) to enhance mechanical strength and prevent soft tissue infiltration, and a porous layer that recapitulates the trabecular structure of cancellous bone, enriched with hydroxyapatite (HAp) crystals to promote cellular adhesion and osteoinduction. Subsequent in vitro and in vivo results show that the membrane not only exhibits excellent biocompatibility and barrier function but also significantly enhances osteogenic differentiation and bone regeneration in a cranial defect model. This work demonstrates that integrating diverse fabrication techniques enables the creation of functionally efficient GBR membranes with hierarchical structures, offering a promising pathway toward multifunctional regenerative materials.</w:t>
      </w:r>
    </w:p>
    <w:p>
      <w:pPr>
        <w:spacing w:before="120" w:after="120"/>
      </w:pPr>
      <w:r>
        <w:rPr>
          <w:sz w:val="18"/>
        </w:rPr>
        <w:t>——————————————————————————————————————————————————————————————————————</w:t>
      </w:r>
    </w:p>
    <w:p>
      <w:pPr>
        <w:spacing w:before="160" w:after="40" w:line="240" w:lineRule="auto"/>
      </w:pPr>
      <w:r>
        <w:rPr>
          <w:b/>
        </w:rPr>
        <w:t xml:space="preserve">[301] </w:t>
      </w:r>
      <w:hyperlink r:id="rId480">
        <w:r>
          <w:rPr>
            <w:color w:val="1155CC"/>
            <w:u w:val="single"/>
          </w:rPr>
          <w:t>用大电极缩放大离子交换膜膜水电解分析的 Ru-NiFe Cathode Cathode Cathode催化剂的理论设计</w:t>
        </w:r>
      </w:hyperlink>
    </w:p>
    <w:p>
      <w:pPr>
        <w:spacing w:before="0" w:after="80"/>
      </w:pPr>
      <w:r>
        <w:rPr>
          <w:i/>
          <w:sz w:val="20"/>
        </w:rPr>
        <w:t>EN: Theory‐Guided Design of Ru–NiFe Cathode Catalysts for Anion Exchange Membrane Water Electrolysis at Large Electrode Scale</w:t>
      </w:r>
    </w:p>
    <w:p>
      <w:pPr>
        <w:spacing w:before="0" w:after="120"/>
      </w:pPr>
      <w:r>
        <w:rPr>
          <w:b/>
        </w:rPr>
        <w:t xml:space="preserve">Source: </w:t>
      </w:r>
      <w:r>
        <w:t>Wiley: Advanced Materials: Table of Contents</w:t>
      </w:r>
      <w:r>
        <w:t xml:space="preserve">    </w:t>
      </w:r>
      <w:r>
        <w:rPr>
          <w:b/>
        </w:rPr>
        <w:t xml:space="preserve">Pub date: </w:t>
      </w:r>
      <w:r>
        <w:t>2026-02-03 11:43:43+00:00</w:t>
      </w:r>
      <w:r>
        <w:t xml:space="preserve">    </w:t>
      </w:r>
      <w:r>
        <w:rPr>
          <w:b/>
        </w:rPr>
        <w:t xml:space="preserve">DOI: </w:t>
      </w:r>
      <w:hyperlink r:id="rId481">
        <w:r>
          <w:rPr>
            <w:color w:val="1155CC"/>
            <w:u w:val="single"/>
          </w:rPr>
          <w:t>10.1002/adma.72386</w:t>
        </w:r>
      </w:hyperlink>
    </w:p>
    <w:p>
      <w:pPr>
        <w:spacing w:before="0" w:after="120"/>
      </w:pPr>
      <w:r>
        <w:rPr>
          <w:b/>
        </w:rPr>
        <w:t xml:space="preserve">Notes: </w:t>
      </w:r>
      <w:r>
        <w:t>abstract_source=crossref</w:t>
      </w:r>
    </w:p>
    <w:p>
      <w:pPr>
        <w:spacing w:before="0" w:after="80" w:lineRule="auto" w:line="276"/>
      </w:pPr>
      <w:r>
        <w:rPr>
          <w:b/>
        </w:rPr>
        <w:t xml:space="preserve">摘要（ZH）: </w:t>
      </w:r>
      <w:r>
        <w:t>ABSTACT A 实验室先进催化剂合成与水电解工业要求之间存在巨大差距。 关键挑战在于同时实现电极可缩放性、高催化活动和长期稳定性。 通过理论模拟筛选,我们合成了一个独立的阴极催化剂,它由Ru-O-Ni/Fe桥以NixFe y OOH基岩为基质的鲁氏聚体组成。先进的定性和理论计算表明,Ru-NiFe催化剂由于Ru-O-Ni/Fe bried而实现了高效的催化活动。</w:t>
      </w:r>
    </w:p>
    <w:p>
      <w:pPr>
        <w:spacing w:before="0" w:after="200" w:lineRule="auto" w:line="276"/>
      </w:pPr>
      <w:r>
        <w:rPr>
          <w:b/>
        </w:rPr>
        <w:t xml:space="preserve">Abstract (EN): </w:t>
      </w:r>
      <w:r>
        <w:t>A significant gap persists between advanced catalyst synthesis in laboratories and the industrial requirements for water electrolysis. The key challenge lies in simultaneously achieving electrode scalability, high catalytic activity, and long‐term stability. Through theoretical simulation screening, we synthesized a free‐standing cathode catalyst composed of Ru clusters anchored on a Ni</w:t>
      </w:r>
      <w:r>
        <w:t xml:space="preserve"> </w:t>
      </w:r>
      <w:r>
        <w:t>x</w:t>
      </w:r>
      <w:r>
        <w:t xml:space="preserve"> </w:t>
      </w:r>
      <w:r>
        <w:t>Fe</w:t>
      </w:r>
      <w:r>
        <w:t xml:space="preserve"> </w:t>
      </w:r>
      <w:r>
        <w:t>y</w:t>
      </w:r>
      <w:r>
        <w:t xml:space="preserve"> </w:t>
      </w:r>
      <w:r>
        <w:t>OOH substrate via Ru─O─Ni/Fe bridges. Advanced characterizations and theoretical calculations reveal that the Ru–NiFe catalyst achieves efficient catalytic activity due to Ru─O─Ni/Fe bridges, fine‐tuning the electronic structure and enhancing catalytic energetics, while Ru cluster introduction increases the number of active sites and modulates hydrogen intermediate adsorption/desorption strength. The as‐prepared Ru–NiFe electrocatalyst for the hydrogen evolution reaction delivers ultralow overpotentials of 5 mV at 10 mA cm</w:t>
      </w:r>
      <w:r>
        <w:t xml:space="preserve"> </w:t>
      </w:r>
      <w:r>
        <w:t>−</w:t>
      </w:r>
      <w:r>
        <w:rPr>
          <w:vertAlign w:val="subscript"/>
        </w:rPr>
        <w:t>2</w:t>
      </w:r>
      <w:r>
        <w:t>and maintains stable operation at 500 mA cm</w:t>
      </w:r>
      <w:r>
        <w:t xml:space="preserve"> </w:t>
      </w:r>
      <w:r>
        <w:t>−</w:t>
      </w:r>
      <w:r>
        <w:rPr>
          <w:vertAlign w:val="subscript"/>
        </w:rPr>
        <w:t>2</w:t>
      </w:r>
      <w:r>
        <w:t>for over 1000 h. A large‐scale (19 × 19 cm</w:t>
      </w:r>
      <w:r>
        <w:rPr>
          <w:vertAlign w:val="subscript"/>
        </w:rPr>
        <w:t>2</w:t>
      </w:r>
      <w:r>
        <w:t>) anion‐exchange‐membrane water electrolyzer (AEM–WE) based on Ru–NiFe shows a low cell voltage of 2.98 V at 10 A and stable operation for 2800 h. This study provides valuable insights into designing large‐area electrodes with high activity, long‐term stability, and scalable production for industrial AEM–WE applications.</w:t>
      </w:r>
    </w:p>
    <w:p>
      <w:pPr>
        <w:spacing w:before="120" w:after="120"/>
      </w:pPr>
      <w:r>
        <w:rPr>
          <w:sz w:val="18"/>
        </w:rPr>
        <w:t>——————————————————————————————————————————————————————————————————————</w:t>
      </w:r>
    </w:p>
    <w:p>
      <w:pPr>
        <w:spacing w:before="160" w:after="40" w:line="240" w:lineRule="auto"/>
      </w:pPr>
      <w:r>
        <w:rPr>
          <w:b/>
        </w:rPr>
        <w:t xml:space="preserve">[302] </w:t>
      </w:r>
      <w:hyperlink r:id="rId482">
        <w:r>
          <w:rPr>
            <w:color w:val="1155CC"/>
            <w:u w:val="single"/>
          </w:rPr>
          <w:t>减轻与实现高性能燃料电池的三阶段接口相对的单一地点对达到高性能燃料电池的失调现象</w:t>
        </w:r>
      </w:hyperlink>
    </w:p>
    <w:p>
      <w:pPr>
        <w:spacing w:before="0" w:after="80"/>
      </w:pPr>
      <w:r>
        <w:rPr>
          <w:i/>
          <w:sz w:val="20"/>
        </w:rPr>
        <w:t>EN: Alleviating the Misalignment of Fe Single Sites Relative to Triple‐Phase Interfaces to Achieve High Performance Fuel Cell</w:t>
      </w:r>
    </w:p>
    <w:p>
      <w:pPr>
        <w:spacing w:before="0" w:after="120"/>
      </w:pPr>
      <w:r>
        <w:rPr>
          <w:b/>
        </w:rPr>
        <w:t xml:space="preserve">Source: </w:t>
      </w:r>
      <w:r>
        <w:t>Wiley: Advanced Materials: Table of Contents</w:t>
      </w:r>
      <w:r>
        <w:t xml:space="preserve">    </w:t>
      </w:r>
      <w:r>
        <w:rPr>
          <w:b/>
        </w:rPr>
        <w:t xml:space="preserve">Pub date: </w:t>
      </w:r>
      <w:r>
        <w:t>2026-02-03 11:44:22+00:00</w:t>
      </w:r>
      <w:r>
        <w:t xml:space="preserve">    </w:t>
      </w:r>
      <w:r>
        <w:rPr>
          <w:b/>
        </w:rPr>
        <w:t xml:space="preserve">DOI: </w:t>
      </w:r>
      <w:hyperlink r:id="rId483">
        <w:r>
          <w:rPr>
            <w:color w:val="1155CC"/>
            <w:u w:val="single"/>
          </w:rPr>
          <w:t>10.1002/adma.202521613</w:t>
        </w:r>
      </w:hyperlink>
    </w:p>
    <w:p>
      <w:pPr>
        <w:spacing w:before="0" w:after="120"/>
      </w:pPr>
      <w:r>
        <w:rPr>
          <w:b/>
        </w:rPr>
        <w:t xml:space="preserve">Notes: </w:t>
      </w:r>
      <w:r>
        <w:t>abstract_source=crossref</w:t>
      </w:r>
    </w:p>
    <w:p>
      <w:pPr>
        <w:spacing w:before="0" w:after="80" w:lineRule="auto" w:line="276"/>
      </w:pPr>
      <w:r>
        <w:rPr>
          <w:b/>
        </w:rPr>
        <w:t xml:space="preserve">摘要（ZH）: </w:t>
      </w:r>
      <w:r>
        <w:t>以Fe-N-C为代表的ABSTACT 单原子催化剂(SAC)是质子交换膜燃料电池(PEMFCs)中Pt的有希望的替代物,但是,三相界面SAC的分子比例失调导致三相界面SAC的分子比例失调,导致原子效率极低,难以将SAC的高活性转化为实际细胞性能,因此,设计催化剂层结构以提高反应性可及单一地点的密度对于在PEMFCs应用SACs至关重要。</w:t>
      </w:r>
    </w:p>
    <w:p>
      <w:pPr>
        <w:spacing w:before="0" w:after="200" w:lineRule="auto" w:line="276"/>
      </w:pPr>
      <w:r>
        <w:rPr>
          <w:b/>
        </w:rPr>
        <w:t xml:space="preserve">Abstract (EN): </w:t>
      </w:r>
      <w:r>
        <w:t>Single‐atom catalysts (SACs), represented by Fe─N─C, are promising alternatives to Pt in proton exchange membrane fuel cells (PEMFCs). However, the molecular‐scale misalignment of the SACs at the triple‐phase interfaces (TPIs) has led to extremely low atomic efficiency, making it difficult to translate the high activity of SACs into the actual cell performance. Therefore, the design of the catalyst layer structure to increase the density of reactant‐accessible single sites is crucial for the application of SACs in PEMFCs. Here, we report tailored catalyst layer structure induced by hierarchical porous Fe─N─C</w:t>
      </w:r>
      <w:r>
        <w:t xml:space="preserve"> </w:t>
      </w:r>
      <w:r>
        <w:t>pot</w:t>
      </w:r>
      <w:r>
        <w:t xml:space="preserve"> </w:t>
      </w:r>
      <w:r>
        <w:t>catalysts with tuned surface hydrophilicity. Coarse‐grained molecular dynamic (MD) reveals macropores and tuned surface hydrophilicity act as molecular‐level “on‐switches” that pull Nafion/water domains deep inside, collapsing the classic transport bottlenecks for both O</w:t>
      </w:r>
      <w:r>
        <w:rPr>
          <w:vertAlign w:val="subscript"/>
        </w:rPr>
        <w:t>2</w:t>
      </w:r>
      <w:r>
        <w:t>and H</w:t>
      </w:r>
      <w:r>
        <w:rPr>
          <w:vertAlign w:val="subscript"/>
        </w:rPr>
        <w:t>3</w:t>
      </w:r>
      <w:r>
        <w:t>O</w:t>
      </w:r>
      <w:r>
        <w:t xml:space="preserve"> </w:t>
      </w:r>
      <w:r>
        <w:t>+</w:t>
      </w:r>
      <w:r>
        <w:t xml:space="preserve"> </w:t>
      </w:r>
      <w:r>
        <w:t>. Combinatory spectroscopic evidence confirms the superiority of the structure in forming continuous mass transfer channels, thereby increasing site utilization of Fe by 80%. Exceptional P</w:t>
      </w:r>
      <w:r>
        <w:t xml:space="preserve"> </w:t>
      </w:r>
      <w:r>
        <w:t>max</w:t>
      </w:r>
      <w:r>
        <w:t xml:space="preserve"> </w:t>
      </w:r>
      <w:r>
        <w:t>at 1581 mW cm</w:t>
      </w:r>
      <w:r>
        <w:t xml:space="preserve"> </w:t>
      </w:r>
      <w:r>
        <w:t>−2</w:t>
      </w:r>
      <w:r>
        <w:t xml:space="preserve"> </w:t>
      </w:r>
      <w:r>
        <w:t>is achieved, and capable of sustaining 60k AST with 63% performance retained. This study establishes the first design rule that links pore hierarchy and surface chemistry to TPI activation.</w:t>
      </w:r>
    </w:p>
    <w:p>
      <w:pPr>
        <w:spacing w:before="120" w:after="120"/>
      </w:pPr>
      <w:r>
        <w:rPr>
          <w:sz w:val="18"/>
        </w:rPr>
        <w:t>——————————————————————————————————————————————————————————————————————</w:t>
      </w:r>
    </w:p>
    <w:p>
      <w:pPr>
        <w:spacing w:before="160" w:after="40" w:line="240" w:lineRule="auto"/>
      </w:pPr>
      <w:r>
        <w:rPr>
          <w:b/>
        </w:rPr>
        <w:t xml:space="preserve">[303] </w:t>
      </w:r>
      <w:hyperlink r:id="rId484">
        <w:r>
          <w:rPr>
            <w:color w:val="1155CC"/>
            <w:u w:val="single"/>
          </w:rPr>
          <w:t>用于有希望的锌粉阴极阳极的 ChitinDerived 自我治疗导管的面向功能的模分子分子设计</w:t>
        </w:r>
      </w:hyperlink>
    </w:p>
    <w:p>
      <w:pPr>
        <w:spacing w:before="0" w:after="80"/>
      </w:pPr>
      <w:r>
        <w:rPr>
          <w:i/>
          <w:sz w:val="20"/>
        </w:rPr>
        <w:t>EN: Function‐Oriented Modular Molecular Design of a Chitin‐Derived Self‐Healable Binder for Promising Zinc Powder Anodes</w:t>
      </w:r>
    </w:p>
    <w:p>
      <w:pPr>
        <w:spacing w:before="0" w:after="120"/>
      </w:pPr>
      <w:r>
        <w:rPr>
          <w:b/>
        </w:rPr>
        <w:t xml:space="preserve">Source: </w:t>
      </w:r>
      <w:r>
        <w:t>Wiley: Advanced Materials: Table of Contents</w:t>
      </w:r>
      <w:r>
        <w:t xml:space="preserve">    </w:t>
      </w:r>
      <w:r>
        <w:rPr>
          <w:b/>
        </w:rPr>
        <w:t xml:space="preserve">Pub date: </w:t>
      </w:r>
      <w:r>
        <w:t>2026-02-03 11:44:24+00:00</w:t>
      </w:r>
      <w:r>
        <w:t xml:space="preserve">    </w:t>
      </w:r>
      <w:r>
        <w:rPr>
          <w:b/>
        </w:rPr>
        <w:t xml:space="preserve">DOI: </w:t>
      </w:r>
      <w:hyperlink r:id="rId485">
        <w:r>
          <w:rPr>
            <w:color w:val="1155CC"/>
            <w:u w:val="single"/>
          </w:rPr>
          <w:t>10.1002/adma.202519775</w:t>
        </w:r>
      </w:hyperlink>
    </w:p>
    <w:p>
      <w:pPr>
        <w:spacing w:before="0" w:after="120"/>
      </w:pPr>
      <w:r>
        <w:rPr>
          <w:b/>
        </w:rPr>
        <w:t xml:space="preserve">Notes: </w:t>
      </w:r>
      <w:r>
        <w:t>abstract_source=crossref</w:t>
      </w:r>
    </w:p>
    <w:p>
      <w:pPr>
        <w:spacing w:before="0" w:after="80" w:lineRule="auto" w:line="276"/>
      </w:pPr>
      <w:r>
        <w:rPr>
          <w:b/>
        </w:rPr>
        <w:t xml:space="preserve">摘要（ZH）: </w:t>
      </w:r>
      <w:r>
        <w:t>ABSTACT 用Zn微缩压器(ZnMPs)替换锌粉末,提高了Zn-金属电池的制造兼容性,但提出了无控制的Zn沉降和加速结构降解等挑战,通常导致 &amp;lt;50个周期的周期周期短。在此,我们根据天然富饶和机械强健的 chitin 合成了一个多功能的瓶刷碎聚合粘合器,使得在300个周期内能够实现超常的长期Zn电镀/剥离可逆性,平均99.5%的 Coulombic效率。设计原理经过实验验证如下:将不同功能组整合到Chitin主干骨上,提供多种超分子互动,确保ZnMP电极的空间统一性和结构。</w:t>
      </w:r>
    </w:p>
    <w:p>
      <w:pPr>
        <w:spacing w:before="0" w:after="200" w:lineRule="auto" w:line="276"/>
      </w:pPr>
      <w:r>
        <w:rPr>
          <w:b/>
        </w:rPr>
        <w:t xml:space="preserve">Abstract (EN): </w:t>
      </w:r>
      <w:r>
        <w:t>Replacing zinc foil with Zn micropowders (ZnMPs) enhances manufacturing compatibility for Zn‐metal batteries but imposes challenges like uncontrolled Zn deposition and accelerated structural degradation, typically resulting in a short cycle life of &amp;lt; 50 cycles. Herein, we synthesize a multifunctional bottle‐brush polycationic binder based on naturally abundant and mechanically robust chitin, which enables exceptional long‐term Zn plating/stripping reversibility, averaging 99.5% Coulombic efficiency over 300 cycles. The design rationales are experimentally validated as follows: diverse functional groups integrated onto the chitin backbone provide multiple supramolecular interactions ensuring ZnMP electrodes’ spatial uniformity and structural robustness; Zn</w:t>
      </w:r>
      <w:r>
        <w:t xml:space="preserve"> </w:t>
      </w:r>
      <w:r>
        <w:t>2+</w:t>
      </w:r>
      <w:r>
        <w:t xml:space="preserve"> </w:t>
      </w:r>
      <w:r>
        <w:t>‐carboxylate coordination simultaneously enhances the binder's mechanical strength (~1.2 MPa), toughness (~8.6 MJ m</w:t>
      </w:r>
      <w:r>
        <w:t xml:space="preserve"> </w:t>
      </w:r>
      <w:r>
        <w:t>−3</w:t>
      </w:r>
      <w:r>
        <w:t xml:space="preserve"> </w:t>
      </w:r>
      <w:r>
        <w:t>) and ionic conductivity (an 87% increase, reaching 1.72 × 10</w:t>
      </w:r>
      <w:r>
        <w:t xml:space="preserve"> </w:t>
      </w:r>
      <w:r>
        <w:t>−5</w:t>
      </w:r>
      <w:r>
        <w:t xml:space="preserve"> </w:t>
      </w:r>
      <w:r>
        <w:t>S cm</w:t>
      </w:r>
      <w:r>
        <w:t xml:space="preserve"> </w:t>
      </w:r>
      <w:r>
        <w:t>−</w:t>
      </w:r>
      <w:r>
        <w:rPr>
          <w:vertAlign w:val="subscript"/>
        </w:rPr>
        <w:t>1</w:t>
      </w:r>
      <w:r>
        <w:t>) upon swelling; while synergistic dynamic electrostatic interactions and hydrogen bonding permit rapid self‐recovery of the electrodes during cycling. This work underscores the promise of supramolecular engineering for binders targeting aggressive electrode chemistries.</w:t>
      </w:r>
    </w:p>
    <w:p>
      <w:pPr>
        <w:spacing w:before="120" w:after="120"/>
      </w:pPr>
      <w:r>
        <w:rPr>
          <w:sz w:val="18"/>
        </w:rPr>
        <w:t>——————————————————————————————————————————————————————————————————————</w:t>
      </w:r>
    </w:p>
    <w:p>
      <w:pPr>
        <w:spacing w:before="160" w:after="40" w:line="240" w:lineRule="auto"/>
      </w:pPr>
      <w:r>
        <w:rPr>
          <w:b/>
        </w:rPr>
        <w:t xml:space="preserve">[304] </w:t>
      </w:r>
      <w:hyperlink r:id="rId486">
        <w:r>
          <w:rPr>
            <w:color w:val="1155CC"/>
            <w:u w:val="single"/>
          </w:rPr>
          <w:t>高高温柔性斯特兰感应器的Nanoribbons可缩放增长量</w:t>
        </w:r>
      </w:hyperlink>
    </w:p>
    <w:p>
      <w:pPr>
        <w:spacing w:before="0" w:after="80"/>
      </w:pPr>
      <w:r>
        <w:rPr>
          <w:i/>
          <w:sz w:val="20"/>
        </w:rPr>
        <w:t>EN: Scalable Growth of Quasi‐1D TiS3 Nanoribbons for High‐Temperature Flexible Strain Sensor</w:t>
      </w:r>
    </w:p>
    <w:p>
      <w:pPr>
        <w:spacing w:before="0" w:after="120"/>
      </w:pPr>
      <w:r>
        <w:rPr>
          <w:b/>
        </w:rPr>
        <w:t xml:space="preserve">Source: </w:t>
      </w:r>
      <w:r>
        <w:t>Wiley: Advanced Materials: Table of Contents</w:t>
      </w:r>
      <w:r>
        <w:t xml:space="preserve">    </w:t>
      </w:r>
      <w:r>
        <w:rPr>
          <w:b/>
        </w:rPr>
        <w:t xml:space="preserve">Pub date: </w:t>
      </w:r>
      <w:r>
        <w:t>2026-02-03 11:45:38+00:00</w:t>
      </w:r>
      <w:r>
        <w:t xml:space="preserve">    </w:t>
      </w:r>
      <w:r>
        <w:rPr>
          <w:b/>
        </w:rPr>
        <w:t xml:space="preserve">DOI: </w:t>
      </w:r>
      <w:hyperlink r:id="rId487">
        <w:r>
          <w:rPr>
            <w:color w:val="1155CC"/>
            <w:u w:val="single"/>
          </w:rPr>
          <w:t>10.1002/adma.202522247</w:t>
        </w:r>
      </w:hyperlink>
    </w:p>
    <w:p>
      <w:pPr>
        <w:spacing w:before="0" w:after="120"/>
      </w:pPr>
      <w:r>
        <w:rPr>
          <w:b/>
        </w:rPr>
        <w:t xml:space="preserve">Notes: </w:t>
      </w:r>
      <w:r>
        <w:t>abstract_source=crossref</w:t>
      </w:r>
    </w:p>
    <w:p>
      <w:pPr>
        <w:spacing w:before="0" w:after="80" w:lineRule="auto" w:line="276"/>
      </w:pPr>
      <w:r>
        <w:rPr>
          <w:b/>
        </w:rPr>
        <w:t xml:space="preserve">摘要（ZH）: </w:t>
      </w:r>
      <w:r>
        <w:t>ABSTACT Quasisi-one-econti(quasi=1D)van der Waals MX MX 3过渡性金属三氯代卤化物(TMTCs),由于其独特的量子封存效应和厌异特性,已作为一个令人信服的材料平台出现,然而,由于生长窗口狭窄和对生长参数的极端敏感性,通过化学蒸气沉降(CVD)合成TMTC具有挑战性。在这里,我们展示了一种乙醇辅助CVD方法,用于TIS 3纳米肋骨的可伸缩生长。这种方法利用乙醇与TICl 4和S粉末的结合,形成一种提源前体,使高产量的TiS得以生成。</w:t>
      </w:r>
    </w:p>
    <w:p>
      <w:pPr>
        <w:spacing w:before="0" w:after="200" w:lineRule="auto" w:line="276"/>
      </w:pPr>
      <w:r>
        <w:rPr>
          <w:b/>
        </w:rPr>
        <w:t xml:space="preserve">Abstract (EN): </w:t>
      </w:r>
      <w:r>
        <w:t>Quasi‐one‐dimensional (quasi‐1D) van der Waals MX</w:t>
      </w:r>
      <w:r>
        <w:rPr>
          <w:vertAlign w:val="subscript"/>
        </w:rPr>
        <w:t>3</w:t>
      </w:r>
      <w:r>
        <w:t>transition metal trichalcogenides (TMTCs), have emerged as a compelling material platform due to their unique quantum confinement effects and anisotropic properties. Nevertheless, the narrow growth window and extreme sensitivity to growth parameters make it challenging to synthesize TMTCs via chemical vapor deposition (CVD). Herein, we demonstrate an ethanol‐assisted CVD method for the scalable growth of TiS</w:t>
      </w:r>
      <w:r>
        <w:rPr>
          <w:vertAlign w:val="subscript"/>
        </w:rPr>
        <w:t>3</w:t>
      </w:r>
      <w:r>
        <w:t>nanoribbons. This approach utilizes the combination of ethanol with TiCl</w:t>
      </w:r>
      <w:r>
        <w:rPr>
          <w:vertAlign w:val="subscript"/>
        </w:rPr>
        <w:t>4</w:t>
      </w:r>
      <w:r>
        <w:t>and S powder to form a Ti source precursor, enabling the high yields of TiS</w:t>
      </w:r>
      <w:r>
        <w:rPr>
          <w:vertAlign w:val="subscript"/>
        </w:rPr>
        <w:t>3</w:t>
      </w:r>
      <w:r>
        <w:t>nanoribbons with a thickness as low as 10 nm and lengths on the micrometer scale (140±30 µm, aspect ratio of approximately 260). Moreover, the nanoribbons exhibit epitaxial vertical alignment on substrates, facilitating the versatile transfer to arbitrary target substrates. The single TiS</w:t>
      </w:r>
      <w:r>
        <w:rPr>
          <w:vertAlign w:val="subscript"/>
        </w:rPr>
        <w:t>3</w:t>
      </w:r>
      <w:r>
        <w:t>nanoribbon exhibits high conductivity (σ</w:t>
      </w:r>
      <w:r>
        <w:t xml:space="preserve"> </w:t>
      </w:r>
      <w:r>
        <w:t>293 K</w:t>
      </w:r>
      <w:r>
        <w:t xml:space="preserve"> </w:t>
      </w:r>
      <w:r>
        <w:t>= 3.1 × 10</w:t>
      </w:r>
      <w:r>
        <w:rPr>
          <w:vertAlign w:val="subscript"/>
        </w:rPr>
        <w:t>4</w:t>
      </w:r>
      <w:r>
        <w:t>S/m) from 80 to 593 K. Flexible strain sensors based on TiS</w:t>
      </w:r>
      <w:r>
        <w:rPr>
          <w:vertAlign w:val="subscript"/>
        </w:rPr>
        <w:t>3</w:t>
      </w:r>
      <w:r>
        <w:t>nanoribbon networks demonstrate a high gauge factor of 135.3, a wide strain detection range (40–7400 με), and strong tolerance to temperatures up to 773 K. This strategy provides a unique pathway for synthesis of TMTCs, providing essential material support for the development of high‐performance flexible electronic devices.</w:t>
      </w:r>
    </w:p>
    <w:p>
      <w:pPr>
        <w:spacing w:before="120" w:after="120"/>
      </w:pPr>
      <w:r>
        <w:rPr>
          <w:sz w:val="18"/>
        </w:rPr>
        <w:t>——————————————————————————————————————————————————————————————————————</w:t>
      </w:r>
    </w:p>
    <w:p>
      <w:pPr>
        <w:spacing w:before="160" w:after="40" w:line="240" w:lineRule="auto"/>
      </w:pPr>
      <w:r>
        <w:rPr>
          <w:b/>
        </w:rPr>
        <w:t xml:space="preserve">[305] </w:t>
      </w:r>
      <w:hyperlink r:id="rId488">
        <w:r>
          <w:rPr>
            <w:color w:val="1155CC"/>
            <w:u w:val="single"/>
          </w:rPr>
          <w:t>3D Covalent 有机框架中非协同 3D 3D Covalent 有机框架的高电载体流动性</w:t>
        </w:r>
      </w:hyperlink>
    </w:p>
    <w:p>
      <w:pPr>
        <w:spacing w:before="0" w:after="80"/>
      </w:pPr>
      <w:r>
        <w:rPr>
          <w:i/>
          <w:sz w:val="20"/>
        </w:rPr>
        <w:t>EN: High Charge Carrier Mobility in Non‐Conjugated 3D Covalent Organic Frameworks</w:t>
      </w:r>
    </w:p>
    <w:p>
      <w:pPr>
        <w:spacing w:before="0" w:after="120"/>
      </w:pPr>
      <w:r>
        <w:rPr>
          <w:b/>
        </w:rPr>
        <w:t xml:space="preserve">Source: </w:t>
      </w:r>
      <w:r>
        <w:t>Wiley: Advanced Materials: Table of Contents</w:t>
      </w:r>
      <w:r>
        <w:t xml:space="preserve">    </w:t>
      </w:r>
      <w:r>
        <w:rPr>
          <w:b/>
        </w:rPr>
        <w:t xml:space="preserve">Pub date: </w:t>
      </w:r>
      <w:r>
        <w:t>2026-02-03 11:46:50+00:00</w:t>
      </w:r>
      <w:r>
        <w:t xml:space="preserve">    </w:t>
      </w:r>
      <w:r>
        <w:rPr>
          <w:b/>
        </w:rPr>
        <w:t xml:space="preserve">DOI: </w:t>
      </w:r>
      <w:hyperlink r:id="rId489">
        <w:r>
          <w:rPr>
            <w:color w:val="1155CC"/>
            <w:u w:val="single"/>
          </w:rPr>
          <w:t>10.1002/adma.202517211</w:t>
        </w:r>
      </w:hyperlink>
    </w:p>
    <w:p>
      <w:pPr>
        <w:spacing w:before="0" w:after="120"/>
      </w:pPr>
      <w:r>
        <w:rPr>
          <w:b/>
        </w:rPr>
        <w:t xml:space="preserve">Notes: </w:t>
      </w:r>
      <w:r>
        <w:t>abstract_source=crossref</w:t>
      </w:r>
    </w:p>
    <w:p>
      <w:pPr>
        <w:spacing w:before="0" w:after="80" w:lineRule="auto" w:line="276"/>
      </w:pPr>
      <w:r>
        <w:rPr>
          <w:b/>
        </w:rPr>
        <w:t xml:space="preserve">摘要（ZH）: </w:t>
      </w:r>
      <w:r>
        <w:t>在确定有机材料的运费运输效率方面,ABSTRACT Conjugation, 堆叠和长距离顺序在确定有机材料的收费运输效率方面发挥着中心作用。 将这些关键的结构和电子特征独特结合的共价有机框架(COFs)已成为开发新型导电有机材料的有希望的平台。 内部协同已证明在改进收费承运人的流动性方面发挥着关键作用。 我们在这里报告了JoaCOF2, 3D COF缺乏长期的机体内部连接,但展示出14 cm 1 cm 2 V- 1 s-1的显著收费承运人流动性。</w:t>
      </w:r>
    </w:p>
    <w:p>
      <w:pPr>
        <w:spacing w:before="0" w:after="200" w:lineRule="auto" w:line="276"/>
      </w:pPr>
      <w:r>
        <w:rPr>
          <w:b/>
        </w:rPr>
        <w:t xml:space="preserve">Abstract (EN): </w:t>
      </w:r>
      <w:r>
        <w:t>π‐Conjugation, π–π stacking, and long‐range order play a central role in determining charge transport efficiency in organic materials. Covalent organic frameworks (COFs), which uniquely integrate these key structural and electronic features, have emerged as a promising platform for the development of novel electrically conductive organic materials. Intraframework π‐conjugation has shown to play a key role in improving charge carrier mobility. Here, we report</w:t>
      </w:r>
      <w:r>
        <w:t xml:space="preserve"> </w:t>
      </w:r>
      <w:r>
        <w:t>Joa‐COF‐2</w:t>
      </w:r>
      <w:r>
        <w:t xml:space="preserve"> </w:t>
      </w:r>
      <w:r>
        <w:t>, a 3D COF lacking extended intraframework π‐conjugation, yet exhibiting a remarkable charge carrier mobility of 14 ± 1  cm</w:t>
      </w:r>
      <w:r>
        <w:rPr>
          <w:vertAlign w:val="subscript"/>
        </w:rPr>
        <w:t>2</w:t>
      </w:r>
      <w:r>
        <w:t>V</w:t>
      </w:r>
      <w:r>
        <w:t xml:space="preserve"> </w:t>
      </w:r>
      <w:r>
        <w:t>−1</w:t>
      </w:r>
      <w:r>
        <w:t xml:space="preserve"> </w:t>
      </w:r>
      <w:r>
        <w:t>s</w:t>
      </w:r>
      <w:r>
        <w:t xml:space="preserve"> </w:t>
      </w:r>
      <w:r>
        <w:t>−1</w:t>
      </w:r>
      <w:r>
        <w:t xml:space="preserve"> </w:t>
      </w:r>
      <w:r>
        <w:t>.</w:t>
      </w:r>
      <w:r>
        <w:t xml:space="preserve"> </w:t>
      </w:r>
      <w:r>
        <w:t>Joa‐COF‐2</w:t>
      </w:r>
      <w:r>
        <w:t xml:space="preserve"> </w:t>
      </w:r>
      <w:r>
        <w:t>adopts an 11‐fold interpenetrated</w:t>
      </w:r>
      <w:r>
        <w:t xml:space="preserve"> </w:t>
      </w:r>
      <w:r>
        <w:t>dia</w:t>
      </w:r>
      <w:r>
        <w:t xml:space="preserve"> </w:t>
      </w:r>
      <w:r>
        <w:t>topology, featuring a tight interframework π–π stacking, which enables efficient charge transport in the absence of intraframework π‐conjugation.</w:t>
      </w:r>
    </w:p>
    <w:p>
      <w:pPr>
        <w:spacing w:before="120" w:after="120"/>
      </w:pPr>
      <w:r>
        <w:rPr>
          <w:sz w:val="18"/>
        </w:rPr>
        <w:t>——————————————————————————————————————————————————————————————————————</w:t>
      </w:r>
    </w:p>
    <w:p>
      <w:pPr>
        <w:spacing w:before="160" w:after="40" w:line="240" w:lineRule="auto"/>
      </w:pPr>
      <w:r>
        <w:rPr>
          <w:b/>
        </w:rPr>
        <w:t xml:space="preserve">[306] </w:t>
      </w:r>
      <w:hyperlink r:id="rId490">
        <w:r>
          <w:rPr>
            <w:color w:val="1155CC"/>
            <w:u w:val="single"/>
          </w:rPr>
          <w:t>Li-Cl2 电池高性能高集散碳纳米器启动的自加速效应</w:t>
        </w:r>
      </w:hyperlink>
    </w:p>
    <w:p>
      <w:pPr>
        <w:spacing w:before="0" w:after="80"/>
      </w:pPr>
      <w:r>
        <w:rPr>
          <w:i/>
          <w:sz w:val="20"/>
        </w:rPr>
        <w:t>EN: Self‐Confinement Effect Enabled by Hollow Carbon Nanoreactor for High‐Performance Li–Cl2 Battery</w:t>
      </w:r>
    </w:p>
    <w:p>
      <w:pPr>
        <w:spacing w:before="0" w:after="120"/>
      </w:pPr>
      <w:r>
        <w:rPr>
          <w:b/>
        </w:rPr>
        <w:t xml:space="preserve">Source: </w:t>
      </w:r>
      <w:r>
        <w:t>Wiley: Advanced Materials: Table of Contents</w:t>
      </w:r>
      <w:r>
        <w:t xml:space="preserve">    </w:t>
      </w:r>
      <w:r>
        <w:rPr>
          <w:b/>
        </w:rPr>
        <w:t xml:space="preserve">Pub date: </w:t>
      </w:r>
      <w:r>
        <w:t>2026-02-03 11:47:57+00:00</w:t>
      </w:r>
      <w:r>
        <w:t xml:space="preserve">    </w:t>
      </w:r>
      <w:r>
        <w:rPr>
          <w:b/>
        </w:rPr>
        <w:t xml:space="preserve">DOI: </w:t>
      </w:r>
      <w:hyperlink r:id="rId491">
        <w:r>
          <w:rPr>
            <w:color w:val="1155CC"/>
            <w:u w:val="single"/>
          </w:rPr>
          <w:t>10.1002/adma.202518732</w:t>
        </w:r>
      </w:hyperlink>
    </w:p>
    <w:p>
      <w:pPr>
        <w:spacing w:before="0" w:after="120"/>
      </w:pPr>
      <w:r>
        <w:rPr>
          <w:b/>
        </w:rPr>
        <w:t xml:space="preserve">Notes: </w:t>
      </w:r>
      <w:r>
        <w:t>abstract_source=crossref</w:t>
      </w:r>
    </w:p>
    <w:p>
      <w:pPr>
        <w:spacing w:before="0" w:after="80" w:lineRule="auto" w:line="276"/>
      </w:pPr>
      <w:r>
        <w:rPr>
          <w:b/>
        </w:rPr>
        <w:t xml:space="preserve">摘要（ZH）: </w:t>
      </w:r>
      <w:r>
        <w:t>可抽象再充电的Li-Cl 2 电池代表着一个有希望的高能量密度技术,然而,常规阴极材料的露天结构构成一个根本性挑战,允许不受控制地将Cl 2 扩散到电解槽中,从而导致严重的局部浓度稀释,从而危害到速度能力和特定容量。在此,提议用空碳纳米反应器(HCNRs)进行自我封闭战略,以规范其墙壁上带有微粒(0.8纳米)的活性Cl 2 种在当地的集中。这些微粒作为大小的选择性障碍,可以阻止大型行为的逃脱。</w:t>
      </w:r>
    </w:p>
    <w:p>
      <w:pPr>
        <w:spacing w:before="0" w:after="200" w:lineRule="auto" w:line="276"/>
      </w:pPr>
      <w:r>
        <w:rPr>
          <w:b/>
        </w:rPr>
        <w:t xml:space="preserve">Abstract (EN): </w:t>
      </w:r>
      <w:r>
        <w:t>Rechargeable Li─Cl</w:t>
      </w:r>
      <w:r>
        <w:rPr>
          <w:vertAlign w:val="subscript"/>
        </w:rPr>
        <w:t>2</w:t>
      </w:r>
      <w:r>
        <w:t>batteries represent a promising high‐energy‐density technology. However, the open‐pore structure of conventional cathode materials poses a fundamental challenge by permitting the uncontrolled diffusion of Cl</w:t>
      </w:r>
      <w:r>
        <w:rPr>
          <w:vertAlign w:val="subscript"/>
        </w:rPr>
        <w:t>2</w:t>
      </w:r>
      <w:r>
        <w:t>into the electrolyte, resulting in severe local concentration dilution that plagues rate capability and specific capacity. Herein, a self‐confinement strategy by hollow carbon nanoreactors (HCNRs) is proposed to regulate the local concentration of active Cl</w:t>
      </w:r>
      <w:r>
        <w:rPr>
          <w:vertAlign w:val="subscript"/>
        </w:rPr>
        <w:t>2</w:t>
      </w:r>
      <w:r>
        <w:t>species with micropores (≈0.8 nm) on their walls. These micropores act as size‐selective barriers, allowing to block the escape of larger active Cl</w:t>
      </w:r>
      <w:r>
        <w:rPr>
          <w:vertAlign w:val="subscript"/>
        </w:rPr>
        <w:t>2</w:t>
      </w:r>
      <w:r>
        <w:t>species (kinetic diameter ≈0.86 nm), and mesopores (30–50 nm) function as nanoreactors that concentrate active Cl</w:t>
      </w:r>
      <w:r>
        <w:rPr>
          <w:vertAlign w:val="subscript"/>
        </w:rPr>
        <w:t>2</w:t>
      </w:r>
      <w:r>
        <w:t>species. This design enables the as‐assembled Li─Cl</w:t>
      </w:r>
      <w:r>
        <w:rPr>
          <w:vertAlign w:val="subscript"/>
        </w:rPr>
        <w:t>2</w:t>
      </w:r>
      <w:r>
        <w:t>cell to achieve an ultrahigh current density of 100 mA cm</w:t>
      </w:r>
      <w:r>
        <w:t xml:space="preserve"> </w:t>
      </w:r>
      <w:r>
        <w:t>−2</w:t>
      </w:r>
      <w:r>
        <w:t xml:space="preserve"> </w:t>
      </w:r>
      <w:r>
        <w:t>during the charge/discharge process and a record‐breaking specific capacity of 8000 mAh g</w:t>
      </w:r>
      <w:r>
        <w:t xml:space="preserve"> </w:t>
      </w:r>
      <w:r>
        <w:t>−1</w:t>
      </w:r>
      <w:r>
        <w:t xml:space="preserve"> </w:t>
      </w:r>
      <w:r>
        <w:t>(9 mAh cm</w:t>
      </w:r>
      <w:r>
        <w:t xml:space="preserve"> </w:t>
      </w:r>
      <w:r>
        <w:t>−2</w:t>
      </w:r>
      <w:r>
        <w:t xml:space="preserve"> </w:t>
      </w:r>
      <w:r>
        <w:t>), superior to the reported literature. This hollow nanoreactor design highlights the potential of Li─Cl</w:t>
      </w:r>
      <w:r>
        <w:rPr>
          <w:vertAlign w:val="subscript"/>
        </w:rPr>
        <w:t>2</w:t>
      </w:r>
      <w:r>
        <w:t>batteries as high‐power and energy‐dense systems, paving the way for their practical application.</w:t>
      </w:r>
    </w:p>
    <w:p>
      <w:pPr>
        <w:spacing w:before="120" w:after="120"/>
      </w:pPr>
      <w:r>
        <w:rPr>
          <w:sz w:val="18"/>
        </w:rPr>
        <w:t>——————————————————————————————————————————————————————————————————————</w:t>
      </w:r>
    </w:p>
    <w:p>
      <w:pPr>
        <w:spacing w:before="160" w:after="40" w:line="240" w:lineRule="auto"/>
      </w:pPr>
      <w:r>
        <w:rPr>
          <w:b/>
        </w:rPr>
        <w:t xml:space="preserve">[307] </w:t>
      </w:r>
      <w:hyperlink r:id="rId492">
        <w:r>
          <w:rPr>
            <w:color w:val="1155CC"/>
            <w:u w:val="single"/>
          </w:rPr>
          <w:t>用于实时时时水晶吸附监测与智能湿度条例的灵活湿重电子</w:t>
        </w:r>
      </w:hyperlink>
    </w:p>
    <w:p>
      <w:pPr>
        <w:spacing w:before="0" w:after="80"/>
      </w:pPr>
      <w:r>
        <w:rPr>
          <w:i/>
          <w:sz w:val="20"/>
        </w:rPr>
        <w:t>EN: Flexible Hygroscopic Electronics for Real‐Time Moisture Sorption‐Desorption Monitoring and Smart Humidity Regulation</w:t>
      </w:r>
    </w:p>
    <w:p>
      <w:pPr>
        <w:spacing w:before="0" w:after="120"/>
      </w:pPr>
      <w:r>
        <w:rPr>
          <w:b/>
        </w:rPr>
        <w:t xml:space="preserve">Source: </w:t>
      </w:r>
      <w:r>
        <w:t>Wiley: Advanced Materials: Table of Contents</w:t>
      </w:r>
      <w:r>
        <w:t xml:space="preserve">    </w:t>
      </w:r>
      <w:r>
        <w:rPr>
          <w:b/>
        </w:rPr>
        <w:t xml:space="preserve">Pub date: </w:t>
      </w:r>
      <w:r>
        <w:t>2026-02-03 11:49:47+00:00</w:t>
      </w:r>
      <w:r>
        <w:t xml:space="preserve">    </w:t>
      </w:r>
      <w:r>
        <w:rPr>
          <w:b/>
        </w:rPr>
        <w:t xml:space="preserve">DOI: </w:t>
      </w:r>
      <w:hyperlink r:id="rId493">
        <w:r>
          <w:rPr>
            <w:color w:val="1155CC"/>
            <w:u w:val="single"/>
          </w:rPr>
          <w:t>10.1002/adma.202518207</w:t>
        </w:r>
      </w:hyperlink>
    </w:p>
    <w:p>
      <w:pPr>
        <w:spacing w:before="0" w:after="120"/>
      </w:pPr>
      <w:r>
        <w:rPr>
          <w:b/>
        </w:rPr>
        <w:t xml:space="preserve">Notes: </w:t>
      </w:r>
      <w:r>
        <w:t>abstract_source=crossref</w:t>
      </w:r>
    </w:p>
    <w:p>
      <w:pPr>
        <w:spacing w:before="0" w:after="80" w:lineRule="auto" w:line="276"/>
      </w:pPr>
      <w:r>
        <w:rPr>
          <w:b/>
        </w:rPr>
        <w:t xml:space="preserve">摘要（ZH）: </w:t>
      </w:r>
      <w:r>
        <w:t>ABSTACT 湿度管理条例在精密电子、先进的储存、热和能源管理应用方面发挥着关键作用。虽然在水分吸附和解吸过程中对水分子动态进行实时监测可以为智能湿度管理提供关键的湿度监测参数,但传统的重力测量方法的跟踪速度低、精确度低、无法现场检测。我们报告的是灵活的湿度电子(FHE),能够同时调节环境湿度和动态监测通过封闭空间的水阻力变化进行的吸附吸附过程。目标电子显示特别的性能,包括快速的湿度反应。</w:t>
      </w:r>
    </w:p>
    <w:p>
      <w:pPr>
        <w:spacing w:before="0" w:after="200" w:lineRule="auto" w:line="276"/>
      </w:pPr>
      <w:r>
        <w:rPr>
          <w:b/>
        </w:rPr>
        <w:t xml:space="preserve">Abstract (EN): </w:t>
      </w:r>
      <w:r>
        <w:t>Humidity regulation plays a critical role in precision electronics, advanced storage, thermal, and energy management applications. While real‐time monitoring of water molecule dynamics during moisture sorption and desorption processes could provide crucial hygroscopic parameters for smart humidity regulation, conventional gravimetric methods suffer from low tracking speed, limited accuracy, and an inability to perform in situ detection. Here, we report a flexible hygroscopic electronics (FHE) capable of simultaneously regulating environmental moisture and dynamically monitoring sorption‐desorption processes through water‐mediated resistive changes in confined space. The targeted electronics exhibit exceptional performance, including a fast hygroscopic response of ∼2.1 s at 90% RH, cycling stability, and stable sorption‐desorption properties over more than 50 cycles. By engineering a series of modular array‐based sensors, we achieve adjustable humidity control in enclosed spaces according to application‐specific requirements. As a proof‐of‐concept, the intelligent electronic array successfully maintains stable humidity conditions even in damaged equipment enclosures (&amp;gt;3.5 h) and provides rapid sensory alerts. This work establishes an intelligent core‐shell FHE system, that absorbs unexpected moisture through a bio‐based hygroscopic core and simultaneously monitors the water sorption/desorption behaviors by a thin conductive shell, which allows remote warning for potential seal risk of equipment in an early stage.</w:t>
      </w:r>
    </w:p>
    <w:p>
      <w:pPr>
        <w:spacing w:before="120" w:after="120"/>
      </w:pPr>
      <w:r>
        <w:rPr>
          <w:sz w:val="18"/>
        </w:rPr>
        <w:t>——————————————————————————————————————————————————————————————————————</w:t>
      </w:r>
    </w:p>
    <w:p>
      <w:pPr>
        <w:spacing w:before="160" w:after="40" w:line="240" w:lineRule="auto"/>
      </w:pPr>
      <w:r>
        <w:rPr>
          <w:b/>
        </w:rPr>
        <w:t xml:space="preserve">[308] </w:t>
      </w:r>
      <w:hyperlink r:id="rId494">
        <w:r>
          <w:rPr>
            <w:color w:val="1155CC"/>
            <w:u w:val="single"/>
          </w:rPr>
          <w:t>通过光学加密的Cross-Relax工程处理</w:t>
        </w:r>
      </w:hyperlink>
    </w:p>
    <w:p>
      <w:pPr>
        <w:spacing w:before="0" w:after="80"/>
      </w:pPr>
      <w:r>
        <w:rPr>
          <w:i/>
          <w:sz w:val="20"/>
        </w:rPr>
        <w:t>EN: Dynamic Upconversion Manipulation via Cross‐Relaxation Engineering for Optical Encryption</w:t>
      </w:r>
    </w:p>
    <w:p>
      <w:pPr>
        <w:spacing w:before="0" w:after="120"/>
      </w:pPr>
      <w:r>
        <w:rPr>
          <w:b/>
        </w:rPr>
        <w:t xml:space="preserve">Source: </w:t>
      </w:r>
      <w:r>
        <w:t>Wiley: Advanced Materials: Table of Contents</w:t>
      </w:r>
      <w:r>
        <w:t xml:space="preserve">    </w:t>
      </w:r>
      <w:r>
        <w:rPr>
          <w:b/>
        </w:rPr>
        <w:t xml:space="preserve">Pub date: </w:t>
      </w:r>
      <w:r>
        <w:t>2026-02-03 11:55:15+00:00</w:t>
      </w:r>
      <w:r>
        <w:t xml:space="preserve">    </w:t>
      </w:r>
      <w:r>
        <w:rPr>
          <w:b/>
        </w:rPr>
        <w:t xml:space="preserve">DOI: </w:t>
      </w:r>
      <w:hyperlink r:id="rId495">
        <w:r>
          <w:rPr>
            <w:color w:val="1155CC"/>
            <w:u w:val="single"/>
          </w:rPr>
          <w:t>10.1002/adma.202520497</w:t>
        </w:r>
      </w:hyperlink>
    </w:p>
    <w:p>
      <w:pPr>
        <w:spacing w:before="0" w:after="120"/>
      </w:pPr>
      <w:r>
        <w:rPr>
          <w:b/>
        </w:rPr>
        <w:t xml:space="preserve">Notes: </w:t>
      </w:r>
      <w:r>
        <w:t>abstract_source=crossref</w:t>
      </w:r>
    </w:p>
    <w:p>
      <w:pPr>
        <w:spacing w:before="0" w:after="80" w:lineRule="auto" w:line="276"/>
      </w:pPr>
      <w:r>
        <w:rPr>
          <w:b/>
        </w:rPr>
        <w:t xml:space="preserve">摘要（ZH）: </w:t>
      </w:r>
      <w:r>
        <w:t>ABSTACT Lanthanide 离子( Ln 3+) 被加速的上移变异源自其不同的4英尺电子转换过程,然而,直接操纵兴奋电子人口进行动态排放调制,仍然具有挑战性。在本研究中,在双波合作刺激下,为动态的上移工程开发了跨纬度控制范式,由双波合作刺激促成。Er 3+ Ln 3+ (Ln 3+ = Tm 3+ 3+, Ho 3+, Yb 3+) 涂料</w:t>
      </w:r>
    </w:p>
    <w:p>
      <w:pPr>
        <w:spacing w:before="0" w:after="200" w:lineRule="auto" w:line="276"/>
      </w:pPr>
      <w:r>
        <w:rPr>
          <w:b/>
        </w:rPr>
        <w:t xml:space="preserve">Abstract (EN): </w:t>
      </w:r>
      <w:r>
        <w:t>Lanthanide ions (Ln</w:t>
      </w:r>
      <w:r>
        <w:t xml:space="preserve"> </w:t>
      </w:r>
      <w:r>
        <w:t>3+</w:t>
      </w:r>
      <w:r>
        <w:t xml:space="preserve"> </w:t>
      </w:r>
      <w:r>
        <w:t>) doped upconversion originates from their diverse 4</w:t>
      </w:r>
      <w:r>
        <w:t xml:space="preserve"> </w:t>
      </w:r>
      <w:r>
        <w:t>f</w:t>
      </w:r>
      <w:r>
        <w:t xml:space="preserve"> </w:t>
      </w:r>
      <w:r>
        <w:t>electron transitions. However, the direct manipulation of excited‐state electron populations for dynamic emission modulation remains challenging. In this study, a cross‐relaxation control paradigm, enabled by dual‐wavelength cooperative excitation, is developed for dynamic upconversion engineering. The Er</w:t>
      </w:r>
      <w:r>
        <w:t xml:space="preserve"> </w:t>
      </w:r>
      <w:r>
        <w:t>3+</w:t>
      </w:r>
      <w:r>
        <w:t xml:space="preserve"> </w:t>
      </w:r>
      <w:r>
        <w:t>‐Ln</w:t>
      </w:r>
      <w:r>
        <w:t xml:space="preserve"> </w:t>
      </w:r>
      <w:r>
        <w:t>3+</w:t>
      </w:r>
      <w:r>
        <w:t xml:space="preserve"> </w:t>
      </w:r>
      <w:r>
        <w:t>(Ln</w:t>
      </w:r>
      <w:r>
        <w:t xml:space="preserve"> </w:t>
      </w:r>
      <w:r>
        <w:t>3+</w:t>
      </w:r>
      <w:r>
        <w:t xml:space="preserve"> </w:t>
      </w:r>
      <w:r>
        <w:t>= Tm</w:t>
      </w:r>
      <w:r>
        <w:t xml:space="preserve"> </w:t>
      </w:r>
      <w:r>
        <w:t>3+</w:t>
      </w:r>
      <w:r>
        <w:t xml:space="preserve"> </w:t>
      </w:r>
      <w:r>
        <w:t>, Ho</w:t>
      </w:r>
      <w:r>
        <w:t xml:space="preserve"> </w:t>
      </w:r>
      <w:r>
        <w:t>3+</w:t>
      </w:r>
      <w:r>
        <w:t xml:space="preserve"> </w:t>
      </w:r>
      <w:r>
        <w:t>, Yb</w:t>
      </w:r>
      <w:r>
        <w:t xml:space="preserve"> </w:t>
      </w:r>
      <w:r>
        <w:t>3+</w:t>
      </w:r>
      <w:r>
        <w:t xml:space="preserve"> </w:t>
      </w:r>
      <w:r>
        <w:t>) doped NaYS</w:t>
      </w:r>
      <w:r>
        <w:rPr>
          <w:vertAlign w:val="subscript"/>
        </w:rPr>
        <w:t>2</w:t>
      </w:r>
      <w:r>
        <w:t>platform precisely populates the dual‐target energy levels via cross‐relaxation pathways under cooperative excitation. This approach enables dynamic green‐to‐red luminescence switching while amplifying the red emission (∼20‐fold) by accelerating the cross‐relaxation kinetics; Er</w:t>
      </w:r>
      <w:r>
        <w:t xml:space="preserve"> </w:t>
      </w:r>
      <w:r>
        <w:t>3+</w:t>
      </w:r>
      <w:r>
        <w:t xml:space="preserve"> </w:t>
      </w:r>
      <w:r>
        <w:t>acts as the photon harvester, and Ln</w:t>
      </w:r>
      <w:r>
        <w:t xml:space="preserve"> </w:t>
      </w:r>
      <w:r>
        <w:t>3+</w:t>
      </w:r>
      <w:r>
        <w:t xml:space="preserve"> </w:t>
      </w:r>
      <w:r>
        <w:t>serves as the cross‐relaxation mediator to redirect population fluxes. The experimental and theoretical results demonstrate that this phenomenon originates from the unique properties of the low phonon energy, unique layered structure with a large interionic spacing, and high refractive index of the NaYS</w:t>
      </w:r>
      <w:r>
        <w:rPr>
          <w:vertAlign w:val="subscript"/>
        </w:rPr>
        <w:t>2</w:t>
      </w:r>
      <w:r>
        <w:t>host. Finally, programmable upconversion logic gate arrays are implemented to develop a dynamic‐ random‐visual encryption system for optical information security. This study establishes a novel paradigm for upconversion manipulation with unprecedented capabilities for advanced information technologies.</w:t>
      </w:r>
    </w:p>
    <w:p>
      <w:pPr>
        <w:spacing w:before="120" w:after="120"/>
      </w:pPr>
      <w:r>
        <w:rPr>
          <w:sz w:val="18"/>
        </w:rPr>
        <w:t>——————————————————————————————————————————————————————————————————————</w:t>
      </w:r>
    </w:p>
    <w:p>
      <w:pPr>
        <w:spacing w:before="160" w:after="40" w:line="240" w:lineRule="auto"/>
      </w:pPr>
      <w:r>
        <w:rPr>
          <w:b/>
        </w:rPr>
        <w:t xml:space="preserve">[309] </w:t>
      </w:r>
      <w:hyperlink r:id="rId496">
        <w:r>
          <w:rPr>
            <w:color w:val="1155CC"/>
            <w:u w:val="single"/>
          </w:rPr>
          <w:t>[ASAP] 功能聚合体母体有机磷光</w:t>
        </w:r>
      </w:hyperlink>
    </w:p>
    <w:p>
      <w:pPr>
        <w:spacing w:before="0" w:after="80"/>
      </w:pPr>
      <w:r>
        <w:rPr>
          <w:i/>
          <w:sz w:val="20"/>
        </w:rPr>
        <w:t>EN: [ASAP] Organic Phosphorescence from Functional Polymer Matrices</w:t>
      </w:r>
    </w:p>
    <w:p>
      <w:pPr>
        <w:spacing w:before="0" w:after="120"/>
      </w:pPr>
      <w:r>
        <w:rPr>
          <w:b/>
        </w:rPr>
        <w:t xml:space="preserve">Source: </w:t>
      </w:r>
      <w:r>
        <w:t>Journal of the American Chemical Society: Latest Articles (ACS Publications)</w:t>
      </w:r>
      <w:r>
        <w:t xml:space="preserve">    </w:t>
      </w:r>
      <w:r>
        <w:rPr>
          <w:b/>
        </w:rPr>
        <w:t xml:space="preserve">Pub date: </w:t>
      </w:r>
      <w:r>
        <w:t>2026-02-03 12:12:01+00:00</w:t>
      </w:r>
      <w:r>
        <w:t xml:space="preserve">    </w:t>
      </w:r>
      <w:r>
        <w:rPr>
          <w:b/>
        </w:rPr>
        <w:t xml:space="preserve">DOI: </w:t>
      </w:r>
      <w:hyperlink r:id="rId497">
        <w:r>
          <w:rPr>
            <w:color w:val="1155CC"/>
            <w:u w:val="single"/>
          </w:rPr>
          <w:t>10.1021/jacs.5c22568</w:t>
        </w:r>
      </w:hyperlink>
    </w:p>
    <w:p>
      <w:pPr>
        <w:spacing w:before="0" w:after="120"/>
      </w:pPr>
      <w:r>
        <w:rPr>
          <w:b/>
        </w:rPr>
        <w:t xml:space="preserve">Notes: </w:t>
      </w:r>
      <w:r>
        <w:t>abstract_source=pubmed</w:t>
      </w:r>
    </w:p>
    <w:p>
      <w:pPr>
        <w:spacing w:before="0" w:after="80" w:lineRule="auto" w:line="276"/>
      </w:pPr>
      <w:r>
        <w:rPr>
          <w:b/>
        </w:rPr>
        <w:t xml:space="preserve">摘要（ZH）: </w:t>
      </w:r>
      <w:r>
        <w:t>有关有机磷的研究表明很有希望,而传统的小型分子磷的古典小分子磷的系统往往在成本、可缩缩缩性和功能化方面面临挑战,聚合质矩阵为制造先进的功能性有机荧光材料提供了强大和多功能的平台。稠密聚合物网络中的独特微环境有效地稳定了生成的三聚激素,聚合物的固有多样性有利于广泛的功能整合。这一视角总结了聚合物矩阵支持的有机磷材料的主要构建战略,并突出说明了这些系统是如何促成有用功能的,包括金枪鱼分光、刺激反应、机械灵活性、水溶性和潜在生物。</w:t>
      </w:r>
    </w:p>
    <w:p>
      <w:pPr>
        <w:spacing w:before="0" w:after="200" w:lineRule="auto" w:line="276"/>
      </w:pPr>
      <w:r>
        <w:rPr>
          <w:b/>
        </w:rPr>
        <w:t xml:space="preserve">Abstract (EN): </w:t>
      </w:r>
      <w:r>
        <w:t>Research on organic phosphorescence shows great promise, while classical small-molecule phosphorescence systems often face challenges in terms of cost, scalability, and functionalization. Polymer matrices provide powerful and versatile platforms for fabricating advanced functional organic phosphorescent materials. The unique microenvironment within dense polymer networks effectively stabilizes the generated triplet excitons, and the inherent diversity of polymers allows for broad functional integration. This perspective summarizes key construction strategies of polymer matrix-supported organic phosphorescent materials and highlights how these systems enable useful functions, including tunable luminescence, stimulus responsiveness, mechanical flexibility, water solubility, and potential biocompatibility, for targeted applications. Finally, we discuss critical challenges and future directions for further advancement of this rapidly growing field.</w:t>
      </w:r>
    </w:p>
    <w:p>
      <w:pPr>
        <w:spacing w:before="120" w:after="120"/>
      </w:pPr>
      <w:r>
        <w:rPr>
          <w:sz w:val="18"/>
        </w:rPr>
        <w:t>——————————————————————————————————————————————————————————————————————</w:t>
      </w:r>
    </w:p>
    <w:p>
      <w:pPr>
        <w:spacing w:before="160" w:after="40" w:line="240" w:lineRule="auto"/>
      </w:pPr>
      <w:r>
        <w:rPr>
          <w:b/>
        </w:rPr>
        <w:t xml:space="preserve">[310] </w:t>
      </w:r>
      <w:hyperlink r:id="rId498">
        <w:r>
          <w:rPr>
            <w:color w:val="1155CC"/>
            <w:u w:val="single"/>
          </w:rPr>
          <w:t>Perovskite太阳能电池在向运行的制造过程中的残余斯特拉因变化:机制、特性和条例</w:t>
        </w:r>
      </w:hyperlink>
    </w:p>
    <w:p>
      <w:pPr>
        <w:spacing w:before="0" w:after="80"/>
      </w:pPr>
      <w:r>
        <w:rPr>
          <w:i/>
          <w:sz w:val="20"/>
        </w:rPr>
        <w:t>EN: Residual Strain Evolution in Perovskite Solar Cells throughout Fabrication to Operation: Mechanisms, Characterization, and Regulation</w:t>
      </w:r>
    </w:p>
    <w:p>
      <w:pPr>
        <w:spacing w:before="0" w:after="120"/>
      </w:pPr>
      <w:r>
        <w:rPr>
          <w:b/>
        </w:rPr>
        <w:t xml:space="preserve">Source: </w:t>
      </w:r>
      <w:r>
        <w:t>Wiley: Advanced Materials: Table of Contents</w:t>
      </w:r>
      <w:r>
        <w:t xml:space="preserve">    </w:t>
      </w:r>
      <w:r>
        <w:rPr>
          <w:b/>
        </w:rPr>
        <w:t xml:space="preserve">Pub date: </w:t>
      </w:r>
      <w:r>
        <w:t>2026-02-03 12:15:29+00:00</w:t>
      </w:r>
      <w:r>
        <w:t xml:space="preserve">    </w:t>
      </w:r>
      <w:r>
        <w:rPr>
          <w:b/>
        </w:rPr>
        <w:t xml:space="preserve">DOI: </w:t>
      </w:r>
      <w:hyperlink r:id="rId499">
        <w:r>
          <w:rPr>
            <w:color w:val="1155CC"/>
            <w:u w:val="single"/>
          </w:rPr>
          <w:t>10.1002/adma.202516470</w:t>
        </w:r>
      </w:hyperlink>
    </w:p>
    <w:p>
      <w:pPr>
        <w:spacing w:before="0" w:after="120"/>
      </w:pPr>
      <w:r>
        <w:rPr>
          <w:b/>
        </w:rPr>
        <w:t xml:space="preserve">Notes: </w:t>
      </w:r>
      <w:r>
        <w:t>abstract_source=crossref</w:t>
      </w:r>
    </w:p>
    <w:p>
      <w:pPr>
        <w:spacing w:before="0" w:after="80" w:lineRule="auto" w:line="276"/>
      </w:pPr>
      <w:r>
        <w:rPr>
          <w:b/>
        </w:rPr>
        <w:t xml:space="preserve">摘要（ZH）: </w:t>
      </w:r>
      <w:r>
        <w:t>Perovskite太阳能电池已经实现了超过27%的功率转换效率,但商业化需要进一步改进PCE和稳定性,阻碍其发展的关键因素之一是百草枯的不可预测的残余菌株。围笼不稳定的八面结构容易改变债券长度、债券角度和晶体结构。它反过来又产生、积累和造成残余菌株的非单面分布,最终影响装置性能。因此,鉴于多功能性和精确的金枪鱼能,残余菌株工程为优化聚氯乙烯的性能提供了有效途径。本审查总结了装置外壳期间残留菌株的原因。</w:t>
      </w:r>
    </w:p>
    <w:p>
      <w:pPr>
        <w:spacing w:before="0" w:after="200" w:lineRule="auto" w:line="276"/>
      </w:pPr>
      <w:r>
        <w:rPr>
          <w:b/>
        </w:rPr>
        <w:t xml:space="preserve">Abstract (EN): </w:t>
      </w:r>
      <w:r>
        <w:t>Perovskite solar cells (PSCs) have achieved a power conversion efficiency (PCE) of over 27%, but further improvements of both PCEs and stability are needed for commercialization. One of the key factors hindering their development is the unpredictable residual strain in perovskites. The unstable octahedral structure of the perovskite cage leads to easy changes in bond lengths, bond angles, and crystal structure. It in turn generates, accumulates, and causes the non‐uniform distribution of residual strain, ultimately affecting device performance. Therefore, given the versatility and precise tunability, residual strain engineering provides an effective pathway to optimize the performance of PSCs. This review summarizes the causes of residual strain during device fabrication and operation, qualitative/quantitative/auxiliary characterization methods, and various effective strain regulation methods in the past two years. Finally, unresolved scientific issues and future research directions in strain engineering are discussed. This comprehensive review aims to provide researchers with the latest advances in strain engineering, deepen fundamental understanding of strain effects, and eventually help enhance the performance of PSCs.</w:t>
      </w:r>
    </w:p>
    <w:p>
      <w:pPr>
        <w:spacing w:before="120" w:after="120"/>
      </w:pPr>
      <w:r>
        <w:rPr>
          <w:sz w:val="18"/>
        </w:rPr>
        <w:t>——————————————————————————————————————————————————————————————————————</w:t>
      </w:r>
    </w:p>
    <w:p>
      <w:pPr>
        <w:spacing w:before="160" w:after="40" w:line="240" w:lineRule="auto"/>
      </w:pPr>
      <w:r>
        <w:rPr>
          <w:b/>
        </w:rPr>
        <w:t xml:space="preserve">[311] </w:t>
      </w:r>
      <w:hyperlink r:id="rId500">
        <w:r>
          <w:rPr>
            <w:color w:val="1155CC"/>
            <w:u w:val="single"/>
          </w:rPr>
          <w:t>[ASAP]对金属聚群在可减少氧化锡的可调适性动态极地动态控制</w:t>
        </w:r>
      </w:hyperlink>
    </w:p>
    <w:p>
      <w:pPr>
        <w:spacing w:before="0" w:after="80"/>
      </w:pPr>
      <w:r>
        <w:rPr>
          <w:i/>
          <w:sz w:val="20"/>
        </w:rPr>
        <w:t>EN: [ASAP] Dynamic Polaronic Control of Metal Cluster Adaptability on Reducible Oxides</w:t>
      </w:r>
    </w:p>
    <w:p>
      <w:pPr>
        <w:spacing w:before="0" w:after="120"/>
      </w:pPr>
      <w:r>
        <w:rPr>
          <w:b/>
        </w:rPr>
        <w:t xml:space="preserve">Source: </w:t>
      </w:r>
      <w:r>
        <w:t>Journal of the American Chemical Society: Latest Articles (ACS Publications)</w:t>
      </w:r>
      <w:r>
        <w:t xml:space="preserve">    </w:t>
      </w:r>
      <w:r>
        <w:rPr>
          <w:b/>
        </w:rPr>
        <w:t xml:space="preserve">Pub date: </w:t>
      </w:r>
      <w:r>
        <w:t>2026-02-03 13:01:54+00:00</w:t>
      </w:r>
      <w:r>
        <w:t xml:space="preserve">    </w:t>
      </w:r>
      <w:r>
        <w:rPr>
          <w:b/>
        </w:rPr>
        <w:t xml:space="preserve">DOI: </w:t>
      </w:r>
      <w:hyperlink r:id="rId501">
        <w:r>
          <w:rPr>
            <w:color w:val="1155CC"/>
            <w:u w:val="single"/>
          </w:rPr>
          <w:t>10.1021/jacs.5c13140</w:t>
        </w:r>
      </w:hyperlink>
    </w:p>
    <w:p>
      <w:pPr>
        <w:spacing w:before="0" w:after="120"/>
      </w:pPr>
      <w:r>
        <w:rPr>
          <w:b/>
        </w:rPr>
        <w:t xml:space="preserve">Notes: </w:t>
      </w:r>
      <w:r>
        <w:t>abstract_source=pubmed</w:t>
      </w:r>
    </w:p>
    <w:p>
      <w:pPr>
        <w:spacing w:before="0" w:after="80" w:lineRule="auto" w:line="276"/>
      </w:pPr>
      <w:r>
        <w:rPr>
          <w:b/>
        </w:rPr>
        <w:t xml:space="preserve">摘要（ZH）: </w:t>
      </w:r>
      <w:r>
        <w:t>金属-氧化相互作用在许多技术应用中普遍存在,涉及氧化物支持和金属纳米粒子之间的复杂相互作用。特别是,有人提议,在强大的金属支持互动中,缺陷化学影响金属集体形态。我们在这里开发了一个物理制导机学习框架,用Pt7和Pt13代表平流和三维组别来解码这些相互作用,分析二氧化碳浓度的CeO2x=0-12.5%(528个配置)的影响。我们的模型(R2 &gt; 0.97)显示极地温而不是偏差浓度,主要是控制集体形状和通过依赖大小的路径收费。这个框架为缺陷驱动的立体提供了定量设计原则。</w:t>
      </w:r>
    </w:p>
    <w:p>
      <w:pPr>
        <w:spacing w:before="0" w:after="200" w:lineRule="auto" w:line="276"/>
      </w:pPr>
      <w:r>
        <w:rPr>
          <w:b/>
        </w:rPr>
        <w:t xml:space="preserve">Abstract (EN): </w:t>
      </w:r>
      <w:r>
        <w:t>Metal-oxide interactions are ubiquitous in many technological applications and involve a complex interplay between the oxide support and the metal nanoparticle. Particularly, it has been proposed that in strong metal-support interaction, the defect chemistry affects the metal cluster morphology. Here we develop a physics-guided machine learning framework to decode these interactions using Pt7 and Pt13 representative of planar and tridimensional clusters, analyzing the impact of across oxygen vacancy concentrations of CeO2-x = 0-12.5% (528 configurations). Our models (R2 &gt; 0.97) reveal that polaron swarms, rather than defect concentrations, predominantly control cluster shape and charge through size-dependent pathways. The framework yields quantitative design principles for defect-driven catalyst optimization and provides a general methodology for systematic mechanisms of metal-support interactions across diverse catalyst systems.</w:t>
      </w:r>
    </w:p>
    <w:p>
      <w:pPr>
        <w:spacing w:before="120" w:after="120"/>
      </w:pPr>
      <w:r>
        <w:rPr>
          <w:sz w:val="18"/>
        </w:rPr>
        <w:t>——————————————————————————————————————————————————————————————————————</w:t>
      </w:r>
    </w:p>
    <w:p>
      <w:pPr>
        <w:spacing w:before="160" w:after="40" w:line="240" w:lineRule="auto"/>
      </w:pPr>
      <w:r>
        <w:rPr>
          <w:b/>
        </w:rPr>
        <w:t xml:space="preserve">[312] </w:t>
      </w:r>
      <w:hyperlink r:id="rId502">
        <w:r>
          <w:rPr>
            <w:color w:val="1155CC"/>
            <w:u w:val="single"/>
          </w:rPr>
          <w:t>[ASAP] 用于吸入气气凝聚体探测的典型纳米粒子阵列多式蒸发</w:t>
        </w:r>
      </w:hyperlink>
    </w:p>
    <w:p>
      <w:pPr>
        <w:spacing w:before="0" w:after="80"/>
      </w:pPr>
      <w:r>
        <w:rPr>
          <w:i/>
          <w:sz w:val="20"/>
        </w:rPr>
        <w:t>EN: [ASAP] Multimodal Evaporation on Patterned Nanoparticle Arrays for Exhaled Breath Condensate Detection</w:t>
      </w:r>
    </w:p>
    <w:p>
      <w:pPr>
        <w:spacing w:before="0" w:after="120"/>
      </w:pPr>
      <w:r>
        <w:rPr>
          <w:b/>
        </w:rPr>
        <w:t xml:space="preserve">Source: </w:t>
      </w:r>
      <w:r>
        <w:t>Journal of the American Chemical Society: Latest Articles (ACS Publications)</w:t>
      </w:r>
      <w:r>
        <w:t xml:space="preserve">    </w:t>
      </w:r>
      <w:r>
        <w:rPr>
          <w:b/>
        </w:rPr>
        <w:t xml:space="preserve">Pub date: </w:t>
      </w:r>
      <w:r>
        <w:t>2026-02-03 13:54:01+00:00</w:t>
      </w:r>
      <w:r>
        <w:t xml:space="preserve">    </w:t>
      </w:r>
      <w:r>
        <w:rPr>
          <w:b/>
        </w:rPr>
        <w:t xml:space="preserve">DOI: </w:t>
      </w:r>
      <w:hyperlink r:id="rId503">
        <w:r>
          <w:rPr>
            <w:color w:val="1155CC"/>
            <w:u w:val="single"/>
          </w:rPr>
          <w:t>10.1021/jacs.5c19419</w:t>
        </w:r>
      </w:hyperlink>
    </w:p>
    <w:p>
      <w:pPr>
        <w:spacing w:before="0" w:after="120"/>
      </w:pPr>
      <w:r>
        <w:rPr>
          <w:b/>
        </w:rPr>
        <w:t xml:space="preserve">Notes: </w:t>
      </w:r>
      <w:r>
        <w:t>abstract_source=pubmed</w:t>
      </w:r>
    </w:p>
    <w:p>
      <w:pPr>
        <w:spacing w:before="0" w:after="80" w:lineRule="auto" w:line="276"/>
      </w:pPr>
      <w:r>
        <w:rPr>
          <w:b/>
        </w:rPr>
        <w:t xml:space="preserve">摘要（ZH）: </w:t>
      </w:r>
      <w:r>
        <w:t>理解滴子蒸发行为对于包括喷墨打印、微氟化物、热管理和生物医学感测在内的广泛应用至关重要。 滴子蒸发通常遵循单一固固基基质的单一刺状滑动模型,而这种蒸发行为则复杂得多,而且由于在实际环境中基质的化学和结构差异性,其理解程度也远不甚清楚。 这里,我们证明通过模型化的金纳米粒(AuNP)超级拉特阵列(UNP)制造的地表和化学多元基体的滴子体。 在多个同时并存的蒸发模式(模式1-3)下,包括模式1,其特征是向AuNP超拉特域中心方向收缩; 模式2,其特征是收缩。</w:t>
      </w:r>
    </w:p>
    <w:p>
      <w:pPr>
        <w:spacing w:before="0" w:after="200" w:lineRule="auto" w:line="276"/>
      </w:pPr>
      <w:r>
        <w:rPr>
          <w:b/>
        </w:rPr>
        <w:t xml:space="preserve">Abstract (EN): </w:t>
      </w:r>
      <w:r>
        <w:t>Understanding droplet evaporation behavior is fundamental to a wide range of applications, including inkjet printing, microfluidics, thermal management, and biomedical sensing. Droplet evaporation typically follows a single stick-slip model on homogeneous solid substrates, while such evaporation behavior is far more complex and poorly understood because of the chemical and structural heterogeneity of substrates in practical settings. Here, we demonstrate that droplets on topographically and chemically heterogeneous substrates─engineered via patterned gold nanoparticle (AuNP) superlattice arrays─undergo multiple coexisting evaporation modes (modes 1-3), including mode 1, characterized by directional contraction toward the center of the AuNP superlattice domain; mode 2, marked by contraction away from the domain; and mode 3, featuring directional contraction with a trailing effect on the periphery. These distinct modes were demonstrated by surface-enhanced Raman scattering (SERS), exhibiting uniform analyte distributions in mode 1, which were applied in a proof-of-concept portable mask for exhaled breath condensate (EBC) collection and molecular monitoring. This mechanistic insight into multimodal droplet evaporation breaks from the classical single-model framework, offering a controllable strategy for tailoring evaporation-driven transport and localization on heterogeneous surfaces.</w:t>
      </w:r>
    </w:p>
    <w:p>
      <w:pPr>
        <w:spacing w:before="120" w:after="120"/>
      </w:pPr>
      <w:r>
        <w:rPr>
          <w:sz w:val="18"/>
        </w:rPr>
        <w:t>——————————————————————————————————————————————————————————————————————</w:t>
      </w:r>
    </w:p>
    <w:p>
      <w:pPr>
        <w:spacing w:before="160" w:after="40" w:line="240" w:lineRule="auto"/>
      </w:pPr>
      <w:r>
        <w:rPr>
          <w:b/>
        </w:rPr>
        <w:t xml:space="preserve">[313] </w:t>
      </w:r>
      <w:hyperlink r:id="rId504">
        <w:r>
          <w:rPr>
            <w:color w:val="1155CC"/>
            <w:u w:val="single"/>
          </w:rPr>
          <w:t>[ASAP] Perovskites的同质多电子特性:实现高能效太阳能电池与共同氯化添加剂</w:t>
        </w:r>
      </w:hyperlink>
    </w:p>
    <w:p>
      <w:pPr>
        <w:spacing w:before="0" w:after="80"/>
      </w:pPr>
      <w:r>
        <w:rPr>
          <w:i/>
          <w:sz w:val="20"/>
        </w:rPr>
        <w:t>EN: [ASAP] Homogenized Optoelectronic Properties in Perovskites: Achieving High-Efficiency Solar Cells with Common Chloride Additives</w:t>
      </w:r>
    </w:p>
    <w:p>
      <w:pPr>
        <w:spacing w:before="0" w:after="120"/>
      </w:pPr>
      <w:r>
        <w:rPr>
          <w:b/>
        </w:rPr>
        <w:t xml:space="preserve">Source: </w:t>
      </w:r>
      <w:r>
        <w:t>Journal of the American Chemical Society: Latest Articles (ACS Publications)</w:t>
      </w:r>
      <w:r>
        <w:t xml:space="preserve">    </w:t>
      </w:r>
      <w:r>
        <w:rPr>
          <w:b/>
        </w:rPr>
        <w:t xml:space="preserve">Pub date: </w:t>
      </w:r>
      <w:r>
        <w:t>2026-02-03 13:54:57+00:00</w:t>
      </w:r>
      <w:r>
        <w:t xml:space="preserve">    </w:t>
      </w:r>
      <w:r>
        <w:rPr>
          <w:b/>
        </w:rPr>
        <w:t xml:space="preserve">DOI: </w:t>
      </w:r>
      <w:hyperlink r:id="rId505">
        <w:r>
          <w:rPr>
            <w:color w:val="1155CC"/>
            <w:u w:val="single"/>
          </w:rPr>
          <w:t>10.1021/jacs.5c18303</w:t>
        </w:r>
      </w:hyperlink>
    </w:p>
    <w:p>
      <w:pPr>
        <w:spacing w:before="0" w:after="120"/>
      </w:pPr>
      <w:r>
        <w:rPr>
          <w:b/>
        </w:rPr>
        <w:t xml:space="preserve">Notes: </w:t>
      </w:r>
      <w:r>
        <w:t>abstract_source=pubmed</w:t>
      </w:r>
    </w:p>
    <w:p>
      <w:pPr>
        <w:spacing w:before="0" w:after="80" w:lineRule="auto" w:line="276"/>
      </w:pPr>
      <w:r>
        <w:rPr>
          <w:b/>
        </w:rPr>
        <w:t xml:space="preserve">摘要（ZH）: </w:t>
      </w:r>
      <w:r>
        <w:t>提高百草枯薄膜的质量对于实现更高性能的光伏装置至关重要。含氯的添加剂,包括氯化铅(PbCl2)和氯化甲基胺(MACL)—在百草枯光伏打中广泛采用的标准添加剂,对于控制晶体动力学和谷物形态学是有效的。然而,不同形式的氯化添加剂对纳米级统一和发光同质性的独特影响仍然未得到充分探讨。这里,我们提供了新的见解,说明氯化添加剂的选择和组合如何影响百草枯胶片中的阶段过渡和空间统一载体动态。我们证明,在战略上,MACl和PbCl2相结合可以改善晶体和光电子统一性。我们证明,在战略上,MACl和PbCl2可以改善晶体和光电子统一性。</w:t>
      </w:r>
    </w:p>
    <w:p>
      <w:pPr>
        <w:spacing w:before="0" w:after="200" w:lineRule="auto" w:line="276"/>
      </w:pPr>
      <w:r>
        <w:rPr>
          <w:b/>
        </w:rPr>
        <w:t xml:space="preserve">Abstract (EN): </w:t>
      </w:r>
      <w:r>
        <w:t>Improving the bulk quality of perovskite films is critical for achieving higher-performance photovoltaic devices. Chloride-containing additives, including lead chloride (PbCl2) and methylammonium chloride (MACl)─standard additives widely adopted in perovskite photovoltaics─are effective for controlling crystallization kinetics and grain morphology. However, the distinct impacts of different forms of chloride additives on nanoscale phase uniformity and luminescence homogeneity remain underexplored. Here, we provide new insights into how the choice and combination of chloride additives influence phase transitions and spatially uniform carrier dynamics within perovskite films. We demonstrate that strategically combining MACl and PbCl2 improves crystallinity and optoelectronic uniformity across dimensions spanning micrometers to millimeters. Leveraging these findings, we fabricated inverted (p-i-n) perovskite solar cells achieving certified quasi-steady-state efficiencies of 26.4% and 24.5% at device areas of 0.05 and 1 cm2, respectively. Furthermore, these devices exhibit robust operational stability, retaining 88% of their initial performance after 1200 h of continuous maximum power point tracking at elevated temperatures (65 °C) under simulated AM1.5G illumination. Our results elucidate the mechanistic differences between chloride additive forms, providing a viable strategy for advancing large-area, high-efficiency, and thermally stable perovskite photovoltaics.</w:t>
      </w:r>
    </w:p>
    <w:p>
      <w:pPr>
        <w:spacing w:before="120" w:after="120"/>
      </w:pPr>
      <w:r>
        <w:rPr>
          <w:sz w:val="18"/>
        </w:rPr>
        <w:t>——————————————————————————————————————————————————————————————————————</w:t>
      </w:r>
    </w:p>
    <w:p>
      <w:pPr>
        <w:spacing w:before="160" w:after="40" w:line="240" w:lineRule="auto"/>
      </w:pPr>
      <w:r>
        <w:rPr>
          <w:b/>
        </w:rPr>
        <w:t xml:space="preserve">[314] </w:t>
      </w:r>
      <w:hyperlink r:id="rId506">
        <w:r>
          <w:rPr>
            <w:color w:val="1155CC"/>
            <w:u w:val="single"/>
          </w:rPr>
          <w:t>[ASAP] 直接观测Oxide Nancrorystals的聚分解机制</w:t>
        </w:r>
      </w:hyperlink>
    </w:p>
    <w:p>
      <w:pPr>
        <w:spacing w:before="0" w:after="80"/>
      </w:pPr>
      <w:r>
        <w:rPr>
          <w:i/>
          <w:sz w:val="20"/>
        </w:rPr>
        <w:t>EN: [ASAP] Direct Observation of Collective Dissolution Mechanisms in Iridium Oxide Nanocrystals</w:t>
      </w:r>
    </w:p>
    <w:p>
      <w:pPr>
        <w:spacing w:before="0" w:after="120"/>
      </w:pPr>
      <w:r>
        <w:rPr>
          <w:b/>
        </w:rPr>
        <w:t xml:space="preserve">Source: </w:t>
      </w:r>
      <w:r>
        <w:t>Journal of the American Chemical Society: Latest Articles (ACS Publications)</w:t>
      </w:r>
      <w:r>
        <w:t xml:space="preserve">    </w:t>
      </w:r>
      <w:r>
        <w:rPr>
          <w:b/>
        </w:rPr>
        <w:t xml:space="preserve">Pub date: </w:t>
      </w:r>
      <w:r>
        <w:t>2026-02-03 14:11:16+00:00</w:t>
      </w:r>
      <w:r>
        <w:t xml:space="preserve">    </w:t>
      </w:r>
      <w:r>
        <w:rPr>
          <w:b/>
        </w:rPr>
        <w:t xml:space="preserve">DOI: </w:t>
      </w:r>
      <w:hyperlink r:id="rId507">
        <w:r>
          <w:rPr>
            <w:color w:val="1155CC"/>
            <w:u w:val="single"/>
          </w:rPr>
          <w:t>10.1021/jacs.5c18363</w:t>
        </w:r>
      </w:hyperlink>
    </w:p>
    <w:p>
      <w:pPr>
        <w:spacing w:before="0" w:after="120"/>
      </w:pPr>
      <w:r>
        <w:rPr>
          <w:b/>
        </w:rPr>
        <w:t xml:space="preserve">Notes: </w:t>
      </w:r>
      <w:r>
        <w:t>abstract_source=pubmed</w:t>
      </w:r>
    </w:p>
    <w:p>
      <w:pPr>
        <w:spacing w:before="0" w:after="80" w:lineRule="auto" w:line="276"/>
      </w:pPr>
      <w:r>
        <w:rPr>
          <w:b/>
        </w:rPr>
        <w:t xml:space="preserve">摘要（ZH）: </w:t>
      </w:r>
      <w:r>
        <w:t>氧化物(IrO2)是电解器中水氧化的最先进的电动催化器,但在操作条件下却不稳定。在这里,我们把第一原则模型与现场液相传输电子显微镜和装置规模特征模型结合起来,以解决IrO2纳米晶体原子规模形态和分解动态。我们的计算母体构造特别纳入了高指数方方面面,为在操作条件下的热力表面依赖稳定提供了新的洞察力。原子分辨率研究揭示了多种不同的集体解体路径,包括高指数面层形成、单层重建、级层形成和{110}表面的单层脱氧。</w:t>
      </w:r>
    </w:p>
    <w:p>
      <w:pPr>
        <w:spacing w:before="0" w:after="200" w:lineRule="auto" w:line="276"/>
      </w:pPr>
      <w:r>
        <w:rPr>
          <w:b/>
        </w:rPr>
        <w:t xml:space="preserve">Abstract (EN): </w:t>
      </w:r>
      <w:r>
        <w:t>Iridium oxide (IrO2) is the state-of-the-art electrocatalyst for water oxidation in electrolyzers, yet it suffers from instability under operating conditions. Here, we combine first-principles modeling with in situ liquid-phase transmission electron microscopy and device-scale characterization to resolve the atomic-scale morphology and dissolution dynamics of IrO2 nanocrystals. Our computational Wulff constructions uniquely incorporate high-index facets, providing new insights into thermodynamic facet-dependent stability under operating conditions. Atomically resolved studies reveal multiple distinct collective dissolution pathways, including high-index facet formation, monolayer reconstruction, step-edge formation, and monolayer delamination on {110} surfaces. Device-scale studies confirm that electrochemical operation results in high-index facet formation. Ab initio molecular dynamics simulations further show that initial dissolution kinetics are facet-dependent. These findings highlight how combining in situ imaging with first-principles modeling reveals atomic-scale dynamics that influence material performance.</w:t>
      </w:r>
    </w:p>
    <w:p>
      <w:pPr>
        <w:spacing w:before="120" w:after="120"/>
      </w:pPr>
      <w:r>
        <w:rPr>
          <w:sz w:val="18"/>
        </w:rPr>
        <w:t>——————————————————————————————————————————————————————————————————————</w:t>
      </w:r>
    </w:p>
    <w:p>
      <w:pPr>
        <w:spacing w:before="160" w:after="40" w:line="240" w:lineRule="auto"/>
      </w:pPr>
      <w:r>
        <w:rPr>
          <w:b/>
        </w:rPr>
        <w:t xml:space="preserve">[315] </w:t>
      </w:r>
      <w:hyperlink r:id="rId508">
        <w:r>
          <w:rPr>
            <w:color w:val="1155CC"/>
            <w:u w:val="single"/>
          </w:rPr>
          <w:t>[ASAP] 通过Nickel/N-Hetrocyccyclclclcl解析而使阿尔肯斯的Regio-和Enantio选择性分子间分子carbo-卤化</w:t>
        </w:r>
      </w:hyperlink>
    </w:p>
    <w:p>
      <w:pPr>
        <w:spacing w:before="0" w:after="80"/>
      </w:pPr>
      <w:r>
        <w:rPr>
          <w:i/>
          <w:sz w:val="20"/>
        </w:rPr>
        <w:t>EN: [ASAP] Regio- and Enantioselective Intermolecular Carbo-halogenation of Alkenes via Nickel/N-Heterocyclic Carbene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2026-02-03 15:53:20+00:00</w:t>
      </w:r>
      <w:r>
        <w:t xml:space="preserve">    </w:t>
      </w:r>
      <w:r>
        <w:rPr>
          <w:b/>
        </w:rPr>
        <w:t xml:space="preserve">DOI: </w:t>
      </w:r>
      <w:hyperlink r:id="rId509">
        <w:r>
          <w:rPr>
            <w:color w:val="1155CC"/>
            <w:u w:val="single"/>
          </w:rPr>
          <w:t>10.1021/jacs.5c20792</w:t>
        </w:r>
      </w:hyperlink>
    </w:p>
    <w:p>
      <w:pPr>
        <w:spacing w:before="0" w:after="120"/>
      </w:pPr>
      <w:r>
        <w:rPr>
          <w:b/>
        </w:rPr>
        <w:t xml:space="preserve">Notes: </w:t>
      </w:r>
      <w:r>
        <w:t>abstract_source=pubmed</w:t>
      </w:r>
    </w:p>
    <w:p>
      <w:pPr>
        <w:spacing w:before="0" w:after="80" w:lineRule="auto" w:line="276"/>
      </w:pPr>
      <w:r>
        <w:rPr>
          <w:b/>
        </w:rPr>
        <w:t xml:space="preserve">摘要（ZH）: </w:t>
      </w:r>
      <w:r>
        <w:t>藻类的分子分子内碳-卤化是合成烷基卤化的一种直接方法,但是,现有方法主要限于单代代代代代代代谢烷,一般的催化性非对称间分子变异仍是一个尚未解决的挑战。在这里,我们报告通过镍/N-热循环碳化碳(NHC)催化的碳-磁化碳/电子卤化战略,高度转基因和对应选择性的分子间分子碳-卤化的1,1-二代代代代代代代代代代代代代代烷化,证明使用大宗NHC的离心和卤素作为卤素来源对于实现高度的再活动性和选择性至关重要,有利于以循环或循环为特点的多种烷基卤化物的高效合成。这项工作大大推进了该领域的发展。</w:t>
      </w:r>
    </w:p>
    <w:p>
      <w:pPr>
        <w:spacing w:before="0" w:after="200" w:lineRule="auto" w:line="276"/>
      </w:pPr>
      <w:r>
        <w:rPr>
          <w:b/>
        </w:rPr>
        <w:t xml:space="preserve">Abstract (EN): </w:t>
      </w:r>
      <w:r>
        <w:t>The intermolecular carbo-halogenation of alkenes provides a direct method for synthesizing alkyl halides. However, existing methods are largely limited to monosubstituted alkenes, and a general catalytic asymmetric intermolecular variant remains an unsolved challenge. Herein, we report a highly regio- and enantioselective intermolecular carbo-halogenation of 1,1-disubstituted alkenes through a nickel/N-heterocyclic carbene (NHC)-catalyzed carbo-magnesiation/electrophilic halogenation strategy. The use of bulky NHC ligands and haloacetonitriles as halogen sources proved crucial for achieving high reactivity and selectivity, facilitating the efficient synthesis of diverse alkyl halides that feature acyclic or cyclic β-all-carbon quaternary centers. This work significantly advances the field of catalytic asymmetric carbo-halogenation.</w:t>
      </w:r>
    </w:p>
    <w:p>
      <w:pPr>
        <w:spacing w:before="120" w:after="120"/>
      </w:pPr>
      <w:r>
        <w:rPr>
          <w:sz w:val="18"/>
        </w:rPr>
        <w:t>——————————————————————————————————————————————————————————————————————</w:t>
      </w:r>
    </w:p>
    <w:p>
      <w:pPr>
        <w:spacing w:before="160" w:after="40" w:line="240" w:lineRule="auto"/>
      </w:pPr>
      <w:r>
        <w:rPr>
          <w:b/>
        </w:rPr>
        <w:t xml:space="preserve">[316] </w:t>
      </w:r>
      <w:hyperlink r:id="rId510">
        <w:r>
          <w:rPr>
            <w:color w:val="1155CC"/>
            <w:u w:val="single"/>
          </w:rPr>
          <w:t>[ASAP]作为电子运输的预测描述符的干扰综合集成:饱和阿尔卡内交叉点</w:t>
        </w:r>
      </w:hyperlink>
    </w:p>
    <w:p>
      <w:pPr>
        <w:spacing w:before="0" w:after="80"/>
      </w:pPr>
      <w:r>
        <w:rPr>
          <w:i/>
          <w:sz w:val="20"/>
        </w:rPr>
        <w:t>EN: [ASAP] Interfacial Hopping Integral as a Predictive Descriptor for Electron Transport: Saturated Alkane Junctions</w:t>
      </w:r>
    </w:p>
    <w:p>
      <w:pPr>
        <w:spacing w:before="0" w:after="120"/>
      </w:pPr>
      <w:r>
        <w:rPr>
          <w:b/>
        </w:rPr>
        <w:t xml:space="preserve">Source: </w:t>
      </w:r>
      <w:r>
        <w:t>Journal of the American Chemical Society: Latest Articles (ACS Publications)</w:t>
      </w:r>
      <w:r>
        <w:t xml:space="preserve">    </w:t>
      </w:r>
      <w:r>
        <w:rPr>
          <w:b/>
        </w:rPr>
        <w:t xml:space="preserve">Pub date: </w:t>
      </w:r>
      <w:r>
        <w:t>2026-02-03 16:50:39+00:00</w:t>
      </w:r>
      <w:r>
        <w:t xml:space="preserve">    </w:t>
      </w:r>
      <w:r>
        <w:rPr>
          <w:b/>
        </w:rPr>
        <w:t xml:space="preserve">DOI: </w:t>
      </w:r>
      <w:hyperlink r:id="rId511">
        <w:r>
          <w:rPr>
            <w:color w:val="1155CC"/>
            <w:u w:val="single"/>
          </w:rPr>
          <w:t>10.1021/jacs.5c18728</w:t>
        </w:r>
      </w:hyperlink>
    </w:p>
    <w:p>
      <w:pPr>
        <w:spacing w:before="0" w:after="120"/>
      </w:pPr>
      <w:r>
        <w:rPr>
          <w:b/>
        </w:rPr>
        <w:t xml:space="preserve">Notes: </w:t>
      </w:r>
      <w:r>
        <w:t>abstract_source=pubmed</w:t>
      </w:r>
    </w:p>
    <w:p>
      <w:pPr>
        <w:spacing w:before="0" w:after="80" w:lineRule="auto" w:line="276"/>
      </w:pPr>
      <w:r>
        <w:rPr>
          <w:b/>
        </w:rPr>
        <w:t xml:space="preserve">摘要（ZH）: </w:t>
      </w:r>
      <w:r>
        <w:t>尽管轨道重叠被公认为一个关键决定因素,但其实验量化仍然难以实现。在这里,我们建立了跨轴跳跃集成(星际-摩尔),将接触原子之间的轨道重叠量化为原子之间的轨道重叠,作为饱和α,-功能化烷基交界点基准范围内单分子导体的预测描述符。我们利用扫描隧道显微镜和分子枢纽绘图技术,将我们与和型的分子倾斜(蒂尔摩尔)的导演与提取调聚摩尔的分子倾斜(蒂尔)联系起来。我们首先从单原子-希克-布尔姆特和金制铅涂层开始,以比金色的d-轨道更简单的主要皮饰物为起点。一个包含牛斯-安的紧凑型模型,包括牛斯-安达。</w:t>
      </w:r>
    </w:p>
    <w:p>
      <w:pPr>
        <w:spacing w:before="0" w:after="200" w:lineRule="auto" w:line="276"/>
      </w:pPr>
      <w:r>
        <w:rPr>
          <w:b/>
        </w:rPr>
        <w:t xml:space="preserve">Abstract (EN): </w:t>
      </w:r>
      <w:r>
        <w:t>Electron transport across interfaces governs a broad range of fundamental phenomena. Although orbital overlap is recognized as a key determinant, its experimental quantification remains elusive. Here, we establish the interfacial hopping integral (teld-mol), quantifying orbital overlap between contacting atoms, as a predictive descriptor of single-molecule conductance in a benchmark domain of saturated α,ω-functionalized alkane junctions. Using scanning tunneling microscopy and molecular-junction mapping technique, we correlate conductance with molecular tilt (tiltmol) across π- and σ-type headgroups to extract teld-mol. We start with single-atom-thick bismuth and lead adlayers on gold, with dominant p-character simpler than gold's d-orbitals. A tight-binding model incorporating Newns-Anderson-Grimley theory yields conductance heatmaps that qualitatively match experiment results and generalize to diverse molecular junctions. Applying this model to the seminal case of alkanedithiols rationalizes literature findings of one to three conductance sets by linking them to tiltmol and corresponding teld-mol variations.</w:t>
      </w:r>
    </w:p>
    <w:p>
      <w:pPr>
        <w:spacing w:before="120" w:after="120"/>
      </w:pPr>
      <w:r>
        <w:rPr>
          <w:sz w:val="18"/>
        </w:rPr>
        <w:t>——————————————————————————————————————————————————————————————————————</w:t>
      </w:r>
    </w:p>
    <w:p>
      <w:pPr>
        <w:spacing w:before="160" w:after="40" w:line="240" w:lineRule="auto"/>
      </w:pPr>
      <w:r>
        <w:rPr>
          <w:b/>
        </w:rPr>
        <w:t xml:space="preserve">[317] </w:t>
      </w:r>
      <w:hyperlink r:id="rId512">
        <w:r>
          <w:rPr>
            <w:color w:val="1155CC"/>
            <w:u w:val="single"/>
          </w:rPr>
          <w:t>[ASAP]四重搭桥战略 强化阿扎匹列尼诺凡的环极极化卢明</w:t>
        </w:r>
      </w:hyperlink>
    </w:p>
    <w:p>
      <w:pPr>
        <w:spacing w:before="0" w:after="80"/>
      </w:pPr>
      <w:r>
        <w:rPr>
          <w:i/>
          <w:sz w:val="20"/>
        </w:rPr>
        <w:t>EN: [ASAP] Quadruply Bridging Strategy Intensifies Circularly Polarized Luminescence of Azapyrenophanes</w:t>
      </w:r>
    </w:p>
    <w:p>
      <w:pPr>
        <w:spacing w:before="0" w:after="120"/>
      </w:pPr>
      <w:r>
        <w:rPr>
          <w:b/>
        </w:rPr>
        <w:t xml:space="preserve">Source: </w:t>
      </w:r>
      <w:r>
        <w:t>Journal of the American Chemical Society: Latest Articles (ACS Publications)</w:t>
      </w:r>
      <w:r>
        <w:t xml:space="preserve">    </w:t>
      </w:r>
      <w:r>
        <w:rPr>
          <w:b/>
        </w:rPr>
        <w:t xml:space="preserve">Pub date: </w:t>
      </w:r>
      <w:r>
        <w:t>2026-02-03 16:53:21+00:00</w:t>
      </w:r>
      <w:r>
        <w:t xml:space="preserve">    </w:t>
      </w:r>
      <w:r>
        <w:rPr>
          <w:b/>
        </w:rPr>
        <w:t xml:space="preserve">DOI: </w:t>
      </w:r>
      <w:hyperlink r:id="rId513">
        <w:r>
          <w:rPr>
            <w:color w:val="1155CC"/>
            <w:u w:val="single"/>
          </w:rPr>
          <w:t>10.1021/jacs.5c22797</w:t>
        </w:r>
      </w:hyperlink>
    </w:p>
    <w:p>
      <w:pPr>
        <w:spacing w:before="0" w:after="120"/>
      </w:pPr>
      <w:r>
        <w:rPr>
          <w:b/>
        </w:rPr>
        <w:t xml:space="preserve">Notes: </w:t>
      </w:r>
      <w:r>
        <w:t>abstract_source=pubmed</w:t>
      </w:r>
    </w:p>
    <w:p>
      <w:pPr>
        <w:spacing w:before="0" w:after="80" w:lineRule="auto" w:line="276"/>
      </w:pPr>
      <w:r>
        <w:rPr>
          <w:b/>
        </w:rPr>
        <w:t xml:space="preserve">摘要（ZH）: </w:t>
      </w:r>
      <w:r>
        <w:t>合成多端正丙诺氏体为有机循环两极分光发射物,凝胶达到+0.12,BCPL在-95°C时为2,600 M-1厘米。对binaphyl-bridgedpyrenophophane的xyle-bridge-bridged pyrenophane 生成了四重桥状结构,促使Pyrene excimer采用D2-对称硬相容法。这一战略使潜在的CPL性能最大化。此外,这些发光器作为温度和酸/基触发(+)/(-)/(-)或开/开/脱CPL开关,其中还观测到对人造溶剂的特殊反应。</w:t>
      </w:r>
    </w:p>
    <w:p>
      <w:pPr>
        <w:spacing w:before="0" w:after="200" w:lineRule="auto" w:line="276"/>
      </w:pPr>
      <w:r>
        <w:rPr>
          <w:b/>
        </w:rPr>
        <w:t xml:space="preserve">Abstract (EN): </w:t>
      </w:r>
      <w:r>
        <w:t>Multibridged azapyrenophanes were synthesized as organic circularly polarized luminescence (CPL) emitters. The glum reached +0.12 and the BCPL amounted to 2,600 M-1 cm-1 at -95 °C. The xylylene-bridging to the binaphthyl-bridged pyrenophane produced a quadruply bridged structure that prompted the pyrene excimer to adopt a D2-symmetric rigid conformation. This strategy maximized the latent CPL performance. Furthermore, these emitters functioned as temperature- and acid/base-triggered (+)/(-)- or on/off-CPL switches in which enantiospecific responses toward chiral solvents were also observed.</w:t>
      </w:r>
    </w:p>
    <w:p>
      <w:pPr>
        <w:spacing w:before="120" w:after="120"/>
      </w:pPr>
      <w:r>
        <w:rPr>
          <w:sz w:val="18"/>
        </w:rPr>
        <w:t>——————————————————————————————————————————————————————————————————————</w:t>
      </w:r>
    </w:p>
    <w:p>
      <w:pPr>
        <w:spacing w:before="160" w:after="40" w:line="240" w:lineRule="auto"/>
      </w:pPr>
      <w:r>
        <w:rPr>
          <w:b/>
        </w:rPr>
        <w:t xml:space="preserve">[318] </w:t>
      </w:r>
      <w:hyperlink r:id="rId514">
        <w:r>
          <w:rPr>
            <w:color w:val="1155CC"/>
            <w:u w:val="single"/>
          </w:rPr>
          <w:t>[ASAP]多地点质子-在克京-交苯聚氧磷酸酯的混合电解转移</w:t>
        </w:r>
      </w:hyperlink>
    </w:p>
    <w:p>
      <w:pPr>
        <w:spacing w:before="0" w:after="80"/>
      </w:pPr>
      <w:r>
        <w:rPr>
          <w:i/>
          <w:sz w:val="20"/>
        </w:rPr>
        <w:t>EN: [ASAP] Multisite Proton–Coupled Electron Transfer at a Keggin-Type Polyoxotungstate</w:t>
      </w:r>
    </w:p>
    <w:p>
      <w:pPr>
        <w:spacing w:before="0" w:after="120"/>
      </w:pPr>
      <w:r>
        <w:rPr>
          <w:b/>
        </w:rPr>
        <w:t xml:space="preserve">Source: </w:t>
      </w:r>
      <w:r>
        <w:t>Journal of the American Chemical Society: Latest Articles (ACS Publications)</w:t>
      </w:r>
      <w:r>
        <w:t xml:space="preserve">    </w:t>
      </w:r>
      <w:r>
        <w:rPr>
          <w:b/>
        </w:rPr>
        <w:t xml:space="preserve">Pub date: </w:t>
      </w:r>
      <w:r>
        <w:t>2026-02-03 16:54:18+00:00</w:t>
      </w:r>
      <w:r>
        <w:t xml:space="preserve">    </w:t>
      </w:r>
      <w:r>
        <w:rPr>
          <w:b/>
        </w:rPr>
        <w:t xml:space="preserve">DOI: </w:t>
      </w:r>
      <w:hyperlink r:id="rId515">
        <w:r>
          <w:rPr>
            <w:color w:val="1155CC"/>
            <w:u w:val="single"/>
          </w:rPr>
          <w:t>10.1021/jacs.5c18764</w:t>
        </w:r>
      </w:hyperlink>
    </w:p>
    <w:p>
      <w:pPr>
        <w:spacing w:before="0" w:after="120"/>
      </w:pPr>
      <w:r>
        <w:rPr>
          <w:b/>
        </w:rPr>
        <w:t xml:space="preserve">Notes: </w:t>
      </w:r>
      <w:r>
        <w:t>abstract_source=pubmed</w:t>
      </w:r>
    </w:p>
    <w:p>
      <w:pPr>
        <w:spacing w:before="0" w:after="80" w:lineRule="auto" w:line="276"/>
      </w:pPr>
      <w:r>
        <w:rPr>
          <w:b/>
        </w:rPr>
        <w:t xml:space="preserve">摘要（ZH）: </w:t>
      </w:r>
      <w:r>
        <w:t>质子- 相联电子转移( PCET) 管理着许多红氧化变异, 但当质子和电子转移发生在一个单一地点时, 却受到热力限制 。 在这里, 我们推出一个新的多点 PCET( MS- PCET) 平台, 以 Keggin 型聚氧龙邦 [VW12O40] 3- (VW12) 为基础, [VW12] 3 - (VW12) 将双电基或酸制成双电解导, 产生带金枪鱼有效连结分解自由能量( BDFEeff) 超过 15 kcal mol-1 的试剂, 使氧化性和再处理H 原子转移反应成为可能。 通过使用 2, 4,6- tBU3PH 捐赠者将氧化路径作为氢原子( H原子) 模型, 实验者发现一种类似产品, 由 entropy 控制的聚苯- 电子转移路径, 由预成氢- 混合复合复合体 。</w:t>
      </w:r>
    </w:p>
    <w:p>
      <w:pPr>
        <w:spacing w:before="0" w:after="200" w:lineRule="auto" w:line="276"/>
      </w:pPr>
      <w:r>
        <w:rPr>
          <w:b/>
        </w:rPr>
        <w:t xml:space="preserve">Abstract (EN): </w:t>
      </w:r>
      <w:r>
        <w:t>Proton-coupled electron transfer (PCET) governs many redox transformations, but is thermodynamically constrained when proton and electron transfer occur at a single site. Here, we introduce a new multisite PCET (MS-PCET) platform, based on the Keggin-type polyoxotungstate, [VW12O40]3- (VW12). Pairing VW12 with either Brønsted bases or acids yields reagent pairs with tunable effective bond dissociation free energies (BDFEeff) over 15 kcal mol-1, enabling both oxidative and reductive H atom transfer reactions. Kinetic studies on the oxidative pathway by using 2,4,6-tBu3PhOH as a model hydrogen atom (H atom) donor reveal a product-like, entropy-dominated concerted proton-electron transfer (CPET) pathway from a preorganized hydrogen-bonded complex. By contrast, reductive H atom transfer reactions exhibit larger ΔH‡ values, measurable kinetic isotope effects, and balanced Brønsted slope, consistent with synchronous CPET-type mechanism. Extension to N-H, O-H, and C-H substrates demonstrates the versatility of the VW12 MS-PCET platform for tunable (de)hydrogenation.</w:t>
      </w:r>
    </w:p>
    <w:p>
      <w:pPr>
        <w:spacing w:before="120" w:after="120"/>
      </w:pPr>
      <w:r>
        <w:rPr>
          <w:sz w:val="18"/>
        </w:rPr>
        <w:t>——————————————————————————————————————————————————————————————————————</w:t>
      </w:r>
    </w:p>
    <w:p>
      <w:pPr>
        <w:spacing w:before="160" w:after="40" w:line="240" w:lineRule="auto"/>
      </w:pPr>
      <w:r>
        <w:rPr>
          <w:b/>
        </w:rPr>
        <w:t xml:space="preserve">[319] </w:t>
      </w:r>
      <w:hyperlink r:id="rId516">
        <w:r>
          <w:rPr>
            <w:color w:val="1155CC"/>
            <w:u w:val="single"/>
          </w:rPr>
          <w:t>[ASAP] 雕刻微型微生物环境:通过可编程电化学梯度对瞬间控制</w:t>
        </w:r>
      </w:hyperlink>
    </w:p>
    <w:p>
      <w:pPr>
        <w:spacing w:before="0" w:after="80"/>
      </w:pPr>
      <w:r>
        <w:rPr>
          <w:i/>
          <w:sz w:val="20"/>
        </w:rPr>
        <w:t>EN: [ASAP] Sculpting Microbial Microenvironments: Spatiotemporal Control via Programmable Electrochemical Gradients</w:t>
      </w:r>
    </w:p>
    <w:p>
      <w:pPr>
        <w:spacing w:before="0" w:after="120"/>
      </w:pPr>
      <w:r>
        <w:rPr>
          <w:b/>
        </w:rPr>
        <w:t xml:space="preserve">Source: </w:t>
      </w:r>
      <w:r>
        <w:t>Journal of the American Chemical Society: Latest Articles (ACS Publications)</w:t>
      </w:r>
      <w:r>
        <w:t xml:space="preserve">    </w:t>
      </w:r>
      <w:r>
        <w:rPr>
          <w:b/>
        </w:rPr>
        <w:t xml:space="preserve">Pub date: </w:t>
      </w:r>
      <w:r>
        <w:t>2026-02-03 17:21:09+00:00</w:t>
      </w:r>
      <w:r>
        <w:t xml:space="preserve">    </w:t>
      </w:r>
      <w:r>
        <w:rPr>
          <w:b/>
        </w:rPr>
        <w:t xml:space="preserve">DOI: </w:t>
      </w:r>
      <w:hyperlink r:id="rId517">
        <w:r>
          <w:rPr>
            <w:color w:val="1155CC"/>
            <w:u w:val="single"/>
          </w:rPr>
          <w:t>10.1021/jacs.5c21704</w:t>
        </w:r>
      </w:hyperlink>
    </w:p>
    <w:p>
      <w:pPr>
        <w:spacing w:before="0" w:after="120"/>
      </w:pPr>
      <w:r>
        <w:rPr>
          <w:b/>
        </w:rPr>
        <w:t xml:space="preserve">Notes: </w:t>
      </w:r>
      <w:r>
        <w:t>abstract_source=pubmed</w:t>
      </w:r>
    </w:p>
    <w:p>
      <w:pPr>
        <w:spacing w:before="0" w:after="80" w:lineRule="auto" w:line="276"/>
      </w:pPr>
      <w:r>
        <w:rPr>
          <w:b/>
        </w:rPr>
        <w:t xml:space="preserve">摘要（ZH）: </w:t>
      </w:r>
      <w:r>
        <w:t>在生物胶片、pH、氧(O2)的空间变异和活性物种等组合中,生物膜、pH、氧(O2)和活性物种创造了多种多样的微观环境。这种化学景观导致生理异质性、代谢分层和对抗微生物剂的深度耐受力。尽管它们的重要性得到承认,但在体外重新创造这些动态的微环境却是一个长期挑战。这一视角凸显了电化学作为一种变革性解决办法,为微生物微环境的雕塑提供了无与伦比的电磁时控。通过将可编程的潜力应用到微选律,关键化学物种可以产生或因需求而耗尽,从而形成非侵入性和非侵入性。</w:t>
      </w:r>
    </w:p>
    <w:p>
      <w:pPr>
        <w:spacing w:before="0" w:after="200" w:lineRule="auto" w:line="276"/>
      </w:pPr>
      <w:r>
        <w:rPr>
          <w:b/>
        </w:rPr>
        <w:t xml:space="preserve">Abstract (EN): </w:t>
      </w:r>
      <w:r>
        <w:t>Microbial life is fundamentally shaped by endogenous chemical gradients that arise within structured communities. In assemblages such as biofilms, spatial variations in pH, oxygen (O2), and reactive species create diverse microenvironments. This chemical landscape drives physiological heterogeneity, metabolic stratification, and profound tolerance to antimicrobial agents. Despite their recognized importance, recreating these dynamic microenvironments in vitro has been a persistent challenge. This perspective highlights electrochemistry as a transformative solution, offering unparalleled spatiotemporal control to sculpt the microbial microenvironment. By applying programmable potentials to microelectrodes, key chemical species can be generated or depleted on demand, creating noninvasive and dynamic chemical landscapes. We review recent advances in this field, detailing the principles and applications for electrochemically generating gradients of pH, O2, reactive species of nitric oxide (NO), and reactive oxygen species (ROS). By empowering researchers to move beyond static snapshots and dissect the real-time kinetics of microbial responses, electrochemical gradient generation opens a new frontier for understanding and manipulating the microbial world.</w:t>
      </w:r>
    </w:p>
    <w:p>
      <w:pPr>
        <w:spacing w:before="120" w:after="120"/>
      </w:pPr>
      <w:r>
        <w:rPr>
          <w:sz w:val="18"/>
        </w:rPr>
        <w:t>——————————————————————————————————————————————————————————————————————</w:t>
      </w:r>
    </w:p>
    <w:p>
      <w:pPr>
        <w:spacing w:before="160" w:after="40" w:line="240" w:lineRule="auto"/>
      </w:pPr>
      <w:r>
        <w:rPr>
          <w:b/>
        </w:rPr>
        <w:t xml:space="preserve">[320] </w:t>
      </w:r>
      <w:hyperlink r:id="rId518">
        <w:r>
          <w:rPr>
            <w:color w:val="1155CC"/>
            <w:u w:val="single"/>
          </w:rPr>
          <w:t>[ASAP] Plasmonic Gold 天线- 白光辐照下以格式化的 专用CO2 的顶分子复杂反应堆冷分子大会</w:t>
        </w:r>
      </w:hyperlink>
    </w:p>
    <w:p>
      <w:pPr>
        <w:spacing w:before="0" w:after="80"/>
      </w:pPr>
      <w:r>
        <w:rPr>
          <w:i/>
          <w:sz w:val="20"/>
        </w:rPr>
        <w:t>EN: [ASAP] Plasmonic Gold Antenna–Copper Molecular Complex Reactor Assembly for Exclusive CO2 to Formate Conversion under White-Light Irradiation</w:t>
      </w:r>
    </w:p>
    <w:p>
      <w:pPr>
        <w:spacing w:before="0" w:after="120"/>
      </w:pPr>
      <w:r>
        <w:rPr>
          <w:b/>
        </w:rPr>
        <w:t xml:space="preserve">Source: </w:t>
      </w:r>
      <w:r>
        <w:t>Journal of the American Chemical Society: Latest Articles (ACS Publications)</w:t>
      </w:r>
      <w:r>
        <w:t xml:space="preserve">    </w:t>
      </w:r>
      <w:r>
        <w:rPr>
          <w:b/>
        </w:rPr>
        <w:t xml:space="preserve">Pub date: </w:t>
      </w:r>
      <w:r>
        <w:t>2026-02-03 17:48:12+00:00</w:t>
      </w:r>
      <w:r>
        <w:t xml:space="preserve">    </w:t>
      </w:r>
      <w:r>
        <w:rPr>
          <w:b/>
        </w:rPr>
        <w:t xml:space="preserve">DOI: </w:t>
      </w:r>
      <w:hyperlink r:id="rId519">
        <w:r>
          <w:rPr>
            <w:color w:val="1155CC"/>
            <w:u w:val="single"/>
          </w:rPr>
          <w:t>10.1021/jacs.5c18872</w:t>
        </w:r>
      </w:hyperlink>
    </w:p>
    <w:p>
      <w:pPr>
        <w:spacing w:before="0" w:after="120"/>
      </w:pPr>
      <w:r>
        <w:rPr>
          <w:b/>
        </w:rPr>
        <w:t xml:space="preserve">Notes: </w:t>
      </w:r>
      <w:r>
        <w:t>abstract_source=pubmed</w:t>
      </w:r>
    </w:p>
    <w:p>
      <w:pPr>
        <w:spacing w:before="0" w:after="80" w:lineRule="auto" w:line="276"/>
      </w:pPr>
      <w:r>
        <w:rPr>
          <w:b/>
        </w:rPr>
        <w:t xml:space="preserve">摘要（ZH）: </w:t>
      </w:r>
      <w:r>
        <w:t>在光电化学CO2的减少中实现高选择性产品在光电化学CO2的减少中实现高产品选择性仍然是分子电化电解平台面临的一项长期挑战。在这里,我们展示了一种质子-分子混合催化剂AutNP@Cu(PAP)2,其中包括一个重氧化活性铜综合体,[Cu(PAP)2],通过非共价互动,固定在金三角纳米基体(AuTNPs)上。光谱天线和分子催化剂点之间的亲密结合使得极有选择性的光电化学CO2-to-格式转换能够达到百分之95的焦耳光电化学CO2-格式转换,在4小时以-0.56伏对RHE的距离内实现468.3微克/立方厘米-2。混合电极展示了显著的耐久性,保持了25小时以上连续操作的平均成电率-350微克/h-1cm91%FE。</w:t>
      </w:r>
    </w:p>
    <w:p>
      <w:pPr>
        <w:spacing w:before="0" w:after="200" w:lineRule="auto" w:line="276"/>
      </w:pPr>
      <w:r>
        <w:rPr>
          <w:b/>
        </w:rPr>
        <w:t xml:space="preserve">Abstract (EN): </w:t>
      </w:r>
      <w:r>
        <w:t>Achieving high product selectivity in photoelectrochemical CO2 reduction remains a persistent challenge for molecular electrocatalyst platforms. Herein, we present a plasmonic-molecular hybrid catalyst, AuTNP@Cu(PAP)2, comprising a redox-active copper complex, [Cu(PAP)2], immobilized onto gold triangular nanoprisms (AuTNPs) through noncovalent interactions. The intimate coupling between the plasmonic antenna and the molecular catalytic sites enables highly selective photoelectrochemical CO2-to-formate conversion, achieving a Faradaic efficiency (FE) of ∼95% and a formate yield of 468.3 μmol·cm-2 within 4 h at -0.56 V vs RHE. The hybrid electrode exhibits remarkable durability, maintaining an average formate production rate of ∼350 μmol·h-1·cm-2 and 91% FE over 25 h of continuous operation in an H-Cell. Mechanistic investigations combining ultrafast transient absorption spectroscopy, in situ Raman analysis, and density functional theory (DFT) calculations reveal that the Au-Cu interfacial interaction promotes plasmon-induced hot-electron transfer, stabilizes the surface-bound *OCHO intermediate, and extends charge-separated lifetimes, which are key factors governing the observed formate selectivity. Integration of the hybrid electrode into a custom-built photoelectrochemical flow reactor demonstrated scalability, delivering an FE of 90% at 50 mA·cm-2 under white-light illumination. This study establishes a unified design principle for constructing robust plasmon-driven molecular architectures that achieve high selectivity, efficiency, and durability in the CO2 conversion reactions.</w:t>
      </w:r>
    </w:p>
    <w:p>
      <w:pPr>
        <w:spacing w:before="120" w:after="120"/>
      </w:pPr>
      <w:r>
        <w:rPr>
          <w:sz w:val="18"/>
        </w:rPr>
        <w:t>——————————————————————————————————————————————————————————————————————</w:t>
      </w:r>
    </w:p>
    <w:p>
      <w:pPr>
        <w:spacing w:before="160" w:after="40" w:line="240" w:lineRule="auto"/>
      </w:pPr>
      <w:r>
        <w:rPr>
          <w:b/>
        </w:rPr>
        <w:t xml:space="preserve">[321] </w:t>
      </w:r>
      <w:hyperlink r:id="rId520">
        <w:r>
          <w:rPr>
            <w:color w:val="1155CC"/>
            <w:u w:val="single"/>
          </w:rPr>
          <w:t>[ASAP] 用于保护中程金属-氧二氧化硅层氧化锡的防控前疾病-氧共振</w:t>
        </w:r>
      </w:hyperlink>
    </w:p>
    <w:p>
      <w:pPr>
        <w:spacing w:before="0" w:after="80"/>
      </w:pPr>
      <w:r>
        <w:rPr>
          <w:i/>
          <w:sz w:val="20"/>
        </w:rPr>
        <w:t>EN: [ASAP] Pre-Disordering for Preserving Transition Metal–Oxygen Covalency in Lithium-Rich Layered Oxide Cathodes</w:t>
      </w:r>
    </w:p>
    <w:p>
      <w:pPr>
        <w:spacing w:before="0" w:after="120"/>
      </w:pPr>
      <w:r>
        <w:rPr>
          <w:b/>
        </w:rPr>
        <w:t xml:space="preserve">Source: </w:t>
      </w:r>
      <w:r>
        <w:t>ACS Energy Letters: Latest Articles (ACS Publications)</w:t>
      </w:r>
      <w:r>
        <w:t xml:space="preserve">    </w:t>
      </w:r>
      <w:r>
        <w:rPr>
          <w:b/>
        </w:rPr>
        <w:t xml:space="preserve">Pub date: </w:t>
      </w:r>
      <w:r>
        <w:t>2026-02-03 17:49:00+00:00</w:t>
      </w:r>
      <w:r>
        <w:t xml:space="preserve">    </w:t>
      </w:r>
      <w:r>
        <w:rPr>
          <w:b/>
        </w:rPr>
        <w:t xml:space="preserve">DOI: </w:t>
      </w:r>
      <w:hyperlink r:id="rId521">
        <w:r>
          <w:rPr>
            <w:color w:val="1155CC"/>
            <w:u w:val="single"/>
          </w:rPr>
          <w:t>10.1021/acsenergylett.6c00053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[322] </w:t>
      </w:r>
      <w:hyperlink r:id="rId522">
        <w:r>
          <w:rPr>
            <w:color w:val="1155CC"/>
            <w:u w:val="single"/>
          </w:rPr>
          <w:t>[ASAP] 用于建造正态-二乙基苯的Ketones烷合烷合烷链的中间分子同步化</w:t>
        </w:r>
      </w:hyperlink>
    </w:p>
    <w:p>
      <w:pPr>
        <w:spacing w:before="0" w:after="80"/>
      </w:pPr>
      <w:r>
        <w:rPr>
          <w:i/>
          <w:sz w:val="20"/>
        </w:rPr>
        <w:t>EN: [ASAP] Intermolecular Cyclization of Alkyl Chains of Ketones for Constructing ortho-Diacylbenzenes</w:t>
      </w:r>
    </w:p>
    <w:p>
      <w:pPr>
        <w:spacing w:before="0" w:after="120"/>
      </w:pPr>
      <w:r>
        <w:rPr>
          <w:b/>
        </w:rPr>
        <w:t xml:space="preserve">Source: </w:t>
      </w:r>
      <w:r>
        <w:t>Journal of the American Chemical Society: Latest Articles (ACS Publications)</w:t>
      </w:r>
      <w:r>
        <w:t xml:space="preserve">    </w:t>
      </w:r>
      <w:r>
        <w:rPr>
          <w:b/>
        </w:rPr>
        <w:t xml:space="preserve">Pub date: </w:t>
      </w:r>
      <w:r>
        <w:t>2026-02-03 19:00:21+00:00</w:t>
      </w:r>
      <w:r>
        <w:t xml:space="preserve">    </w:t>
      </w:r>
      <w:r>
        <w:rPr>
          <w:b/>
        </w:rPr>
        <w:t xml:space="preserve">DOI: </w:t>
      </w:r>
      <w:hyperlink r:id="rId523">
        <w:r>
          <w:rPr>
            <w:color w:val="1155CC"/>
            <w:u w:val="single"/>
          </w:rPr>
          <w:t>10.1021/jacs.5c19699</w:t>
        </w:r>
      </w:hyperlink>
    </w:p>
    <w:p>
      <w:pPr>
        <w:spacing w:before="0" w:after="120"/>
      </w:pPr>
      <w:r>
        <w:rPr>
          <w:b/>
        </w:rPr>
        <w:t xml:space="preserve">Notes: </w:t>
      </w:r>
      <w:r>
        <w:t>abstract_source=pubmed</w:t>
      </w:r>
    </w:p>
    <w:p>
      <w:pPr>
        <w:spacing w:before="0" w:after="80" w:lineRule="auto" w:line="276"/>
      </w:pPr>
      <w:r>
        <w:rPr>
          <w:b/>
        </w:rPr>
        <w:t xml:space="preserve">摘要（ZH）: </w:t>
      </w:r>
      <w:r>
        <w:t>用于合成正丙基苯的两个基酮基子链之间的分子周期化提供了原子经济途径,但是,两个基酮基子链之间的分子周期化是一个具有挑战性的化学变异。我们在此报告,在TEMPO的面前,含有烷链的基酮基子子链之间的铜催化反应是作为氧化剂进行脱氢过程中由两克酮基子链之间的分子周期化(4+2),以进行选择性生产具有高功能群体耐受度的奥基苯基子链之间的烷基链之间的循环化。</w:t>
      </w:r>
    </w:p>
    <w:p>
      <w:pPr>
        <w:spacing w:before="0" w:after="200" w:lineRule="auto" w:line="276"/>
      </w:pPr>
      <w:r>
        <w:rPr>
          <w:b/>
        </w:rPr>
        <w:t xml:space="preserve">Abstract (EN): </w:t>
      </w:r>
      <w:r>
        <w:t>ortho-Diacylbenzenes serve as versatile precursors for pharmaceutical synthesis, other biological applications, and organic synthesis. The intermolecular cyclization between the alkyl chains of two ketone substrates for the synthesis of ortho-diacylbenzenes offers atom-economical access to ortho-diacylbenzenes. However, intermolecular cyclization between the alkyl chains of two ketone substrates is a challenging chemical transformation. Here, we report that the copper-catalyzed reaction between ketone substrates containing alkyl chains in the presence of TEMPO as the oxidant undergoes dehydrogenation-initiated intermolecular [4 + 2] cyclization between the alkyl chains of two ketone substrates to regioselectively produce the ortho-diacylbenzene with high functional group tolerance. This copper-catalyzed intermolecular cyclization between the alkyl chains of two ketone substrates enables ketone substrates containing diverse molecular scaffolds to serve as efficient substrates for the synthesis of ortho-diacylbenzenes, although butyl-phenyl-ketones containing substituents at the δ-positions of the butyl chains regioselectively produce meta-diacylbenzene products. Consequently, structurally complex ketones generated from natural products or bioactive compounds undergo targeted transformation to efficiently produce ortho-diacylbenzenes. Interestingly, this copper-catalyzed intermolecular cyclization between the alkyl chains of two ketone substrates proceeds through the electrophilic TEMPO-catalyzed unknown [4 + 2] cycloaddition of two electron-poor alkenyl ketone intermediates, which overcomes the general requirement of the Diels-Alder cycloaddition reactions.</w:t>
      </w:r>
    </w:p>
    <w:p>
      <w:pPr>
        <w:spacing w:before="120" w:after="120"/>
      </w:pPr>
      <w:r>
        <w:rPr>
          <w:sz w:val="18"/>
        </w:rPr>
        <w:t>——————————————————————————————————————————————————————————————————————</w:t>
      </w:r>
    </w:p>
    <w:p>
      <w:pPr>
        <w:spacing w:before="160" w:after="40" w:line="240" w:lineRule="auto"/>
      </w:pPr>
      <w:r>
        <w:rPr>
          <w:b/>
        </w:rPr>
        <w:t xml:space="preserve">[323] </w:t>
      </w:r>
      <w:hyperlink r:id="rId524">
        <w:r>
          <w:rPr>
            <w:color w:val="1155CC"/>
            <w:u w:val="single"/>
          </w:rPr>
          <w:t>[ASAP] 用于快速探测β-Lactmas的电化学 β-Lactam 探测器:从溶解-阶段激活到地表集成生物遥感</w:t>
        </w:r>
      </w:hyperlink>
    </w:p>
    <w:p>
      <w:pPr>
        <w:spacing w:before="0" w:after="80"/>
      </w:pPr>
      <w:r>
        <w:rPr>
          <w:i/>
          <w:sz w:val="20"/>
        </w:rPr>
        <w:t>EN: [ASAP] Electrochemical β-Lactam Probes for Rapid Detection of β-Lactamases: From Solution-Phase Activation toward Surface-Integrated Biosensing</w:t>
      </w:r>
    </w:p>
    <w:p>
      <w:pPr>
        <w:spacing w:before="0" w:after="120"/>
      </w:pPr>
      <w:r>
        <w:rPr>
          <w:b/>
        </w:rPr>
        <w:t xml:space="preserve">Source: </w:t>
      </w:r>
      <w:r>
        <w:t>Journal of the American Chemical Society: Latest Articles (ACS Publications)</w:t>
      </w:r>
      <w:r>
        <w:t xml:space="preserve">    </w:t>
      </w:r>
      <w:r>
        <w:rPr>
          <w:b/>
        </w:rPr>
        <w:t xml:space="preserve">Pub date: </w:t>
      </w:r>
      <w:r>
        <w:t>2026-02-03 19:00:50+00:00</w:t>
      </w:r>
      <w:r>
        <w:t xml:space="preserve">    </w:t>
      </w:r>
      <w:r>
        <w:rPr>
          <w:b/>
        </w:rPr>
        <w:t xml:space="preserve">DOI: </w:t>
      </w:r>
      <w:hyperlink r:id="rId525">
        <w:r>
          <w:rPr>
            <w:color w:val="1155CC"/>
            <w:u w:val="single"/>
          </w:rPr>
          <w:t>10.1021/jacs.5c19760</w:t>
        </w:r>
      </w:hyperlink>
    </w:p>
    <w:p>
      <w:pPr>
        <w:spacing w:before="0" w:after="120"/>
      </w:pPr>
      <w:r>
        <w:rPr>
          <w:b/>
        </w:rPr>
        <w:t xml:space="preserve">Notes: </w:t>
      </w:r>
      <w:r>
        <w:t>abstract_source=pubmed</w:t>
      </w:r>
    </w:p>
    <w:p>
      <w:pPr>
        <w:spacing w:before="0" w:after="80" w:lineRule="auto" w:line="276"/>
      </w:pPr>
      <w:r>
        <w:rPr>
          <w:b/>
        </w:rPr>
        <w:t xml:space="preserve">摘要（ZH）: </w:t>
      </w:r>
      <w:r>
        <w:t>抗生抗菌细菌的快速检测是全球抗微生物抗抗药性斗争中的一个关键工具,有助于限制抗药性的扩散并指导治疗决定。我们在此报告对β-林丹的红氧活性探测器进行设计、合成和电化学评价,以探测β-光化酶活性。探针中包含一个β-光化学核心,通过可分解的连接与红氧化报告器相连,从而能够在酶水解时生成信号。我们利用高性能液相色谱法和差异脉冲电压测量分析来评估对商用β-光化酶混合物和金属-光化酶混合物的耐用时间性反应和依赖浓度的反应。</w:t>
      </w:r>
    </w:p>
    <w:p>
      <w:pPr>
        <w:spacing w:before="0" w:after="200" w:lineRule="auto" w:line="276"/>
      </w:pPr>
      <w:r>
        <w:rPr>
          <w:b/>
        </w:rPr>
        <w:t xml:space="preserve">Abstract (EN): </w:t>
      </w:r>
      <w:r>
        <w:t>Rapid detection of antibiotic-resistant bacteria is a crucial tool in the global fight against antimicrobial resistance, helping to limit the spread of resistance and guide treatment decisions. Here, we report the design, synthesis, and electrochemical evaluation of β-lactam-based redox-activatable probes for detecting β-lactamase activity. The probes incorporate a β-lactam core linked to redox reporters through cleavable linkages, enabling signal generation upon enzymatic hydrolysis. High-performance liquid chromatography and differential pulse voltammetry analyses were used to assess time-dependent activation and concentration-dependent responses against commercial β-lactamase blends and metallo-β-lactamases. Selected probes, bearing cephalosporin recognition motifs and maltol redox reporters, were further evaluated against clinical isolates, demonstrating selective activation in carbapenemase-producing strains. To extend the platform toward solid-state biosensing, an azide-functionalized analog was clicked on alkyne-modified glassy carbon electrodes. Stepwise surface functionalization and immobilization were validated electrochemically using model redox reporters, confirming their activity. The immobilized probe retained responsiveness, demonstrating the feasibility of integrating this sensing strategy into solid-state diagnostic devices. By integrating stable cephalosporin scaffolds with redox-reporter signaling, this work introduces a novel probe system that unites chemical probe design with surface-based electrochemical sensing, providing a strong foundation for the development of portable, point-of-care diagnostics for β-lactamase-mediated antibiotic resistance.</w:t>
      </w:r>
    </w:p>
    <w:p>
      <w:pPr>
        <w:spacing w:before="120" w:after="120"/>
      </w:pPr>
      <w:r>
        <w:rPr>
          <w:sz w:val="18"/>
        </w:rPr>
        <w:t>——————————————————————————————————————————————————————————————————————</w:t>
      </w:r>
    </w:p>
    <w:p>
      <w:pPr>
        <w:spacing w:before="160" w:after="40" w:line="240" w:lineRule="auto"/>
      </w:pPr>
      <w:r>
        <w:rPr>
          <w:b/>
        </w:rPr>
        <w:t xml:space="preserve">[324] </w:t>
      </w:r>
      <w:hyperlink r:id="rId526">
        <w:r>
          <w:rPr>
            <w:color w:val="1155CC"/>
            <w:u w:val="single"/>
          </w:rPr>
          <w:t>[ASAP] MALDI矩阵:起源、创新和前沿</w:t>
        </w:r>
      </w:hyperlink>
    </w:p>
    <w:p>
      <w:pPr>
        <w:spacing w:before="0" w:after="80"/>
      </w:pPr>
      <w:r>
        <w:rPr>
          <w:i/>
          <w:sz w:val="20"/>
        </w:rPr>
        <w:t>EN: [ASAP] MALDI Matrix: Origins, Innovations, and Frontiers</w:t>
      </w:r>
    </w:p>
    <w:p>
      <w:pPr>
        <w:spacing w:before="0" w:after="120"/>
      </w:pPr>
      <w:r>
        <w:rPr>
          <w:b/>
        </w:rPr>
        <w:t xml:space="preserve">Source: </w:t>
      </w:r>
      <w:r>
        <w:t>Chemical Reviews: Latest Articles (ACS Publications)</w:t>
      </w:r>
      <w:r>
        <w:t xml:space="preserve">    </w:t>
      </w:r>
      <w:r>
        <w:rPr>
          <w:b/>
        </w:rPr>
        <w:t xml:space="preserve">Pub date: </w:t>
      </w:r>
      <w:r>
        <w:t>2026-02-03 19:27:59+00:00</w:t>
      </w:r>
      <w:r>
        <w:t xml:space="preserve">    </w:t>
      </w:r>
      <w:r>
        <w:rPr>
          <w:b/>
        </w:rPr>
        <w:t xml:space="preserve">DOI: </w:t>
      </w:r>
      <w:hyperlink r:id="rId527">
        <w:r>
          <w:rPr>
            <w:color w:val="1155CC"/>
            <w:u w:val="single"/>
          </w:rPr>
          <w:t>10.1021/acs.chemrev.5c00786</w:t>
        </w:r>
      </w:hyperlink>
    </w:p>
    <w:p>
      <w:pPr>
        <w:spacing w:before="0" w:after="120"/>
      </w:pPr>
      <w:r>
        <w:rPr>
          <w:b/>
        </w:rPr>
        <w:t xml:space="preserve">Notes: </w:t>
      </w:r>
      <w:r>
        <w:t>abstract_source=pubmed</w:t>
      </w:r>
    </w:p>
    <w:p>
      <w:pPr>
        <w:spacing w:before="0" w:after="80" w:lineRule="auto" w:line="276"/>
      </w:pPr>
      <w:r>
        <w:rPr>
          <w:b/>
        </w:rPr>
        <w:t xml:space="preserve">摘要（ZH）: </w:t>
      </w:r>
      <w:r>
        <w:t>矩阵辅助激光解吸/离子质谱仪(MALDI-MS)及其成像变体(MALDI-MS)是生物样本分析的关键分析工具,能够探测和直观地发现各种生物分子,而MALDI-MS/MSI的性能核心在于关键但往往是经验决定的矩阵选择,合适的矩阵不仅能提高离子化分析效率,而且能增强敏感度、盐度和总体适用性,而这些是特定化合物探测的关键,迄今为止,已成功发现和开发了总计467个矩阵,但只有少数这些矩阵得到了广泛利用,这有力地表明这一领域仍然有大量未开发的潜力。</w:t>
      </w:r>
    </w:p>
    <w:p>
      <w:pPr>
        <w:spacing w:before="0" w:after="200" w:lineRule="auto" w:line="276"/>
      </w:pPr>
      <w:r>
        <w:rPr>
          <w:b/>
        </w:rPr>
        <w:t xml:space="preserve">Abstract (EN): </w:t>
      </w:r>
      <w:r>
        <w:t>Matrix-assisted laser desorption/ionization mass spectrometry (MALDI-MS) and its imaging variant (MALDI-MSI) are pivotal analytical tools for biological sample analysis, allowing detection and visualization of diverse biomolecules. At the heart of MALDI-MS/MSI performance lies the crucial yet often empirically determined choice of matrix. A suitable matrix not only boosts analyte ionization efficiency but also enhances sensitivity, salt tolerance, and overall applicability, which are key for specific compound detection. To date, a cumulative total of 467 matrices have been successfully discovered and developed. However, merely a handful of them have achieved widespread utilization, which strongly suggests that there remains a substantial reservoir of untapped potential within this domain. This review offers a systematic and comprehensive overview of MALDI matrices over four decades (1985-present). It starts by outlining MALDI-MS analysis principles and procedures, providing a basis for understanding matrix functions. Then, matrices are systematically classified according to their features. We also spotlight recent matrix applications in MALDI-MS detection and imaging in proteomics, lipidomics, metabolomics, glycomics, nucleic acid analysis, and quantitative analysis. Finally, we chart future research directions, aiming to unlock the full potential of matrices in this dynamic field.</w:t>
      </w:r>
    </w:p>
    <w:p>
      <w:pPr>
        <w:spacing w:before="120" w:after="120"/>
      </w:pPr>
      <w:r>
        <w:rPr>
          <w:sz w:val="18"/>
        </w:rPr>
        <w:t>——————————————————————————————————————————————————————————————————————</w:t>
      </w:r>
    </w:p>
    <w:p>
      <w:pPr>
        <w:spacing w:before="160" w:after="40" w:line="240" w:lineRule="auto"/>
      </w:pPr>
      <w:r>
        <w:rPr>
          <w:b/>
        </w:rPr>
        <w:t xml:space="preserve">[325] </w:t>
      </w:r>
      <w:hyperlink r:id="rId528">
        <w:r>
          <w:rPr>
            <w:color w:val="1155CC"/>
            <w:u w:val="single"/>
          </w:rPr>
          <w:t>[ASAP] 用于可见光光光光光导光解的金属-离光矫形矫形体Sn3O4的计算和实验实现</w:t>
        </w:r>
      </w:hyperlink>
    </w:p>
    <w:p>
      <w:pPr>
        <w:spacing w:before="0" w:after="80"/>
      </w:pPr>
      <w:r>
        <w:rPr>
          <w:i/>
          <w:sz w:val="20"/>
        </w:rPr>
        <w:t>EN: [ASAP] Computational and Experimental Realization of Metal-Ion-Doped Orthorhombic Sn3O4 for Visible-Light-Active Photocatalysis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2026-02-03 19:35:29+00:00</w:t>
      </w:r>
      <w:r>
        <w:t xml:space="preserve">    </w:t>
      </w:r>
      <w:r>
        <w:rPr>
          <w:b/>
        </w:rPr>
        <w:t xml:space="preserve">DOI: </w:t>
      </w:r>
      <w:hyperlink r:id="rId529">
        <w:r>
          <w:rPr>
            <w:color w:val="1155CC"/>
            <w:u w:val="single"/>
          </w:rPr>
          <w:t>10.1021/jacs.5c15962</w:t>
        </w:r>
      </w:hyperlink>
    </w:p>
    <w:p>
      <w:pPr>
        <w:spacing w:before="0" w:after="120"/>
      </w:pPr>
      <w:r>
        <w:rPr>
          <w:b/>
        </w:rPr>
        <w:t xml:space="preserve">Notes: </w:t>
      </w:r>
      <w:r>
        <w:t>abstract_source=pubmed</w:t>
      </w:r>
    </w:p>
    <w:p>
      <w:pPr>
        <w:spacing w:before="0" w:after="80" w:lineRule="auto" w:line="276"/>
      </w:pPr>
      <w:r>
        <w:rPr>
          <w:b/>
        </w:rPr>
        <w:t xml:space="preserve">摘要（ZH）: </w:t>
      </w:r>
      <w:r>
        <w:t>矫形三丁四氧化三氮(Sn3O4)是一个新发现的多元体,由于其可见光吸收能力而引起极大关注。为了改善性能并拓宽基于正正反Sn3O4的材料空间,杂质剂量是一种很有希望的方法。在本研究中,我们利用机器学习的跨原子潜力(MLIP)计算,预测了稳定的刻度过正正反四氧化三丁二氮(Sn3O4)晶体。一些候选晶体,如boron(B)、铝(AL)、(Sr)和ytrium(Y)已经预测为正正正正复方形中稳定的单壳,而形成形态能量较低。根据这一预测,我们用热液方法合成了cation-doped Sn3O4 粉状样品。我们确认,根据MLIP预测,预计稳定下来的弧值可能是相似的。</w:t>
      </w:r>
    </w:p>
    <w:p>
      <w:pPr>
        <w:spacing w:before="0" w:after="200" w:lineRule="auto" w:line="276"/>
      </w:pPr>
      <w:r>
        <w:rPr>
          <w:b/>
        </w:rPr>
        <w:t xml:space="preserve">Abstract (EN): </w:t>
      </w:r>
      <w:r>
        <w:t>The orthorhombic tri-tin tetraoxide (Sn3O4) is a newly discovered polymorph and has attracted great attention due to its visible-light absorption capability. To improve performance and broaden the material space based on orthorhombic Sn3O4, impurity doping represents a promising approach. In this study, we predict stable cation-doped orthorhombic Sn3O4 crystals using machine learning interatomic potential (MLIP) calculations. Several candidate cations such as boron (B), aluminum (Al), strontium (Sr), and yttrium (Y) have been predicted as stable dopants in orthorhombic Sn3O4 with low Gibbs energies of formation. Based on this prediction, we synthesized cation-doped Sn3O4 powder samples using a hydrothermal method. We confirmed that the cations predicted to be stable by the MLIP could be synthesized into the orthorhombic powder phase. Among the samples, the Al-doped Sn3O4 powder exhibited superior photocatalytic hydrogen production activity under visible light. Furthermore, we fabricated thin films of Al-doped Sn3O4 and optimized the doping amount of Al to achieve high photocatalytic activity. The 5% Al-doped Sn3O4 exhibited the highest activity owing to its high crystallinity and optimal morphology for better separation of photogenerated carriers. The Al-doped orthorhombic Sn3O4 is promising for application as a visible light-active photocatalyst.</w:t>
      </w:r>
    </w:p>
    <w:p>
      <w:pPr>
        <w:spacing w:before="120" w:after="120"/>
      </w:pPr>
      <w:r>
        <w:rPr>
          <w:sz w:val="18"/>
        </w:rPr>
        <w:t>——————————————————————————————————————————————————————————————————————</w:t>
      </w:r>
    </w:p>
    <w:p>
      <w:pPr>
        <w:spacing w:before="160" w:after="40" w:line="240" w:lineRule="auto"/>
      </w:pPr>
      <w:r>
        <w:rPr>
          <w:b/>
        </w:rPr>
        <w:t xml:space="preserve">[326] </w:t>
      </w:r>
      <w:hyperlink r:id="rId530">
        <w:r>
          <w:rPr>
            <w:color w:val="1155CC"/>
            <w:u w:val="single"/>
          </w:rPr>
          <w:t>[ASAP] 铜(I)-N-热环化碳乙烯-碳酸</w:t>
        </w:r>
      </w:hyperlink>
    </w:p>
    <w:p>
      <w:pPr>
        <w:spacing w:before="0" w:after="80"/>
      </w:pPr>
      <w:r>
        <w:rPr>
          <w:i/>
          <w:sz w:val="20"/>
        </w:rPr>
        <w:t>EN: [ASAP] Copper(I)-N-Heterocyclic Carbene-Catalyzed Enantioselective Conjugate Allylation of α,β-Unsaturated Esters</w:t>
      </w:r>
    </w:p>
    <w:p>
      <w:pPr>
        <w:spacing w:before="0" w:after="120"/>
      </w:pPr>
      <w:r>
        <w:rPr>
          <w:b/>
        </w:rPr>
        <w:t xml:space="preserve">Source: </w:t>
      </w:r>
      <w:r>
        <w:t>Journal of the American Chemical Society: Latest Articles (ACS Publications)</w:t>
      </w:r>
      <w:r>
        <w:t xml:space="preserve">    </w:t>
      </w:r>
      <w:r>
        <w:rPr>
          <w:b/>
        </w:rPr>
        <w:t xml:space="preserve">Pub date: </w:t>
      </w:r>
      <w:r>
        <w:t>2026-02-03 19:46:33+00:00</w:t>
      </w:r>
      <w:r>
        <w:t xml:space="preserve">    </w:t>
      </w:r>
      <w:r>
        <w:rPr>
          <w:b/>
        </w:rPr>
        <w:t xml:space="preserve">DOI: </w:t>
      </w:r>
      <w:hyperlink r:id="rId531">
        <w:r>
          <w:rPr>
            <w:color w:val="1155CC"/>
            <w:u w:val="single"/>
          </w:rPr>
          <w:t>10.1021/jacs.5c22646</w:t>
        </w:r>
      </w:hyperlink>
    </w:p>
    <w:p>
      <w:pPr>
        <w:spacing w:before="0" w:after="120"/>
      </w:pPr>
      <w:r>
        <w:rPr>
          <w:b/>
        </w:rPr>
        <w:t xml:space="preserve">Notes: </w:t>
      </w:r>
      <w:r>
        <w:t>abstract_source=pubmed</w:t>
      </w:r>
    </w:p>
    <w:p>
      <w:pPr>
        <w:spacing w:before="0" w:after="80" w:lineRule="auto" w:line="276"/>
      </w:pPr>
      <w:r>
        <w:rPr>
          <w:b/>
        </w:rPr>
        <w:t xml:space="preserve">摘要（ZH）: </w:t>
      </w:r>
      <w:r>
        <w:t>Enantionenried β-超饱和碳基化合物是一重要种类的多功能手性构件,可以转化成各种中间体,用于合成许多生物活性天然产品。催化性对应选择性选择性同源合金添加简单的α,β-不饱和酯酯是获取这种母体的最有效方法之一。然而,这种反应在合成化学中长期没有实现。1,2,2,2,2,2,1,1,1,1,1,1,1,1,2,3,3,3,3,3,3,6,6,6,6,6,6,6,6,6,6,6,6,6,6,6,6,6,6,6,6,6,6,6,6,6,6,6,6,6,6,6,6,6,6,6,6,6,6,6,6,6,6,6,6,6,6,6,6,6,6,6,6,6,6,6,6,6,6,6,6,6,6,7-</w:t>
      </w:r>
    </w:p>
    <w:p>
      <w:pPr>
        <w:spacing w:before="0" w:after="200" w:lineRule="auto" w:line="276"/>
      </w:pPr>
      <w:r>
        <w:rPr>
          <w:b/>
        </w:rPr>
        <w:t xml:space="preserve">Abstract (EN): </w:t>
      </w:r>
      <w:r>
        <w:t>Enantioenriched β-allyl carbonyl compounds constitute an important class of versatile chiral building blocks that can be transformed into a variety of intermediates and utilized in the synthesis of numerous biologically active natural products. Catalytic enantioselective conjugate allyl addition to simple α,β-unsaturated esters provides one of the most efficient approaches for access to such moieties. However, this reaction has not been accomplished for a long time in synthetic chemistry. The natural tendency for 1,2-addition or the formation of stable π-allyl complexes and reluctance to 1,1-reductive elimination make such a reaction very challenging. Herein, by means of copper(I)-N-heterocyclic carbene (NHC) catalysis, such a problem is successfully addressed, and a broad range of simple α,β-unsaturated esters undergo conjugate allylation with commercially available allylBpin in moderate to high yields with excellent regioselectivity and high enantioselectivity. The hydroxyl group in the NHCs was found to be indispensable for both a high yield and high enantioselectivity. Based on control experiments and DFT calculations, a redox reaction pathway involving reversible oxidative addition of allyl cuprate to simple α,β-unsaturated esters, isomerization of Cu(III) π-allyl species, and unique 3,3'-allyl-allyl reductive elimination is proposed rationally. Finally, the synthetic utility of the present methodology is showcased by its application in efficient asymmetric formal syntheses of three bioactive natural products and transformations of the allylation product.</w:t>
      </w:r>
    </w:p>
    <w:p>
      <w:pPr>
        <w:spacing w:before="120" w:after="120"/>
      </w:pPr>
      <w:r>
        <w:rPr>
          <w:sz w:val="18"/>
        </w:rPr>
        <w:t>——————————————————————————————————————————————————————————————————————</w:t>
      </w:r>
    </w:p>
    <w:p>
      <w:pPr>
        <w:spacing w:before="160" w:after="40" w:line="240" w:lineRule="auto"/>
      </w:pPr>
      <w:r>
        <w:rPr>
          <w:b/>
        </w:rPr>
        <w:t xml:space="preserve">[327] </w:t>
      </w:r>
      <w:hyperlink r:id="rId532">
        <w:r>
          <w:rPr>
            <w:color w:val="1155CC"/>
            <w:u w:val="single"/>
          </w:rPr>
          <w:t>[ASAP] 深电离解溶剂的直接电电效应</w:t>
        </w:r>
      </w:hyperlink>
    </w:p>
    <w:p>
      <w:pPr>
        <w:spacing w:before="0" w:after="80"/>
      </w:pPr>
      <w:r>
        <w:rPr>
          <w:i/>
          <w:sz w:val="20"/>
        </w:rPr>
        <w:t>EN: [ASAP] The Direct Piezoelectric Effect in Deep Eutectic Solvents</w:t>
      </w:r>
    </w:p>
    <w:p>
      <w:pPr>
        <w:spacing w:before="0" w:after="120"/>
      </w:pPr>
      <w:r>
        <w:rPr>
          <w:b/>
        </w:rPr>
        <w:t xml:space="preserve">Source: </w:t>
      </w:r>
      <w:r>
        <w:t>Journal of the American Chemical Society: Latest Articles (ACS Publications)</w:t>
      </w:r>
      <w:r>
        <w:t xml:space="preserve">    </w:t>
      </w:r>
      <w:r>
        <w:rPr>
          <w:b/>
        </w:rPr>
        <w:t xml:space="preserve">Pub date: </w:t>
      </w:r>
      <w:r>
        <w:t>2026-02-03 19:58:11+00:00</w:t>
      </w:r>
      <w:r>
        <w:t xml:space="preserve">    </w:t>
      </w:r>
      <w:r>
        <w:rPr>
          <w:b/>
        </w:rPr>
        <w:t xml:space="preserve">DOI: </w:t>
      </w:r>
      <w:hyperlink r:id="rId533">
        <w:r>
          <w:rPr>
            <w:color w:val="1155CC"/>
            <w:u w:val="single"/>
          </w:rPr>
          <w:t>10.1021/jacs.5c21126</w:t>
        </w:r>
      </w:hyperlink>
    </w:p>
    <w:p>
      <w:pPr>
        <w:spacing w:before="0" w:after="120"/>
      </w:pPr>
      <w:r>
        <w:rPr>
          <w:b/>
        </w:rPr>
        <w:t xml:space="preserve">Notes: </w:t>
      </w:r>
      <w:r>
        <w:t>abstract_source=pubmed</w:t>
      </w:r>
    </w:p>
    <w:p>
      <w:pPr>
        <w:spacing w:before="0" w:after="80" w:lineRule="auto" w:line="276"/>
      </w:pPr>
      <w:r>
        <w:rPr>
          <w:b/>
        </w:rPr>
        <w:t xml:space="preserve">摘要（ZH）: </w:t>
      </w:r>
      <w:r>
        <w:t>我们报告四种深电压溶剂的直接电压反应:胆碱氯化物:乙烯甘醇(ChCl:EG)、胆碱氯化物:甘油氯化物(ChCl:Gly)、胆碱氯化物:1,3-丙烷二醇(ChCl:PD)和胆碱氯化物:尿(ChCl:urea)。测量电流作为应用力的函数产生线性关系,由此确定电压系数(d33)。以前在室内温度异丙醇(RTILs)中观察到过这种影响,这可归因于压力引起的液态至晶状固态阶段的转变。在DES中观察到这种现象是史无前所未见的,并强调了其普遍性。这些DES中的 d33 强度与RTILs相似,表明通过c调节电压反应的潜力。</w:t>
      </w:r>
    </w:p>
    <w:p>
      <w:pPr>
        <w:spacing w:before="0" w:after="200" w:lineRule="auto" w:line="276"/>
      </w:pPr>
      <w:r>
        <w:rPr>
          <w:b/>
        </w:rPr>
        <w:t xml:space="preserve">Abstract (EN): </w:t>
      </w:r>
      <w:r>
        <w:t>We report the direct piezoelectric response of four deep eutectic solvents (DESs): choline chloride:ethylene glycol (ChCl:EG), choline chloride:glycerol (ChCl:Gly), choline chloride:1,3-propanediol (ChCl:PD), and choline chloride:urea (ChCl:urea). Measurement of current as a function of applied force produces a linear relationship from which the piezoelectric coefficient (d33) was determined. The piezoelectric effect has previously been observed in room-temperature ionic liquids (RTILs), attributable to a pressure-induced liquid-to-crystalline solid phase transition. The observation of this phenomenon in DESs is unprecedented and underscores its generality. The magnitude of d33 in these DESs is similar to that for RTILs, suggesting the potential to tune the piezoelectric response through careful selection of the DES constituents and constituent ratios.</w:t>
      </w:r>
    </w:p>
    <w:p>
      <w:pPr>
        <w:spacing w:before="120" w:after="120"/>
      </w:pPr>
      <w:r>
        <w:rPr>
          <w:sz w:val="18"/>
        </w:rPr>
        <w:t>——————————————————————————————————————————————————————————————————————</w:t>
      </w:r>
    </w:p>
    <w:p>
      <w:pPr>
        <w:spacing w:before="160" w:after="40" w:line="240" w:lineRule="auto"/>
      </w:pPr>
      <w:r>
        <w:rPr>
          <w:b/>
        </w:rPr>
        <w:t xml:space="preserve">[328] </w:t>
      </w:r>
      <w:hyperlink r:id="rId534">
        <w:r>
          <w:rPr>
            <w:color w:val="1155CC"/>
            <w:u w:val="single"/>
          </w:rPr>
          <w:t>能源过渡、污染、循环利用和生态足迹之间的相互作用:欧洲国家的经验教训</w:t>
        </w:r>
      </w:hyperlink>
    </w:p>
    <w:p>
      <w:pPr>
        <w:spacing w:before="0" w:after="80"/>
      </w:pPr>
      <w:r>
        <w:rPr>
          <w:i/>
          <w:sz w:val="20"/>
        </w:rPr>
        <w:t>EN: The interaction between energy transition, pollution, recycling, and ecological footprint: Lessons from European countries</w:t>
      </w:r>
    </w:p>
    <w:p>
      <w:pPr>
        <w:spacing w:before="0" w:after="120"/>
      </w:pPr>
      <w:r>
        <w:rPr>
          <w:b/>
        </w:rPr>
        <w:t xml:space="preserve">Source: </w:t>
      </w:r>
      <w:r>
        <w:t>ScienceDirect Publication: Energy Policy</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[329] </w:t>
      </w:r>
      <w:hyperlink r:id="rId535">
        <w:r>
          <w:rPr>
            <w:color w:val="1155CC"/>
            <w:u w:val="single"/>
          </w:rPr>
          <w:t>重新审视低碳过渡工具选择:碳税、排放量交易和资源税</w:t>
        </w:r>
      </w:hyperlink>
    </w:p>
    <w:p>
      <w:pPr>
        <w:spacing w:before="0" w:after="80"/>
      </w:pPr>
      <w:r>
        <w:rPr>
          <w:i/>
          <w:sz w:val="20"/>
        </w:rPr>
        <w:t>EN: Revisiting instrument choices for low-carbon transitions: Carbon tax, emission trading, and resource tax</w:t>
      </w:r>
    </w:p>
    <w:p>
      <w:pPr>
        <w:spacing w:before="0" w:after="120"/>
      </w:pPr>
      <w:r>
        <w:rPr>
          <w:b/>
        </w:rPr>
        <w:t xml:space="preserve">Source: </w:t>
      </w:r>
      <w:r>
        <w:t>ScienceDirect Publication: Energy Policy</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[330] </w:t>
      </w:r>
      <w:hyperlink r:id="rId536">
        <w:r>
          <w:rPr>
            <w:color w:val="1155CC"/>
            <w:u w:val="single"/>
          </w:rPr>
          <w:t>已激活的ATF6α是一种肝肿瘤驱动器,限制免疫素素。</w:t>
        </w:r>
      </w:hyperlink>
    </w:p>
    <w:p>
      <w:pPr>
        <w:spacing w:before="0" w:after="80"/>
      </w:pPr>
      <w:r>
        <w:rPr>
          <w:i/>
          <w:sz w:val="20"/>
        </w:rPr>
        <w:t>EN: Activated ATF6α is a hepatic tumour driver restricting immunosurveillance</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肝细胞癌是癌症相关死亡率增长最快的原因,而且治疗方法有限。 虽然HCC涉及内分泌内心内心肌外膜压力和蛋白反应(UPR),但普遍定期审议传感器ATF6α的参与仍不清楚2。 这里我们证明ATF6α作为抗逆转录酶诱导肿瘤驱动器和代谢总监管者的作用,限制HCC的癌症免疫素素,与其作为适应ER精神压力的适应性反应的特征明确的作用不同。 3 人体HCC的ATF6α活化与一种具有攻击性的肿瘤型有明显关联,其特点是病人存活率降低、肿瘤发育增强和局部免疫抑制。</w:t>
      </w:r>
    </w:p>
    <w:p>
      <w:pPr>
        <w:spacing w:before="0" w:after="200" w:lineRule="auto" w:line="276"/>
      </w:pPr>
      <w:r>
        <w:rPr>
          <w:b/>
        </w:rPr>
        <w:t xml:space="preserve">Abstract (EN): </w:t>
      </w:r>
      <w:r>
        <w:t>Hepatocellular carcinoma (HCC) is the fastest growing cause of cancer-related mortality and there are limited therapies1. Although endoplasmic reticulum (ER) stress and the unfolded protein response (UPR) are implicated in HCC, the involvement of the UPR transducer ATF6α remains unclear2. Here we demonstrate the function of ATF6α as an ER-stress-inducing tumour driver and metabolic master regulator restricting cancer immunosurveillance for HCC, in contrast to its well-characterized role as an adaptive response to ER stress3. ATF6α activation in human HCC is significantly correlated with an aggressive tumour phenotype, characterized by reduced patient survival, enhanced tumour progression and local immunosuppression. Hepatocyte-specific ATF6α activation in mice induced progressive hepatitis with ER stress, immunosuppression and hepatocyte proliferation. Concomitantly, activated ATF6α increased glycolysis and directly repressed the gluconeogenic enzyme FBP1 by binding to gene regulatory elements. Restoring FBP1 expression limited ATF6α-activation-related pathologies. Prolonged ATF6α activation in hepatocytes triggered hepatocarcinogenesis, intratumoural T cell infiltration and nutrient-deprived immune exhaustion. Immune checkpoint blockade (ICB)4 restored immunosurveillance and reduced HCC. Consistently, patients with HCC who achieved a complete response to immunotherapy displayed significantly increased ATF6α activation compared with those with a weaker response. Targeting Atf6 through germline ablation, hepatocyte-specific ablation or therapeutic hepatocyte delivery of antisense oligonucleotides dampened HCC in preclinical liver cancer models. Thus, prolonged ATF6α activation drives ER stress, leading to glycolysis-dependent immunosuppression in liver cancer and sensitizing to ICB. Our findings suggest that persistently activated ATF6α is a tumour driver, a potential stratification marker for ICB response and a therapeutic target for HCC.</w:t>
      </w:r>
    </w:p>
    <w:p>
      <w:pPr>
        <w:spacing w:before="120" w:after="120"/>
      </w:pPr>
      <w:r>
        <w:rPr>
          <w:sz w:val="18"/>
        </w:rPr>
        <w:t>——————————————————————————————————————————————————————————————————————</w:t>
      </w:r>
    </w:p>
    <w:p>
      <w:pPr>
        <w:spacing w:before="160" w:after="40" w:line="240" w:lineRule="auto"/>
      </w:pPr>
      <w:r>
        <w:rPr>
          <w:b/>
        </w:rPr>
        <w:t xml:space="preserve">[331] </w:t>
      </w:r>
      <w:hyperlink r:id="rId537">
        <w:r>
          <w:rPr>
            <w:color w:val="1155CC"/>
            <w:u w:val="single"/>
          </w:rPr>
          <w:t>对太阳能光伏光伏-热光伏伏伏变级联系统进行实验研究,集中频谱分割和重塑</w:t>
        </w:r>
      </w:hyperlink>
    </w:p>
    <w:p>
      <w:pPr>
        <w:spacing w:before="0" w:after="80"/>
      </w:pPr>
      <w:r>
        <w:rPr>
          <w:i/>
          <w:sz w:val="20"/>
        </w:rPr>
        <w:t>EN: Experimental investigation of a solar photovoltaic-thermophotovoltaic cascade system with concentrating spectrum splitting and reshaping</w:t>
      </w:r>
    </w:p>
    <w:p>
      <w:pPr>
        <w:spacing w:before="0" w:after="120"/>
      </w:pPr>
      <w:r>
        <w:rPr>
          <w:b/>
        </w:rPr>
        <w:t xml:space="preserve">Source: </w:t>
      </w:r>
      <w:r>
        <w:t>ScienceDirect Publication: Applied Energy</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[332] </w:t>
      </w:r>
      <w:hyperlink r:id="rId538">
        <w:r>
          <w:rPr>
            <w:color w:val="1155CC"/>
            <w:u w:val="single"/>
          </w:rPr>
          <w:t>使用原子点数阵列进行大型模拟量子模拟</w:t>
        </w:r>
      </w:hyperlink>
    </w:p>
    <w:p>
      <w:pPr>
        <w:spacing w:before="0" w:after="80"/>
      </w:pPr>
      <w:r>
        <w:rPr>
          <w:i/>
          <w:sz w:val="20"/>
        </w:rPr>
        <w:t>EN: Large-scale analogue quantum simulation using atom dot arrays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在追求实际量子优势1 时,模拟量子量子系统为模拟量子材料的物理、2,3,4,3,3,来自平衡5,5,6或互动引起的局部化的量子系统提供了极冷原子8,9,9,10,11,12,超导电路13,14,15和扭曲的范德尔华材料16,17,18,19。 然而,迄今为止,这些平台在低温条件下难以模拟大规模强烈互动的大型风速系统,在低温条件下,电子关系主宰着材料特性,数字模拟在准确性和范围20,21方面仍然受到限制。</w:t>
      </w:r>
    </w:p>
    <w:p>
      <w:pPr>
        <w:spacing w:before="0" w:after="200" w:lineRule="auto" w:line="276"/>
      </w:pPr>
      <w:r>
        <w:rPr>
          <w:b/>
        </w:rPr>
        <w:t xml:space="preserve">Abstract (EN): </w:t>
      </w:r>
      <w:r>
        <w:t>In pursuit of a practical quantum advantage1, analogue quantum systems provide an invaluable way to simulate the physics of quantum materials2,3,4, quantum systems out of equilibrium5,6 or interaction-induced localization7. Notable recent progress to realize such systems has been achieved in ultracold atoms8,9,10,11,12, superconducting circuits13,14,15 and twisted van der Waals materials16,17,18,19. However, so far, these platforms have struggled to simulate large-scale strongly interacting fermionic systems at low temperatures, at which electronic correlations dominate materials properties and numerical simulations remain restricted in accuracy and scope20,21. Here we demonstrate the realization of a new platform consisting of large-scale 2D arrays of sub-nanometre precision-engineered atom-based quantum dots (15,000 sites) to simulate strongly interacting, low-temperature physics. By observing a metal–insulator (MI) transition on a 2D square lattice of atom-based quantum dots, we demonstrate independent and precise control of the on-site interaction U and tunnelling t. Magneto-transport measurements further indicate the formation of an insulating state driven by Mott–Hubbard/Anderson physics and promising signatures of correlated electron physics. These precision-engineered analogue quantum simulators provide a unique platform to simulate quantum materials on arbitrary 2D lattices and to explore many unanswered questions in the formation of quantum magnetism, interacting topological quantum matter and unconventional superconductivity.</w:t>
      </w:r>
    </w:p>
    <w:p>
      <w:pPr>
        <w:spacing w:before="120" w:after="120"/>
      </w:pPr>
      <w:r>
        <w:rPr>
          <w:sz w:val="18"/>
        </w:rPr>
        <w:t>——————————————————————————————————————————————————————————————————————</w:t>
      </w:r>
    </w:p>
    <w:p>
      <w:pPr>
        <w:spacing w:before="160" w:after="40" w:line="240" w:lineRule="auto"/>
      </w:pPr>
      <w:r>
        <w:rPr>
          <w:b/>
        </w:rPr>
        <w:t xml:space="preserve">[333] </w:t>
      </w:r>
      <w:hyperlink r:id="rId539">
        <w:r>
          <w:rPr>
            <w:color w:val="1155CC"/>
            <w:u w:val="single"/>
          </w:rPr>
          <w:t>ZFTA-REELA 肾上腺瘤使突变驱动聚变表达式变异</w:t>
        </w:r>
      </w:hyperlink>
    </w:p>
    <w:p>
      <w:pPr>
        <w:spacing w:before="0" w:after="80"/>
      </w:pPr>
      <w:r>
        <w:rPr>
          <w:i/>
          <w:sz w:val="20"/>
        </w:rPr>
        <w:t>EN: ZFTA–RELA ependymomas make itaconate to epigenetically drive fusion expression</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ZFTA-RELA+肾上腺瘤是一种恶性脑肿瘤,其定义是,在甲型铬改造剂ZFTA和NF-NF-B调解者RELA1之间形成的聚合物。 我们在这里表明,ZFTA-RELA+细胞生产着一种环状体,一种关键的宏观相关免疫性肺膜代谢性代谢性代谢性代氨基酶1(ACOD1,又称IRG1),但肿瘤细胞产生的环状体及其肿瘤-内分泌作用并没有很好地确立。ACOD1以ZFTA-RELA独立的方式得到监管。从功能上来说,它能够形成一种对保持致病性ZFTA-RELA水平至关重要的进食前向系统。Itaconate通过抑制H3K4甲基酶KDM5.ZFTA-RELA+肿瘤来补充H3K4M3的激活H4ME3。</w:t>
      </w:r>
    </w:p>
    <w:p>
      <w:pPr>
        <w:spacing w:before="0" w:after="200" w:lineRule="auto" w:line="276"/>
      </w:pPr>
      <w:r>
        <w:rPr>
          <w:b/>
        </w:rPr>
        <w:t xml:space="preserve">Abstract (EN): </w:t>
      </w:r>
      <w:r>
        <w:t>ZFTA–RELA+ ependymomas are malignant brain tumours defined by fusions formed between the putative chromatin remodeller ZFTA and the NF-κB mediator RELA1. Here we show that ZFTA–RELA+ cells produce itaconate, a key macrophage-associated immunomodulatory metabolite2. Itaconate is generated by cis-aconitate decarboxylase 1 (ACOD1; also known as IRG1). However, the production of itaconate by tumour cells and its tumour-intrinsic role are not well established. ACOD1 is upregulated in a ZFTA–RELA-dependent manner. Functionally, itaconate enables a feed-forward system that is crucial for the maintenance of pathogenic ZFTA–RELA levels. Itaconate epigenetically activates ZFTA–RELA transcription by enriching for activating H3K4me3 via inhibition of the H3K4 demethylase KDM5. ZFTA–RELA+ tumours enhance glutamine metabolism to supply carbons for itaconate synthesis. Antagonism of ACOD1 or glutamine metabolism reduces pathogenic ZFTA–RELA levels and is potently therapeutic in multiple in vivo models. Mechanistically, ZFTA–RELA epigenetically suppresses PTEN expression to upregulate PI3K–mTOR signalling, a known driver of glutaminolysis. Finally, suppression of ACOD1 or a combination of glutamine antagonism with PI3K–mTOR inhibition abrogates spinal metastasis. Our data demonstrate that ZFTA–RELA+ ependymomas subvert a macrophage-like itaconate metabolic pathway to maintain expression of the ZFTA–RELA driver, which implicates itaconate as a candidate oncometabolite. Taken together, our results position itaconate upregulation as a previously unappreciated driver of ZFTA–RELA+ ependymomas. Our work has implications for future drug development to reduce pathogenic ZFTA–RELA expression for this brain tumour, and will advance our understanding of oncometabolites as a new class of therapeutic dependencies in cancers.</w:t>
      </w:r>
    </w:p>
    <w:p>
      <w:pPr>
        <w:spacing w:before="120" w:after="120"/>
      </w:pPr>
      <w:r>
        <w:rPr>
          <w:sz w:val="18"/>
        </w:rPr>
        <w:t>——————————————————————————————————————————————————————————————————————</w:t>
      </w:r>
    </w:p>
    <w:p>
      <w:pPr>
        <w:spacing w:before="160" w:after="40" w:line="240" w:lineRule="auto"/>
      </w:pPr>
      <w:r>
        <w:rPr>
          <w:b/>
        </w:rPr>
        <w:t xml:space="preserve">[334] </w:t>
      </w:r>
      <w:hyperlink r:id="rId540">
        <w:r>
          <w:rPr>
            <w:color w:val="1155CC"/>
            <w:u w:val="single"/>
          </w:rPr>
          <w:t>测量QCD禁闭期间夸克之间的旋转相关关系</w:t>
        </w:r>
      </w:hyperlink>
    </w:p>
    <w:p>
      <w:pPr>
        <w:spacing w:before="0" w:after="80"/>
      </w:pPr>
      <w:r>
        <w:rPr>
          <w:i/>
          <w:sz w:val="20"/>
        </w:rPr>
        <w:t>EN: Measuring spin correlation between quarks during QCD confinement</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真空现在被理解为具有丰富和复杂的结构,其特点是能源领域1 波动,以及虚拟夸克-正对方对对方的凝结。 近似手性对称性自发破碎2 以非蒸发的夸克凝结 qbar{qrangle为标志,通过诸如当量子3 等地形学上非三角测量仪配置动态地产生。 将手性对称性断裂与夸克封闭4 相关的质量生成联系起来的精确机制,仍然是量子铬动力学(QCD)中一个深刻的开放问题,这是强烈互动的基本理论。 高能质子-质子碰撞可以将虚拟夸克-对立方方体对方体的对子从随后被隔离成质的真空中解放出来,而这种对立体的对立体则具有其特性。</w:t>
      </w:r>
    </w:p>
    <w:p>
      <w:pPr>
        <w:spacing w:before="0" w:after="200" w:lineRule="auto" w:line="276"/>
      </w:pPr>
      <w:r>
        <w:rPr>
          <w:b/>
        </w:rPr>
        <w:t xml:space="preserve">Abstract (EN): </w:t>
      </w:r>
      <w:r>
        <w:t>The vacuum is now understood to have a rich and complex structure, characterized by fluctuating energy fields1 and a condensate of virtual quark–antiquark pairs. The spontaneous breaking of the approximate chiral symmetry2, signalled by the nonvanishing quark condensate \langle q\bar{q}\rangle , is dynamically generated through topologically nontrivial gauge configurations such as instantons3. The precise mechanism linking the chiral symmetry breaking to the mass generation associated with quark confinement4 remains a profound open question in quantum chromodynamics (QCD)—the fundamental theory of strong interaction. High-energy proton–proton collisions could liberate virtual quark–antiquark pairs from the vacuum that subsequently undergo confinement to form hadrons, whose properties could serve as probes into QCD confinement and the quark condensate. Here we report evidence of spin correlations in \Lambda \bar{\Lambda } hyperon pairs inherited from spin-correlated strange quark–antiquark virtual pairs. Measurements by the STAR experiment at the Relativistic Heavy Ion Collider (RHIC) at Brookhaven National Laboratory reveal a relative polarization signal of (18 ± 4)% that links the virtual spin-correlated quark pairs from the QCD vacuum to their final-state hadron counterparts. Crucially, this correlation vanishes when the hyperon pairs are widely separated in angle, consistent with the decoherence of the quantum system. Our findings provide a new experimental model for exploring the dynamics and interplay of quark confinement and entanglement.</w:t>
      </w:r>
    </w:p>
    <w:p>
      <w:pPr>
        <w:spacing w:before="120" w:after="120"/>
      </w:pPr>
      <w:r>
        <w:rPr>
          <w:sz w:val="18"/>
        </w:rPr>
        <w:t>——————————————————————————————————————————————————————————————————————</w:t>
      </w:r>
    </w:p>
    <w:p>
      <w:pPr>
        <w:spacing w:before="160" w:after="40" w:line="240" w:lineRule="auto"/>
      </w:pPr>
      <w:r>
        <w:rPr>
          <w:b/>
        </w:rPr>
        <w:t xml:space="preserve">[335] </w:t>
      </w:r>
      <w:hyperlink r:id="rId541">
        <w:r>
          <w:rPr>
            <w:color w:val="1155CC"/>
            <w:u w:val="single"/>
          </w:rPr>
          <w:t>具有参数估计优化及其在风力预报中应用的新型非线性灰色模型</w:t>
        </w:r>
      </w:hyperlink>
    </w:p>
    <w:p>
      <w:pPr>
        <w:spacing w:before="0" w:after="80"/>
      </w:pPr>
      <w:r>
        <w:rPr>
          <w:i/>
          <w:sz w:val="20"/>
        </w:rPr>
        <w:t>EN: A novel nonlinear grey model with parameter estimation optimization and its application in wind power forecasting</w:t>
      </w:r>
    </w:p>
    <w:p>
      <w:pPr>
        <w:spacing w:before="0" w:after="120"/>
      </w:pPr>
      <w:r>
        <w:rPr>
          <w:b/>
        </w:rPr>
        <w:t xml:space="preserve">Source: </w:t>
      </w:r>
      <w:r>
        <w:t>ScienceDirect Publication: Applied Energy</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[336] </w:t>
      </w:r>
      <w:hyperlink r:id="rId542">
        <w:r>
          <w:rPr>
            <w:color w:val="1155CC"/>
            <w:u w:val="single"/>
          </w:rPr>
          <w:t>用于减少电化学CO2的坦迪姆土结构:从混合原子场点到电解器同步</w:t>
        </w:r>
      </w:hyperlink>
    </w:p>
    <w:p>
      <w:pPr>
        <w:spacing w:before="0" w:after="80"/>
      </w:pPr>
      <w:r>
        <w:rPr>
          <w:i/>
          <w:sz w:val="20"/>
        </w:rPr>
        <w:t>EN: Tandem architectures for electrochemical CO2 reduction: from coupled atomic sites to tandem electrolysers</w:t>
      </w:r>
    </w:p>
    <w:p>
      <w:pPr>
        <w:spacing w:before="0" w:after="120"/>
      </w:pPr>
      <w:r>
        <w:rPr>
          <w:b/>
        </w:rPr>
        <w:t xml:space="preserve">Source: </w:t>
      </w:r>
      <w:r>
        <w:t>Nature Nanotechnology</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本审查报告从一个角度介绍了用于减少二氧化碳电化学的同步催化计划(CO2),我们界定和分类了迄今为止所追求的微型和宏观地点以及细胞同步概念,并提供了与非潮湿系统进行严格评估和性能比较的批判性评估和比较。我们的分析表明,与二氧化碳-二氟化铜或非潮湿系统相比,协同方法似乎总体上改进了对氧酸盐的选择性。然而,在乙烯生产方面,双轨方法通常低于非潮湿方法。由于材料复杂性降低,并且有可能对CO-和CO-C-C-C-C-C-C-C-C-C-C-C-C-C-C-C-C-C-C-C-C-C-C-C-C-C-C-C-C-C-C-C-C-C-C-C-C-C-C-C-C-C-C-C-C-C-C-C-C-C-C-C-C-C-C-C-C-C-C-C-C-C-C-C-C-C-C-C-C</w:t>
      </w:r>
    </w:p>
    <w:p>
      <w:pPr>
        <w:spacing w:before="0" w:after="200" w:lineRule="auto" w:line="276"/>
      </w:pPr>
      <w:r>
        <w:rPr>
          <w:b/>
        </w:rPr>
        <w:t xml:space="preserve">Abstract (EN): </w:t>
      </w:r>
      <w:r>
        <w:t>This Review provides a perspective on tandem catalysis schemes applied to the electrochemical reduction of carbon dioxide (CO2). We define and classify microscopic and macroscopic site and cell tandem concepts pursued so far and provide a critical assessment and performance comparison against non-tandem systems. Our analysis demonstrates that tandem approaches generally seem to improve the selectivity for oxygenates compared with CO2-fed copper-based or non-tandem systems. However, tandem approaches are typically inferior in terms of ethylene production compared with non-tandem approaches. The tandem electrolyser concept seems to be the most promising tandem concept owing to the reduced materials complexity and possibility of individual tuning of microenvironments for the CO-producing and CO–CO-coupling catalytic phases. We conclude our Review by addressing key remaining challenges and promising future research directions in the field of tandem CO2 electrocatalysis.</w:t>
      </w:r>
    </w:p>
    <w:p>
      <w:pPr>
        <w:spacing w:before="120" w:after="120"/>
      </w:pPr>
      <w:r>
        <w:rPr>
          <w:sz w:val="18"/>
        </w:rPr>
        <w:t>——————————————————————————————————————————————————————————————————————</w:t>
      </w:r>
    </w:p>
    <w:p>
      <w:pPr>
        <w:spacing w:before="160" w:after="40" w:line="240" w:lineRule="auto"/>
      </w:pPr>
      <w:r>
        <w:rPr>
          <w:b/>
        </w:rPr>
        <w:t xml:space="preserve">[337] </w:t>
      </w:r>
      <w:hyperlink r:id="rId543">
        <w:r>
          <w:rPr>
            <w:color w:val="1155CC"/>
            <w:u w:val="single"/>
          </w:rPr>
          <w:t>纳米对接复合固态电解解液</w:t>
        </w:r>
      </w:hyperlink>
    </w:p>
    <w:p>
      <w:pPr>
        <w:spacing w:before="0" w:after="80"/>
      </w:pPr>
      <w:r>
        <w:rPr>
          <w:i/>
          <w:sz w:val="20"/>
        </w:rPr>
        <w:t>EN: Nano-aligning composite solid electrolytes</w:t>
      </w:r>
    </w:p>
    <w:p>
      <w:pPr>
        <w:spacing w:before="0" w:after="120"/>
      </w:pPr>
      <w:r>
        <w:rPr>
          <w:b/>
        </w:rPr>
        <w:t xml:space="preserve">Source: </w:t>
      </w:r>
      <w:r>
        <w:t>Nature Nanotechnology</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[338] </w:t>
      </w:r>
      <w:hyperlink r:id="rId544">
        <w:r>
          <w:rPr>
            <w:color w:val="1155CC"/>
            <w:u w:val="single"/>
          </w:rPr>
          <w:t>稳定红氧化物流动电池,通过抑制与草原和碘催化剂的侧面反应,稳定红氧化物流动电池</w:t>
        </w:r>
      </w:hyperlink>
    </w:p>
    <w:p>
      <w:pPr>
        <w:spacing w:before="0" w:after="80"/>
      </w:pPr>
      <w:r>
        <w:rPr>
          <w:i/>
          <w:sz w:val="20"/>
        </w:rPr>
        <w:t>EN: Stable redox flow batteries through suppression of side reactions with lawsone anolyte and iodine catholyte</w:t>
      </w:r>
    </w:p>
    <w:p>
      <w:pPr>
        <w:spacing w:before="0" w:after="120"/>
      </w:pPr>
      <w:r>
        <w:rPr>
          <w:b/>
        </w:rPr>
        <w:t xml:space="preserve">Source: </w:t>
      </w:r>
      <w:r>
        <w:t>ScienceDirect Publication: Applied Energy</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[339] </w:t>
      </w:r>
      <w:hyperlink r:id="rId545">
        <w:r>
          <w:rPr>
            <w:color w:val="1155CC"/>
            <w:u w:val="single"/>
          </w:rPr>
          <w:t>肿瘤和脑部交叉对讲通过感官和同情心轴来限制癌症免疫力。</w:t>
        </w:r>
      </w:hyperlink>
    </w:p>
    <w:p>
      <w:pPr>
        <w:spacing w:before="0" w:after="80"/>
      </w:pPr>
      <w:r>
        <w:rPr>
          <w:i/>
          <w:sz w:val="20"/>
        </w:rPr>
        <w:t>EN: Tumour–brain crosstalk restrains cancer immunity via a sensory–sympathetic axis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人体-脑交流已成为组织原生组织1,2,3,4,4,4,5的关键调节器,成为组织原生1,2,2,3,4,4,5。 固体肿瘤被外围神经系统不同分支内植,肿瘤内植增加与癌症结果6,7,7,7相关,8。然而,人们仍然不清楚大脑如何感知和应对外围器官肿瘤,肿瘤-脑交流如何影响癌症免疫。 我们在这里确定了肿瘤-脑轴,通过建立免疫抑制肿瘤微环境促进肿瘤的发源。 将基因改造的老鼠模型与神经追踪、组织成像和单细胞定型学相结合,我们证明肺癌肿瘤会诱导血管感官神经的内心和功能接触,而血管感官神经是主要的内在系统。</w:t>
      </w:r>
    </w:p>
    <w:p>
      <w:pPr>
        <w:spacing w:before="0" w:after="200" w:lineRule="auto" w:line="276"/>
      </w:pPr>
      <w:r>
        <w:rPr>
          <w:b/>
        </w:rPr>
        <w:t xml:space="preserve">Abstract (EN): </w:t>
      </w:r>
      <w:r>
        <w:t>Body–brain communication has emerged as a key regulator of tissue homeostasis1,2,3,4,5. Solid tumours are innervated by different branches of the peripheral nervous system and increased tumour innervation is associated with poor cancer outcomes6,7,8. However, it remains unclear how the brain senses and responds to tumours in peripheral organs, and how tumour–brain communication influences cancer immunity. Here we identify a tumour–brain axis that promotes oncogenesis by establishing an immune-suppressive tumour microenvironment. Combining genetically engineered mouse models with neural tracing, tissue imaging and single-cell transcriptomics, we demonstrate that lung adenocarcinoma induces innervation and functional engagement of vagal sensory neurons, a major interoceptive system connecting visceral organs to the brain. Mechanistically, Npy2r-expressing vagal sensory nerves transmit signals from lung tumours to brainstem nuclei, driving elevated sympathetic efferent activity in the tumour microenvironment. This, in turn, suppresses anti-tumour immunity via β2 adrenergic signalling in alveolar macrophages. Disruption of this sensory-to-sympathetic pathway through genetic, pharmacological or chemogenetic approaches significantly inhibited lung tumour growth by enhancing immune responses against cancer. Collectively, these results reveal a bidirectional tumour–brain communication involving vagal sensory input and sympathetic output that cooperatively regulate anti-cancer immunity; targeting this tumour–brain circuit may provide new treatments for visceral organ cancers.</w:t>
      </w:r>
    </w:p>
    <w:p>
      <w:pPr>
        <w:spacing w:before="120" w:after="120"/>
      </w:pPr>
      <w:r>
        <w:rPr>
          <w:sz w:val="18"/>
        </w:rPr>
        <w:t>——————————————————————————————————————————————————————————————————————</w:t>
      </w:r>
    </w:p>
    <w:p>
      <w:pPr>
        <w:spacing w:before="160" w:after="40" w:line="240" w:lineRule="auto"/>
      </w:pPr>
      <w:r>
        <w:rPr>
          <w:b/>
        </w:rPr>
        <w:t xml:space="preserve">[340] </w:t>
      </w:r>
      <w:hyperlink r:id="rId546">
        <w:r>
          <w:rPr>
            <w:color w:val="1155CC"/>
            <w:u w:val="single"/>
          </w:rPr>
          <w:t>阿尔茨海默氏病和其他神经退化性痴呆症中的生物液体生物标志</w:t>
        </w:r>
      </w:hyperlink>
    </w:p>
    <w:p>
      <w:pPr>
        <w:spacing w:before="0" w:after="80"/>
      </w:pPr>
      <w:r>
        <w:rPr>
          <w:i/>
          <w:sz w:val="20"/>
        </w:rPr>
        <w:t>EN: Biofluid biomarkers in Alzheimer’s disease and other neurodegenerative dementias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基于生物流生物标志已经改变了神经降解性疾病的研究和护理,使人们深入了解阿尔茨海默氏病(AD)和其他神经降解性痴呆症的分子基础。本审查提供了对氨基-β(Aβ)病理学、图伊病理学、神经退化、微弱反应、α-西核核素病理学、TARDNA结合蛋白43(TDP-43)病理学、合成病理学和脑血管疾病——病理学和过程都与神经降解性痴呆症相关的过程进行生物流基生物标志的最新发展情况。补充了长期脑脊髓皮质测定,改进的技术现在便利了在血液中极低浓度情况下对与神经降解性脑变化有关的分子的检测。这保证了对神经降解性大脑疾病——病理学和脑血管病理学——病理学和过程进行补充。</w:t>
      </w:r>
    </w:p>
    <w:p>
      <w:pPr>
        <w:spacing w:before="0" w:after="200" w:lineRule="auto" w:line="276"/>
      </w:pPr>
      <w:r>
        <w:rPr>
          <w:b/>
        </w:rPr>
        <w:t xml:space="preserve">Abstract (EN): </w:t>
      </w:r>
      <w:r>
        <w:t>Biofluid-based biomarkers have transformed neurodegenerative disease research and care, providing insights into the molecular underpinnings of Alzheimer’s disease (AD) and other neurodegenerative dementias. This Review provides an update on recent developments in biofluid-based biomarkers for amyloid-β (Aβ) pathology, tau pathology, neurodegeneration, glial reactivity, α-synuclein pathology, TAR DNA-binding protein 43 (TDP-43) pathology, synaptic pathophysiology and cerebrovascular disease—pathologies and processes that are all relevant to neurodegenerative dementias. Complementing longstanding cerebrospinal assays, improved technologies now facilitate the detection of molecules linked to neurodegenerative brain changes at very low concentrations in the blood. This promises to complement the clinical evaluation of suspected neurodegenerative disease in healthcare with molecular phenotyping biomarkers that will help to link the clinical symptoms to ongoing pathophysiological processes in the brain and improve how patients are referred to specialty clinics for initiation and monitoring of molecularly targeted treatments. Clinically relevant breakthroughs such as the use of anti-Aβ monoclonal antibodies to address Aβ pathology in AD serve as important proof-of-concept examples of how the field is advancing toward molecularly informed prevention and treatment. This Review provides an overview of the most established biofluid-based biomarkers currently in use and offers practical guidance on their interpretation and implementation in clinical settings.</w:t>
      </w:r>
    </w:p>
    <w:p>
      <w:pPr>
        <w:spacing w:before="120" w:after="120"/>
      </w:pPr>
      <w:r>
        <w:rPr>
          <w:sz w:val="18"/>
        </w:rPr>
        <w:t>——————————————————————————————————————————————————————————————————————</w:t>
      </w:r>
    </w:p>
    <w:p>
      <w:pPr>
        <w:spacing w:before="160" w:after="40" w:line="240" w:lineRule="auto"/>
      </w:pPr>
      <w:r>
        <w:rPr>
          <w:b/>
        </w:rPr>
        <w:t xml:space="preserve">[341] </w:t>
      </w:r>
      <w:hyperlink r:id="rId547">
        <w:r>
          <w:rPr>
            <w:color w:val="1155CC"/>
            <w:u w:val="single"/>
          </w:rPr>
          <w:t>一个在地壳上层水层融化的普遍概念</w:t>
        </w:r>
      </w:hyperlink>
    </w:p>
    <w:p>
      <w:pPr>
        <w:spacing w:before="0" w:after="80"/>
      </w:pPr>
      <w:r>
        <w:rPr>
          <w:i/>
          <w:sz w:val="20"/>
        </w:rPr>
        <w:t>EN: A universal concept for melting in mantle upwellings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深锰熔化标志着地球分化的开始,1 然而对于浮力驱动的泥土上涌水如何开始融化以及这种刚起的熔化如何在代孕层内演变,一个统一框架仍然难以实现。 在这里,我们表明,在任何固态地壳上涌过程中产生的第一批熔化物,是通过元素碳氧化到CO2的大约250公里深度形成的金伯利-二氧化碳富含硅酸盐熔化物(参考文件2.3)。我们的实验力将一系列地表熔化物(来自人造物羽流4 或大面积上流5 (金伯利岩、海洋岛岩浆和中洋脊),转化为7GPA的与肥沃地壳的平衡。结果确定了一个框架,使在深处的红氧化物熔化普遍产生金伯利特融化,其中,</w:t>
      </w:r>
    </w:p>
    <w:p>
      <w:pPr>
        <w:spacing w:before="0" w:after="200" w:lineRule="auto" w:line="276"/>
      </w:pPr>
      <w:r>
        <w:rPr>
          <w:b/>
        </w:rPr>
        <w:t xml:space="preserve">Abstract (EN): </w:t>
      </w:r>
      <w:r>
        <w:t>Deep mantle melting marks the onset of Earth differentiation1, yet a unifying framework for how buoyancy-driven mantle upwellings initiate melting and how such incipient melts evolve within the asthenosphere has remained elusive. Here we show that the first melts generated in any solid-state mantle upwelling are kimberlitic CO2-rich silicate melts that form at about 250 km depth through oxidation of elemental carbon to CO2 (refs. 2,3). Our experiments force a range of surface melts, derived from mantle plumes4 or broad upwellings5 (kimberlites, ocean island basalts and mid-ocean ridge basalts), into equilibrium with fertile mantle at adiabatic and super-adiabatic conditions at 7 GPa. The results define a framework in which redox melting at depth universally yields kimberlitic melts, which, while ascending through the asthenosphere by reactive porous flow6,7, evolve to higher degrees of melting, lesser volatiles and incompatible elements, but higher SiO2. Channelized flow7 in the lithosphere may then enable direct extraction of these melts, leading to kimberlites, where the lithosphere commences just above the C → CO2 redox front, to alkaline Si-undersaturated intraplate magmas where lithospheric thicknesses are 150–100 km, and to tholeiitic basalts below mid-ocean ridges where voluminous ‘dry’ melting becomes overwhelming. This framework is consistent with the widespread seismic low-velocity zone at about 250 km beneath mid-ocean ridges8,9 and aligns with ocean island and mid-ocean ridge basalts sampling the various geochemical mantle components at different degrees of melting in different proportions10,11.</w:t>
      </w:r>
    </w:p>
    <w:p>
      <w:pPr>
        <w:spacing w:before="120" w:after="120"/>
      </w:pPr>
      <w:r>
        <w:rPr>
          <w:sz w:val="18"/>
        </w:rPr>
        <w:t>——————————————————————————————————————————————————————————————————————</w:t>
      </w:r>
    </w:p>
    <w:p>
      <w:pPr>
        <w:spacing w:before="160" w:after="40" w:line="240" w:lineRule="auto"/>
      </w:pPr>
      <w:r>
        <w:rPr>
          <w:b/>
        </w:rPr>
        <w:t xml:space="preserve">[342] </w:t>
      </w:r>
      <w:hyperlink r:id="rId548">
        <w:r>
          <w:rPr>
            <w:color w:val="1155CC"/>
            <w:u w:val="single"/>
          </w:rPr>
          <w:t>用于6G 通信的旋波波波波频带-通过过滤器</w:t>
        </w:r>
      </w:hyperlink>
    </w:p>
    <w:p>
      <w:pPr>
        <w:spacing w:before="0" w:after="80"/>
      </w:pPr>
      <w:r>
        <w:rPr>
          <w:i/>
          <w:sz w:val="20"/>
        </w:rPr>
        <w:t>EN: Spin-wave band-pass filters for 6G communication</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使用单晶晶晶晶铁加网(YIG)的旋波过滤器(SW)使用单晶晶晶晶铁铁加网(YIG)是整合频率可调整或频率可调的通信系统的一个有吸引力的技术。1 然而,现有的SW装置没有足够带宽,无法用于今后的5G和6G通信系统2,3 的带宽,其体积太大,或具有很强的假传带,造成无意的跨通道干扰。我们在这里报告一个SW的梯子过滤器结构,只需要单一的外部磁性偏差,而这种偏差是由现代微速制造方法所促成的,能够进行卷式生产。在这项工作中开发的过滤器显示损失低至2.54 dB,带宽至663 MHz的带宽度,数个八度从7.08至21.6 GHz的中频调,高直线,并带有输入偏重的第三号。</w:t>
      </w:r>
    </w:p>
    <w:p>
      <w:pPr>
        <w:spacing w:before="0" w:after="200" w:lineRule="auto" w:line="276"/>
      </w:pPr>
      <w:r>
        <w:rPr>
          <w:b/>
        </w:rPr>
        <w:t xml:space="preserve">Abstract (EN): </w:t>
      </w:r>
      <w:r>
        <w:t>Spin-wave (SW) filters using single-crystal yttrium iron garnet (YIG) is an attractive technology for integration in frequency-adjustable or frequency-tunable communication systems1. However, existing SW devices do not have sufficient bandwidth for future 5G and 6G communication systems2,3, are too large or have strong spurious passbands, creating unintentional cross-channel interference. Here we report a SW ladder filter architecture requiring only a single external magnetic bias, which is enabled by modern micromachining fabrication methods capable of wafer-scale production. The filters developed in this work demonstrate loss as low as 2.54 dB, bandwidths up to 663 MHz, centre-frequency tuning over several octaves from 7.08 to 21.6 GHz and high linearity with an input-referred third-order intercept point of more than 11 dBm in the passband. The operation of the filter is also experimentally demonstrated in a frequency-tunable radio system.</w:t>
      </w:r>
    </w:p>
    <w:p>
      <w:pPr>
        <w:spacing w:before="120" w:after="120"/>
      </w:pPr>
      <w:r>
        <w:rPr>
          <w:sz w:val="18"/>
        </w:rPr>
        <w:t>——————————————————————————————————————————————————————————————————————</w:t>
      </w:r>
    </w:p>
    <w:p>
      <w:pPr>
        <w:spacing w:before="160" w:after="40" w:line="240" w:lineRule="auto"/>
      </w:pPr>
      <w:r>
        <w:rPr>
          <w:b/>
        </w:rPr>
        <w:t xml:space="preserve">[343] </w:t>
      </w:r>
      <w:hyperlink r:id="rId549">
        <w:r>
          <w:rPr>
            <w:color w:val="1155CC"/>
            <w:u w:val="single"/>
          </w:rPr>
          <w:t>作者校正:通过肋骨谱剖面图显示的eukaryotes 蛋白质综合体的翻译组合</w:t>
        </w:r>
      </w:hyperlink>
    </w:p>
    <w:p>
      <w:pPr>
        <w:spacing w:before="0" w:after="80"/>
      </w:pPr>
      <w:r>
        <w:rPr>
          <w:i/>
          <w:sz w:val="20"/>
        </w:rPr>
        <w:t>EN: Author Correction: Cotranslational assembly of protein complexes in eukaryotes revealed by ribosome profiling</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[344] </w:t>
      </w:r>
      <w:hyperlink r:id="rId550">
        <w:r>
          <w:rPr>
            <w:color w:val="1155CC"/>
            <w:u w:val="single"/>
          </w:rPr>
          <w:t>超光速纳米质的近星际对星际组装 读作:</w:t>
        </w:r>
      </w:hyperlink>
    </w:p>
    <w:p>
      <w:pPr>
        <w:spacing w:before="0" w:after="80"/>
      </w:pPr>
      <w:r>
        <w:rPr>
          <w:i/>
          <w:sz w:val="20"/>
        </w:rPr>
        <w:t>EN: Efficient near-telomere-to-telomere assembly of nanopore simplex reads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Telomere-to-teloomere(T2T)组装(T2T)组装(T2T)是取消基因组组组装的最终目的。现有的算法1,2 能够接近T2T组装的算法1,2 都需要牛津Nanopore技术(ONT)超长的读数,这些算法成本昂贵,实验性地难以获得,因此对于没有固定的细胞线的样品来说往往无法获取。 我们在这里引入了hifiasm(ONT)算法,这种算法可以从标准的ONT简单读数产生近T2T组装配,消除超长顺序的需要。 与现有方法相比, hifiasm(ONT)通过数量顺序减少计算需求,并将更多的染色体从调的调色体重建到同一数据集的调色体。这大大扩大了T2T组装配在以前受高压的应用上的可行性。</w:t>
      </w:r>
    </w:p>
    <w:p>
      <w:pPr>
        <w:spacing w:before="0" w:after="200" w:lineRule="auto" w:line="276"/>
      </w:pPr>
      <w:r>
        <w:rPr>
          <w:b/>
        </w:rPr>
        <w:t xml:space="preserve">Abstract (EN): </w:t>
      </w:r>
      <w:r>
        <w:t>Telomere-to-telomere (T2T) assembly is the ultimate goal for de novo genome assembly. Existing algorithms1,2 capable of near-T2T assembly all require Oxford Nanopore Technologies (ONT) ultra-long reads, which are costly and experimentally challenging to obtain and are thus often unavailable for samples without established cell lines3. Here we introduce hifiasm (ONT), an algorithm that can produce near-T2T assemblies from standard ONT simplex reads, eliminating the need for ultra-long sequencing. Compared with existing methods, hifiasm (ONT) reduces computational demands by an order of magnitude and reconstructs more chromosomes from telomere to telomere on the same datasets. This advance substantially broadens the feasibility of T2T assembly for applications previously limited by the high cost and experimental requirement of ultra-long reads.</w:t>
      </w:r>
    </w:p>
    <w:p>
      <w:pPr>
        <w:spacing w:before="120" w:after="120"/>
      </w:pPr>
      <w:r>
        <w:rPr>
          <w:sz w:val="18"/>
        </w:rPr>
        <w:t>——————————————————————————————————————————————————————————————————————</w:t>
      </w:r>
    </w:p>
    <w:p>
      <w:pPr>
        <w:spacing w:before="160" w:after="40" w:line="240" w:lineRule="auto"/>
      </w:pPr>
      <w:r>
        <w:rPr>
          <w:b/>
        </w:rPr>
        <w:t xml:space="preserve">[345] </w:t>
      </w:r>
      <w:hyperlink r:id="rId551">
        <w:r>
          <w:rPr>
            <w:color w:val="1155CC"/>
            <w:u w:val="single"/>
          </w:rPr>
          <w:t>通过热能分析,对一个小型数据中心进行热能和热能分析</w:t>
        </w:r>
      </w:hyperlink>
    </w:p>
    <w:p>
      <w:pPr>
        <w:spacing w:before="0" w:after="80"/>
      </w:pPr>
      <w:r>
        <w:rPr>
          <w:i/>
          <w:sz w:val="20"/>
        </w:rPr>
        <w:t>EN: Transient power unit efficiency prediction of a small data center through thermal and energetic analyses</w:t>
      </w:r>
    </w:p>
    <w:p>
      <w:pPr>
        <w:spacing w:before="0" w:after="120"/>
      </w:pPr>
      <w:r>
        <w:rPr>
          <w:b/>
        </w:rPr>
        <w:t xml:space="preserve">Source: </w:t>
      </w:r>
      <w:r>
        <w:t>ScienceDirect Publication: Applied Energy</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[346] </w:t>
      </w:r>
      <w:hyperlink r:id="rId552">
        <w:r>
          <w:rPr>
            <w:color w:val="1155CC"/>
            <w:u w:val="single"/>
          </w:rPr>
          <w:t>在扭曲的 MoTe2 中通过任何一端的分数电荷签名</w:t>
        </w:r>
      </w:hyperlink>
    </w:p>
    <w:p>
      <w:pPr>
        <w:spacing w:before="0" w:after="80"/>
      </w:pPr>
      <w:r>
        <w:rPr>
          <w:i/>
          <w:sz w:val="20"/>
        </w:rPr>
        <w:t>EN: Signatures of fractional charges via anyon–trions in twisted MoTe2</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电子电荷e的分解是强烈电子-电子相互作用中最惊人的现象之一。一个值得称道的例子就是在分量量子大厅效应中出现分量充电的直角(FQHE)国家1,2,3,4,5,6,7,8,9,9,10,11,12,13。最近,FQHE的零场分解切发器(FCIS)14,15,16,17,18,19,Lattice类比称,在无Landau水平的情况下形成,20,21。FCIs为调查任何子提供了一个独特的平台,但它们的探测仍然是一个挑战。在这里,我们报告了通过将三联结在扭曲的MoTe2双层中带有分量充电的三联成的一种新的异共体组合体。 量子组合体的光光光光光光光光光光谱谱谱显示,出现了新出现的峰值。</w:t>
      </w:r>
    </w:p>
    <w:p>
      <w:pPr>
        <w:spacing w:before="0" w:after="200" w:lineRule="auto" w:line="276"/>
      </w:pPr>
      <w:r>
        <w:rPr>
          <w:b/>
        </w:rPr>
        <w:t xml:space="preserve">Abstract (EN): </w:t>
      </w:r>
      <w:r>
        <w:t>Fractionalization of the electron charge e is one of the most striking phenomena arising from strong electron–electron interactions. A celebrated example is the emergence of anyons with fractional charges in fractional quantum Hall effect (FQHE) states1,2,3,4,5,6,7,8,9,10,11,12,13. Recently, zero-field fractional Chern insulators (FCIs)14,15,16,17,18,19, lattice analogues of the FQHE states that form without Landau levels, have been realized20,21. FCIs provide a unique platform to investigate anyons, yet their detection remains a challenge. Here we report the observation of anyon–trions, a new type of excitonic complex formed by binding a trion with a fractional charge in twisted MoTe2 bilayers. Photoluminescence spectroscopy of quantum-confined excitons reveals emergent peaks that appear only within slightly doped FCI states. The new spectral features are red-shifted relative to the trions in undoped FCIs, but share the same electric field, temperature and magnetic field dependence. These observations suggest their origin as trions binding with elementary quasi-particles, that is, anyon–trions. Crucially, the ratio of binding energies between the anyon–trions in the −2/3 and −3/5 FCI states matches the expected fractional charge ratio of e/3 to e/5. This provides strong evidence for fractional charges in FCI—an essential property of anyons. Our results address a fundamental question in FCI physics and establish trion spectroscopy as a powerful probe of fractionally charged excitations, complementary to transport- and tunnelling-based approaches.</w:t>
      </w:r>
    </w:p>
    <w:p>
      <w:pPr>
        <w:spacing w:before="120" w:after="120"/>
      </w:pPr>
      <w:r>
        <w:rPr>
          <w:sz w:val="18"/>
        </w:rPr>
        <w:t>——————————————————————————————————————————————————————————————————————</w:t>
      </w:r>
    </w:p>
    <w:p>
      <w:pPr>
        <w:spacing w:before="160" w:after="40" w:line="240" w:lineRule="auto"/>
      </w:pPr>
      <w:r>
        <w:rPr>
          <w:b/>
        </w:rPr>
        <w:t xml:space="preserve">[347] </w:t>
      </w:r>
      <w:hyperlink r:id="rId553">
        <w:r>
          <w:rPr>
            <w:color w:val="1155CC"/>
            <w:u w:val="single"/>
          </w:rPr>
          <w:t>作者更正: 混合分子两层中的金属电荷运输</w:t>
        </w:r>
      </w:hyperlink>
    </w:p>
    <w:p>
      <w:pPr>
        <w:spacing w:before="0" w:after="80"/>
      </w:pPr>
      <w:r>
        <w:rPr>
          <w:i/>
          <w:sz w:val="20"/>
        </w:rPr>
        <w:t>EN: Author Correction: Metallic charge transport in conjugated molecular bilayers</w:t>
      </w:r>
    </w:p>
    <w:p>
      <w:pPr>
        <w:spacing w:before="0" w:after="120"/>
      </w:pPr>
      <w:r>
        <w:rPr>
          <w:b/>
        </w:rPr>
        <w:t xml:space="preserve">Source: </w:t>
      </w:r>
      <w:r>
        <w:t>Nature Electronics</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[348] </w:t>
      </w:r>
      <w:hyperlink r:id="rId554">
        <w:r>
          <w:rPr>
            <w:color w:val="1155CC"/>
            <w:u w:val="single"/>
          </w:rPr>
          <w:t>蚊子-蚊子相互作用有助于增加风病毒病媒的特殊性。</w:t>
        </w:r>
      </w:hyperlink>
    </w:p>
    <w:p>
      <w:pPr>
        <w:spacing w:before="0" w:after="80"/>
      </w:pPr>
      <w:r>
        <w:rPr>
          <w:i/>
          <w:sz w:val="20"/>
        </w:rPr>
        <w:t>EN: Mosquito–capsid interactions contribute to flavivirus vector specificity</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多种蚊子物种是携带和传播多种风病毒的合格病媒,1 2 有几个长期存在的科学问题仍有待回答,包括查明促使蚊子受风病毒感染的基本因素,以及有助于蚊子自然形成的物种间特性的遗传基础,如Aedes effitti 蚊虫感染登革热病毒(DENV),3、4、5、6、7、8,如Aedes egypti 蚊虫感染登革热病毒(DENV)。 我们在此报告,传播成熟病毒的循环因蚊子血淋巴酸而无动;因此,携带可复制和功能性病毒性核核脑骨的外细胞囊是细胞病毒传播的主要手段。</w:t>
      </w:r>
    </w:p>
    <w:p>
      <w:pPr>
        <w:spacing w:before="0" w:after="200" w:lineRule="auto" w:line="276"/>
      </w:pPr>
      <w:r>
        <w:rPr>
          <w:b/>
        </w:rPr>
        <w:t xml:space="preserve">Abstract (EN): </w:t>
      </w:r>
      <w:r>
        <w:t>Multiple mosquito species serve as competent vectors to carry and transmit numerous flaviviruses1,2. Several long-standing scientific questions remain to be answered, including identification of the fundamental factors that facilitate flavivirus infectivity in mosquitoes and the genetic basis that contributes to the naturally occurring interspecies specificity of mosquitoes to flaviviruses3,4,5,6,7,8, such as Aedes aegypti mosquitoes to dengue virus (DENV). Here we report that circulating mature virions are inactivated by the acidity of mosquito haemolymph; thus, extracellular vesicles carrying replication-competent viral nucleocapsids serve as the predominant means of intercellular viral dissemination. Mechanistically, mosquito valosin-containing protein (VCP) binds to the viral capsid, thereby allowing the incorporation of nucleocapsids into extracellular vesicles. The capsid of a flavivirus (such as DENV) selectively binds to the VCP of its natural vector (Ae. aegypti), but not to that of an incompetent vector (for example, Culex quinquefasciatus). Replacing the DENV capsid with that of Japanese encephalitis virus (JEV) renders DENV infectious in the haemolymph of the natural JEV vector, Cx. quinquefasciatus. Furthermore, two amino residues in Aedes (D723/N728) and Culex (E723/E728) VCP determine its binding specificity for viral capsid, thus contributing to interspecies specificity of mosquitoes to flaviviruses. In vivo ectopic expression of the Cx. quinquefasciatus VCP mutant E723D/E728N renders Cx. quinquefasciatus susceptible to DENV2 via intrathoracic microinjection. Our study provides a major molecular mechanism contributing to the selectivity and compatibility between mosquito vectors and flavivirus species, enabling systemic virus dissemination after the virus reaches the haemocoel. Upstream mechanisms that determine specificity at the midgut level remain to be determined.</w:t>
      </w:r>
    </w:p>
    <w:p>
      <w:pPr>
        <w:spacing w:before="120" w:after="120"/>
      </w:pPr>
      <w:r>
        <w:rPr>
          <w:sz w:val="18"/>
        </w:rPr>
        <w:t>——————————————————————————————————————————————————————————————————————</w:t>
      </w:r>
    </w:p>
    <w:p>
      <w:pPr>
        <w:spacing w:before="160" w:after="40" w:line="240" w:lineRule="auto"/>
      </w:pPr>
      <w:r>
        <w:rPr>
          <w:b/>
        </w:rPr>
        <w:t xml:space="preserve">[349] </w:t>
      </w:r>
      <w:hyperlink r:id="rId555">
        <w:r>
          <w:rPr>
            <w:color w:val="1155CC"/>
            <w:u w:val="single"/>
          </w:rPr>
          <w:t>过去1 100年中大气H2变异</w:t>
        </w:r>
      </w:hyperlink>
    </w:p>
    <w:p>
      <w:pPr>
        <w:spacing w:before="0" w:after="80"/>
      </w:pPr>
      <w:r>
        <w:rPr>
          <w:i/>
          <w:sz w:val="20"/>
        </w:rPr>
        <w:t>EN: Atmospheric H2 variability over the past 1,100 years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如果作为绿色能源过渡的一部分广泛采用H2能源技术,H2 氢(H2)的人为排放预计将会增加。2 虽然大气H2不具有辐射活性,但通过对甲烷、臭氧和水蒸气、1,2,3,4,5,6的化学影响,H2不会使地球气候变暖。预测大气对人为扰动的反应具有挑战性,部分原因是现代工具记录的时间有限。7 H2的冰芯测量可以扩大观测记录,提供关于人类和自然扰动以及H2生物地球化学控制的长期信息。然而,H2的冰芯测量具有挑战性,因为冰层8,H2的渗透性很高。9 我们在此提供了一份冰芯记录。</w:t>
      </w:r>
    </w:p>
    <w:p>
      <w:pPr>
        <w:spacing w:before="0" w:after="200" w:lineRule="auto" w:line="276"/>
      </w:pPr>
      <w:r>
        <w:rPr>
          <w:b/>
        </w:rPr>
        <w:t xml:space="preserve">Abstract (EN): </w:t>
      </w:r>
      <w:r>
        <w:t>Anthropogenic emissions of hydrogen (H2) are expected to rise if H2 energy technology is widely implemented as part of the green energy transition1,2. Although atmospheric H2 is not radiatively active, it warms the Earth’s climate through chemical effects on methane, ozone and water vapour1,2,3,4,5,6. Predicting the atmospheric response to anthropogenic perturbations is challenging, in part because of the limited duration of the modern instrumental record7. Ice core measurements of H2 can extend the observational record, providing information about anthropogenic and natural perturbations and the biogeochemical controls on H2 levels over long timescales. However, ice core measurements of H2 are challenging because of the high permeability of H2 in ice8,9. Here we present an ice core record of atmospheric H2 recovered from a Greenland ice core, spanning the past millennium. The record shows a 70–111% (2σ) rise in atmospheric H2 from the pre-industrial to the modern era, consistent with increasing direct emissions from fossil fuel burning and increased atmospheric concentrations of H2 precursors. The pre-industrial record also shows a 4–25% (2σ) decrease in H2 levels during the Little Ice Age (LIA), indicating that H2 biogeochemistry may be sensitive to climate change. The findings suggest that the sensitivity of H2 sources and sinks to climate warming should be considered in estimates of the radiative consequences of rising anthropogenic H2 emissions.</w:t>
      </w:r>
    </w:p>
    <w:p>
      <w:pPr>
        <w:spacing w:before="120" w:after="120"/>
      </w:pPr>
      <w:r>
        <w:rPr>
          <w:sz w:val="18"/>
        </w:rPr>
        <w:t>——————————————————————————————————————————————————————————————————————</w:t>
      </w:r>
    </w:p>
    <w:p>
      <w:pPr>
        <w:spacing w:before="160" w:after="40" w:line="240" w:lineRule="auto"/>
      </w:pPr>
      <w:r>
        <w:rPr>
          <w:b/>
        </w:rPr>
        <w:t xml:space="preserve">[350] </w:t>
      </w:r>
      <w:hyperlink r:id="rId556">
        <w:r>
          <w:rPr>
            <w:color w:val="1155CC"/>
            <w:u w:val="single"/>
          </w:rPr>
          <w:t>对联合王国生物库基因组470,727个复制数变异的全范围分析</w:t>
        </w:r>
      </w:hyperlink>
    </w:p>
    <w:p>
      <w:pPr>
        <w:spacing w:before="0" w:after="80"/>
      </w:pPr>
      <w:r>
        <w:rPr>
          <w:i/>
          <w:sz w:val="20"/>
        </w:rPr>
        <w:t>EN: Phenome-wide analysis of copy number variants in 470,727 UK Biobank genomes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复制数变异(CNVs)是人类多样性和疾病风险的关键驱动因素。 1 我们在这里评估了CNVs在一系列广泛的人类苯型和疾病中的作用,方法是分析470,727个英国生物库全基因序列中的CNVs,进行变异和基因级全同系物研究,进行2,941个等离子蛋白质丰度测量,13,336个二进制临床苯型和1,911个定量特征。 Proteomic分析已证实的CNVs与附近基因(Cis-potein定量特质;cis-pQTLs)的功能性联系(Cis-potein typeal loci;cis-pQTLs)——分别删除和重复通常与蛋白质水平降低和增加有关——并发现先前未知的蛋白质-蛋白相互作用(Trans-pQTLs)。</w:t>
      </w:r>
    </w:p>
    <w:p>
      <w:pPr>
        <w:spacing w:before="0" w:after="200" w:lineRule="auto" w:line="276"/>
      </w:pPr>
      <w:r>
        <w:rPr>
          <w:b/>
        </w:rPr>
        <w:t xml:space="preserve">Abstract (EN): </w:t>
      </w:r>
      <w:r>
        <w:t>Copy number variants (CNVs) are key drivers of human diversity and disease risk1. Here we evaluate the role of CNVs across a broad range of human phenotypes and diseases by analysing CNVs from 470,727 UK Biobank whole-genome sequences and conducting a variant- and gene-level phenome-wide association study (PheWAS) with 2,941 plasma protein abundance measurements, 13,336 binary clinical phenotypes and 1,911 quantitative traits. Proteomic analyses validated functional associations of CNVs with nearby genes (cis-protein quantitative trait loci; cis-pQTLs)—with deletions and duplications typically associated with reduced and increased protein levels, respectively—and uncovered previously unknown protein–protein interactions (trans-pQTLs). Our PheWAS recapitulated known associations and uncovered associations in both coding and non-coding regions. Notably, we identified a rare deletion in ZNF451 associated with increased leukocyte telomere length and a non-coding deletion of a SLC2A9 enhancer associated with reduced gout risk. In addition, by combining CNVs with protein-coding single nucleotide variants and indels, we enhanced the power of our study to detect gene–disease associations. Finally, we leveraged this multiomics dataset to identify several pQTLs that constitute candidate biomarkers, including TMPRSS5 for Charcot–Marie–Tooth disease type 1A. This multiancestry whole-genome-sequence CNV PheWAS offers insights into the roles of CNVs in human health outcomes and could serve as a valuable resource for therapeutic development.</w:t>
      </w:r>
    </w:p>
    <w:p>
      <w:pPr>
        <w:spacing w:before="120" w:after="120"/>
      </w:pPr>
      <w:r>
        <w:rPr>
          <w:sz w:val="18"/>
        </w:rPr>
        <w:t>——————————————————————————————————————————————————————————————————————</w:t>
      </w:r>
    </w:p>
    <w:p>
      <w:pPr>
        <w:spacing w:before="160" w:after="40" w:line="240" w:lineRule="auto"/>
      </w:pPr>
      <w:r>
        <w:rPr>
          <w:b/>
        </w:rPr>
        <w:t xml:space="preserve">[351] </w:t>
      </w:r>
      <w:hyperlink r:id="rId557">
        <w:r>
          <w:rPr>
            <w:color w:val="1155CC"/>
            <w:u w:val="single"/>
          </w:rPr>
          <w:t>利用原子单电子晶体管</w:t>
        </w:r>
      </w:hyperlink>
    </w:p>
    <w:p>
      <w:pPr>
        <w:spacing w:before="0" w:after="80"/>
      </w:pPr>
      <w:r>
        <w:rPr>
          <w:i/>
          <w:sz w:val="20"/>
        </w:rPr>
        <w:t>EN: Imaging the sub-moiré potential using an atomic single electron transistor</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固态电子的特性要归功于它们所经历的周期性潜在景观。 Moiré latices的出现使我们在纳米尺度上改造这些景观的能力发生了革命性的变化,导致了许多突破性发现。尽管取得了这一进展,但这些静电潜在景观的直接成像仍然难以实现。在这里,我们引入了原子单电子晶体管(SET),这是一个新的扫描探测器,将范德华材料中的单一原子缺陷用作超敏感度、高分辨率潜在传感器。在量子扭曲显微镜平台上建造了该探测器的能力,该探测器利用QTM在VdW Heteroro结构之间形成原始的、可扫描的二维界面。我们用原子SET来展示第一张直接图像。我们用原子SET来展示第一张直接图像。</w:t>
      </w:r>
    </w:p>
    <w:p>
      <w:pPr>
        <w:spacing w:before="0" w:after="200" w:lineRule="auto" w:line="276"/>
      </w:pPr>
      <w:r>
        <w:rPr>
          <w:b/>
        </w:rPr>
        <w:t xml:space="preserve">Abstract (EN): </w:t>
      </w:r>
      <w:r>
        <w:t>Electrons in solids owe their properties to the periodic potential landscapes they experience. The advent of moiré lattices has revolutionized our ability to engineer such landscapes on nanometre scales, leading to numerous ground-breaking discoveries. Despite this progress, direct imaging of these electrostatic potential landscapes remains elusive. Here we introduce the atomic single electron transistor (SET), a new scanning probe that uses a single atomic defect in a van der Waals material as an ultrasensitive, high-resolution potential sensor. Built on the quantum twisting microscope (QTM) platform1, this probe leverages the capability of the QTM to form a pristine, scannable two-dimensional interface between vdW heterostructures. Using the atomic SET, we present the first direct images of the electrostatic potential in a canonical moiré interface: graphene aligned to hexagonal boron nitride2,3,4,5,6,7,8,9,10. The measured potential exhibits an approximate C6 symmetry, minimal dependence on carrier density and a substantial amplitude of approximately 60 mV, even in the absence of carriers. Theory indicates that this symmetry arises from a delicate interplay of physical mechanisms with competing symmetries. The measured amplitude significantly exceeds theoretical predictions, suggesting that current understanding may be incomplete. With 1 nm spatial resolution and sensitivity to detect the potential of even a few millionths of an electron charge, the atomic SET enables ultrasensitive imaging of charge order and thermodynamic properties across a wide range of quantum phenomena, including symmetry-broken phases, quantum crystals, vortex charges and fractionalized quasiparticles.</w:t>
      </w:r>
    </w:p>
    <w:p>
      <w:pPr>
        <w:spacing w:before="120" w:after="120"/>
      </w:pPr>
      <w:r>
        <w:rPr>
          <w:sz w:val="18"/>
        </w:rPr>
        <w:t>——————————————————————————————————————————————————————————————————————</w:t>
      </w:r>
    </w:p>
    <w:p>
      <w:pPr>
        <w:spacing w:before="160" w:after="40" w:line="240" w:lineRule="auto"/>
      </w:pPr>
      <w:r>
        <w:rPr>
          <w:b/>
        </w:rPr>
        <w:t xml:space="preserve">[352] </w:t>
      </w:r>
      <w:hyperlink r:id="rId558">
        <w:r>
          <w:rPr>
            <w:color w:val="1155CC"/>
            <w:u w:val="single"/>
          </w:rPr>
          <w:t>PtdIns( 3, 5) P2 是一种内生的内生离离子和在内生免疫信号中施刺的内生离子。</w:t>
        </w:r>
      </w:hyperlink>
    </w:p>
    <w:p>
      <w:pPr>
        <w:spacing w:before="0" w:after="80"/>
      </w:pPr>
      <w:r>
        <w:rPr>
          <w:i/>
          <w:sz w:val="20"/>
        </w:rPr>
        <w:t>EN: PtdIns(3,5)P2 is an endogenous ligand of STING in innate immune signalling</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通过环状GMP-AMP(cGAMP)合成酶(cGAS)1,2,33.3.在与DNA结合后,CGAS生产CGAMP作为第二信使,该信使与干扰基因的模拟器(Sting)捆绑在一起,一个信号调节器蛋白质,固定在内分光镜(ER)3,4,4,5,5,5,从ER通过Golgi通过Golgi输送到围核输卵团,从而激活了TBK1和IKKK,并随后引入了Interferons和其他cytokines6,8,8,9。 我们在这里表明,磷酸丁醇3,5-双磷酸酯(Ptdins(3,5)P2;又称为PI(3)P2)是内系,与cGAMP一起发挥作用以诱导振动。Proteomic分析确定了Sting和PIKFYVE之间的组成互动。</w:t>
      </w:r>
    </w:p>
    <w:p>
      <w:pPr>
        <w:spacing w:before="0" w:after="200" w:lineRule="auto" w:line="276"/>
      </w:pPr>
      <w:r>
        <w:rPr>
          <w:b/>
        </w:rPr>
        <w:t xml:space="preserve">Abstract (EN): </w:t>
      </w:r>
      <w:r>
        <w:t>Exposure to cytosolic DNA triggers innate immune responses through cyclic GMP–AMP (cGAMP) synthase (cGAS)1,2,3. After binding to DNA, cGAS produces cGAMP as a second messenger that binds to stimulator of interferon genes (STING), a signalling adaptor protein anchored to the endoplasmic reticulum (ER)3,4,5. STING then traffics from the ER through the Golgi to perinuclear vesicle clusters, which leads to activation of the kinases TBK1 and IKK and subsequent induction of interferons and other cytokines6,7,8,9. Here we show that phosphatidylinositol 3,5-bisphosphate (PtdIns(3,5)P2; also known as PI(3,5)P2) is an endogenous ligand of STING that functions together with cGAMP to induce STING activation. Proteomic analyses identified a constitutive interaction between STING and PIKFYVE, an enzyme that produces PtdIns(3,5)P2 in mammalian cells. Deletion of PIKFYVE blocked STING trafficking from the ER and TBK1 activation. In vitro reconstitution uncovered a strong and selective effect of PtdIns(3,5)P2 on STING activation by cGAMP. PtdIns(3,5)P2 bound directly to STING in fluorescence resonance energy transfer assays. Consistently, cryo-electron microscopy revealed that PtdIns(3,5)P2 promotes cGAMP-induced STING oligomerization10, functioning as a molecular glue. Similar to PIKFYVE depletion, mutation of the PtdIns(3,5)P2-binding residues in STING largely blocked its trafficking and downstream signalling. These findings reveal that PtdIns(3,5)P2 is a lipid ligand of STING with essential roles in innate immunity.</w:t>
      </w:r>
    </w:p>
    <w:p>
      <w:pPr>
        <w:spacing w:before="120" w:after="120"/>
      </w:pPr>
      <w:r>
        <w:rPr>
          <w:sz w:val="18"/>
        </w:rPr>
        <w:t>——————————————————————————————————————————————————————————————————————</w:t>
      </w:r>
    </w:p>
    <w:p>
      <w:pPr>
        <w:spacing w:before="160" w:after="40" w:line="240" w:lineRule="auto"/>
      </w:pPr>
      <w:r>
        <w:rPr>
          <w:b/>
        </w:rPr>
        <w:t xml:space="preserve">[353] </w:t>
      </w:r>
      <w:hyperlink r:id="rId559">
        <w:r>
          <w:rPr>
            <w:color w:val="1155CC"/>
            <w:u w:val="single"/>
          </w:rPr>
          <w:t>成像二维超导体中的地埃赫兹超浮流颗粒</w:t>
        </w:r>
      </w:hyperlink>
    </w:p>
    <w:p>
      <w:pPr>
        <w:spacing w:before="0" w:after="80"/>
      </w:pPr>
      <w:r>
        <w:rPr>
          <w:i/>
          <w:sz w:val="20"/>
        </w:rPr>
        <w:t>EN: Imaging a terahertz superfluid plasmon in a two-dimensional superconductor</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超导差距界定了在超导体1、2、3、3中出现无分解运输和集体现象的基本能源规模,在超导体1、2、3中,在分层高温高温杯状超导体中,Cooper对等体被限制在两维(2D)铜-氧基(CuO2)平面4、5、5、Thahertz(THZ)光谱仪在亚伽普毫电子伏(meV)能中为超导体层6、6、8、9.在CuO2平面中,集体超流应力表现为远超过超导裂的能量的质态电压振荡,被强分解2、6、9、10所模糊。在这里,我们提出了低于超导层的2D超流体颗粒子的光谱证据。</w:t>
      </w:r>
    </w:p>
    <w:p>
      <w:pPr>
        <w:spacing w:before="0" w:after="200" w:lineRule="auto" w:line="276"/>
      </w:pPr>
      <w:r>
        <w:rPr>
          <w:b/>
        </w:rPr>
        <w:t xml:space="preserve">Abstract (EN): </w:t>
      </w:r>
      <w:r>
        <w:t>The superconducting gap defines the fundamental energy scale for the emergence of dissipationless transport and collective phenomena in a superconductor1,2,3. In layered high-temperature cuprate superconductors, in which the Cooper pairs are confined to weakly coupled two-dimensional (2D) copper–oxygen (CuO2) planes4,5, terahertz (THz) spectroscopy at subgap millielectronvolt (meV) energies has provided crucial insights into the collective superfluid response perpendicular to the superconducting layers6,7,8,9. However, within the CuO2 planes, the collective superfluid response manifests as plasmonic charge oscillations at energies far exceeding the superconducting gap, obscured by strong dissipation2,6,9,10. Here we present spectroscopic evidence of a below-gap, 2D superfluid plasmon in few-layer Bi2Sr2CaCu2O8+x and spatially resolve its deeply subdiffractive THz electrodynamics. By placing the superconductor in the near field of a spintronic THz emitter, we reveal this distinct resonance—absent in bulk samples and observed only in the superconducting phase—and determine its plasmonic nature by mapping the geometric anisotropy and dispersion. Crucially, these measurements offer a direct view of the momentum-dependent and frequency-dependent superconducting transition in two dimensions.</w:t>
      </w:r>
    </w:p>
    <w:p>
      <w:pPr>
        <w:spacing w:before="120" w:after="120"/>
      </w:pPr>
      <w:r>
        <w:rPr>
          <w:sz w:val="18"/>
        </w:rPr>
        <w:t>——————————————————————————————————————————————————————————————————————</w:t>
      </w:r>
    </w:p>
    <w:p>
      <w:pPr>
        <w:spacing w:before="160" w:after="40" w:line="240" w:lineRule="auto"/>
      </w:pPr>
      <w:r>
        <w:rPr>
          <w:b/>
        </w:rPr>
        <w:t xml:space="preserve">[354] </w:t>
      </w:r>
      <w:hyperlink r:id="rId560">
        <w:r>
          <w:rPr>
            <w:color w:val="1155CC"/>
            <w:u w:val="single"/>
          </w:rPr>
          <w:t>对diazo代谢物的化学捕捉暴露了生物合成水合区氧化。</w:t>
        </w:r>
      </w:hyperlink>
    </w:p>
    <w:p>
      <w:pPr>
        <w:spacing w:before="0" w:after="80"/>
      </w:pPr>
      <w:r>
        <w:rPr>
          <w:i/>
          <w:sz w:val="20"/>
        </w:rPr>
        <w:t>EN: Chemical capture of diazo metabolites reveals biosynthetic hydrazone oxidation</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化学活性微生物天然产品通过其根深蒂固的抗癌、抗生素和抗氧化活动1 使治疗发展1 成为了治疗发展1 ;然而,发现活性代谢物尤其具有挑战性,因为它们可能不容忍传统的生物活性指导隔离工作流程。 2 含有 Diazo 的天然产品是高度活性微生物代谢物的子集,这些代谢物表现出了强大的生物活性3, 并促成强大的生物合成转化4 5;然而,对地亚zo组的不稳定性到光6, 热7, 温性酸8和机械冲击9,使其无法有效发现和应用。 我们在此开发了一种基于再动的筛选方法,以捕捉含有diazo的代谢物,并便利通过质光谱法发现这些代谢物。</w:t>
      </w:r>
    </w:p>
    <w:p>
      <w:pPr>
        <w:spacing w:before="0" w:after="200" w:lineRule="auto" w:line="276"/>
      </w:pPr>
      <w:r>
        <w:rPr>
          <w:b/>
        </w:rPr>
        <w:t xml:space="preserve">Abstract (EN): </w:t>
      </w:r>
      <w:r>
        <w:t>Chemically reactive microbial natural products have enabled therapeutic development1 via their well-established anticancer, antibiotic and antioxidant activities. However, discovery of reactive metabolites is particularly challenging because they may not tolerate traditional bioactivity-guided isolation workflows2. Diazo-containing natural products are a subset of highly reactive microbial metabolites that display potent bioactivity3 and enable powerful biosynthetic transformations4,5; however, instability of the diazo group to light6, heat7, mild acid8 and mechanical shock9 has precluded their efficient discovery and application. Here we develop a reactivity-based screening approach to capture diazo-containing metabolites and facilitate their discovery by mass spectrometry. This workflow revealed two novel diazo-containing natural products, 4-diazo-3-oxobutanoic acid (1) and diazoacetone (2), from the human lung pathogen Nocardia ninae. Biosynthetic investigations revealed a distinct enzymatic logic for diazo formation involving hydrazone oxidation catalysed by the metalloenzyme Dob3, and its biochemical characterization suggests promising future applications in biocatalysis. Overall, our work highlights the power of reactivity-guided strategies for identifying reactive metabolites and facilitating the discovery of unique enzymatic transformations.</w:t>
      </w:r>
    </w:p>
    <w:p>
      <w:pPr>
        <w:spacing w:before="120" w:after="120"/>
      </w:pPr>
      <w:r>
        <w:rPr>
          <w:sz w:val="18"/>
        </w:rPr>
        <w:t>——————————————————————————————————————————————————————————————————————</w:t>
      </w:r>
    </w:p>
    <w:p>
      <w:pPr>
        <w:spacing w:before="160" w:after="40" w:line="240" w:lineRule="auto"/>
      </w:pPr>
      <w:r>
        <w:rPr>
          <w:b/>
        </w:rPr>
        <w:t xml:space="preserve">[355] </w:t>
      </w:r>
      <w:hyperlink r:id="rId561">
        <w:r>
          <w:rPr>
            <w:color w:val="1155CC"/>
            <w:u w:val="single"/>
          </w:rPr>
          <w:t>工业客户需求响应事件模拟器和风险意识招标工具</w:t>
        </w:r>
      </w:hyperlink>
    </w:p>
    <w:p>
      <w:pPr>
        <w:spacing w:before="0" w:after="80"/>
      </w:pPr>
      <w:r>
        <w:rPr>
          <w:i/>
          <w:sz w:val="20"/>
        </w:rPr>
        <w:t>EN: Demand response event simulator and risk-aware bidding tool for industrial customers</w:t>
      </w:r>
    </w:p>
    <w:p>
      <w:pPr>
        <w:spacing w:before="0" w:after="120"/>
      </w:pPr>
      <w:r>
        <w:rPr>
          <w:b/>
        </w:rPr>
        <w:t xml:space="preserve">Source: </w:t>
      </w:r>
      <w:r>
        <w:t>ScienceDirect Publication: Applied Energy</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[356] </w:t>
      </w:r>
      <w:hyperlink r:id="rId562">
        <w:r>
          <w:rPr>
            <w:color w:val="1155CC"/>
            <w:u w:val="single"/>
          </w:rPr>
          <w:t>关于使用磷硫化物和胆固醇引爆锡氏剂的条例</w:t>
        </w:r>
      </w:hyperlink>
    </w:p>
    <w:p>
      <w:pPr>
        <w:spacing w:before="0" w:after="80"/>
      </w:pPr>
      <w:r>
        <w:rPr>
          <w:i/>
          <w:sz w:val="20"/>
        </w:rPr>
        <w:t>EN: Regulation of STING activation by phosphoinositide and cholesterol</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干扰基因的刺激刺激器(Stinging)是细胞片脱氧DNA的遗传性免疫路径中一种必不可少的适配器。 1 由DNA传感器CGAMP合成酶(CGAS)2,3,4,4,4,5,5.CGAM-由CGAMP引发的高序离子分解和移位从内分解性微素到Golgi和后Golgi卵囊对调试6,7,8,9,9,9,10,11至关重要。 其他研究表明,磷酸性林丹磷酸盐(PtdInPPs)和胆固醇(choolesterol)在调试中也有重要作用,但基本机制仍然不清楚12,13,14,15,16,17。在这里,我们证明,由CGAMP引发的高序分泌素至Golgi和后甘醇3,5-乙基磷酸酯(P3,5,9,9,10。)和PtIn2和Pd Ins(4,5,5,5,Ptdst to addd)和低的磷磷酸酯强化</w:t>
      </w:r>
    </w:p>
    <w:p>
      <w:pPr>
        <w:spacing w:before="0" w:after="200" w:lineRule="auto" w:line="276"/>
      </w:pPr>
      <w:r>
        <w:rPr>
          <w:b/>
        </w:rPr>
        <w:t xml:space="preserve">Abstract (EN): </w:t>
      </w:r>
      <w:r>
        <w:t>Stimulator of interferon genes (STING) is an essential adaptor in the cytosolic DNA-sensing innate immune pathway1. STING is activated by cyclic GMP–AMP (cGAMP) produced by the DNA sensor cGAMP synthase (cGAS)2,3,4,5. cGAMP-induced high-order oligomerization and translocation of STING from the endoplasmic reticulum to the Golgi and post-Golgi vesicles are critical for STING activation6,7,8,9,10,11. Other studies have shown that phosphatidylinositol phosphates (PtdInsPs) and cholesterol also have important roles in STING activation, but the underlying mechanisms remain unclear12,13,14,15,16,17. Here we demonstrate that cGAMP-induced high-order oligomerization of STING is enhanced strongly by phosphatidylinositol 3,5-bisphosphate (PtdIns(3,5)P2 and PtdIns(4,5)P2, and by PtdIns4P to a lesser extent. Our cryo-electron microscopy structures reveal that PtdInsPs together with cholesterol bind at the interface between STING dimers, directly promoting the high-order oligomerization. The structures also provide an explanation for the preference of the STING oligomer to different PtdInsPs. Mutational and biochemical analyses confirm the binding modes of PtdInsPs and cholesterol and their roles in STING activation. Our findings shed light on the regulatory mechanisms of STING mediated by specific lipids, which may underlie the role of intracellular trafficking in dictating STING signalling.</w:t>
      </w:r>
    </w:p>
    <w:p>
      <w:pPr>
        <w:spacing w:before="120" w:after="120"/>
      </w:pPr>
      <w:r>
        <w:rPr>
          <w:sz w:val="18"/>
        </w:rPr>
        <w:t>——————————————————————————————————————————————————————————————————————</w:t>
      </w:r>
    </w:p>
    <w:p>
      <w:pPr>
        <w:spacing w:before="160" w:after="40" w:line="240" w:lineRule="auto"/>
      </w:pPr>
      <w:r>
        <w:rPr>
          <w:b/>
        </w:rPr>
        <w:t xml:space="preserve">[357] </w:t>
      </w:r>
      <w:hyperlink r:id="rId563">
        <w:r>
          <w:rPr>
            <w:color w:val="1155CC"/>
            <w:u w:val="single"/>
          </w:rPr>
          <w:t>蛋白质蛋白蛋白激活孔状抗菌抗药性</w:t>
        </w:r>
      </w:hyperlink>
    </w:p>
    <w:p>
      <w:pPr>
        <w:spacing w:before="0" w:after="80"/>
      </w:pPr>
      <w:r>
        <w:rPr>
          <w:i/>
          <w:sz w:val="20"/>
        </w:rPr>
        <w:t>EN: A pore-forming antiphage defence is activated by oligomeric phage proteins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细菌已发展出一系列广泛的防御系统来防治phage感染,其中许多依靠复杂的信号系统和大型蛋白综合体来发挥作用。 我们在这里描述一个164种抗菌的蛋白质,通过感应保护的phage组装的骨浆成分来保护细菌。 这个蛋白质叫做环互动孔1(Rip1),是由感染phages的门户或小白蚁蛋白质(寡头环形综合体)激活的,这是病毒成熟必不可少的。 Rip1 利用这些phage蛋白环综合体作为将抑制phage病毒组装并导致宿主细胞过早死亡的模版,抑制了phage病毒组装,并导致宿主细胞过早死亡。 Rip1 同族在细菌中广泛分布,并提供了抵御多种phages的有力防御。Rip1同族体被广泛分布在细菌中,并提供了防止多种phages的有力防御。Rip1</w:t>
      </w:r>
    </w:p>
    <w:p>
      <w:pPr>
        <w:spacing w:before="0" w:after="200" w:lineRule="auto" w:line="276"/>
      </w:pPr>
      <w:r>
        <w:rPr>
          <w:b/>
        </w:rPr>
        <w:t xml:space="preserve">Abstract (EN): </w:t>
      </w:r>
      <w:r>
        <w:t>Bacteria have evolved a wide array of defence systems to combat phage infection, many of which rely on complex signalling systems and large protein complexes to function1. Here we describe a 164-residue prophage-encoded protein that defends bacteria by sensing conserved oligomeric components of phage assembly. This protein, called ring interacting pore 1 (Rip1), is activated by the portal or small terminase proteins of infecting phages—oligomeric ring-shaped complexes that are essential for virion maturation. Rip1 uses these phage protein ring complexes as a template to assemble into membrane-disrupting pores that inhibit phage virion assembly and cause premature death of the host cell. Rip1 homologues are widely distributed across bacteria and provide robust defence against diverse phages. This study reveals a strategy by which a small defence protein integrates both sensing and effector activity by exploiting a conserved feature of viral assembly. The mechanism mirrors eukaryotic pore-forming immunity but is executed by a single protein, offering an evolutionarily streamlined solution to viral detection and defence.</w:t>
      </w:r>
    </w:p>
    <w:p>
      <w:pPr>
        <w:spacing w:before="120" w:after="120"/>
      </w:pPr>
      <w:r>
        <w:rPr>
          <w:sz w:val="18"/>
        </w:rPr>
        <w:t>——————————————————————————————————————————————————————————————————————</w:t>
      </w:r>
    </w:p>
    <w:p>
      <w:pPr>
        <w:spacing w:before="160" w:after="40" w:line="240" w:lineRule="auto"/>
      </w:pPr>
      <w:r>
        <w:rPr>
          <w:b/>
        </w:rPr>
        <w:t xml:space="preserve">[358] </w:t>
      </w:r>
      <w:hyperlink r:id="rId564">
        <w:r>
          <w:rPr>
            <w:color w:val="1155CC"/>
            <w:u w:val="single"/>
          </w:rPr>
          <w:t>活体TRiC 堂形系统单分子动态</w:t>
        </w:r>
      </w:hyperlink>
    </w:p>
    <w:p>
      <w:pPr>
        <w:spacing w:before="0" w:after="80"/>
      </w:pPr>
      <w:r>
        <w:rPr>
          <w:i/>
          <w:sz w:val="20"/>
        </w:rPr>
        <w:t>EN: Single-molecule dynamics of the TRiC chaperonin system in vivo</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在体外实验中发现,圆柱形圆柱形圆柱形圆柱形圆柱形复合蛋白环(TRiC)(又称含有TP-1(CCT)的圆形圆环(CCPnin ) ), 与合合合合合合合合合合合合合合合合合的圆形圆锥形圆锥形圆锥形圆锥形圆锥形圆锥形圆锥体组合(PFD) 1,2,2,3,4,5,5。 体外实验显示,圆柱形圆柱形圆锥形圆锥形圆锥形圆形圆锥形圆锥形圆锥形圆锥形圆形圆锥形圆锥形圆形圆形圆形圆锥形圆锥形圆形圆形圆形圆形圆形圆形圆形圆形圆形圆形圆形圆形圆形圆形圆形圆形圆形圆形圆形圆形圆形圆形圆形圆形圆形圆形圆形圆形圆形圆形圆形圆形圆形圆形圆形圆形圆形圆形圆形,8</w:t>
      </w:r>
    </w:p>
    <w:p>
      <w:pPr>
        <w:spacing w:before="0" w:after="200" w:lineRule="auto" w:line="276"/>
      </w:pPr>
      <w:r>
        <w:rPr>
          <w:b/>
        </w:rPr>
        <w:t xml:space="preserve">Abstract (EN): </w:t>
      </w:r>
      <w:r>
        <w:t>The essential chaperonin T-complex protein ring complex (TRiC) (also known as chaperonin containing TCP-1 (CCT)) mediates protein folding in cooperation with the co-chaperone prefoldin (PFD)1,2,3,4,5. In vitro experiments have shown that the cylindrical TRiC complex facilitates folding through ATP-regulated client protein encapsulation6,7,8,9. However, the functional dynamics of the chaperonin system in vivo remain unexplored. Here we developed single-particle tracking in human cells to monitor the interactions of TRiC–PFD with newly synthesized proteins. Both chaperones engaged nascent polypeptides repeatedly in brief probing events typically lasting around one second, with PFD recruiting TRiC. As shown with the chaperonin client actin8, the co-translational interactions of PFD and TRiC increased in frequency and lifetime during chain elongation. Close to translation termination, PFD bound for several seconds, facilitating TRiC recruitment for post-translational folding involving multiple reaction cycles of around 2.5 s. Notably, the lifetimes of TRiC interactions with a folding-defective actin mutant were markedly prolonged, indicating that client conformational properties modulate TRiC function. Mutant actin continued cycling on TRiC until it was targeted for degradation. TRiC often remained confined near its client protein between successive binding cycles, suggesting that the chaperonin machinery operates within a localized ‘protective zone’ in which free diffusion is restricted. Together, these findings offer detailed insight into the single-molecule dynamics and supramolecular organization of the chaperonin system in the cellular environment.</w:t>
      </w:r>
    </w:p>
    <w:p>
      <w:pPr>
        <w:spacing w:before="120" w:after="120"/>
      </w:pPr>
      <w:r>
        <w:rPr>
          <w:sz w:val="18"/>
        </w:rPr>
        <w:t>——————————————————————————————————————————————————————————————————————</w:t>
      </w:r>
    </w:p>
    <w:p>
      <w:pPr>
        <w:spacing w:before="160" w:after="40" w:line="240" w:lineRule="auto"/>
      </w:pPr>
      <w:r>
        <w:rPr>
          <w:b/>
        </w:rPr>
        <w:t xml:space="preserve">[359] </w:t>
      </w:r>
      <w:hyperlink r:id="rId565">
        <w:r>
          <w:rPr>
            <w:color w:val="1155CC"/>
            <w:u w:val="single"/>
          </w:rPr>
          <w:t>将科学文献与检索增强的语言模式结合起来</w:t>
        </w:r>
      </w:hyperlink>
    </w:p>
    <w:p>
      <w:pPr>
        <w:spacing w:before="0" w:after="80"/>
      </w:pPr>
      <w:r>
        <w:rPr>
          <w:i/>
          <w:sz w:val="20"/>
        </w:rPr>
        <w:t>EN: Synthesizing scientific literature with retrieval-augmented language models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科学进步取决于研究人员综合不断增长的文献的能力,大型语言模型(LLMs)能否帮助科学家完成这项任务?在这里,我们引入了OpenScholar,这是一个专业的检索强化语言模型(LM)1,通过识别4 500万份开放访问文件和综合引用支持回复的相关段落,回答科学问题。为了评估OpenScholar,我们开发了学者QABench,这是第一个大规模搜索文献的多领域基准,包括2 967个专家撰写的查询和208个跨计算机科学、物理、神经科学和生物医学的长式答案。尽管OpenScholar-8B是一个较小的开放模型,但用6.1%,用PageQA2,正确度用5.5 %来模拟具有挑战性的多纸合成。</w:t>
      </w:r>
    </w:p>
    <w:p>
      <w:pPr>
        <w:spacing w:before="0" w:after="200" w:lineRule="auto" w:line="276"/>
      </w:pPr>
      <w:r>
        <w:rPr>
          <w:b/>
        </w:rPr>
        <w:t xml:space="preserve">Abstract (EN): </w:t>
      </w:r>
      <w:r>
        <w:t>Scientific progress depends on the ability of researchers to synthesize the growing body of literature. Can large language models (LLMs) assist scientists in this task? Here we introduce OpenScholar, a specialized retrieval-augmented language model (LM)1 that answers scientific queries by identifying relevant passages from 45 million open-access papers and synthesizing citation-backed responses. To evaluate OpenScholar, we develop ScholarQABench, the first large-scale multi-domain benchmark for literature search, comprising 2,967 expert-written queries and 208 long-form answers across computer science, physics, neuroscience and biomedicine. Despite being a smaller open model, OpenScholar-8B outperforms GPT-4o by 6.1% and PaperQA2 by 5.5% in correctness on a challenging multi-paper synthesis task from the new ScholarQABench. Although GPT-4o hallucinates citations 78–90% of the time, OpenScholar achieves citation accuracy on par with human experts. OpenScholar’s data store, retriever and self-feedback inference loop improve off-the-shelf LMs: for instance, OpenScholar-GPT-4o improves the correctness of GPT-4o by 12%. In human evaluations, experts preferred OpenScholar-8B and OpenScholar-GPT-4o responses over expert-written ones 51% and 70% of the time, respectively, compared with 32% for GPT-4o. We open-source all artefacts, including our code, models, data store, datasets and a public demo.</w:t>
      </w:r>
    </w:p>
    <w:p>
      <w:pPr>
        <w:spacing w:before="120" w:after="120"/>
      </w:pPr>
      <w:r>
        <w:rPr>
          <w:sz w:val="18"/>
        </w:rPr>
        <w:t>——————————————————————————————————————————————————————————————————————</w:t>
      </w:r>
    </w:p>
    <w:p>
      <w:pPr>
        <w:spacing w:before="160" w:after="40" w:line="240" w:lineRule="auto"/>
      </w:pPr>
      <w:r>
        <w:rPr>
          <w:b/>
        </w:rPr>
        <w:t xml:space="preserve">[360] </w:t>
      </w:r>
      <w:hyperlink r:id="rId566">
        <w:r>
          <w:rPr>
            <w:color w:val="1155CC"/>
            <w:u w:val="single"/>
          </w:rPr>
          <w:t>解决moiré超导体中的间隙差距和多体共振</w:t>
        </w:r>
      </w:hyperlink>
    </w:p>
    <w:p>
      <w:pPr>
        <w:spacing w:before="0" w:after="80"/>
      </w:pPr>
      <w:r>
        <w:rPr>
          <w:i/>
          <w:sz w:val="20"/>
        </w:rPr>
        <w:t>EN: Resolving intervalley gaps and many-body resonances in moiré superconductors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魔法角扭曲多层石墨是一个高度可查的摩尔材料类别,具有很强的电子相关性和很强的超导性1,2,3,4.4。然而,了解低温超导超导阶段与先前相关母体状态之间的关系仍是一个挑战。在这里,我们使用扫描隧道显微镜(STM)和光谱来跟踪由动态相关性、间距一致性和超导性相互作用在魔术角扭曲三层石墨(MATG)中建立的相关阶段的形成序列。我们发现,在超导剂量范围内,在费尔米一级存在两个很好解决的缺口。虽然以前与伪伽普相联的外部缺口5,但依然存在。</w:t>
      </w:r>
    </w:p>
    <w:p>
      <w:pPr>
        <w:spacing w:before="0" w:after="200" w:lineRule="auto" w:line="276"/>
      </w:pPr>
      <w:r>
        <w:rPr>
          <w:b/>
        </w:rPr>
        <w:t xml:space="preserve">Abstract (EN): </w:t>
      </w:r>
      <w:r>
        <w:t>Magic-angle twisted multilayer graphene stands out as a highly tunable class of moiré materials that exhibit strong electronic correlations and robust superconductivity1,2,3,4. However, understanding the relationships between the low-temperature superconducting phase and the preceding correlated parent states remains a challenge. Here we use scanning tunnelling microscopy (STM) and spectroscopy to track the formation sequence of correlated phases established by the interplay of dynamic correlations, intervalley coherence and superconductivity in magic-angle twisted trilayer graphene (MATTG). We discover the existence of two well-resolved gaps pinned at the Fermi level within the superconducting doping range. Although the outer gap, previously associated with the pseudogap phase5,6, persists at high temperatures and magnetic fields, the newly revealed inner gap is more fragile, in line with previous transport experiments1,2,4. Andreev reflection spectroscopy taken at the same location confirms a clear trend that closely follows the doping behaviour of the inner gap and not the outer one. Moreover, spectroscopy taken at nanoscale domain boundaries further corroborates the contrasting behaviour of the two gaps, with the inner gap remaining resilient to structural variations. By comparing our results with recent topological heavy fermion (THF) models that include dynamical correlations7,8, we find that the outer gap probably arises from a splitting of the Abrikosov–Suhl–Kondo resonance9,10 owing to the breaking of the valley symmetry. Our results indicate an intricate yet tractable hierarchy of correlated phases in twisted multilayer graphene.</w:t>
      </w:r>
    </w:p>
    <w:p>
      <w:pPr>
        <w:spacing w:before="120" w:after="120"/>
      </w:pPr>
      <w:r>
        <w:rPr>
          <w:sz w:val="18"/>
        </w:rPr>
        <w:t>——————————————————————————————————————————————————————————————————————</w:t>
      </w:r>
    </w:p>
    <w:p>
      <w:pPr>
        <w:spacing w:before="160" w:after="40" w:line="240" w:lineRule="auto"/>
      </w:pPr>
      <w:r>
        <w:rPr>
          <w:b/>
        </w:rPr>
        <w:t xml:space="preserve">[361] </w:t>
      </w:r>
      <w:hyperlink r:id="rId567">
        <w:r>
          <w:rPr>
            <w:color w:val="1155CC"/>
            <w:u w:val="single"/>
          </w:rPr>
          <w:t>哈迪斯地球的时速移动和静态岩层构造学</w:t>
        </w:r>
      </w:hyperlink>
    </w:p>
    <w:p>
      <w:pPr>
        <w:spacing w:before="0" w:after="80"/>
      </w:pPr>
      <w:r>
        <w:rPr>
          <w:i/>
          <w:sz w:val="20"/>
        </w:rPr>
        <w:t>EN: Contemporaneous mobile- and stagnant-lid tectonics on the Hadean Earth</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地球史上最初10亿年的地球历史见证了大陆磁磁力、海洋和生命的出现。然而,由于缺乏保存的岩石1,2,3,4,5,6,6,7,7,8,8,2,5,5,6,7,8。 两大矛盾的哈迪人模式占主导地位:早期起潜潜潜浮和板板构造,2,3,4,4,4,4,4,4,4,与早期停滞和羽状过程(后哈迪人)板块构造5,6,7,770 % 的哈迪人JH destrital zircons Sc/Yb &gt; 0.1和47 % 与Hadian detrital zircons(包括Nb-Sc-U-Yb) 的年龄和公顷和氧同位素比相关(包括Nb-Sc-U-Yb) 20, 指 con</w:t>
      </w:r>
    </w:p>
    <w:p>
      <w:pPr>
        <w:spacing w:before="0" w:after="200" w:lineRule="auto" w:line="276"/>
      </w:pPr>
      <w:r>
        <w:rPr>
          <w:b/>
        </w:rPr>
        <w:t xml:space="preserve">Abstract (EN): </w:t>
      </w:r>
      <w:r>
        <w:t>The first billion years of Earth history witnessed the emergence of continental magmatism, oceans and life. Yet, the details of how continents formed remain unknown because of the absence of preserved rocks1,2,3,4,5,6,7,8. Two conflicting Hadean models predominate: early onset of subduction and plate tectonics2,3,4, compared with early stagnant-lid and plume processes with delayed (post-Hadean) plate tectonics5,6,7. Here we report trace-element ratios (including Nb–Sc–U–Yb) correlated with age and hafnium and oxygen isotope ratios for Hadean detrital zircons from the Jack Hills (JH), Western Australia, which record unprecedented insights into the timing and setting of early magmatism. More than 70% of Hadean JH detrital zircons have Sc/Yb &gt; 0.1, and 47% have U/Nb &gt; 20, fingerprints for continental-arc and subduction settings. The remainder are ocean-island-like with little evidence for ocean-ridge settings. Hadean JH zircons probably originated from distinct terranes with separate tectonic histories. Subduction-related magmatism in the Hadean, as documented by JH zircons, alternated with periods of magmatic quiescence. This contrasts with dominantly stagnant-lid-like signatures for most Barberton Hadean zircons. The diverse settings for Jack Hills and Barberton detrital zircons imply contemporaneous operation of different tectonic styles during the Hadean, as well as a broader diversity of early crustal origins than previously known.</w:t>
      </w:r>
    </w:p>
    <w:p>
      <w:pPr>
        <w:spacing w:before="120" w:after="120"/>
      </w:pPr>
      <w:r>
        <w:rPr>
          <w:sz w:val="18"/>
        </w:rPr>
        <w:t>——————————————————————————————————————————————————————————————————————</w:t>
      </w:r>
    </w:p>
    <w:p>
      <w:pPr>
        <w:spacing w:before="160" w:after="40" w:line="240" w:lineRule="auto"/>
      </w:pPr>
      <w:r>
        <w:rPr>
          <w:b/>
        </w:rPr>
        <w:t xml:space="preserve">[362] </w:t>
      </w:r>
      <w:hyperlink r:id="rId568">
        <w:r>
          <w:rPr>
            <w:color w:val="1155CC"/>
            <w:u w:val="single"/>
          </w:rPr>
          <w:t>通过带有phage触发器的超分子组装激活细菌免疫</w:t>
        </w:r>
      </w:hyperlink>
    </w:p>
    <w:p>
      <w:pPr>
        <w:spacing w:before="0" w:after="80"/>
      </w:pPr>
      <w:r>
        <w:rPr>
          <w:i/>
          <w:sz w:val="20"/>
        </w:rPr>
        <w:t>EN: Bacterial immune activation via supramolecular assembly with phage triggers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许多抗菌系统形成大型蛋白质综合体,但如何在细胞感染期间对寡头化进行管制,仍大多未知7,8,9,9,10,11,12。这里我们证明,细菌免疫蛋白质环状活性锌-指RNase(RAZR)形成一个活跃的24个细胞环环,环绕着两个互不相连的细胞蛋白组成的大型环状结构环形环形环形环形环形:一种平板再组合酶和一个门户蛋白质。每个多层、巨型复合体使RAZR能够切除RNA,不具体地抑制翻译和限制脂肪传播。对形成直径相近的无关联的phage蛋白质的认知表明,这些蛋白不仅与RAZR捆绑在一起,而且还强制实施这些蛋白质。</w:t>
      </w:r>
    </w:p>
    <w:p>
      <w:pPr>
        <w:spacing w:before="0" w:after="200" w:lineRule="auto" w:line="276"/>
      </w:pPr>
      <w:r>
        <w:rPr>
          <w:b/>
        </w:rPr>
        <w:t xml:space="preserve">Abstract (EN): </w:t>
      </w:r>
      <w:r>
        <w:t>Bacteria use diverse mechanisms to protect themselves against phages1,2,3,4,5,6. Many antiphage systems form large oligomeric complexes, but how oligomerization is regulated during phage infection remains mostly unknown7,8,9,10,11,12. Here we demonstrate that the bacterial immunity protein ring-activated zinc-finger RNase (RAZR) assembles into an active, 24-meric ring around the circumference of large ring structures formed by two unrelated phage proteins: a putative recombinase and a portal protein. Each multi-layered, megadalton-scale complex enables RAZR to cleave RNA nonspecifically to inhibit translation and restrict phage propagation. The recognition of unrelated phage proteins that form rings with similar diameters indicates that these proteins not only bind to RAZR but also enforce a geometry crucial to activation. The lack of large ring structures in the host probably prevents auto-immunity and RAZR activation before infection. The infection-triggered oligomerization of RAZR mirrors pathogen-induced oligomerization in eukaryotic innate immune complexes13, underscoring a common principle of immunity across biology.</w:t>
      </w:r>
    </w:p>
    <w:p>
      <w:pPr>
        <w:spacing w:before="120" w:after="120"/>
      </w:pPr>
      <w:r>
        <w:rPr>
          <w:sz w:val="18"/>
        </w:rPr>
        <w:t>——————————————————————————————————————————————————————————————————————</w:t>
      </w:r>
    </w:p>
    <w:p>
      <w:pPr>
        <w:spacing w:before="160" w:after="40" w:line="240" w:lineRule="auto"/>
      </w:pPr>
      <w:r>
        <w:rPr>
          <w:b/>
        </w:rPr>
        <w:t xml:space="preserve">[363] </w:t>
      </w:r>
      <w:hyperlink r:id="rId569">
        <w:r>
          <w:rPr>
            <w:color w:val="1155CC"/>
            <w:u w:val="single"/>
          </w:rPr>
          <w:t>帕金森病作为一种 Somato-认知行动网络紊乱症</w:t>
        </w:r>
      </w:hyperlink>
    </w:p>
    <w:p>
      <w:pPr>
        <w:spacing w:before="0" w:after="80"/>
      </w:pPr>
      <w:r>
        <w:rPr>
          <w:i/>
          <w:sz w:val="20"/>
        </w:rPr>
        <w:t>EN: Parkinson’s disease as a somato-cognitive action network disorder</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帕金森氏病(PD)是一种无法治愈的神经疾病,通常从睡眠紊乱和体征症状开始,隐秘地开始,进入全体运动和认知症状,1、2、3、4、5。 索马托认知行动网络(ScAN)的功能——据认为通过协调具有行为动机的振动、器官生理和全体运动计划来控制执行行动6,77,7,7是PD多种临床表现的潜在促进因素。 调查SCAN在PD病理学和治疗(药理学、深脑刺激(DBS)、转基因磁刺激(TMS)和MRI定向超声波刺激(MRgFUS))中的作用,我们建立了一个大型(n=863)、多式、多式临床成像数据集。</w:t>
      </w:r>
    </w:p>
    <w:p>
      <w:pPr>
        <w:spacing w:before="0" w:after="200" w:lineRule="auto" w:line="276"/>
      </w:pPr>
      <w:r>
        <w:rPr>
          <w:b/>
        </w:rPr>
        <w:t xml:space="preserve">Abstract (EN): </w:t>
      </w:r>
      <w:r>
        <w:t>Parkinson’s disease (PD) is an incurable neurological disorder that often begins insidiously with sleep disturbances and somatic symptoms, progressing to whole-body motor and cognitive symptoms1,2,3,4,5. Dysfunction of the somato-cognitive action network (SCAN)—which is thought to control action execution6,7 by coordinating arousal, organ physiology and whole-body motor plans with behavioural motivation—is a potential contributor to the diverse clinical manifestations of PD. To investigate the role of the SCAN in PD pathophysiology and treatments (medications, deep-brain stimulation (DBS), transcranial magnetic stimulation (TMS) and MRI-guided focused ultrasound stimulation (MRgFUS)), we built a large (n = 863), multimodal, multi-intervention clinical imaging dataset. Resting-state functional connectivity revealed that the substantia nigra and all PD DBS targets (subthalamic nucleus, globus pallidus and ventral intermediate thalamus) are selectively connected to the SCAN rather than to effector-specific motor regions. Importantly, PD was characterized by specific hyperconnectivity between the SCAN and the subcortex. We therefore followed six PD cohorts undergoing DBS, TMS, MRgFUS and levodopa therapy using precision resting-state functional connectivity and electrocorticography recording. Efficacious treatments reduced SCAN-to-subcortex hyperconnectivity. Targeting the SCAN instead of effector regions doubled the efficacy of TMS treatments. Focused ultrasound treatment benefits increased when the target was closer to the thalamic SCAN sweet spot. Thus, SCAN hyperconnectivity is central to PD pathophysiology and its alleviation is a hallmark of successful neuromodulation. Targeting functionally defined subcortical SCAN nodes may improve existing therapies (DBS, MRgFUS), whereas cortical SCAN targets offer effective non-invasive or minimally invasive neuromodulation for PD.</w:t>
      </w:r>
    </w:p>
    <w:p>
      <w:pPr>
        <w:spacing w:before="120" w:after="120"/>
      </w:pPr>
      <w:r>
        <w:rPr>
          <w:sz w:val="18"/>
        </w:rPr>
        <w:t>——————————————————————————————————————————————————————————————————————</w:t>
      </w:r>
    </w:p>
    <w:p>
      <w:pPr>
        <w:spacing w:before="160" w:after="40" w:line="240" w:lineRule="auto"/>
      </w:pPr>
      <w:r>
        <w:rPr>
          <w:b/>
        </w:rPr>
        <w:t xml:space="preserve">[364] </w:t>
      </w:r>
      <w:hyperlink r:id="rId570">
        <w:r>
          <w:rPr>
            <w:color w:val="1155CC"/>
            <w:u w:val="single"/>
          </w:rPr>
          <w:t>哺乳动物皮肤通过进化不同机制形成背脊</w:t>
        </w:r>
      </w:hyperlink>
    </w:p>
    <w:p>
      <w:pPr>
        <w:spacing w:before="0" w:after="80"/>
      </w:pPr>
      <w:r>
        <w:rPr>
          <w:i/>
          <w:sz w:val="20"/>
        </w:rPr>
        <w:t>EN: Rete ridges form via evolutionarily distinct mechanisms in mammalian skin</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在人类进化过程中,毛皮的丧失长期以来使科学家和大众神秘化,有12,3,4,4,5,5,5,头发密度下降的同时,还获取了上皮脊,其发育时机和分子机制尽管在人中占有突出地位,但人们对此了解甚少,1,6,7,8,8,9。 对人类和猪皮肤发育情况的审查表明,通过一个独立于毛囊10,11和汗腺3,4,12,13,13,14,15的机制,通过建立相互联系的上皮层侵扰,对回脊形成形成。在这里,我们记录了包括灰熊和海豚在内的整个Mammalia发生的复头脊,并表明新生儿猪的伤口可以使其重新产生新基因。多物种认为,昆虫之间有显著的信号性互动。</w:t>
      </w:r>
    </w:p>
    <w:p>
      <w:pPr>
        <w:spacing w:before="0" w:after="200" w:lineRule="auto" w:line="276"/>
      </w:pPr>
      <w:r>
        <w:rPr>
          <w:b/>
        </w:rPr>
        <w:t xml:space="preserve">Abstract (EN): </w:t>
      </w:r>
      <w:r>
        <w:t>The loss of fur during human evolution has long mystified scientists and the public1,2,3,4,5. Reduced hair density coincides with acquisition of epidermal rete ridges, the developmental timing and molecular mechanisms of which are poorly understood despite their prominence in humans1,6,7,8,9. Examination of human and pig skin development has shown that rete ridges form through a mechanism independent from those of hair follicles10,11 and sweat glands3,4,12,13,14,15 by establishing interconnected epidermal invaginations. Here we document the occurrence of rete ridges across Mammalia, including in grizzly bears and dolphins, and show that neonatal pig wounds can regenerate them de novo. Multispecies spatiotemporal transcriptomics identifies significant signalling interactions between epidermal and dermal cells during rete ridge morphogenesis, particularly through bone morphogenetic proteins (BMP). We also demonstrate that mouse fingerpad skin forms rete ridges and functionally requires epidermal BMP signalling. We propose that evolution of rete ridges in mammalian skin involved replacement of the molecular program for formation of discrete microscopic appendages, including hair follicles and sweat glands, with a distinct program for the interconnected appendage network. Broad epidermal activation of BMP is required for the development of rete ridge networks organized around underlying dermal pockets. Understanding rete ridge mechanisms may enable development of therapeutic approaches to regenerate epidermal appendages lost during wounding or disease in humans.</w:t>
      </w:r>
    </w:p>
    <w:p>
      <w:pPr>
        <w:spacing w:before="120" w:after="120"/>
      </w:pPr>
      <w:r>
        <w:rPr>
          <w:sz w:val="18"/>
        </w:rPr>
        <w:t>——————————————————————————————————————————————————————————————————————</w:t>
      </w:r>
    </w:p>
    <w:p>
      <w:pPr>
        <w:spacing w:before="160" w:after="40" w:line="240" w:lineRule="auto"/>
      </w:pPr>
      <w:r>
        <w:rPr>
          <w:b/>
        </w:rPr>
        <w:t xml:space="preserve">[365] </w:t>
      </w:r>
      <w:hyperlink r:id="rId571">
        <w:r>
          <w:rPr>
            <w:color w:val="1155CC"/>
            <w:u w:val="single"/>
          </w:rPr>
          <w:t>少数Pachytene piRNAs对MRNAs的清除提高了精子健康度</w:t>
        </w:r>
      </w:hyperlink>
    </w:p>
    <w:p>
      <w:pPr>
        <w:spacing w:before="0" w:after="80"/>
      </w:pPr>
      <w:r>
        <w:rPr>
          <w:i/>
          <w:sz w:val="20"/>
        </w:rPr>
        <w:t>EN: Cleavage of mRNAs by a minority of pachytene piRNAs improves sperm fitness</w:t>
      </w:r>
    </w:p>
    <w:p>
      <w:pPr>
        <w:spacing w:before="0" w:after="120"/>
      </w:pPr>
      <w:r>
        <w:rPr>
          <w:b/>
        </w:rPr>
        <w:t xml:space="preserve">Source: </w:t>
      </w:r>
      <w:r>
        <w:t>Nature</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动物使用18-33核核酸 PIWI-相互作用RNAs (pirNAs) 来压制细菌细胞中的转子,1,2,3,3,3,3,3,3,3,3,3,3,3,3,3,3,3,3,3,3,4,3,4,4,4,5, 胎盘哺乳动物使用18-33核核核酸PiRNA(pirNAs)的合成RNAs(pirRNAs),静态转基因器在细菌哺乳动物中静态,PiRNAs本身的序列也在迅速变异。6,因此,对pachytene piRNAs的生物功能和动作机制仍然辩论。我们在这里报告,大多数鼠标pachytene piRNAs没有生物功能,而是`自私'促进它们自己的生产。我们的数据表明,pachytene piRNAs直接的内核糖分层分层。</w:t>
      </w:r>
    </w:p>
    <w:p>
      <w:pPr>
        <w:spacing w:before="0" w:after="200" w:lineRule="auto" w:line="276"/>
      </w:pPr>
      <w:r>
        <w:rPr>
          <w:b/>
        </w:rPr>
        <w:t xml:space="preserve">Abstract (EN): </w:t>
      </w:r>
      <w:r>
        <w:t>Animals use 18–33-nucleotide PIWI-interacting RNAs (piRNAs) to silence transposons in germ cells1,2,3. In addition to transposon-silencing piRNAs, placental mammals make pachytene piRNAs4,5, an abundant class of testis-specific small RNAs derived from long noncoding RNA precursors. Although the sites of pachytene piRNA precursor transcription are often conserved among placental mammals, the sequences of the piRNAs themselves are rapidly diverging, even in the human population6. Consequently, the biological function and mechanism of action of pachytene piRNAs remain debated. Here we report that most mouse pachytene piRNAs have no biological function but instead ‘selfishly’ promote their own production. Our data suggest that pachytene piRNAs direct endonucleolytic cleavage of partially complementary targets and neither activate nor repress mRNA translation. Although many pachytene piRNAs guide cleavage of specific mRNAs, few alter the steady-state abundance of their targets. The minority of pachytene piRNAs that reduce target mRNA abundance enhance sperm fitness, thereby ensuring production of the entire pachytene piRNA repertoire. Together, our findings explain the lack of conservation of most pachytene piRNA sequences and suggest that these ‘selfish’ small RNAs persist in mammalian evolution because target cleavage by a tiny minority of piRNAs supports male fertility.</w:t>
      </w:r>
    </w:p>
    <w:p>
      <w:pPr>
        <w:spacing w:before="120" w:after="120"/>
      </w:pPr>
      <w:r>
        <w:rPr>
          <w:sz w:val="18"/>
        </w:rPr>
        <w:t>——————————————————————————————————————————————————————————————————————</w:t>
      </w:r>
    </w:p>
    <w:p>
      <w:pPr>
        <w:spacing w:before="160" w:after="40" w:line="240" w:lineRule="auto"/>
      </w:pPr>
      <w:r>
        <w:rPr>
          <w:b/>
        </w:rPr>
        <w:t xml:space="preserve">[366] </w:t>
      </w:r>
      <w:hyperlink r:id="rId572">
        <w:r>
          <w:rPr>
            <w:color w:val="1155CC"/>
            <w:u w:val="single"/>
          </w:rPr>
          <w:t>二维系统中的分量量子大厅</w:t>
        </w:r>
      </w:hyperlink>
    </w:p>
    <w:p>
      <w:pPr>
        <w:spacing w:before="0" w:after="80"/>
      </w:pPr>
      <w:r>
        <w:rPr>
          <w:i/>
          <w:sz w:val="20"/>
        </w:rPr>
        <w:t>EN: Cascade of fractional quantum Hall states in two-dimensional system</w:t>
      </w:r>
    </w:p>
    <w:p>
      <w:pPr>
        <w:spacing w:before="0" w:after="120"/>
      </w:pPr>
      <w:r>
        <w:rPr>
          <w:b/>
        </w:rPr>
        <w:t xml:space="preserve">Source: </w:t>
      </w:r>
      <w:r>
        <w:t>National Science Review Advance Access</w:t>
      </w:r>
      <w:r>
        <w:t xml:space="preserve">    </w:t>
      </w:r>
      <w:r>
        <w:rPr>
          <w:b/>
        </w:rPr>
        <w:t xml:space="preserve">Pub date: </w:t>
      </w:r>
      <w:r>
        <w:t>2026-02-04 00:00:00+00:00</w:t>
      </w:r>
      <w:r>
        <w:t xml:space="preserve">    </w:t>
      </w:r>
      <w:r>
        <w:rPr>
          <w:b/>
        </w:rPr>
        <w:t xml:space="preserve">DOI: </w:t>
      </w:r>
      <w:hyperlink r:id="rId573">
        <w:r>
          <w:rPr>
            <w:color w:val="1155CC"/>
            <w:u w:val="single"/>
          </w:rPr>
          <w:t>10.1093/nsr/nwag079/8460550</w:t>
        </w:r>
      </w:hyperlink>
    </w:p>
    <w:p>
      <w:pPr>
        <w:spacing w:before="0" w:after="120"/>
      </w:pPr>
      <w:r>
        <w:rPr>
          <w:b/>
        </w:rPr>
        <w:t xml:space="preserve">Notes: </w:t>
      </w:r>
      <w:r>
        <w:t>abstract_source=rss_oup</w:t>
      </w:r>
    </w:p>
    <w:p>
      <w:pPr>
        <w:spacing w:before="0" w:after="80" w:lineRule="auto" w:line="276"/>
      </w:pPr>
      <w:r>
        <w:rPr>
          <w:b/>
        </w:rPr>
        <w:t xml:space="preserve">摘要（ZH）: </w:t>
      </w:r>
      <w:r>
        <w:t>在对由强电子相关关系驱动的地形阶段的调查中,对二维电子气体(FQH)的分量子大厅(FQH)效应的观测带来了对二维电子气体的观测。它们的显著特征包括分化基本振动、无差异的边界状态和非三角量子缠绕模式。由于不断努力建造新平台和制作质量更高的样本,在实验中暴露了多种FQH州。我们报告了对高品质的GaAs/ALGAs量水井的系统研究,该水井的机动性高达$=rm=3rm{7\\\time {rm{1\rm{rm{7{c\\\\\\\\\\\\\\\\\\\\\\\\\\\\\\\\\\\\\\\\\\\\\\\\\\\\\\\\\\\\\\\\\\\\\\\\\\\\\\\\\\\\\\\\\\\\\\\\\\\\\\</w:t>
      </w:r>
    </w:p>
    <w:p>
      <w:pPr>
        <w:spacing w:before="0" w:after="200" w:lineRule="auto" w:line="276"/>
      </w:pPr>
      <w:r>
        <w:rPr>
          <w:b/>
        </w:rPr>
        <w:t xml:space="preserve">Abstract (EN): </w:t>
      </w:r>
      <w:r>
        <w:t>The observation of fractional quantum Hall (FQH) effect in two-dimensional electron gases ushered in the investigations of topological phases driven by strong electron correlations. Their remarkable features include fractionalized elementary excitations, gapless boundary states, and nontrivial quantum entanglement patterns. Thanks to the persistent efforts of building new platforms and making higher quality samples, a diverse plethora of FQH states have been unveiled in experiments. We report a systematic study of ultrahigh quality GaAs/AlGaAs quantum wells with mobility up to ${\rm{\ 3}}{\rm{.7}} \times {\rm{1}}{{{\rm{0}}}^{\rm{7}}}{\rm{ c}}{{{\rm{m}}}^2}{{{\rm{V}}}^{ - 1}}{{{\rm{s}}}^{ - 1}}$ using quantum transport measurements in nuclear adiabatic demagnetization and dilution refrigerators down to 1 mK. In addition to many FQH states that have already been identified in previous works, new longitudinal resistance dips are observed at filling factors 17/33 and 15/31. The application of an in-plane magnetic field causes disparate variations of the FQH states. Theoretical foundation of these states is discussed in the framework of composite fermion theory. While most fractions can be explained as non-interacting composite fermions forming integer quantum Hall states, a few states correspond to FQH states of composite fermions that arise from residual interaction between them. We summarize the observed fractions in the range of 0 &lt; $\nu $ &lt; 2 and propose a pattern to account for their experimental appearance that provides an intuitive picture about the relative strengths of different FQH states.</w:t>
      </w:r>
    </w:p>
    <w:p>
      <w:pPr>
        <w:spacing w:before="120" w:after="120"/>
      </w:pPr>
      <w:r>
        <w:rPr>
          <w:sz w:val="18"/>
        </w:rPr>
        <w:t>——————————————————————————————————————————————————————————————————————</w:t>
      </w:r>
    </w:p>
    <w:p>
      <w:pPr>
        <w:spacing w:before="160" w:after="40" w:line="240" w:lineRule="auto"/>
      </w:pPr>
      <w:r>
        <w:rPr>
          <w:b/>
        </w:rPr>
        <w:t xml:space="preserve">[367] </w:t>
      </w:r>
      <w:hyperlink r:id="rId574">
        <w:r>
          <w:rPr>
            <w:color w:val="1155CC"/>
            <w:u w:val="single"/>
          </w:rPr>
          <w:t>粒子碰撞揭示了从看似空空的空间中物质的形式</w:t>
        </w:r>
      </w:hyperlink>
    </w:p>
    <w:p>
      <w:pPr>
        <w:spacing w:before="0" w:after="80"/>
      </w:pPr>
      <w:r>
        <w:rPr>
          <w:i/>
          <w:sz w:val="20"/>
        </w:rPr>
        <w:t>EN: Particle collisions cast light on how matter forms from seemingly empty space</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[368] </w:t>
      </w:r>
      <w:hyperlink r:id="rId575">
        <w:r>
          <w:rPr>
            <w:color w:val="1155CC"/>
            <w:u w:val="single"/>
          </w:rPr>
          <w:t>开放源码的AI工具在文献审查中胜过巨型LLMs——并获得正确的引用</w:t>
        </w:r>
      </w:hyperlink>
    </w:p>
    <w:p>
      <w:pPr>
        <w:spacing w:before="0" w:after="80"/>
      </w:pPr>
      <w:r>
        <w:rPr>
          <w:i/>
          <w:sz w:val="20"/>
        </w:rPr>
        <w:t>EN: Open-source AI tool beats giant LLMs in literature reviews — and gets citations right</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576">
        <w:r>
          <w:rPr>
            <w:color w:val="1155CC"/>
            <w:u w:val="single"/>
          </w:rPr>
          <w:t>通过碳混合化控制实现跨阶段稳定,解开稳定的钾电池</w:t>
        </w:r>
      </w:hyperlink>
    </w:p>
    <w:p>
      <w:pPr>
        <w:spacing w:before="0" w:after="80"/>
      </w:pPr>
      <w:r>
        <w:rPr>
          <w:i/>
          <w:sz w:val="20"/>
        </w:rPr>
        <w:t>EN: Interphase stabilization via carbon hybridization control unlocks stable potassium-ion batteries</w:t>
      </w:r>
    </w:p>
    <w:p>
      <w:pPr>
        <w:spacing w:before="0" w:after="120"/>
      </w:pPr>
      <w:r>
        <w:rPr>
          <w:b/>
        </w:rPr>
        <w:t xml:space="preserve">Source: </w:t>
      </w:r>
      <w:r>
        <w:t>Matter</w:t>
      </w:r>
      <w:r>
        <w:t xml:space="preserve">    </w:t>
      </w:r>
      <w:r>
        <w:rPr>
          <w:b/>
        </w:rPr>
        <w:t xml:space="preserve">Pub date: </w:t>
      </w:r>
      <w:r>
        <w:t>2026-02-04 00:00:00+00:00</w:t>
      </w:r>
    </w:p>
    <w:p>
      <w:pPr>
        <w:spacing w:before="0" w:after="120"/>
      </w:pPr>
      <w:r>
        <w:rPr>
          <w:b/>
        </w:rPr>
        <w:t xml:space="preserve">Notes: </w:t>
      </w:r>
      <w:r>
        <w:t>abstract_source=rss_cell</w:t>
      </w:r>
    </w:p>
    <w:p>
      <w:pPr>
        <w:spacing w:before="0" w:after="80" w:lineRule="auto" w:line="276"/>
      </w:pPr>
      <w:r>
        <w:rPr>
          <w:b/>
        </w:rPr>
        <w:t xml:space="preserve">摘要（ZH）: </w:t>
      </w:r>
      <w:r>
        <w:t>长期以来,由于固态电解中继器(SEI)的稳定性不高,从而限制了钾离子电池(PIBs)的性能。 这项研究表明,调和螺旋化碳和螺旋化碳之间的平衡,可以形成稳定的SEI,并增强可逆的钾储存。 由此形成的硬碳阳极能够实现高库层效率和延长周期寿命,为高性能的PIBs提供了一个通用材料设计战略。</w:t>
      </w:r>
    </w:p>
    <w:p>
      <w:pPr>
        <w:spacing w:before="0" w:after="200" w:lineRule="auto" w:line="276"/>
      </w:pPr>
      <w:r>
        <w:rPr>
          <w:b/>
        </w:rPr>
        <w:t xml:space="preserve">Abstract (EN): </w:t>
      </w:r>
      <w:r>
        <w:t>The performance of potassium-ion batteries (PIBs) has long been limited by the inefficient stability of solid electrolyte interphase (SEI). This study demonstrates that tuning the balance between sp3- and sp2-hybridized carbons enables the formation of a stable SEI and enhances reversible potassium storage. The resulting hard carbon anode achieves high Coulombic efficiency and extended cycle life, offering a generalizable materials design strategy for high-performance PIBs.</w:t>
      </w:r>
    </w:p>
    <w:p>
      <w:pPr>
        <w:spacing w:before="120" w:after="120"/>
      </w:pPr>
      <w:r>
        <w:rPr>
          <w:sz w:val="18"/>
        </w:rPr>
        <w:t>——————————————————————————————————————————————————————————————————————</w:t>
      </w:r>
    </w:p>
    <w:p>
      <w:pPr>
        <w:spacing w:before="160" w:after="40" w:line="240" w:lineRule="auto"/>
      </w:pPr>
      <w:r>
        <w:rPr>
          <w:b/>
        </w:rPr>
        <w:t xml:space="preserve">[370] </w:t>
      </w:r>
      <w:hyperlink r:id="rId577">
        <w:r>
          <w:rPr>
            <w:color w:val="1155CC"/>
            <w:u w:val="single"/>
          </w:rPr>
          <w:t>肿瘤如何诱使大脑关闭抗癌细胞</w:t>
        </w:r>
      </w:hyperlink>
    </w:p>
    <w:p>
      <w:pPr>
        <w:spacing w:before="0" w:after="80"/>
      </w:pPr>
      <w:r>
        <w:rPr>
          <w:i/>
          <w:sz w:val="20"/>
        </w:rPr>
        <w:t>EN: How tumours trick the brain into shutting down cancer-fighting cells</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578">
        <w:r>
          <w:rPr>
            <w:color w:val="1155CC"/>
            <w:u w:val="single"/>
          </w:rPr>
          <w:t>NIH在一些实验中反弹了繁琐的手续,激起兴奋和关注。</w:t>
        </w:r>
      </w:hyperlink>
    </w:p>
    <w:p>
      <w:pPr>
        <w:spacing w:before="0" w:after="80"/>
      </w:pPr>
      <w:r>
        <w:rPr>
          <w:i/>
          <w:sz w:val="20"/>
        </w:rPr>
        <w:t>EN: NIH rolls back red tape on some experiments — spurring excitement and concern</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[372] </w:t>
      </w:r>
      <w:hyperlink r:id="rId579">
        <w:r>
          <w:rPr>
            <w:color w:val="1155CC"/>
            <w:u w:val="single"/>
          </w:rPr>
          <w:t>三挥发纳米发电机的功用图</w:t>
        </w:r>
      </w:hyperlink>
    </w:p>
    <w:p>
      <w:pPr>
        <w:spacing w:before="0" w:after="80"/>
      </w:pPr>
      <w:r>
        <w:rPr>
          <w:i/>
          <w:sz w:val="20"/>
        </w:rPr>
        <w:t>EN: Figure-of-merit for tribovoltaic nanogenerators</w:t>
      </w:r>
    </w:p>
    <w:p>
      <w:pPr>
        <w:spacing w:before="0" w:after="120"/>
      </w:pPr>
      <w:r>
        <w:rPr>
          <w:b/>
        </w:rPr>
        <w:t xml:space="preserve">Source: </w:t>
      </w:r>
      <w:r>
        <w:t>Matter</w:t>
      </w:r>
      <w:r>
        <w:t xml:space="preserve">    </w:t>
      </w:r>
      <w:r>
        <w:rPr>
          <w:b/>
        </w:rPr>
        <w:t xml:space="preserve">Pub date: </w:t>
      </w:r>
      <w:r>
        <w:t>2026-02-04 00:00:00+00:00</w:t>
      </w:r>
    </w:p>
    <w:p>
      <w:pPr>
        <w:spacing w:before="0" w:after="120"/>
      </w:pPr>
      <w:r>
        <w:rPr>
          <w:b/>
        </w:rPr>
        <w:t xml:space="preserve">Notes: </w:t>
      </w:r>
      <w:r>
        <w:t>abstract_source=rss_cell</w:t>
      </w:r>
    </w:p>
    <w:p>
      <w:pPr>
        <w:spacing w:before="0" w:after="80" w:lineRule="auto" w:line="276"/>
      </w:pPr>
      <w:r>
        <w:rPr>
          <w:b/>
        </w:rPr>
        <w:t xml:space="preserve">摘要（ZH）: </w:t>
      </w:r>
      <w:r>
        <w:t>提议使用标准化设备图来评价三电纳米生成器的产出性能,为比较不同结构的装置的能源转换效率提供定量衡量标准,该研究增进了对三电纳米生成器装置物理和特性的基本理解,为进一步优化和扩大应用奠定了坚实的基础。</w:t>
      </w:r>
    </w:p>
    <w:p>
      <w:pPr>
        <w:spacing w:before="0" w:after="200" w:lineRule="auto" w:line="276"/>
      </w:pPr>
      <w:r>
        <w:rPr>
          <w:b/>
        </w:rPr>
        <w:t xml:space="preserve">Abstract (EN): </w:t>
      </w:r>
      <w:r>
        <w:t>A standardized device figure-of-merit is proposed to evaluate the output performance of triboelectric nanogenerators, providing a quantitative metric for comparing the energy conversion efficiency of devices with different architectures. This research advances the fundamental understanding of triboelectric nanogenerator device physics and properties, laying a robust foundation for further performance optimization and expanded applications.</w:t>
      </w:r>
    </w:p>
    <w:p>
      <w:pPr>
        <w:spacing w:before="120" w:after="120"/>
      </w:pPr>
      <w:r>
        <w:rPr>
          <w:sz w:val="18"/>
        </w:rPr>
        <w:t>——————————————————————————————————————————————————————————————————————</w:t>
      </w:r>
    </w:p>
    <w:p>
      <w:pPr>
        <w:spacing w:before="160" w:after="40" w:line="240" w:lineRule="auto"/>
      </w:pPr>
      <w:r>
        <w:rPr>
          <w:b/>
        </w:rPr>
        <w:t xml:space="preserve">[373] </w:t>
      </w:r>
      <w:hyperlink r:id="rId580">
        <w:r>
          <w:rPr>
            <w:color w:val="1155CC"/>
            <w:u w:val="single"/>
          </w:rPr>
          <w:t>大西洋洋流与冰河时代格格格不入</w:t>
        </w:r>
      </w:hyperlink>
    </w:p>
    <w:p>
      <w:pPr>
        <w:spacing w:before="0" w:after="80"/>
      </w:pPr>
      <w:r>
        <w:rPr>
          <w:i/>
          <w:sz w:val="20"/>
        </w:rPr>
        <w:t>EN: Atlantic ocean currents defied the ice age</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[374] </w:t>
      </w:r>
      <w:hyperlink r:id="rId581">
        <w:r>
          <w:rPr>
            <w:color w:val="1155CC"/>
            <w:u w:val="single"/>
          </w:rPr>
          <w:t>用于高性性能环环环圆极光探测的手性有机半导体设计小组理论制导材料设计</w:t>
        </w:r>
      </w:hyperlink>
    </w:p>
    <w:p>
      <w:pPr>
        <w:spacing w:before="0" w:after="80"/>
      </w:pPr>
      <w:r>
        <w:rPr>
          <w:i/>
          <w:sz w:val="20"/>
        </w:rPr>
        <w:t>EN: Group theory-guided materials design of chiral organic semiconductors for high-performance circularly polarized light detection</w:t>
      </w:r>
    </w:p>
    <w:p>
      <w:pPr>
        <w:spacing w:before="0" w:after="120"/>
      </w:pPr>
      <w:r>
        <w:rPr>
          <w:b/>
        </w:rPr>
        <w:t xml:space="preserve">Source: </w:t>
      </w:r>
      <w:r>
        <w:t>Matter</w:t>
      </w:r>
      <w:r>
        <w:t xml:space="preserve">    </w:t>
      </w:r>
      <w:r>
        <w:rPr>
          <w:b/>
        </w:rPr>
        <w:t xml:space="preserve">Pub date: </w:t>
      </w:r>
      <w:r>
        <w:t>2026-02-04 00:00:00+00:00</w:t>
      </w:r>
    </w:p>
    <w:p>
      <w:pPr>
        <w:spacing w:before="0" w:after="120"/>
      </w:pPr>
      <w:r>
        <w:rPr>
          <w:b/>
        </w:rPr>
        <w:t xml:space="preserve">Notes: </w:t>
      </w:r>
      <w:r>
        <w:t>abstract_source=rss_cell</w:t>
      </w:r>
    </w:p>
    <w:p>
      <w:pPr>
        <w:spacing w:before="0" w:after="80" w:lineRule="auto" w:line="276"/>
      </w:pPr>
      <w:r>
        <w:rPr>
          <w:b/>
        </w:rPr>
        <w:t xml:space="preserve">摘要（ZH）: </w:t>
      </w:r>
      <w:r>
        <w:t>(电话:8 102371;2025年12月3日)</w:t>
      </w:r>
    </w:p>
    <w:p>
      <w:pPr>
        <w:spacing w:before="0" w:after="200" w:lineRule="auto" w:line="276"/>
      </w:pPr>
      <w:r>
        <w:rPr>
          <w:b/>
        </w:rPr>
        <w:t xml:space="preserve">Abstract (EN): </w:t>
      </w:r>
      <w:r>
        <w:t>(Matter 8, 102371; December 3, 2025)</w:t>
      </w:r>
    </w:p>
    <w:p>
      <w:pPr>
        <w:spacing w:before="120" w:after="120"/>
      </w:pPr>
      <w:r>
        <w:rPr>
          <w:sz w:val="18"/>
        </w:rPr>
        <w:t>——————————————————————————————————————————————————————————————————————</w:t>
      </w:r>
    </w:p>
    <w:p>
      <w:pPr>
        <w:spacing w:before="160" w:after="40" w:line="240" w:lineRule="auto"/>
      </w:pPr>
      <w:r>
        <w:rPr>
          <w:b/>
        </w:rPr>
        <w:t xml:space="preserve">[375] </w:t>
      </w:r>
      <w:hyperlink r:id="rId582">
        <w:r>
          <w:rPr>
            <w:color w:val="1155CC"/>
            <w:u w:val="single"/>
          </w:rPr>
          <w:t>常见遗传变异影响妊娠丧失主要原因的风险</w:t>
        </w:r>
      </w:hyperlink>
    </w:p>
    <w:p>
      <w:pPr>
        <w:spacing w:before="0" w:after="80"/>
      </w:pPr>
      <w:r>
        <w:rPr>
          <w:i/>
          <w:sz w:val="20"/>
        </w:rPr>
        <w:t>EN: Common genetic variants affect risk of a major cause of pregnancy loss</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[376] </w:t>
      </w:r>
      <w:hyperlink r:id="rId583">
        <w:r>
          <w:rPr>
            <w:color w:val="1155CC"/>
            <w:u w:val="single"/>
          </w:rPr>
          <w:t>量子计算机最终将很有用:革命背后的背后是什么?</w:t>
        </w:r>
      </w:hyperlink>
    </w:p>
    <w:p>
      <w:pPr>
        <w:spacing w:before="0" w:after="80"/>
      </w:pPr>
      <w:r>
        <w:rPr>
          <w:i/>
          <w:sz w:val="20"/>
        </w:rPr>
        <w:t>EN: Quantum computers will finally be useful: what’s behind the revolution</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[377] </w:t>
      </w:r>
      <w:hyperlink r:id="rId584">
        <w:r>
          <w:rPr>
            <w:color w:val="1155CC"/>
            <w:u w:val="single"/>
          </w:rPr>
          <w:t>肿瘤到脑导道阻碍抗癌防御</w:t>
        </w:r>
      </w:hyperlink>
    </w:p>
    <w:p>
      <w:pPr>
        <w:spacing w:before="0" w:after="80"/>
      </w:pPr>
      <w:r>
        <w:rPr>
          <w:i/>
          <w:sz w:val="20"/>
        </w:rPr>
        <w:t>EN: A tumour-to-brain pathway hinders anticancer defences</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[378] </w:t>
      </w:r>
      <w:hyperlink r:id="rId585">
        <w:r>
          <w:rPr>
            <w:color w:val="1155CC"/>
            <w:u w:val="single"/>
          </w:rPr>
          <w:t>生物多样性保护有证据问题,</w:t>
        </w:r>
      </w:hyperlink>
    </w:p>
    <w:p>
      <w:pPr>
        <w:spacing w:before="0" w:after="80"/>
      </w:pPr>
      <w:r>
        <w:rPr>
          <w:i/>
          <w:sz w:val="20"/>
        </w:rPr>
        <w:t>EN: Biodiversity conservation has an evidence problem — it’s time to fix it</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[379] </w:t>
      </w:r>
      <w:hyperlink r:id="rId586">
        <w:r>
          <w:rPr>
            <w:color w:val="1155CC"/>
            <w:u w:val="single"/>
          </w:rPr>
          <w:t>衡量与海洋有关的倡议公平性的方法</w:t>
        </w:r>
      </w:hyperlink>
    </w:p>
    <w:p>
      <w:pPr>
        <w:spacing w:before="0" w:after="80"/>
      </w:pPr>
      <w:r>
        <w:rPr>
          <w:i/>
          <w:sz w:val="20"/>
        </w:rPr>
        <w:t>EN: A way to gauge the equity of ocean-related initiatives</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[380] </w:t>
      </w:r>
      <w:hyperlink r:id="rId587">
        <w:r>
          <w:rPr>
            <w:color w:val="1155CC"/>
            <w:u w:val="single"/>
          </w:rPr>
          <w:t>脑中帕金森病的肠胃驱动细胞发光</w:t>
        </w:r>
      </w:hyperlink>
    </w:p>
    <w:p>
      <w:pPr>
        <w:spacing w:before="0" w:after="80"/>
      </w:pPr>
      <w:r>
        <w:rPr>
          <w:i/>
          <w:sz w:val="20"/>
        </w:rPr>
        <w:t>EN: Immune cells from the gut drive development of Parkinson’s disease in the brain</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[381] </w:t>
      </w:r>
      <w:hyperlink r:id="rId588">
        <w:r>
          <w:rPr>
            <w:color w:val="1155CC"/>
            <w:u w:val="single"/>
          </w:rPr>
          <w:t>作者最清楚? 顶级AI会议要求在纸质大潮中自行整理论文。</w:t>
        </w:r>
      </w:hyperlink>
    </w:p>
    <w:p>
      <w:pPr>
        <w:spacing w:before="0" w:after="80"/>
      </w:pPr>
      <w:r>
        <w:rPr>
          <w:i/>
          <w:sz w:val="20"/>
        </w:rPr>
        <w:t>EN: Author knows best? Top AI conference asks for self-ranked papers amid paper deluge</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[382] </w:t>
      </w:r>
      <w:hyperlink r:id="rId589">
        <w:r>
          <w:rPr>
            <w:color w:val="1155CC"/>
            <w:u w:val="single"/>
          </w:rPr>
          <w:t>“这意味着我可以在晚上睡觉”:传感器如何帮助解决科学家的问题。</w:t>
        </w:r>
      </w:hyperlink>
    </w:p>
    <w:p>
      <w:pPr>
        <w:spacing w:before="0" w:after="80"/>
      </w:pPr>
      <w:r>
        <w:rPr>
          <w:i/>
          <w:sz w:val="20"/>
        </w:rPr>
        <w:t>EN: ‘It means I can sleep at night’: how sensors are helping to solve scientists’ problems</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[383] </w:t>
      </w:r>
      <w:hyperlink r:id="rId590">
        <w:r>
          <w:rPr>
            <w:color w:val="1155CC"/>
            <w:u w:val="single"/>
          </w:rPr>
          <w:t>AI可以改变研究评估,</w:t>
        </w:r>
      </w:hyperlink>
    </w:p>
    <w:p>
      <w:pPr>
        <w:spacing w:before="0" w:after="80"/>
      </w:pPr>
      <w:r>
        <w:rPr>
          <w:i/>
          <w:sz w:val="20"/>
        </w:rPr>
        <w:t>EN: AI could transform research assessment — and some academics are worried</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[384] </w:t>
      </w:r>
      <w:hyperlink r:id="rId591">
        <w:r>
          <w:rPr>
            <w:color w:val="1155CC"/>
            <w:u w:val="single"/>
          </w:rPr>
          <w:t>搬迁通知</w:t>
        </w:r>
      </w:hyperlink>
    </w:p>
    <w:p>
      <w:pPr>
        <w:spacing w:before="0" w:after="80"/>
      </w:pPr>
      <w:r>
        <w:rPr>
          <w:i/>
          <w:sz w:val="20"/>
        </w:rPr>
        <w:t>EN: Eviction notice</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[385] </w:t>
      </w:r>
      <w:hyperlink r:id="rId592">
        <w:r>
          <w:rPr>
            <w:color w:val="1155CC"/>
            <w:u w:val="single"/>
          </w:rPr>
          <w:t>我的洞穴留下来教我的感应器</w:t>
        </w:r>
      </w:hyperlink>
    </w:p>
    <w:p>
      <w:pPr>
        <w:spacing w:before="0" w:after="80"/>
      </w:pPr>
      <w:r>
        <w:rPr>
          <w:i/>
          <w:sz w:val="20"/>
        </w:rPr>
        <w:t>EN: What my cave stay taught me about sensors</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[386] </w:t>
      </w:r>
      <w:hyperlink r:id="rId593">
        <w:r>
          <w:rPr>
            <w:color w:val="1155CC"/>
            <w:u w:val="single"/>
          </w:rPr>
          <w:t>机机学习断裂了电池使用寿命所需的测试</w:t>
        </w:r>
      </w:hyperlink>
    </w:p>
    <w:p>
      <w:pPr>
        <w:spacing w:before="0" w:after="80"/>
      </w:pPr>
      <w:r>
        <w:rPr>
          <w:i/>
          <w:sz w:val="20"/>
        </w:rPr>
        <w:t>EN: Machine learning slashes the testing needed to work out battery lifetimes</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[387] </w:t>
      </w:r>
      <w:hyperlink r:id="rId594">
        <w:r>
          <w:rPr>
            <w:color w:val="1155CC"/>
            <w:u w:val="single"/>
          </w:rPr>
          <w:t>对皮肤折叠的进化洞见</w:t>
        </w:r>
      </w:hyperlink>
    </w:p>
    <w:p>
      <w:pPr>
        <w:spacing w:before="0" w:after="80"/>
      </w:pPr>
      <w:r>
        <w:rPr>
          <w:i/>
          <w:sz w:val="20"/>
        </w:rPr>
        <w:t>EN: Evolutionary insights into a skin fold</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[388] </w:t>
      </w:r>
      <w:hyperlink r:id="rId595">
        <w:r>
          <w:rPr>
            <w:color w:val="1155CC"/>
            <w:u w:val="single"/>
          </w:rPr>
          <w:t>智能传感器改进了世界上最大的城市</w:t>
        </w:r>
      </w:hyperlink>
    </w:p>
    <w:p>
      <w:pPr>
        <w:spacing w:before="0" w:after="80"/>
      </w:pPr>
      <w:r>
        <w:rPr>
          <w:i/>
          <w:sz w:val="20"/>
        </w:rPr>
        <w:t>EN: The smart sensors improving the world’s biggest cities</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[389] </w:t>
      </w:r>
      <w:hyperlink r:id="rId596">
        <w:r>
          <w:rPr>
            <w:color w:val="1155CC"/>
            <w:u w:val="single"/>
          </w:rPr>
          <w:t>通过抽水对非平衡的转氧烷进行精密合成</w:t>
        </w:r>
      </w:hyperlink>
    </w:p>
    <w:p>
      <w:pPr>
        <w:spacing w:before="0" w:after="80"/>
      </w:pPr>
      <w:r>
        <w:rPr>
          <w:i/>
          <w:sz w:val="20"/>
        </w:rPr>
        <w:t>EN: Precise synthesis of non-equilibrium rotaxanes via pumping in water</w:t>
      </w:r>
    </w:p>
    <w:p>
      <w:pPr>
        <w:spacing w:before="0" w:after="120"/>
      </w:pPr>
      <w:r>
        <w:rPr>
          <w:b/>
        </w:rPr>
        <w:t xml:space="preserve">Source: </w:t>
      </w:r>
      <w:r>
        <w:t>Chem</w:t>
      </w:r>
      <w:r>
        <w:t xml:space="preserve">    </w:t>
      </w:r>
      <w:r>
        <w:rPr>
          <w:b/>
        </w:rPr>
        <w:t xml:space="preserve">Pub date: </w:t>
      </w:r>
      <w:r>
        <w:t>2026-02-04 00:00:00+00:00</w:t>
      </w:r>
    </w:p>
    <w:p>
      <w:pPr>
        <w:spacing w:before="0" w:after="120"/>
      </w:pPr>
      <w:r>
        <w:rPr>
          <w:b/>
        </w:rPr>
        <w:t xml:space="preserve">Notes: </w:t>
      </w:r>
      <w:r>
        <w:t>abstract_source=rss_cell</w:t>
      </w:r>
    </w:p>
    <w:p>
      <w:pPr>
        <w:spacing w:before="0" w:after="80" w:lineRule="auto" w:line="276"/>
      </w:pPr>
      <w:r>
        <w:rPr>
          <w:b/>
        </w:rPr>
        <w:t xml:space="preserve">摘要（ZH）: </w:t>
      </w:r>
      <w:r>
        <w:t>在水中发挥作用的人工分子泵(AMPs)的实现仍然具有挑战性。作者们报告说,一种合理设计的水分子泵(AMPs ), 配有全新的大砍刀部件。它借助酸基脉冲,驱动了定义清晰的内联聚合物的非平衡合成,使本地的氯丁二烯浓度[7]比散装溶液高出350倍。</w:t>
      </w:r>
    </w:p>
    <w:p>
      <w:pPr>
        <w:spacing w:before="0" w:after="200" w:lineRule="auto" w:line="276"/>
      </w:pPr>
      <w:r>
        <w:rPr>
          <w:b/>
        </w:rPr>
        <w:t xml:space="preserve">Abstract (EN): </w:t>
      </w:r>
      <w:r>
        <w:t>The realization of artificial molecular pumps (AMPs) that function in water remains challenging. The authors report a rationally designed aqueous AMP with brand-new ratchet components. Powered by acid-base pulses, it drives the non-equilibrium synthesis of well-defined interlocked polymers, achieving a local cucurbit[7]uril concentration 350 times higher than in bulk solution.</w:t>
      </w:r>
    </w:p>
    <w:p>
      <w:pPr>
        <w:spacing w:before="120" w:after="120"/>
      </w:pPr>
      <w:r>
        <w:rPr>
          <w:sz w:val="18"/>
        </w:rPr>
        <w:t>——————————————————————————————————————————————————————————————————————</w:t>
      </w:r>
    </w:p>
    <w:p>
      <w:pPr>
        <w:spacing w:before="160" w:after="40" w:line="240" w:lineRule="auto"/>
      </w:pPr>
      <w:r>
        <w:rPr>
          <w:b/>
        </w:rPr>
        <w:t xml:space="preserve">[390] </w:t>
      </w:r>
      <w:hyperlink r:id="rId597">
        <w:r>
          <w:rPr>
            <w:color w:val="1155CC"/>
            <w:u w:val="single"/>
          </w:rPr>
          <w:t>消除跨越锂、锌和镁金属电池组的无缝电镀的钝化违规现象</w:t>
        </w:r>
      </w:hyperlink>
    </w:p>
    <w:p>
      <w:pPr>
        <w:spacing w:before="0" w:after="80"/>
      </w:pPr>
      <w:r>
        <w:rPr>
          <w:i/>
          <w:sz w:val="20"/>
        </w:rPr>
        <w:t>EN: Removing passivation irregularities for seamless electroplating across lithium, zinc, and magnesium metal batteries</w:t>
      </w:r>
    </w:p>
    <w:p>
      <w:pPr>
        <w:spacing w:before="0" w:after="120"/>
      </w:pPr>
      <w:r>
        <w:rPr>
          <w:b/>
        </w:rPr>
        <w:t xml:space="preserve">Source: </w:t>
      </w:r>
      <w:r>
        <w:t>Chem</w:t>
      </w:r>
      <w:r>
        <w:t xml:space="preserve">    </w:t>
      </w:r>
      <w:r>
        <w:rPr>
          <w:b/>
        </w:rPr>
        <w:t xml:space="preserve">Pub date: </w:t>
      </w:r>
      <w:r>
        <w:t>2026-02-04 00:00:00+00:00</w:t>
      </w:r>
    </w:p>
    <w:p>
      <w:pPr>
        <w:spacing w:before="0" w:after="120"/>
      </w:pPr>
      <w:r>
        <w:rPr>
          <w:b/>
        </w:rPr>
        <w:t xml:space="preserve">Notes: </w:t>
      </w:r>
      <w:r>
        <w:t>abstract_source=rss_cell</w:t>
      </w:r>
    </w:p>
    <w:p>
      <w:pPr>
        <w:spacing w:before="0" w:after="80" w:lineRule="auto" w:line="276"/>
      </w:pPr>
      <w:r>
        <w:rPr>
          <w:b/>
        </w:rPr>
        <w:t xml:space="preserve">摘要（ZH）: </w:t>
      </w:r>
      <w:r>
        <w:t>钝化违规和金属阳极上新生的固态电解相交层控制着锂、锌和镁电池的核化和生长。 通过消除本地氧化物和构建统一的幼年层,我们实现了无缝、紧凑的电极,建立了钝化常态,作为耐用金属阳极的普遍设计原则。</w:t>
      </w:r>
    </w:p>
    <w:p>
      <w:pPr>
        <w:spacing w:before="0" w:after="200" w:lineRule="auto" w:line="276"/>
      </w:pPr>
      <w:r>
        <w:rPr>
          <w:b/>
        </w:rPr>
        <w:t xml:space="preserve">Abstract (EN): </w:t>
      </w:r>
      <w:r>
        <w:t>Passivation irregularities and nascent solid-electrolyte interphase layers on metal anodes govern nucleation and growth in lithium, zinc, and magnesium batteries. By eliminating native oxides and constructing uniform infant layers, we realize seamless, compact electrodeposition, establishing passivation regularity as a universal design principle for durable metal anodes.</w:t>
      </w:r>
    </w:p>
    <w:p>
      <w:pPr>
        <w:spacing w:before="120" w:after="120"/>
      </w:pPr>
      <w:r>
        <w:rPr>
          <w:sz w:val="18"/>
        </w:rPr>
        <w:t>——————————————————————————————————————————————————————————————————————</w:t>
      </w:r>
    </w:p>
    <w:p>
      <w:pPr>
        <w:spacing w:before="160" w:after="40" w:line="240" w:lineRule="auto"/>
      </w:pPr>
      <w:r>
        <w:rPr>
          <w:b/>
        </w:rPr>
        <w:t xml:space="preserve">[391] </w:t>
      </w:r>
      <w:hyperlink r:id="rId598">
        <w:r>
          <w:rPr>
            <w:color w:val="1155CC"/>
            <w:u w:val="single"/>
          </w:rPr>
          <w:t>这些神秘的海脊可以帮助皮肤再生</w:t>
        </w:r>
      </w:hyperlink>
    </w:p>
    <w:p>
      <w:pPr>
        <w:spacing w:before="0" w:after="80"/>
      </w:pPr>
      <w:r>
        <w:rPr>
          <w:i/>
          <w:sz w:val="20"/>
        </w:rPr>
        <w:t>EN: These mysterious ridges could help skin regenerate</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[392] </w:t>
      </w:r>
      <w:hyperlink r:id="rId599">
        <w:r>
          <w:rPr>
            <w:color w:val="1155CC"/>
            <w:u w:val="single"/>
          </w:rPr>
          <w:t>具有超低功率消散作用的巨型旋转-轨道托盘</w:t>
        </w:r>
      </w:hyperlink>
    </w:p>
    <w:p>
      <w:pPr>
        <w:spacing w:before="0" w:after="80"/>
      </w:pPr>
      <w:r>
        <w:rPr>
          <w:i/>
          <w:sz w:val="20"/>
        </w:rPr>
        <w:t>EN: Symmetry-enforced topological dirac semimetal for giant spin–orbit torque with ultralow power dissipation</w:t>
      </w:r>
    </w:p>
    <w:p>
      <w:pPr>
        <w:spacing w:before="0" w:after="120"/>
      </w:pPr>
      <w:r>
        <w:rPr>
          <w:b/>
        </w:rPr>
        <w:t xml:space="preserve">Source: </w:t>
      </w:r>
      <w:r>
        <w:t>National Science Review Advance Access</w:t>
      </w:r>
      <w:r>
        <w:t xml:space="preserve">    </w:t>
      </w:r>
      <w:r>
        <w:rPr>
          <w:b/>
        </w:rPr>
        <w:t xml:space="preserve">Pub date: </w:t>
      </w:r>
      <w:r>
        <w:t>2026-02-04 00:00:00+00:00</w:t>
      </w:r>
      <w:r>
        <w:t xml:space="preserve">    </w:t>
      </w:r>
      <w:r>
        <w:rPr>
          <w:b/>
        </w:rPr>
        <w:t xml:space="preserve">DOI: </w:t>
      </w:r>
      <w:hyperlink r:id="rId600">
        <w:r>
          <w:rPr>
            <w:color w:val="1155CC"/>
            <w:u w:val="single"/>
          </w:rPr>
          <w:t>10.1093/nsr/nwag077/8460551</w:t>
        </w:r>
      </w:hyperlink>
    </w:p>
    <w:p>
      <w:pPr>
        <w:spacing w:before="0" w:after="120"/>
      </w:pPr>
      <w:r>
        <w:rPr>
          <w:b/>
        </w:rPr>
        <w:t xml:space="preserve">Notes: </w:t>
      </w:r>
      <w:r>
        <w:t>abstract_source=rss_oup</w:t>
      </w:r>
    </w:p>
    <w:p>
      <w:pPr>
        <w:spacing w:before="0" w:after="80" w:lineRule="auto" w:line="276"/>
      </w:pPr>
      <w:r>
        <w:rPr>
          <w:b/>
        </w:rPr>
        <w:t xml:space="preserve">摘要（ZH）: </w:t>
      </w:r>
      <w:r>
        <w:t>当前驱动的旋转-轨道反转器(SOT)为下一代内存和逻辑的磁化控制了电磁化,但降低转换的电流和电能消耗仍然是一个重大挑战。 地形学半金属提供了一个有吸引力的平台,因为它们将金属传导性与能够有效产生旋流的地形学状态结合起来。 然而,尽管大多数研究过的系统都依赖意外波段反转,但对称强制的Dirac半金属的SOT反应在很大程度上仍未被探索。 在这里,我们证明非同步对称性对称强制的Dirac半金属SrIrO3展示了创纪录的高SOT效率。</w:t>
      </w:r>
    </w:p>
    <w:p>
      <w:pPr>
        <w:spacing w:before="0" w:after="200" w:lineRule="auto" w:line="276"/>
      </w:pPr>
      <w:r>
        <w:rPr>
          <w:b/>
        </w:rPr>
        <w:t xml:space="preserve">Abstract (EN): </w:t>
      </w:r>
      <w:r>
        <w:t>Current-driven spin–orbit torque (SOT) enables electrical control of magnetization for next-generation memory and logic, but reducing switching current and power consumption is still a major challenge. Topological semimetals provide an attractive platform because they combine metallic conductivity with topological states that can efficiently generate spin currents. However, while most studied systems rely on accidental band inversions, the SOT response of symmetry-enforced Dirac semimetals remains largely unexplored. Here, we demonstrate that the nonsymmorphic symmetry-enforced Dirac semimetal hexagonal SrIrO3 exhibits record-high SOT efficiency. In-situ</w:t>
      </w:r>
    </w:p>
    <w:p>
      <w:pPr>
        <w:spacing w:before="120" w:after="120"/>
      </w:pPr>
      <w:r>
        <w:rPr>
          <w:sz w:val="18"/>
        </w:rPr>
        <w:t>——————————————————————————————————————————————————————————————————————</w:t>
      </w:r>
    </w:p>
    <w:p>
      <w:pPr>
        <w:spacing w:before="160" w:after="40" w:line="240" w:lineRule="auto"/>
      </w:pPr>
      <w:r>
        <w:rPr>
          <w:b/>
        </w:rPr>
        <w:t xml:space="preserve">[393] </w:t>
      </w:r>
      <w:hyperlink r:id="rId601">
        <w:r>
          <w:rPr>
            <w:color w:val="1155CC"/>
            <w:u w:val="single"/>
          </w:rPr>
          <w:t>NMC811电池卡特迪通过联合高温量量定值和激光建模增强电能密度和周期寿命</w:t>
        </w:r>
      </w:hyperlink>
    </w:p>
    <w:p>
      <w:pPr>
        <w:spacing w:before="0" w:after="80"/>
      </w:pPr>
      <w:r>
        <w:rPr>
          <w:i/>
          <w:sz w:val="20"/>
        </w:rPr>
        <w:t>EN: Enhancing Power Density and Cycle Life of NMC811 Battery Cathodes via Combined Dense Calendering and Laser Patterning</w:t>
      </w:r>
    </w:p>
    <w:p>
      <w:pPr>
        <w:spacing w:before="0" w:after="120"/>
      </w:pPr>
      <w:r>
        <w:rPr>
          <w:b/>
        </w:rPr>
        <w:t xml:space="preserve">Source: </w:t>
      </w:r>
      <w:r>
        <w:t>RSC - Energy Environ. Sci. latest articles</w:t>
      </w:r>
      <w:r>
        <w:t xml:space="preserve">    </w:t>
      </w:r>
      <w:r>
        <w:rPr>
          <w:b/>
        </w:rPr>
        <w:t xml:space="preserve">Pub date: </w:t>
      </w:r>
      <w:r>
        <w:t>2026-02-04 00:00:00+00:00</w:t>
      </w:r>
    </w:p>
    <w:p>
      <w:pPr>
        <w:spacing w:before="0" w:after="120"/>
      </w:pPr>
      <w:r>
        <w:rPr>
          <w:b/>
        </w:rPr>
        <w:t xml:space="preserve">Notes: </w:t>
      </w:r>
      <w:r>
        <w:t>abstract_source=rsc_html</w:t>
      </w:r>
    </w:p>
    <w:p>
      <w:pPr>
        <w:spacing w:before="0" w:after="80" w:lineRule="auto" w:line="276"/>
      </w:pPr>
      <w:r>
        <w:rPr>
          <w:b/>
        </w:rPr>
        <w:t xml:space="preserve">摘要（ZH）: </w:t>
      </w:r>
      <w:r>
        <w:t>利离电池的充电时间是更广泛地采用电动车辆(EVs)的一个重要瓶颈。改进速度性能的一个共同战略是通过电极的图案来改善离子传输。然而,这些图案方法通常会增加电极孔径,从而降低体积能量密度。在这项工作中,我们利用单晶体LiNi0.8Mn0.1Co0.1O2(SC-NMC811)电极的能力,使其的包装密度高于传统阴极,从而能够抵消电极图案的增高孔径。我们把SC-NMC811电极电解成25%的孔径,然后采用激光处理法,将100至600微米的孔形体隔开,目标是将平均孔孔宽度维持在30%以下。</w:t>
      </w:r>
    </w:p>
    <w:p>
      <w:pPr>
        <w:spacing w:before="0" w:after="200" w:lineRule="auto" w:line="276"/>
      </w:pPr>
      <w:r>
        <w:rPr>
          <w:b/>
        </w:rPr>
        <w:t xml:space="preserve">Abstract (EN): </w:t>
      </w:r>
      <w:r>
        <w:t>The charging time of Li-ion batteries is an important bottleneck in the wider adoption of electric vehicles (EVs). A common strategy to improve the rate performance is improving ion transport by patterning the electrode. However, these patterning methods usually increase the electrode porosity, thereby decreasing the volumetric energy density. In this work, we leverage the ability of Single Crystal LiNi0.8Mn0.1Co0.1O2 (SC-NMC811) electrodes to be calendered to higher packing densities than traditional cathodes, which then allows to offset additional porosity introduced by electrode patterning. We calendar SC-NMC811 electrodes to a 25% porosity and then introduce hole patterns spaced 100 to 600 µm apart using laser processing with a goal to maintain average porosities below 30%. As expected, we found systematic improvements in the rate performance with increasing hole density and used operando charge photometry to explore the limits of mass transport in the regions surrounding the holes but interestingly, we also observed improved capacity retention when using patterned electrodes. We found that there is less cathode lattice oxygen loss when using patterned cathodes, this in turn reduces transition metal shuttling reduces anode solid electrolyte interphase (SEI) impedance growth. We demonstrated a reduction in oxygen loss by both electron energy loss spectroscopy (EELS) mapping, X-ray diffraction (XRD) mapping and X-ray diffraction computed tomography (XRD-CT). Overall, the SC-NMC811 electrode’s ability to withstand over-calendering offers the opportunity to introduce laser-patterned holes while maintaining the average porosity below 30%. This increases both the rate performance and the longevity of the electrodes.</w:t>
      </w:r>
    </w:p>
    <w:p>
      <w:pPr>
        <w:spacing w:before="120" w:after="120"/>
      </w:pPr>
      <w:r>
        <w:rPr>
          <w:sz w:val="18"/>
        </w:rPr>
        <w:t>——————————————————————————————————————————————————————————————————————</w:t>
      </w:r>
    </w:p>
    <w:p>
      <w:pPr>
        <w:spacing w:before="160" w:after="40" w:line="240" w:lineRule="auto"/>
      </w:pPr>
      <w:r>
        <w:rPr>
          <w:b/>
        </w:rPr>
        <w:t xml:space="preserve">[394] </w:t>
      </w:r>
      <w:hyperlink r:id="rId602">
        <w:r>
          <w:rPr>
            <w:color w:val="1155CC"/>
            <w:u w:val="single"/>
          </w:rPr>
          <w:t>高性能低性能低度低温度高光性水基铝铝光电池双极聚合阴极阴极相混合的连续连续有机电电合成</w:t>
        </w:r>
      </w:hyperlink>
    </w:p>
    <w:p>
      <w:pPr>
        <w:spacing w:before="0" w:after="80"/>
      </w:pPr>
      <w:r>
        <w:rPr>
          <w:i/>
          <w:sz w:val="20"/>
        </w:rPr>
        <w:t>EN: Continuous-Flow Organic Electrosynthesis of a Conjugated Bipolar Polymer Cathode for High-Performance Low-Temperature Aqueous Aluminum-Ion Batteries</w:t>
      </w:r>
    </w:p>
    <w:p>
      <w:pPr>
        <w:spacing w:before="0" w:after="120"/>
      </w:pPr>
      <w:r>
        <w:rPr>
          <w:b/>
        </w:rPr>
        <w:t xml:space="preserve">Source: </w:t>
      </w:r>
      <w:r>
        <w:t>RSC - Energy Environ. Sci. latest articles</w:t>
      </w:r>
      <w:r>
        <w:t xml:space="preserve">    </w:t>
      </w:r>
      <w:r>
        <w:rPr>
          <w:b/>
        </w:rPr>
        <w:t xml:space="preserve">Pub date: </w:t>
      </w:r>
      <w:r>
        <w:t>2026-02-04 00:00:00+00:00</w:t>
      </w:r>
    </w:p>
    <w:p>
      <w:pPr>
        <w:spacing w:before="0" w:after="120"/>
      </w:pPr>
      <w:r>
        <w:rPr>
          <w:b/>
        </w:rPr>
        <w:t xml:space="preserve">Notes: </w:t>
      </w:r>
      <w:r>
        <w:t>abstract_source=rsc_html</w:t>
      </w:r>
    </w:p>
    <w:p>
      <w:pPr>
        <w:spacing w:before="0" w:after="80" w:lineRule="auto" w:line="276"/>
      </w:pPr>
      <w:r>
        <w:rPr>
          <w:b/>
        </w:rPr>
        <w:t xml:space="preserve">摘要（ZH）: </w:t>
      </w:r>
      <w:r>
        <w:t>水铝离子电池是一种充满希望的能源储存技术,利用它们的特殊能力、低成本和固有安全,但是,由于在零下温度下性能严重退化,而且阴极材料缺乏且容量高,实际执行受到阻碍。在这里,我们提出了一个通过连续流有机电合成的有机电合体合成的双极聚合聚(2,3-二氨基甲苯-1,4-二酮)(PDND)相融合的双极聚合聚(2,3-二氨基甲苯-1,4-二酮)(PDND),这种分子设计包含一种五苯胺红氧化系统,将n型(Quinone)和p型(胺)母体结合,从而提高了充电储存能力。</w:t>
      </w:r>
    </w:p>
    <w:p>
      <w:pPr>
        <w:spacing w:before="0" w:after="200" w:lineRule="auto" w:line="276"/>
      </w:pPr>
      <w:r>
        <w:rPr>
          <w:b/>
        </w:rPr>
        <w:t xml:space="preserve">Abstract (EN): </w:t>
      </w:r>
      <w:r>
        <w:t>Aqueous aluminum-ion batteries represent a promising energy storage technology, leveraging their exceptional capacity, low cost, and inherent safety. However, practical implementation has been hampered by severe performance degradation at subzero temperatures and a scarcity of cathode materials with high capacity. Here, we present a conjugated bipolar polymer poly(2,3-diaminonaphthalene-1,4-dione) (PDND) synthesized via continuous-flow organic electrosynthesis. This molecular design incorporates a quinone-amine redox system that unifies n-type (quinone) and p-type (amine) moieties, thereby enhancing charge storage capacity. The extended quinone-amine backbone enhances p-π conjugation, enabling efficient π-electron delocalization and continuous charge transport pathways along the polymer chain, resulting in high electronic conductivity. Furthermore, planar π-conjugated quinone units and arylamine linkages construct synergistic dualinteraction networks between polymer chains including dense hydrogen-bonding and strong π-π interaction, ensuring structural stability. Consequently, the Al//PDND battery delivers a high capacity of 302 mAh g⁻¹, outstanding cycling stability (≥1000 cycles), and remarkable rate capability (up to 2 A g⁻¹). Notably, it operates effectively at -25 o C using a standard aqueous electrolyte without antifreeze additives, underscoring the superior low-temperature performance endowed by PDND. Through in situ/ex situ spectroscopic studies, we elucidate a multi-ion co-storage mechanism involving the reversible insertion of Al³⁺, H⁺, and ClO₄⁻ ions.</w:t>
      </w:r>
    </w:p>
    <w:p>
      <w:pPr>
        <w:spacing w:before="120" w:after="120"/>
      </w:pPr>
      <w:r>
        <w:rPr>
          <w:sz w:val="18"/>
        </w:rPr>
        <w:t>——————————————————————————————————————————————————————————————————————</w:t>
      </w:r>
    </w:p>
    <w:p>
      <w:pPr>
        <w:spacing w:before="160" w:after="40" w:line="240" w:lineRule="auto"/>
      </w:pPr>
      <w:r>
        <w:rPr>
          <w:b/>
        </w:rPr>
        <w:t xml:space="preserve">[395] </w:t>
      </w:r>
      <w:hyperlink r:id="rId603">
        <w:r>
          <w:rPr>
            <w:color w:val="1155CC"/>
            <w:u w:val="single"/>
          </w:rPr>
          <w:t>努力在运输中实现去碳化:为提高车辆能效而实行可缩放的透明放射冷却</w:t>
        </w:r>
      </w:hyperlink>
    </w:p>
    <w:p>
      <w:pPr>
        <w:spacing w:before="0" w:after="80"/>
      </w:pPr>
      <w:r>
        <w:rPr>
          <w:i/>
          <w:sz w:val="20"/>
        </w:rPr>
        <w:t>EN: Towards decarbonization in transportation: scalable transparent radiative cooling for enhanced vehicle energy efficiency</w:t>
      </w:r>
    </w:p>
    <w:p>
      <w:pPr>
        <w:spacing w:before="0" w:after="120"/>
      </w:pPr>
      <w:r>
        <w:rPr>
          <w:b/>
        </w:rPr>
        <w:t xml:space="preserve">Source: </w:t>
      </w:r>
      <w:r>
        <w:t>RSC - Energy Environ. Sci. latest articles</w:t>
      </w:r>
      <w:r>
        <w:t xml:space="preserve">    </w:t>
      </w:r>
      <w:r>
        <w:rPr>
          <w:b/>
        </w:rPr>
        <w:t xml:space="preserve">Pub date: </w:t>
      </w:r>
      <w:r>
        <w:t>2026-02-04 00:00:00+00:00</w:t>
      </w:r>
    </w:p>
    <w:p>
      <w:pPr>
        <w:spacing w:before="0" w:after="120"/>
      </w:pPr>
      <w:r>
        <w:rPr>
          <w:b/>
        </w:rPr>
        <w:t xml:space="preserve">Notes: </w:t>
      </w:r>
      <w:r>
        <w:t>abstract_source=rsc_html</w:t>
      </w:r>
    </w:p>
    <w:p>
      <w:pPr>
        <w:spacing w:before="0" w:after="80" w:lineRule="auto" w:line="276"/>
      </w:pPr>
      <w:r>
        <w:rPr>
          <w:b/>
        </w:rPr>
        <w:t xml:space="preserve">摘要（ZH）: </w:t>
      </w:r>
      <w:r>
        <w:t>由于低热质量和封闭空间,接触阳光的车辆经历快速热热,导致高温空调的能源消耗过量。 透明放射冷却(TRC)为减轻热量提供了一条被动的途径,但现有的真理与和解委员会技术在光学清晰度、耐久性和现实世界验证方面面临着限制。 这里,我们为车辆窗户展示了可扩缩的透明辐射冷却薄膜,实现了大于70%的可见传输、强红外线中流和高太阳反射。 各个区域和各类车辆的全面实地测试显示,舱房温大幅下降,降温最高为6.1°C,节能超过20%,最低的冬季加热罚款为0.3%。季节性分析和美国车队规模模型还预测了Annu。</w:t>
      </w:r>
    </w:p>
    <w:p>
      <w:pPr>
        <w:spacing w:before="0" w:after="200" w:lineRule="auto" w:line="276"/>
      </w:pPr>
      <w:r>
        <w:rPr>
          <w:b/>
        </w:rPr>
        <w:t xml:space="preserve">Abstract (EN): </w:t>
      </w:r>
      <w:r>
        <w:t>Vehicles exposed to sunlight experience rapid heating due to low thermal mass and confined space, leading to excessive HVAC energy consumption. Transparent radiative cooling (TRC) provides a passive pathway for heat mitigation, but existing TRC technologies face limitations in optical clarity, durability, and real-world validation. Here, we present a scalable transparent radiative cooling (STRC) film for vehicle windows, achieving &gt;70% visible transmittance, strong mid-infrared emittance, and high solar reflectance. Full-scale field tests across various regions and vehicle types show substantial cabin temperature reductions of up to 6.1 °C and energy savings exceeding 20%, with a minimal winter heating penalty of 0.3%. Seasonal analysis and U.S. fleet-scale modeling further project an annual CO2 reduction of 25.4 megatons—equivalent to removing 5 million cars from the road. STRC thus provides a practical, durable, and zero-energy cooling solution for sustainable and decarbonized transportation.</w:t>
      </w:r>
    </w:p>
    <w:p>
      <w:pPr>
        <w:spacing w:before="120" w:after="120"/>
      </w:pPr>
      <w:r>
        <w:rPr>
          <w:sz w:val="18"/>
        </w:rPr>
        <w:t>——————————————————————————————————————————————————————————————————————</w:t>
      </w:r>
    </w:p>
    <w:p>
      <w:pPr>
        <w:spacing w:before="160" w:after="40" w:line="240" w:lineRule="auto"/>
      </w:pPr>
      <w:r>
        <w:rPr>
          <w:b/>
        </w:rPr>
        <w:t xml:space="preserve">[396] </w:t>
      </w:r>
      <w:hyperlink r:id="rId604">
        <w:r>
          <w:rPr>
            <w:color w:val="1155CC"/>
            <w:u w:val="single"/>
          </w:rPr>
          <w:t>聚集催解的管弦结构和化学动态</w:t>
        </w:r>
      </w:hyperlink>
    </w:p>
    <w:p>
      <w:pPr>
        <w:spacing w:before="0" w:after="80"/>
      </w:pPr>
      <w:r>
        <w:rPr>
          <w:i/>
          <w:sz w:val="20"/>
        </w:rPr>
        <w:t>EN: Orchestrating structure and chemistry dynamics for cluster catalysis</w:t>
      </w:r>
    </w:p>
    <w:p>
      <w:pPr>
        <w:spacing w:before="0" w:after="120"/>
      </w:pPr>
      <w:r>
        <w:rPr>
          <w:b/>
        </w:rPr>
        <w:t xml:space="preserve">Source: </w:t>
      </w:r>
      <w:r>
        <w:t>National Science Review Advance Access</w:t>
      </w:r>
      <w:r>
        <w:t xml:space="preserve">    </w:t>
      </w:r>
      <w:r>
        <w:rPr>
          <w:b/>
        </w:rPr>
        <w:t xml:space="preserve">Pub date: </w:t>
      </w:r>
      <w:r>
        <w:t>2026-02-04 00:00:00+00:00</w:t>
      </w:r>
      <w:r>
        <w:t xml:space="preserve">    </w:t>
      </w:r>
      <w:r>
        <w:rPr>
          <w:b/>
        </w:rPr>
        <w:t xml:space="preserve">DOI: </w:t>
      </w:r>
      <w:hyperlink r:id="rId605">
        <w:r>
          <w:rPr>
            <w:color w:val="1155CC"/>
            <w:u w:val="single"/>
          </w:rPr>
          <w:t>10.1093/nsr/nwag072/8460542</w:t>
        </w:r>
      </w:hyperlink>
    </w:p>
    <w:p>
      <w:pPr>
        <w:spacing w:before="0" w:after="120"/>
      </w:pPr>
      <w:r>
        <w:rPr>
          <w:b/>
        </w:rPr>
        <w:t xml:space="preserve">Notes: </w:t>
      </w:r>
      <w:r>
        <w:t>abstract_source=rss_oup</w:t>
      </w:r>
    </w:p>
    <w:p>
      <w:pPr>
        <w:spacing w:before="0" w:after="80" w:lineRule="auto" w:line="276"/>
      </w:pPr>
      <w:r>
        <w:rPr>
          <w:b/>
        </w:rPr>
        <w:t xml:space="preserve">摘要（ZH）: </w:t>
      </w:r>
      <w:r>
        <w:t>被支持的金属组群能够最大限度地提高原子效率,暴露出各种低协调的金属元素,但是在反应条件下,它们本身就具有流动性-成性反应力,可以不断改革甚至打破金属-金属和金属支撑力的根系,产生一系列可加速解析的元结构。 查明被支持的组群和表面化学体之间的相互作用至关重要,但对其复杂的动态演变构成挑战。 在这里,我们发现了三个特征和普遍性制度:(一) 通性制度,快速重组消除了地点的个性;(二) 动态封闭制度,缓慢的重组将催化剂冻结在单一几何形状中;(三) 独特的组合制度,其结构动态和化学出现。</w:t>
      </w:r>
    </w:p>
    <w:p>
      <w:pPr>
        <w:spacing w:before="0" w:after="200" w:lineRule="auto" w:line="276"/>
      </w:pPr>
      <w:r>
        <w:rPr>
          <w:b/>
        </w:rPr>
        <w:t xml:space="preserve">Abstract (EN): </w:t>
      </w:r>
      <w:r>
        <w:t>Supported metal clusters maximize atom efficiency and expose diverse low-coordination metal motifs, but under reaction conditions, they are inherently fluxional—adsorbed reactants can constantly reform and even break the underlying metal–metal and metal–support bonds, generating an ensemble of metastable structures for catalysis. Identification of the interplay between supported clusters and surface chemistries is vital but a challenge for their complex dynamic evolutions. Here, we uncover three characteristic and universal regimes: (i) a fluxional regime, where fast restructuring erases site individuality; (ii) a kinetically trapped regime, where slow restructuring freezes the catalyst into a single geometry; and (iii) a unique coupled regime, where structural dynamics and chemistry occur on comparable timescales and where multiple metastable motifs actively participate in turnover. Moreover, we identify a single, dimensionless metric, N</w:t>
      </w:r>
    </w:p>
    <w:p>
      <w:pPr>
        <w:spacing w:before="120" w:after="120"/>
      </w:pPr>
      <w:r>
        <w:rPr>
          <w:sz w:val="18"/>
        </w:rPr>
        <w:t>——————————————————————————————————————————————————————————————————————</w:t>
      </w:r>
    </w:p>
    <w:p>
      <w:pPr>
        <w:spacing w:before="160" w:after="40" w:line="240" w:lineRule="auto"/>
      </w:pPr>
      <w:r>
        <w:rPr>
          <w:b/>
        </w:rPr>
        <w:t xml:space="preserve">[397] </w:t>
      </w:r>
      <w:hyperlink r:id="rId606">
        <w:r>
          <w:rPr>
            <w:color w:val="1155CC"/>
            <w:u w:val="single"/>
          </w:rPr>
          <w:t>使用氢气瓶网络的自组分子能够使高效的全渗透式太阳能电池连成一体</w:t>
        </w:r>
      </w:hyperlink>
    </w:p>
    <w:p>
      <w:pPr>
        <w:spacing w:before="0" w:after="80"/>
      </w:pPr>
      <w:r>
        <w:rPr>
          <w:i/>
          <w:sz w:val="20"/>
        </w:rPr>
        <w:t>EN: Self-assembled molecules with hydrogen-bond networks enable efficient all-perovskite tandem solar cells</w:t>
      </w:r>
    </w:p>
    <w:p>
      <w:pPr>
        <w:spacing w:before="0" w:after="120"/>
      </w:pPr>
      <w:r>
        <w:rPr>
          <w:b/>
        </w:rPr>
        <w:t xml:space="preserve">Source: </w:t>
      </w:r>
      <w:r>
        <w:t>Nature Energy</w:t>
      </w:r>
      <w:r>
        <w:t xml:space="preserve">    </w:t>
      </w:r>
      <w:r>
        <w:rPr>
          <w:b/>
        </w:rPr>
        <w:t xml:space="preserve">Pub date: </w:t>
      </w:r>
      <w:r>
        <w:t>2026-02-04 00:00:00+00:00</w:t>
      </w:r>
    </w:p>
    <w:p>
      <w:pPr>
        <w:spacing w:before="0" w:after="120"/>
      </w:pPr>
      <w:r>
        <w:rPr>
          <w:b/>
        </w:rPr>
        <w:t xml:space="preserve">Notes: </w:t>
      </w:r>
      <w:r>
        <w:t>abstract_source=nature_html</w:t>
      </w:r>
    </w:p>
    <w:p>
      <w:pPr>
        <w:spacing w:before="0" w:after="80" w:lineRule="auto" w:line="276"/>
      </w:pPr>
      <w:r>
        <w:rPr>
          <w:b/>
        </w:rPr>
        <w:t xml:space="preserve">摘要（ZH）: </w:t>
      </w:r>
      <w:r>
        <w:t>高选择性自组成的单层板已经提高了百草枯太阳能电池(PSC)的性能,但分子间相互作用过量,导致了不可取的自我隔离和薄弱的相互间接触。在这里,我们设计了一种双碳氨基碳基碳氢化合物结构,将氨化元素作为双氢瓶捐献者和接受者,以在分子中形成氢燃烧网络,并具有透明的传导氧化物。这一设计促进了同质分子安排和完全一致的能量水平,最大限度地减少洞车损失,加强内部稳定。我们实现了1.77 eV PSC21.56%的效率,开路电压为1.35 V,填充系数为85.76%。这一战略也适用于1.56 eV PSCs,提供效率。</w:t>
      </w:r>
    </w:p>
    <w:p>
      <w:pPr>
        <w:spacing w:before="0" w:after="200" w:lineRule="auto" w:line="276"/>
      </w:pPr>
      <w:r>
        <w:rPr>
          <w:b/>
        </w:rPr>
        <w:t xml:space="preserve">Abstract (EN): </w:t>
      </w:r>
      <w:r>
        <w:t>Hole-selective self-assembled monolayers have advanced the performance of perovskite solar cells (PSCs), yet their excessive intermolecular interactions result in undesirable self-aggregation and weak interfacial contact. Here we devise a bicarbazole-based dimeric structure incorporating amide units as dual hydrogen-bond donors and acceptors to enable the formation of hydrogen-bonding networks within the molecules and with transparent conductive oxide. This design promotes homogeneous molecular arrangement and well-aligned energy levels, minimizing hole-transport loss and enhancing interfacial stability. We achieve an efficiency of 21.56% in a 1.77 eV PSC, with an open-circuit voltage of 1.35 V and a fill factor of 85.76%. This strategy is also applicable to 1.56 eV PSCs, affording efficiencies of 26.80% (certified 26.57% by current density–voltage (J–V) scan and 25.92% steady-state measured over 300 s). Most notably, the integrated all-perovskite tandem solar cell yields an efficiency of 30.19% (certified 29.38% by J–V scan and 28.40% steady state measured over 120 s).</w:t>
      </w:r>
    </w:p>
    <w:p>
      <w:pPr>
        <w:spacing w:before="120" w:after="120"/>
      </w:pPr>
      <w:r>
        <w:rPr>
          <w:sz w:val="18"/>
        </w:rPr>
        <w:t>——————————————————————————————————————————————————————————————————————</w:t>
      </w:r>
    </w:p>
    <w:p>
      <w:pPr>
        <w:spacing w:before="160" w:after="40" w:line="240" w:lineRule="auto"/>
      </w:pPr>
      <w:r>
        <w:rPr>
          <w:b/>
        </w:rPr>
        <w:t xml:space="preserve">[398] </w:t>
      </w:r>
      <w:hyperlink r:id="rId607">
        <w:r>
          <w:rPr>
            <w:color w:val="1155CC"/>
            <w:u w:val="single"/>
          </w:rPr>
          <w:t>创新的CAR-T疗法在无危险副作用的情况下摧毁癌症细胞</w:t>
        </w:r>
      </w:hyperlink>
    </w:p>
    <w:p>
      <w:pPr>
        <w:spacing w:before="0" w:after="80"/>
      </w:pPr>
      <w:r>
        <w:rPr>
          <w:i/>
          <w:sz w:val="20"/>
        </w:rPr>
        <w:t>EN: Innovative CAR-T therapy destroys cancer cells without dangerous side effects</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[399] </w:t>
      </w:r>
      <w:hyperlink r:id="rId608">
        <w:r>
          <w:rPr>
            <w:color w:val="1155CC"/>
            <w:u w:val="single"/>
          </w:rPr>
          <w:t>作者更正: 深淡水储量埋在孟加拉国盐度高的沿海地带之下</w:t>
        </w:r>
      </w:hyperlink>
    </w:p>
    <w:p>
      <w:pPr>
        <w:spacing w:before="0" w:after="80"/>
      </w:pPr>
      <w:r>
        <w:rPr>
          <w:i/>
          <w:sz w:val="20"/>
        </w:rPr>
        <w:t>EN: Author Correction: Buried deep freshwater reserves beneath salinity-stressed coastal Bangladesh</w:t>
      </w:r>
    </w:p>
    <w:p>
      <w:pPr>
        <w:spacing w:before="0" w:after="120"/>
      </w:pPr>
      <w:r>
        <w:rPr>
          <w:b/>
        </w:rPr>
        <w:t xml:space="preserve">Source: </w:t>
      </w:r>
      <w:r>
        <w:t>Nature Communications</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[400] </w:t>
      </w:r>
      <w:hyperlink r:id="rId609">
        <w:r>
          <w:rPr>
            <w:color w:val="1155CC"/>
            <w:u w:val="single"/>
          </w:rPr>
          <w:t>蛋白质如何将维生素B12作为光感应器重新用作维生素B12</w:t>
        </w:r>
      </w:hyperlink>
    </w:p>
    <w:p>
      <w:pPr>
        <w:spacing w:before="0" w:after="80"/>
      </w:pPr>
      <w:r>
        <w:rPr>
          <w:i/>
          <w:sz w:val="20"/>
        </w:rPr>
        <w:t>EN: How a protein repurposes vitamin B12 as a light sensor</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[401] </w:t>
      </w:r>
      <w:hyperlink r:id="rId610">
        <w:r>
          <w:rPr>
            <w:color w:val="1155CC"/>
            <w:u w:val="single"/>
          </w:rPr>
          <w:t>动态重建定义了氢进化反应中真正活跃的国家</w:t>
        </w:r>
      </w:hyperlink>
    </w:p>
    <w:p>
      <w:pPr>
        <w:spacing w:before="0" w:after="80"/>
      </w:pPr>
      <w:r>
        <w:rPr>
          <w:i/>
          <w:sz w:val="20"/>
        </w:rPr>
        <w:t>EN: Dynamic Reconstruction Defines True Active States in the Hydrogen Evolution Reaction</w:t>
      </w:r>
    </w:p>
    <w:p>
      <w:pPr>
        <w:spacing w:before="0" w:after="120"/>
      </w:pPr>
      <w:r>
        <w:rPr>
          <w:b/>
        </w:rPr>
        <w:t xml:space="preserve">Source: </w:t>
      </w:r>
      <w:r>
        <w:t>RSC - Energy Environ. Sci. latest articles</w:t>
      </w:r>
      <w:r>
        <w:t xml:space="preserve">    </w:t>
      </w:r>
      <w:r>
        <w:rPr>
          <w:b/>
        </w:rPr>
        <w:t xml:space="preserve">Pub date: </w:t>
      </w:r>
      <w:r>
        <w:t>2026-02-04 00:00:00+00:00</w:t>
      </w:r>
    </w:p>
    <w:p>
      <w:pPr>
        <w:spacing w:before="0" w:after="120"/>
      </w:pPr>
      <w:r>
        <w:rPr>
          <w:b/>
        </w:rPr>
        <w:t xml:space="preserve">Notes: </w:t>
      </w:r>
      <w:r>
        <w:t>abstract_source=rsc_html</w:t>
      </w:r>
    </w:p>
    <w:p>
      <w:pPr>
        <w:spacing w:before="0" w:after="80" w:lineRule="auto" w:line="276"/>
      </w:pPr>
      <w:r>
        <w:rPr>
          <w:b/>
        </w:rPr>
        <w:t xml:space="preserve">摘要（ZH）: </w:t>
      </w:r>
      <w:r>
        <w:t>氢进化反应(HER)在可持续氢生产以及向碳中性能源未来过渡方面发挥着关键作用。传统上,她的催化剂设计侧重于优化合成结构、形态学和电子状态等合成结构,前提是这些特征在运行期间保持不变。 然而,积累的证据表明,她的催化剂经历了深刻的重建,包括阶段转型、构成变化和原子重组,它们从根本上重新定义了真正的活跃状态。 忽略这种动态进化有可能错误地识别催化点、错误地解释机制以及错误地指导设计战略。 从这个角度看,我们主张为H建立一个以重建为中心的框架。</w:t>
      </w:r>
    </w:p>
    <w:p>
      <w:pPr>
        <w:spacing w:before="0" w:after="200" w:lineRule="auto" w:line="276"/>
      </w:pPr>
      <w:r>
        <w:rPr>
          <w:b/>
        </w:rPr>
        <w:t xml:space="preserve">Abstract (EN): </w:t>
      </w:r>
      <w:r>
        <w:t>The hydrogen evolution reaction (HER) plays a pivotal role in sustainable hydrogen production and the transition to a carbon-neutral energy future. Traditionally, HER catalyst design has focused on optimizing as-synthesized structures such as composition, morphology, and electronic states, under the assumption that these features remain static during operation. However, accumulating evidence reveals that HER catalysts undergo profound reconstruction, including phase transformation, compositional change, and atomic rearrangement, which fundamentally redefine the true active states. Neglecting this dynamic evolution risks misidentifying catalytic sites, misinterpreting mechanisms, and misguiding design strategies. In this Perspective, we advocate a reconstruction-centered framework for the HER. We outline key reconstruction modes, argue that reconstruction is thermodynamically driven and shaped by intrinsic and extrinsic factors, and emphasize that catalysts should be designed as precursors engineered to evolve in situ into their most active and durable forms. Finally, we advocate for stability assessments that capture steady-state reconstructed phases instead of transient initial states. Adopting this dynamic viewpoint establishes a coherent foundation for mechanistic understanding and rational catalyst design, paving the way toward predictive control of catalytic activity and long-term durability.</w:t>
      </w:r>
    </w:p>
    <w:p>
      <w:pPr>
        <w:spacing w:before="120" w:after="120"/>
      </w:pPr>
      <w:r>
        <w:rPr>
          <w:sz w:val="18"/>
        </w:rPr>
        <w:t>——————————————————————————————————————————————————————————————————————</w:t>
      </w:r>
    </w:p>
    <w:p>
      <w:pPr>
        <w:spacing w:before="160" w:after="40" w:line="240" w:lineRule="auto"/>
      </w:pPr>
      <w:r>
        <w:rPr>
          <w:b/>
        </w:rPr>
        <w:t xml:space="preserve">[402] </w:t>
      </w:r>
      <w:hyperlink r:id="rId611">
        <w:r>
          <w:rPr>
            <w:color w:val="1155CC"/>
            <w:u w:val="single"/>
          </w:rPr>
          <w:t>常见细菌中广泛广泛高改良的β-Hel-Heitic Peptides</w:t>
        </w:r>
      </w:hyperlink>
    </w:p>
    <w:p>
      <w:pPr>
        <w:spacing w:before="0" w:after="80"/>
      </w:pPr>
      <w:r>
        <w:rPr>
          <w:i/>
          <w:sz w:val="20"/>
        </w:rPr>
        <w:t>EN: Widespread hypermodified β-helical peptides in common bacteria</w:t>
      </w:r>
    </w:p>
    <w:p>
      <w:pPr>
        <w:spacing w:before="0" w:after="120"/>
      </w:pPr>
      <w:r>
        <w:rPr>
          <w:b/>
        </w:rPr>
        <w:t xml:space="preserve">Source: </w:t>
      </w:r>
      <w:r>
        <w:t>Chem</w:t>
      </w:r>
      <w:r>
        <w:t xml:space="preserve">    </w:t>
      </w:r>
      <w:r>
        <w:rPr>
          <w:b/>
        </w:rPr>
        <w:t xml:space="preserve">Pub date: </w:t>
      </w:r>
      <w:r>
        <w:t>2026-02-04 00:00:00+00:00</w:t>
      </w:r>
    </w:p>
    <w:p>
      <w:pPr>
        <w:spacing w:before="0" w:after="120"/>
      </w:pPr>
      <w:r>
        <w:rPr>
          <w:b/>
        </w:rPr>
        <w:t xml:space="preserve">Notes: </w:t>
      </w:r>
      <w:r>
        <w:t>abstract_source=rss_cell</w:t>
      </w:r>
    </w:p>
    <w:p>
      <w:pPr>
        <w:spacing w:before="0" w:after="80" w:lineRule="auto" w:line="276"/>
      </w:pPr>
      <w:r>
        <w:rPr>
          <w:b/>
        </w:rPr>
        <w:t xml:space="preserve">摘要（ZH）: </w:t>
      </w:r>
      <w:r>
        <w:t>Vadakumchery、Meier、Forneris等人报告说,在植物多样性和众所周知的细菌中,有β6.3 -- -- 血清血清病原体,它们的研究对这些化合物的结构和生物活性有洞察力,揭示出对癌症细胞的强烈细胞毒性。</w:t>
      </w:r>
    </w:p>
    <w:p>
      <w:pPr>
        <w:spacing w:before="0" w:after="200" w:lineRule="auto" w:line="276"/>
      </w:pPr>
      <w:r>
        <w:rPr>
          <w:b/>
        </w:rPr>
        <w:t xml:space="preserve">Abstract (EN): </w:t>
      </w:r>
      <w:r>
        <w:t>Vadakumchery, Meier, Forneris, et al. report a family of β6.3-helical ribosomal peptides that occurs in phylogenetically diverse and well-known bacteria. Their study provides insights into the structure and bioactivity of these compounds, revealing potent cytotoxicity against cancer cells.</w:t>
      </w:r>
    </w:p>
    <w:p>
      <w:pPr>
        <w:spacing w:before="120" w:after="120"/>
      </w:pPr>
      <w:r>
        <w:rPr>
          <w:sz w:val="18"/>
        </w:rPr>
        <w:t>——————————————————————————————————————————————————————————————————————</w:t>
      </w:r>
    </w:p>
    <w:p>
      <w:pPr>
        <w:spacing w:before="160" w:after="40" w:line="240" w:lineRule="auto"/>
      </w:pPr>
      <w:r>
        <w:rPr>
          <w:b/>
        </w:rPr>
        <w:t xml:space="preserve">[403] </w:t>
      </w:r>
      <w:hyperlink r:id="rId612">
        <w:r>
          <w:rPr>
            <w:color w:val="1155CC"/>
            <w:u w:val="single"/>
          </w:rPr>
          <w:t>每日简报:三分之一以上的癌症病例是可以预防的</w:t>
        </w:r>
      </w:hyperlink>
    </w:p>
    <w:p>
      <w:pPr>
        <w:spacing w:before="0" w:after="80"/>
      </w:pPr>
      <w:r>
        <w:rPr>
          <w:i/>
          <w:sz w:val="20"/>
        </w:rPr>
        <w:t>EN: Daily briefing: More than one-third of cancer cases are preventable</w:t>
      </w:r>
    </w:p>
    <w:p>
      <w:pPr>
        <w:spacing w:before="0" w:after="120"/>
      </w:pPr>
      <w:r>
        <w:rPr>
          <w:b/>
        </w:rPr>
        <w:t xml:space="preserve">Source: </w:t>
      </w:r>
      <w:r>
        <w:t>Nature</w:t>
      </w:r>
      <w:r>
        <w:t xml:space="preserve">    </w:t>
      </w:r>
      <w:r>
        <w:rPr>
          <w:b/>
        </w:rPr>
        <w:t xml:space="preserve">Pub date: </w:t>
      </w:r>
      <w:r>
        <w:t>2026-02-04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[404] </w:t>
      </w:r>
      <w:hyperlink r:id="rId613">
        <w:r>
          <w:rPr>
            <w:color w:val="1155CC"/>
            <w:u w:val="single"/>
          </w:rPr>
          <w:t>为高度稳定的锌阳极进行表面活性剂中中流介介介介介的中观封闭和选择性的间隔屏蔽</w:t>
        </w:r>
      </w:hyperlink>
    </w:p>
    <w:p>
      <w:pPr>
        <w:spacing w:before="0" w:after="80"/>
      </w:pPr>
      <w:r>
        <w:rPr>
          <w:i/>
          <w:sz w:val="20"/>
        </w:rPr>
        <w:t>EN: Surfactant-mediated mesoscopic confinement and selective interfacial shielding for highly stable zinc anode</w:t>
      </w:r>
    </w:p>
    <w:p>
      <w:pPr>
        <w:spacing w:before="0" w:after="120"/>
      </w:pPr>
      <w:r>
        <w:rPr>
          <w:b/>
        </w:rPr>
        <w:t xml:space="preserve">Source: </w:t>
      </w:r>
      <w:r>
        <w:t>RSC - Energy Environ. Sci. latest articles</w:t>
      </w:r>
      <w:r>
        <w:t xml:space="preserve">    </w:t>
      </w:r>
      <w:r>
        <w:rPr>
          <w:b/>
        </w:rPr>
        <w:t xml:space="preserve">Pub date: </w:t>
      </w:r>
      <w:r>
        <w:t>2026-02-04 00:00:00+00:00</w:t>
      </w:r>
    </w:p>
    <w:p>
      <w:pPr>
        <w:spacing w:before="0" w:after="120"/>
      </w:pPr>
      <w:r>
        <w:rPr>
          <w:b/>
        </w:rPr>
        <w:t xml:space="preserve">Notes: </w:t>
      </w:r>
      <w:r>
        <w:t>abstract_source=rsc_html</w:t>
      </w:r>
    </w:p>
    <w:p>
      <w:pPr>
        <w:spacing w:before="0" w:after="80" w:lineRule="auto" w:line="276"/>
      </w:pPr>
      <w:r>
        <w:rPr>
          <w:b/>
        </w:rPr>
        <w:t xml:space="preserve">摘要（ZH）: </w:t>
      </w:r>
      <w:r>
        <w:t>水氧化锌离子电池由于其安全性、低成本和可持续性,对大规模能源储存很有希望。但是,由于Zn 阳极的不稳定性,主要由于登地性生长和寄生虫侧反应,这些电池的实际应用受到Zn 阳极不稳定性的影响。在这里,我们报告了一个使用索福里皮(Sphorolipid)(SL)的表面活性混合电解液(Mexosososcopic medrote),这是一种提供双重行为的非非非非非非非非性表面表面活性活性剂。在散装电解剂中,SL自发组装成纳米级小鼠,通过多价调底醇相互作用,形成一个专门特制的中位环境,将Zn2+加以限制。这削弱了溶液外壳,并增强了Zn2+运输动能。同时,将非组装的SL分子固定在Zn表面,形成一个保护性跨层。</w:t>
      </w:r>
    </w:p>
    <w:p>
      <w:pPr>
        <w:spacing w:before="0" w:after="200" w:lineRule="auto" w:line="276"/>
      </w:pPr>
      <w:r>
        <w:rPr>
          <w:b/>
        </w:rPr>
        <w:t xml:space="preserve">Abstract (EN): </w:t>
      </w:r>
      <w:r>
        <w:t>Aqueous zinc-ion batteries are promising for large-scale energy storage due to their safety, low cost, and sustainability. Their practical application, however, is hampered by the instability of the Zn anode, primarily arising from dendritic growth and parasitic side reactions. Here, we report a surfactant-mediated mesoscopic electrolyte utilizing sophorolipid (SL), an amphiphilic surfactant that provides dual behavior. In the bulk electrolyte, SL spontaneously assembles into nanoscale micelles, creating a tailored mesoscopic environment that confines Zn2+ through multivalent dipole interactions. This weakens the solvation shell and enhances Zn2+ transport kinetics. At the same time, unassembled SL molecules selectively anchor onto the Zn surface to form a protective interfacial layer that excludes free water and promotes oriented Zn(101) deposition through electrostatic shielding and spatial confinement effects. This dual regulation mechanism effectively suppresses Zn dendrite formation, hydrogen evolution, and corrosion. Consequently, the resulting electrolyte enables a Zn//Zn symmetric cell to achieve excellent cycling stability for 2800 h at 1 mA cm−2 and 1 mAh cm−2, coupled with a high average coulombic efficiency of 99.3%. Furthermore, assembled Zn//I2 full cells demonstrate outstanding long-term cyclability, retaining nearly 100% capacity after 25 000 cycles at 5 A g−1.</w:t>
      </w:r>
    </w:p>
    <w:p>
      <w:pPr>
        <w:spacing w:before="120" w:after="120"/>
      </w:pPr>
      <w:r>
        <w:rPr>
          <w:sz w:val="18"/>
        </w:rPr>
        <w:t>——————————————————————————————————————————————————————————————————————</w:t>
      </w:r>
    </w:p>
    <w:p>
      <w:pPr>
        <w:spacing w:before="160" w:after="40" w:line="240" w:lineRule="auto"/>
      </w:pPr>
      <w:r>
        <w:rPr>
          <w:b/>
        </w:rPr>
        <w:t xml:space="preserve">[405] </w:t>
      </w:r>
      <w:hyperlink r:id="rId614">
        <w:r>
          <w:rPr>
            <w:color w:val="1155CC"/>
            <w:u w:val="single"/>
          </w:rPr>
          <w:t>Lattice化学阻积层稳定稳定能使压压稳定,使液层氧化物的氧化物稳定并恢复氧红氧化物的可逆性</w:t>
        </w:r>
      </w:hyperlink>
    </w:p>
    <w:p>
      <w:pPr>
        <w:spacing w:before="0" w:after="80"/>
      </w:pPr>
      <w:r>
        <w:rPr>
          <w:i/>
          <w:sz w:val="20"/>
        </w:rPr>
        <w:t>EN: Lattice Chemistry Damping Stabilization Enables Voltage Stability and Oxygen Redox Reversibility in Li-Rich Layered Oxides</w:t>
      </w:r>
    </w:p>
    <w:p>
      <w:pPr>
        <w:spacing w:before="0" w:after="120"/>
      </w:pPr>
      <w:r>
        <w:rPr>
          <w:b/>
        </w:rPr>
        <w:t xml:space="preserve">Source: </w:t>
      </w:r>
      <w:r>
        <w:t>RSC - Energy Environ. Sci. latest articles</w:t>
      </w:r>
      <w:r>
        <w:t xml:space="preserve">    </w:t>
      </w:r>
      <w:r>
        <w:rPr>
          <w:b/>
        </w:rPr>
        <w:t xml:space="preserve">Pub date: </w:t>
      </w:r>
      <w:r>
        <w:t>2026-02-04 00:00:00+00:00</w:t>
      </w:r>
    </w:p>
    <w:p>
      <w:pPr>
        <w:spacing w:before="0" w:after="120"/>
      </w:pPr>
      <w:r>
        <w:rPr>
          <w:b/>
        </w:rPr>
        <w:t xml:space="preserve">Notes: </w:t>
      </w:r>
      <w:r>
        <w:t>abstract_source=rsc_html</w:t>
      </w:r>
    </w:p>
    <w:p>
      <w:pPr>
        <w:spacing w:before="0" w:after="80" w:lineRule="auto" w:line="276"/>
      </w:pPr>
      <w:r>
        <w:rPr>
          <w:b/>
        </w:rPr>
        <w:t xml:space="preserve">摘要（ZH）: </w:t>
      </w:r>
      <w:r>
        <w:t>利富层氧化物(LLOs)是高能密集的利离电池(LLOs)很有前途的催化池,但是它们的实际部署却因无节制的液氧-氧活动驱动的严重电压衰变和结构退化而受阻。 在这里,我们建议通过在不扰乱长距离分层秩序的情况下建造辐射分级的无序区域来形成稳定战略。 高度无序的表面演变成氧缺陷的脊椎状体,作为缓冲氧活动并加速利+扩散的摇篮储库发挥作用,而中度无序散装物则通过强化TM-O连接和缓解菌株来起到结构阻塞的作用。 这种空间溶解的阻力会增强O 2p-TM 3d 混合,促进电解。</w:t>
      </w:r>
    </w:p>
    <w:p>
      <w:pPr>
        <w:spacing w:before="0" w:after="200" w:lineRule="auto" w:line="276"/>
      </w:pPr>
      <w:r>
        <w:rPr>
          <w:b/>
        </w:rPr>
        <w:t xml:space="preserve">Abstract (EN): </w:t>
      </w:r>
      <w:r>
        <w:t>Li-rich layered oxides (LLOs) are promising cathodes for high-energy-density Li-ion batteries, yet their practical deployment is hindered by severe voltage decay and structural degradation driven by uncontrolled lattice-oxygen activity. Here, we propose a lattice chemistry damping stabilization strategy by constructing radially graded disordered domains without disrupting the long-range layered order. The highly disordered surface evolves into spinel-like units with oxygen defects, functioning as a damping reservoir that buffers oxygen activity and accelerates Li+ diffusion, whereas the moderately disordered bulk acts as a structural damper by reinforcing TM–O bonding and alleviating strain. This spatially resolved cooperative damping enhances O 2p–TM 3d hybridization, promotes electron delocalization, and enables reversible oxygen redox. Importantly, in situ XRD and EIS–DRT jointly quantify this damping through suppressed Δc/ΔV and microstrain excursions, together with attenuated SOC-dependent polarisation/relaxation evolution under practical high-voltage operation. Benefiting from this mechanism, the optimized electrode delivers 81.3% capacity retention after 800 cycles with an ultra-low voltage decay of 0.64 mV/cycle, and Ah-level pouch cells maintain 90% capacity after 200 cycles alongside negligible voltage decay. This work provides a physically inspired, measurement-anchored pathway to suppress voltage decay and extend the lifetime of LLOs.</w:t>
      </w:r>
    </w:p>
    <w:p>
      <w:pPr>
        <w:spacing w:before="120" w:after="120"/>
      </w:pPr>
      <w:r>
        <w:rPr>
          <w:sz w:val="18"/>
        </w:rPr>
        <w:t>——————————————————————————————————————————————————————————————————————</w:t>
      </w:r>
    </w:p>
    <w:p>
      <w:pPr>
        <w:spacing w:before="160" w:after="40" w:line="240" w:lineRule="auto"/>
      </w:pPr>
      <w:r>
        <w:rPr>
          <w:b/>
        </w:rPr>
        <w:t xml:space="preserve">[406] </w:t>
      </w:r>
      <w:hyperlink r:id="rId615">
        <w:r>
          <w:rPr>
            <w:color w:val="1155CC"/>
            <w:u w:val="single"/>
          </w:rPr>
          <w:t>人工智能纳米医疗</w:t>
        </w:r>
      </w:hyperlink>
    </w:p>
    <w:p>
      <w:pPr>
        <w:spacing w:before="0" w:after="80"/>
      </w:pPr>
      <w:r>
        <w:rPr>
          <w:i/>
          <w:sz w:val="20"/>
        </w:rPr>
        <w:t>EN: Artificial intelligence-powered nanomedicine</w:t>
      </w:r>
    </w:p>
    <w:p>
      <w:pPr>
        <w:spacing w:before="0" w:after="120"/>
      </w:pPr>
      <w:r>
        <w:rPr>
          <w:b/>
        </w:rPr>
        <w:t xml:space="preserve">Source: </w:t>
      </w:r>
      <w:r>
        <w:t>RSC - Chem. Soc. Rev. latest articles</w:t>
      </w:r>
      <w:r>
        <w:t xml:space="preserve">    </w:t>
      </w:r>
      <w:r>
        <w:rPr>
          <w:b/>
        </w:rPr>
        <w:t xml:space="preserve">Pub date: </w:t>
      </w:r>
      <w:r>
        <w:t>2026-02-04 00:00:00+00:00</w:t>
      </w:r>
    </w:p>
    <w:p>
      <w:pPr>
        <w:spacing w:before="0" w:after="120"/>
      </w:pPr>
      <w:r>
        <w:rPr>
          <w:b/>
        </w:rPr>
        <w:t xml:space="preserve">Notes: </w:t>
      </w:r>
      <w:r>
        <w:t>abstract_source=rsc_html</w:t>
      </w:r>
    </w:p>
    <w:p>
      <w:pPr>
        <w:spacing w:before="0" w:after="80" w:lineRule="auto" w:line="276"/>
      </w:pPr>
      <w:r>
        <w:rPr>
          <w:b/>
        </w:rPr>
        <w:t xml:space="preserve">摘要（ZH）: </w:t>
      </w:r>
      <w:r>
        <w:t>包括癌症、神经退化和心血管疾病在内的全球疾病负担的不断升级,给人类健康和社会发展带来了严重威胁。 常规诊断、成像和治疗模式的内在局限性推动了纳米医学的快速发展,特别是纳米神经学 — — 纳米神经学 — — 将诊断和治疗功能整合到一个单一纳米平台内,以提高精确和安全性。 尽管近几十年来纳米技术和材料科学取得了显著进步,但生物系统的生物复杂性、对纳米生物相互作用的不完全了解、纳米粒子合成效率低下以及临床翻译有限等挑战继续阻碍着进步。 最近纳米材料的融合。</w:t>
      </w:r>
    </w:p>
    <w:p>
      <w:pPr>
        <w:spacing w:before="0" w:after="200" w:lineRule="auto" w:line="276"/>
      </w:pPr>
      <w:r>
        <w:rPr>
          <w:b/>
        </w:rPr>
        <w:t xml:space="preserve">Abstract (EN): </w:t>
      </w:r>
      <w:r>
        <w:t>The escalating global burden of diseases—including cancer, neurodegenerative, and cardiovascular disorders—poses severe threats to human health and social development. The inherent limitations of conventional diagnostic, imaging, and therapeutic modalities have driven the rapid evolution of nanomedicine, particularly nanotheranostics, which integrates diagnostic and therapeutic functionalities within a single nanoplatform for enhanced precision and safety. Despite remarkable advances in nanotechnology and materials science over recent decades, challenges such as the biological complexity of living systems, incomplete understanding of nano–bio interactions, inefficiencies in nanoparticle synthesis, and limited clinical translation continue to hinder progress. The recent convergence of nanomedicine with artificial intelligence (AI) and computational sciences has opened transformative opportunities to overcome these obstacles. AI-empowered algorithms, including machine learning, deep learning, and generative models, are increasingly being applied to optimize nanoparticle design and synthesis, predict nano–bio interactions, and improve diagnostic and therapeutic efficacy. These approaches not only accelerate materials discovery but also enable data-driven, adaptive nanotheranostic systems capable of autonomous optimization across disease contexts. This review systematically summarizes the current landscape of AI-powered nanomedicine, highlighting advances in nanoparticle design, synthesis, and the development of AI-guided diagnostic and therapeutic nanoplatforms. It further discusses applications in bioimaging, targeted therapy, and clinical translation, while identifying existing challenges and future perspectives in establishing next-generation AI-empowered nanotheranostics. Ultimately, the integration of artificial intelligence and nanotechnology is expected to revolutionize precision medicine by bridging the gap between fundamental nanoscience and clinical implementation, paving the way toward intelligent, personalized healthcare.</w:t>
      </w:r>
    </w:p>
    <w:p>
      <w:pPr>
        <w:spacing w:before="120" w:after="120"/>
      </w:pPr>
      <w:r>
        <w:rPr>
          <w:sz w:val="18"/>
        </w:rPr>
        <w:t>——————————————————————————————————————————————————————————————————————</w:t>
      </w:r>
    </w:p>
    <w:p>
      <w:pPr>
        <w:spacing w:before="160" w:after="40" w:line="240" w:lineRule="auto"/>
      </w:pPr>
      <w:r>
        <w:rPr>
          <w:b/>
        </w:rPr>
        <w:t xml:space="preserve">[407] </w:t>
      </w:r>
      <w:hyperlink r:id="rId616">
        <w:r>
          <w:rPr>
            <w:color w:val="1155CC"/>
            <w:u w:val="single"/>
          </w:rPr>
          <w:t>利用单层DNA的刺激性快流</w:t>
        </w:r>
      </w:hyperlink>
    </w:p>
    <w:p>
      <w:pPr>
        <w:spacing w:before="0" w:after="80"/>
      </w:pPr>
      <w:r>
        <w:rPr>
          <w:i/>
          <w:sz w:val="20"/>
        </w:rPr>
        <w:t>EN: Harnessing Exciton Flux With a Single‐Stranded DNA‐Programmed Nanodevice</w:t>
      </w:r>
    </w:p>
    <w:p>
      <w:pPr>
        <w:spacing w:before="0" w:after="120"/>
      </w:pPr>
      <w:r>
        <w:rPr>
          <w:b/>
        </w:rPr>
        <w:t xml:space="preserve">Source: </w:t>
      </w:r>
      <w:r>
        <w:t>Wiley: Angewandte Chemie International Edition: Table of Contents</w:t>
      </w:r>
      <w:r>
        <w:t xml:space="preserve">    </w:t>
      </w:r>
      <w:r>
        <w:rPr>
          <w:b/>
        </w:rPr>
        <w:t xml:space="preserve">Pub date: </w:t>
      </w:r>
      <w:r>
        <w:t>2026-02-04 04:46:30+00:00</w:t>
      </w:r>
      <w:r>
        <w:t xml:space="preserve">    </w:t>
      </w:r>
      <w:r>
        <w:rPr>
          <w:b/>
        </w:rPr>
        <w:t xml:space="preserve">DOI: </w:t>
      </w:r>
      <w:hyperlink r:id="rId617">
        <w:r>
          <w:rPr>
            <w:color w:val="1155CC"/>
            <w:u w:val="single"/>
          </w:rPr>
          <w:t>10.1002/anie.202525693</w:t>
        </w:r>
      </w:hyperlink>
    </w:p>
    <w:p>
      <w:pPr>
        <w:spacing w:before="0" w:after="120"/>
      </w:pPr>
      <w:r>
        <w:rPr>
          <w:b/>
        </w:rPr>
        <w:t xml:space="preserve">Notes: </w:t>
      </w:r>
      <w:r>
        <w:t>abstract_source=crossref</w:t>
      </w:r>
    </w:p>
    <w:p>
      <w:pPr>
        <w:spacing w:before="0" w:after="80" w:lineRule="auto" w:line="276"/>
      </w:pPr>
      <w:r>
        <w:rPr>
          <w:b/>
        </w:rPr>
        <w:t xml:space="preserve">摘要（ZH）: </w:t>
      </w:r>
      <w:r>
        <w:t>自然和人工纳米系统依赖于功能模块组装,但克服原子精准纳米装置集成中的热力不兼容性仍具有挑战性。在这里,我们建造了一个单层DNA(sDNA)-定向纳米装置,通过利用不对称的-互动以分裂Exciton能量水平,实现94.3%的消化效率。DNA空间封闭式空间闭合管对水疏松、共价和/互动,促成精确的组件安排。该纳米装置包括一个轻度采集引擎、一个振动性金属纳米集束驱动器和一个可编程的sDNA。在DNA空间闭合中,氟磷和金属纳米集束之间的对称互动,引导Exciton通量。</w:t>
      </w:r>
    </w:p>
    <w:p>
      <w:pPr>
        <w:spacing w:before="0" w:after="200" w:lineRule="auto" w:line="276"/>
      </w:pPr>
      <w:r>
        <w:rPr>
          <w:b/>
        </w:rPr>
        <w:t xml:space="preserve">Abstract (EN): </w:t>
      </w:r>
      <w:r>
        <w:t>Natural and artificial nanosystems rely on functional module assembly, yet overcoming thermodynamic incompatibility in atomically precise nanodevice integration remains challenging. Here, we construct a single‐stranded DNA (ssDNA)‐directed nanodevice that achieves 94.3% quenching efficiency by harnessing asymmetric π–π interactions to split exciton energy levels. DNA spatial confinement orchestrates hydrophobic, covalent, and π–π interactions, enabling precise component arrangement. This nanodevice comprises a light‐harvesting engine, a vibrational metal nanocluster actuator and a programmable ssDNA. Asymmetric π–π interactions between fluorophore and metal nanocluster in DNA spatial confinements split fluorophore energy levels, directing exciton flux. Complementary DNA strands modulate engine‐actuator coupling, enabling enthalpy‐driven switching between radiative and non‐radiative pathways. By tuning DNA length and nanocluster ligands, we achieve continuous control over energy transfer efficiency. This programmable platform, manipulating non‐radiative decay via π–π interactions, establishes vibrational control as a general paradigm for nanoscale energy transduction.</w:t>
      </w:r>
    </w:p>
    <w:p>
      <w:pPr>
        <w:spacing w:before="120" w:after="120"/>
      </w:pPr>
      <w:r>
        <w:rPr>
          <w:sz w:val="18"/>
        </w:rPr>
        <w:t>——————————————————————————————————————————————————————————————————————</w:t>
      </w:r>
    </w:p>
    <w:p>
      <w:pPr>
        <w:spacing w:before="160" w:after="40" w:line="240" w:lineRule="auto"/>
      </w:pPr>
      <w:r>
        <w:rPr>
          <w:b/>
        </w:rPr>
        <w:t xml:space="preserve">[408] </w:t>
      </w:r>
      <w:hyperlink r:id="rId618">
        <w:r>
          <w:rPr>
            <w:color w:val="1155CC"/>
            <w:u w:val="single"/>
          </w:rPr>
          <w:t>通过环球聚氨酯的替代(脱子)(环球脱子)的替代(脱子)的电联</w:t>
        </w:r>
      </w:hyperlink>
    </w:p>
    <w:p>
      <w:pPr>
        <w:spacing w:before="0" w:after="80"/>
      </w:pPr>
      <w:r>
        <w:rPr>
          <w:i/>
          <w:sz w:val="20"/>
        </w:rPr>
        <w:t>EN: Regioselective Electrosynthesis of Substituted (deuterated) Pyridines Through Enamine‐Iminium Cross‐Coupling</w:t>
      </w:r>
    </w:p>
    <w:p>
      <w:pPr>
        <w:spacing w:before="0" w:after="120"/>
      </w:pPr>
      <w:r>
        <w:rPr>
          <w:b/>
        </w:rPr>
        <w:t xml:space="preserve">Source: </w:t>
      </w:r>
      <w:r>
        <w:t>Wiley: Angewandte Chemie International Edition: Table of Contents</w:t>
      </w:r>
      <w:r>
        <w:t xml:space="preserve">    </w:t>
      </w:r>
      <w:r>
        <w:rPr>
          <w:b/>
        </w:rPr>
        <w:t xml:space="preserve">Pub date: </w:t>
      </w:r>
      <w:r>
        <w:t>2026-02-04 05:04:18+00:00</w:t>
      </w:r>
      <w:r>
        <w:t xml:space="preserve">    </w:t>
      </w:r>
      <w:r>
        <w:rPr>
          <w:b/>
        </w:rPr>
        <w:t xml:space="preserve">DOI: </w:t>
      </w:r>
      <w:hyperlink r:id="rId619">
        <w:r>
          <w:rPr>
            <w:color w:val="1155CC"/>
            <w:u w:val="single"/>
          </w:rPr>
          <w:t>10.1002/anie.202521953</w:t>
        </w:r>
      </w:hyperlink>
    </w:p>
    <w:p>
      <w:pPr>
        <w:spacing w:before="0" w:after="120"/>
      </w:pPr>
      <w:r>
        <w:rPr>
          <w:b/>
        </w:rPr>
        <w:t xml:space="preserve">Notes: </w:t>
      </w:r>
      <w:r>
        <w:t>abstract_source=crossref</w:t>
      </w:r>
    </w:p>
    <w:p>
      <w:pPr>
        <w:spacing w:before="0" w:after="80" w:lineRule="auto" w:line="276"/>
      </w:pPr>
      <w:r>
        <w:rPr>
          <w:b/>
        </w:rPr>
        <w:t xml:space="preserve">摘要（ZH）: </w:t>
      </w:r>
      <w:r>
        <w:t>战略使用聚氨二氮交叉结合法,在温和反应条件下以高功能群体耐受度构建核心;此外,C5-二硝化还以一步骤实现,使用低廉的二氧化二氮作为低廉的除化元素来源;除电离子事件外,电生酸(EGA)在关键的联结化步骤中起着决定性作用;机械学研究,包括控制实验和循环电压测量,揭示环球物理学和天文学研究的参与情况,并协助确定关键反应中间体;该方法的合成效用通过后层衍生法展示,af 以合成方式展示。</w:t>
      </w:r>
    </w:p>
    <w:p>
      <w:pPr>
        <w:spacing w:before="0" w:after="200" w:lineRule="auto" w:line="276"/>
      </w:pPr>
      <w:r>
        <w:rPr>
          <w:b/>
        </w:rPr>
        <w:t xml:space="preserve">Abstract (EN): </w:t>
      </w:r>
      <w:r>
        <w:t>An electrochemical protocol for the regioselective synthesis of multi‐substituted pyridines via a (3+3) annulation is described. The strategy utilizes enamine‐iminium cross‐coupling to construct the pyridine core with high functional group tolerance under mild reaction conditions. Alongside, C5‐deuterated pyridines are achieved in a single step using deuterium oxide as the inexpensive deuterium source. In addition to the electro‐redox events, electrogenerated acid (EGA) plays a decisive role in key bond‐forming steps. Mechanistic studies, including control experiments and cyclic voltammetry, reveal the involvement of EGA and assist in identifying crucial reaction intermediates. The synthetic utility of the method is showcased by post‐annulation derivatization, affording a diverse library of pyridine derivatives.</w:t>
      </w:r>
    </w:p>
    <w:p>
      <w:pPr>
        <w:spacing w:before="120" w:after="120"/>
      </w:pPr>
      <w:r>
        <w:rPr>
          <w:sz w:val="18"/>
        </w:rPr>
        <w:t>——————————————————————————————————————————————————————————————————————</w:t>
      </w:r>
    </w:p>
    <w:p>
      <w:pPr>
        <w:spacing w:before="160" w:after="40" w:line="240" w:lineRule="auto"/>
      </w:pPr>
      <w:r>
        <w:rPr>
          <w:b/>
        </w:rPr>
        <w:t xml:space="preserve">[409] </w:t>
      </w:r>
      <w:hyperlink r:id="rId620">
        <w:r>
          <w:rPr>
            <w:color w:val="1155CC"/>
            <w:u w:val="single"/>
          </w:rPr>
          <w:t>水电池:历史里程碑和现代复兴展望</w:t>
        </w:r>
      </w:hyperlink>
    </w:p>
    <w:p>
      <w:pPr>
        <w:spacing w:before="0" w:after="80"/>
      </w:pPr>
      <w:r>
        <w:rPr>
          <w:i/>
          <w:sz w:val="20"/>
        </w:rPr>
        <w:t>EN: Perspective on Aqueous Batteries: Historical Milestones and Modern Revival</w:t>
      </w:r>
    </w:p>
    <w:p>
      <w:pPr>
        <w:spacing w:before="0" w:after="120"/>
      </w:pPr>
      <w:r>
        <w:rPr>
          <w:b/>
        </w:rPr>
        <w:t xml:space="preserve">Source: </w:t>
      </w:r>
      <w:r>
        <w:t>Wiley: Advanced Materials: Table of Contents</w:t>
      </w:r>
      <w:r>
        <w:t xml:space="preserve">    </w:t>
      </w:r>
      <w:r>
        <w:rPr>
          <w:b/>
        </w:rPr>
        <w:t xml:space="preserve">Pub date: </w:t>
      </w:r>
      <w:r>
        <w:t>2026-02-04 06:11:06+00:00</w:t>
      </w:r>
      <w:r>
        <w:t xml:space="preserve">    </w:t>
      </w:r>
      <w:r>
        <w:rPr>
          <w:b/>
        </w:rPr>
        <w:t xml:space="preserve">DOI: </w:t>
      </w:r>
      <w:hyperlink r:id="rId621">
        <w:r>
          <w:rPr>
            <w:color w:val="1155CC"/>
            <w:u w:val="single"/>
          </w:rPr>
          <w:t>10.1002/adma.72294</w:t>
        </w:r>
      </w:hyperlink>
    </w:p>
    <w:p>
      <w:pPr>
        <w:spacing w:before="0" w:after="120"/>
      </w:pPr>
      <w:r>
        <w:rPr>
          <w:b/>
        </w:rPr>
        <w:t xml:space="preserve">Notes: </w:t>
      </w:r>
      <w:r>
        <w:t>abstract_source=crossref</w:t>
      </w:r>
    </w:p>
    <w:p>
      <w:pPr>
        <w:spacing w:before="0" w:after="80" w:lineRule="auto" w:line="276"/>
      </w:pPr>
      <w:r>
        <w:rPr>
          <w:b/>
        </w:rPr>
        <w:t xml:space="preserve">摘要（ZH）: </w:t>
      </w:r>
      <w:r>
        <w:t>ABSTACT 水产电池在电化学能源储存演变过程中发挥了关键但波动不定的作用。 从铅酸和镍基化学基础成功到锂电池的日蚀,水体系统长期以来被认为由于能源密度有限和循环稳定性差而技术低劣。 然而,对安全、低成本和可持续的储存的迫切需求引发了复兴,而电解工程和电极和阴极的先进电极材料的突破又推动了复兴。 本次审查回顾了商业化水电池的历史轨迹,从过去的成功和失败中吸取了教训,同时强调了现在能够进行扩展的蒸汽技术的进步。</w:t>
      </w:r>
    </w:p>
    <w:p>
      <w:pPr>
        <w:spacing w:before="0" w:after="200" w:lineRule="auto" w:line="276"/>
      </w:pPr>
      <w:r>
        <w:rPr>
          <w:b/>
        </w:rPr>
        <w:t xml:space="preserve">Abstract (EN): </w:t>
      </w:r>
      <w:r>
        <w:t>Aqueous batteries have played a pivotal yet fluctuating role in the evolution of electrochemical energy storage. From their foundational success in lead–acid and nickel‐based chemistries to their eclipse by lithium‐ion batteries, aqueous systems were long regarded as technologically inferior due to limited energy density and poor cycling stability. However, the urgent demand for safe, low‐cost, and sustainable storage has sparked a renaissance, fueled by breakthroughs in electrolyte engineering and advanced electrode materials for both anodes and cathodes. This review revisits the historical trajectory of commercialized aqueous batteries, extracting lessons from past successes and failures while highlighting the technological advances that now enable extended voltage windows, improved cycling stability, and scalable manufacturing. We argue that the future of aqueous batteries lies not in directly competing with lithium‐ion in high‐energy applications, but in complementing them across grid‐scale storage, uninterruptible power supplies, and decentralized energy systems where safety, cost, and recyclability are paramount. By connecting history with current progress, we reflect on how these insights reshape expectations for the next generation of aqueous batteries and their role in a more diversified and sustainable energy storage landscape.</w:t>
      </w:r>
    </w:p>
    <w:p>
      <w:pPr>
        <w:spacing w:before="120" w:after="120"/>
      </w:pPr>
      <w:r>
        <w:rPr>
          <w:sz w:val="18"/>
        </w:rPr>
        <w:t>——————————————————————————————————————————————————————————————————————</w:t>
      </w:r>
    </w:p>
    <w:p>
      <w:pPr>
        <w:spacing w:before="160" w:after="40" w:line="240" w:lineRule="auto"/>
      </w:pPr>
      <w:r>
        <w:rPr>
          <w:b/>
        </w:rPr>
        <w:t xml:space="preserve">[410] </w:t>
      </w:r>
      <w:hyperlink r:id="rId622">
        <w:r>
          <w:rPr>
            <w:color w:val="1155CC"/>
            <w:u w:val="single"/>
          </w:rPr>
          <w:t>通过CO32-/HCO3-HCO3-HCO3-Metdic H2O2生产三-阶段电化系统中的经检测的分流效应</w:t>
        </w:r>
      </w:hyperlink>
    </w:p>
    <w:p>
      <w:pPr>
        <w:spacing w:before="0" w:after="80"/>
      </w:pPr>
      <w:r>
        <w:rPr>
          <w:i/>
          <w:sz w:val="20"/>
        </w:rPr>
        <w:t>EN: Anodic H2O2 Production via CO32−/HCO3−‐Mediated Spillover Effect in Three‐Phase Electrochemical System</w:t>
      </w:r>
    </w:p>
    <w:p>
      <w:pPr>
        <w:spacing w:before="0" w:after="120"/>
      </w:pPr>
      <w:r>
        <w:rPr>
          <w:b/>
        </w:rPr>
        <w:t xml:space="preserve">Source: </w:t>
      </w:r>
      <w:r>
        <w:t>Wiley: Angewandte Chemie International Edition: Table of Contents</w:t>
      </w:r>
      <w:r>
        <w:t xml:space="preserve">    </w:t>
      </w:r>
      <w:r>
        <w:rPr>
          <w:b/>
        </w:rPr>
        <w:t xml:space="preserve">Pub date: </w:t>
      </w:r>
      <w:r>
        <w:t>2026-02-04 06:13:30+00:00</w:t>
      </w:r>
      <w:r>
        <w:t xml:space="preserve">    </w:t>
      </w:r>
      <w:r>
        <w:rPr>
          <w:b/>
        </w:rPr>
        <w:t xml:space="preserve">DOI: </w:t>
      </w:r>
      <w:hyperlink r:id="rId623">
        <w:r>
          <w:rPr>
            <w:color w:val="1155CC"/>
            <w:u w:val="single"/>
          </w:rPr>
          <w:t>10.1002/anie.202523919</w:t>
        </w:r>
      </w:hyperlink>
    </w:p>
    <w:p>
      <w:pPr>
        <w:spacing w:before="0" w:after="120"/>
      </w:pPr>
      <w:r>
        <w:rPr>
          <w:b/>
        </w:rPr>
        <w:t xml:space="preserve">Notes: </w:t>
      </w:r>
      <w:r>
        <w:t>abstract_source=crossref</w:t>
      </w:r>
    </w:p>
    <w:p>
      <w:pPr>
        <w:spacing w:before="0" w:after="80" w:lineRule="auto" w:line="276"/>
      </w:pPr>
      <w:r>
        <w:rPr>
          <w:b/>
        </w:rPr>
        <w:t xml:space="preserve">摘要（ZH）: </w:t>
      </w:r>
      <w:r>
        <w:t>由碳酸(CO 3 2-/HCO 3-) 介于碳酸(CO 3 2-/HCO 3-)的(双)碳酸(CO 3 2-/HCO 3-)介于碳酸(CO 3 2-/HCO 3-)的ABSTACT 双电子水氧化反应(2e- WOR)对H 2 O 2生产很有希望,然而,由于当地CO 3-2-/HCO 3浓度低,先前的H 2 O 2产量通常不能令人满意,因为当地CO 3-2-/HCO 3 - 固态/液体界面的浓度低。</w:t>
      </w:r>
    </w:p>
    <w:p>
      <w:pPr>
        <w:spacing w:before="0" w:after="200" w:lineRule="auto" w:line="276"/>
      </w:pPr>
      <w:r>
        <w:rPr>
          <w:b/>
        </w:rPr>
        <w:t xml:space="preserve">Abstract (EN): </w:t>
      </w:r>
      <w:r>
        <w:t>Two‐electron water oxidation reaction (2e</w:t>
      </w:r>
      <w:r>
        <w:t xml:space="preserve"> </w:t>
      </w:r>
      <w:r>
        <w:t>−</w:t>
      </w:r>
      <w:r>
        <w:t>WOR) mediated by (bi)carbonate (CO</w:t>
      </w:r>
      <w:r>
        <w:rPr>
          <w:vertAlign w:val="subscript"/>
        </w:rPr>
        <w:t>3</w:t>
      </w:r>
      <w:r>
        <w:t>2−</w:t>
      </w:r>
      <w:r>
        <w:t>/HCO</w:t>
      </w:r>
      <w:r>
        <w:rPr>
          <w:vertAlign w:val="subscript"/>
        </w:rPr>
        <w:t>3</w:t>
      </w:r>
      <w:r>
        <w:t>−</w:t>
      </w:r>
      <w:r>
        <w:t>) is promising for anodic H</w:t>
      </w:r>
      <w:r>
        <w:rPr>
          <w:vertAlign w:val="subscript"/>
        </w:rPr>
        <w:t>2</w:t>
      </w:r>
      <w:r>
        <w:t>O</w:t>
      </w:r>
      <w:r>
        <w:rPr>
          <w:vertAlign w:val="subscript"/>
        </w:rPr>
        <w:t>2</w:t>
      </w:r>
      <w:r>
        <w:t>production. However, previous H</w:t>
      </w:r>
      <w:r>
        <w:rPr>
          <w:vertAlign w:val="subscript"/>
        </w:rPr>
        <w:t>2</w:t>
      </w:r>
      <w:r>
        <w:t>O</w:t>
      </w:r>
      <w:r>
        <w:rPr>
          <w:vertAlign w:val="subscript"/>
        </w:rPr>
        <w:t>2</w:t>
      </w:r>
      <w:r>
        <w:t>yields are usually unsatisfactory due to low local CO</w:t>
      </w:r>
      <w:r>
        <w:rPr>
          <w:vertAlign w:val="subscript"/>
        </w:rPr>
        <w:t>3</w:t>
      </w:r>
      <w:r>
        <w:t>2−</w:t>
      </w:r>
      <w:r>
        <w:t>/HCO</w:t>
      </w:r>
      <w:r>
        <w:rPr>
          <w:vertAlign w:val="subscript"/>
        </w:rPr>
        <w:t>3</w:t>
      </w:r>
      <w:r>
        <w:t>−</w:t>
      </w:r>
      <w:r>
        <w:t>concentration at the solid/liquid interface. These sluggish reaction rates mainly result from the restricted ion diffusion, and the obstacle of by‐product O</w:t>
      </w:r>
      <w:r>
        <w:rPr>
          <w:vertAlign w:val="subscript"/>
        </w:rPr>
        <w:t>2</w:t>
      </w:r>
      <w:r>
        <w:t>bubbles. To resolve this puzzle, a three‐phase WOR system based on CO</w:t>
      </w:r>
      <w:r>
        <w:rPr>
          <w:vertAlign w:val="subscript"/>
        </w:rPr>
        <w:t>2</w:t>
      </w:r>
      <w:r>
        <w:t>(g)/dual‐catalyst composite (s)/KOH (l) is adopted. At the three‐phase interface, a high local concentration of CO</w:t>
      </w:r>
      <w:r>
        <w:rPr>
          <w:vertAlign w:val="subscript"/>
        </w:rPr>
        <w:t>3</w:t>
      </w:r>
      <w:r>
        <w:t>2−</w:t>
      </w:r>
      <w:r>
        <w:t>/HCO</w:t>
      </w:r>
      <w:r>
        <w:rPr>
          <w:vertAlign w:val="subscript"/>
        </w:rPr>
        <w:t>3</w:t>
      </w:r>
      <w:r>
        <w:t>−</w:t>
      </w:r>
      <w:r>
        <w:t>can form in the CO</w:t>
      </w:r>
      <w:r>
        <w:rPr>
          <w:vertAlign w:val="subscript"/>
        </w:rPr>
        <w:t>2</w:t>
      </w:r>
      <w:r>
        <w:t>adsorption unit and transfer to the WOR catalyst unit via the CO</w:t>
      </w:r>
      <w:r>
        <w:rPr>
          <w:vertAlign w:val="subscript"/>
        </w:rPr>
        <w:t>3</w:t>
      </w:r>
      <w:r>
        <w:t>2−</w:t>
      </w:r>
      <w:r>
        <w:t>/HCO</w:t>
      </w:r>
      <w:r>
        <w:rPr>
          <w:vertAlign w:val="subscript"/>
        </w:rPr>
        <w:t>3</w:t>
      </w:r>
      <w:r>
        <w:t>−</w:t>
      </w:r>
      <w:r>
        <w:t>‐mediated spillover effect. As a result, the largest H</w:t>
      </w:r>
      <w:r>
        <w:rPr>
          <w:vertAlign w:val="subscript"/>
        </w:rPr>
        <w:t>2</w:t>
      </w:r>
      <w:r>
        <w:t>O</w:t>
      </w:r>
      <w:r>
        <w:rPr>
          <w:vertAlign w:val="subscript"/>
        </w:rPr>
        <w:t>2</w:t>
      </w:r>
      <w:r>
        <w:t>yield of 51.62 mM at 50 mA cm</w:t>
      </w:r>
      <w:r>
        <w:t xml:space="preserve"> </w:t>
      </w:r>
      <w:r>
        <w:t>−2</w:t>
      </w:r>
      <w:r>
        <w:t xml:space="preserve"> </w:t>
      </w:r>
      <w:r>
        <w:t>was realized, superior to that of the conventional two‐phase system. Density functional theory (DFT) calculations, electrochemical and CO</w:t>
      </w:r>
      <w:r>
        <w:rPr>
          <w:vertAlign w:val="subscript"/>
        </w:rPr>
        <w:t>2</w:t>
      </w:r>
      <w:r>
        <w:t>adsorption tests, and in situ Fourier transform infrared spectra (FTIR) results jointly confirmed the larger adsorption amount of CO</w:t>
      </w:r>
      <w:r>
        <w:rPr>
          <w:vertAlign w:val="subscript"/>
        </w:rPr>
        <w:t>3</w:t>
      </w:r>
      <w:r>
        <w:t>2−</w:t>
      </w:r>
      <w:r>
        <w:t>/HCO</w:t>
      </w:r>
      <w:r>
        <w:rPr>
          <w:vertAlign w:val="subscript"/>
        </w:rPr>
        <w:t>3</w:t>
      </w:r>
      <w:r>
        <w:t>−</w:t>
      </w:r>
      <w:r>
        <w:t>ions, the spillover of CO</w:t>
      </w:r>
      <w:r>
        <w:rPr>
          <w:vertAlign w:val="subscript"/>
        </w:rPr>
        <w:t>3</w:t>
      </w:r>
      <w:r>
        <w:t>2−</w:t>
      </w:r>
      <w:r>
        <w:t>/HCO</w:t>
      </w:r>
      <w:r>
        <w:rPr>
          <w:vertAlign w:val="subscript"/>
        </w:rPr>
        <w:t>3</w:t>
      </w:r>
      <w:r>
        <w:t>−</w:t>
      </w:r>
      <w:r>
        <w:t>and their transformation to HCO</w:t>
      </w:r>
      <w:r>
        <w:rPr>
          <w:vertAlign w:val="subscript"/>
        </w:rPr>
        <w:t>4</w:t>
      </w:r>
      <w:r>
        <w:t>−</w:t>
      </w:r>
      <w:r>
        <w:t>, and the whole reaction processes from CO</w:t>
      </w:r>
      <w:r>
        <w:rPr>
          <w:vertAlign w:val="subscript"/>
        </w:rPr>
        <w:t>2</w:t>
      </w:r>
      <w:r>
        <w:t>adsorption to final H</w:t>
      </w:r>
      <w:r>
        <w:rPr>
          <w:vertAlign w:val="subscript"/>
        </w:rPr>
        <w:t>2</w:t>
      </w:r>
      <w:r>
        <w:t>O</w:t>
      </w:r>
      <w:r>
        <w:rPr>
          <w:vertAlign w:val="subscript"/>
        </w:rPr>
        <w:t>2</w:t>
      </w:r>
      <w:r>
        <w:t>production at the three‐phase interface. This is the first application of the three‐phase design in WOR, which can provide guidance for efficient H</w:t>
      </w:r>
      <w:r>
        <w:rPr>
          <w:vertAlign w:val="subscript"/>
        </w:rPr>
        <w:t>2</w:t>
      </w:r>
      <w:r>
        <w:t>O</w:t>
      </w:r>
      <w:r>
        <w:rPr>
          <w:vertAlign w:val="subscript"/>
        </w:rPr>
        <w:t>2</w:t>
      </w:r>
      <w:r>
        <w:t>synthesis in 2e</w:t>
      </w:r>
      <w:r>
        <w:t xml:space="preserve"> </w:t>
      </w:r>
      <w:r>
        <w:t>−</w:t>
      </w:r>
      <w:r>
        <w:t>WORs and can also be applied in other electrochemical WORs.</w:t>
      </w:r>
    </w:p>
    <w:p>
      <w:pPr>
        <w:spacing w:before="120" w:after="120"/>
      </w:pPr>
      <w:r>
        <w:rPr>
          <w:sz w:val="18"/>
        </w:rPr>
        <w:t>——————————————————————————————————————————————————————————————————————</w:t>
      </w:r>
    </w:p>
    <w:p>
      <w:pPr>
        <w:spacing w:before="160" w:after="40" w:line="240" w:lineRule="auto"/>
      </w:pPr>
      <w:r>
        <w:rPr>
          <w:b/>
        </w:rPr>
        <w:t xml:space="preserve">[411] </w:t>
      </w:r>
      <w:hyperlink r:id="rId624">
        <w:r>
          <w:rPr>
            <w:color w:val="1155CC"/>
            <w:u w:val="single"/>
          </w:rPr>
          <w:t>猴猴猴猴座,成群成群结团,并配有二百合苯[cd,fg],作为天然核心和另外两条血型,并配有全新面板</w:t>
        </w:r>
      </w:hyperlink>
    </w:p>
    <w:p>
      <w:pPr>
        <w:spacing w:before="0" w:after="80"/>
      </w:pPr>
      <w:r>
        <w:rPr>
          <w:i/>
          <w:sz w:val="20"/>
        </w:rPr>
        <w:t>EN: A Monkey‐Saddle‐Shaped Nanographene Embedding a Dicyclohepta[cd,fg]‐as‐Indacene Core and Two Additional Heptagons, and Its Paddle‐Wheel Co‐Assembly With Fullerenes</w:t>
      </w:r>
    </w:p>
    <w:p>
      <w:pPr>
        <w:spacing w:before="0" w:after="120"/>
      </w:pPr>
      <w:r>
        <w:rPr>
          <w:b/>
        </w:rPr>
        <w:t xml:space="preserve">Source: </w:t>
      </w:r>
      <w:r>
        <w:t>Wiley: Angewandte Chemie International Edition: Table of Contents</w:t>
      </w:r>
      <w:r>
        <w:t xml:space="preserve">    </w:t>
      </w:r>
      <w:r>
        <w:rPr>
          <w:b/>
        </w:rPr>
        <w:t xml:space="preserve">Pub date: </w:t>
      </w:r>
      <w:r>
        <w:t>2026-02-04 06:14:42+00:00</w:t>
      </w:r>
      <w:r>
        <w:t xml:space="preserve">    </w:t>
      </w:r>
      <w:r>
        <w:rPr>
          <w:b/>
        </w:rPr>
        <w:t xml:space="preserve">DOI: </w:t>
      </w:r>
      <w:hyperlink r:id="rId625">
        <w:r>
          <w:rPr>
            <w:color w:val="1155CC"/>
            <w:u w:val="single"/>
          </w:rPr>
          <w:t>10.1002/anie.5649022</w:t>
        </w:r>
      </w:hyperlink>
    </w:p>
    <w:p>
      <w:pPr>
        <w:spacing w:before="0" w:after="120"/>
      </w:pPr>
      <w:r>
        <w:rPr>
          <w:b/>
        </w:rPr>
        <w:t xml:space="preserve">Notes: </w:t>
      </w:r>
      <w:r>
        <w:t>abstract_source=crossref</w:t>
      </w:r>
    </w:p>
    <w:p>
      <w:pPr>
        <w:spacing w:before="0" w:after="80" w:lineRule="auto" w:line="276"/>
      </w:pPr>
      <w:r>
        <w:rPr>
          <w:b/>
        </w:rPr>
        <w:t xml:space="preserve">摘要（ZH）: </w:t>
      </w:r>
      <w:r>
        <w:t>我们展示了一部新奇的纳米图1,它嵌入了二环环乙烷[cd, fg]],作为(DCH作为I) mostif 和另外两个肝脏。这个缺陷的skeleton通过肖尔反应高效地从寡苯基前体中合成,一个镜头提供了四种肝脏。DCH作为I和 heptagons的结合结束了。</w:t>
      </w:r>
    </w:p>
    <w:p>
      <w:pPr>
        <w:spacing w:before="0" w:after="200" w:lineRule="auto" w:line="276"/>
      </w:pPr>
      <w:r>
        <w:rPr>
          <w:b/>
        </w:rPr>
        <w:t xml:space="preserve">Abstract (EN): </w:t>
      </w:r>
      <w:r>
        <w:t>We present a novel nanographene</w:t>
      </w:r>
      <w:r>
        <w:rPr>
          <w:vertAlign w:val="subscript"/>
        </w:rPr>
        <w:t>1</w:t>
      </w:r>
      <w:r>
        <w:t>that embeds a dicyclohepta[</w:t>
      </w:r>
      <w:r>
        <w:t xml:space="preserve"> </w:t>
      </w:r>
      <w:r>
        <w:t>cd</w:t>
      </w:r>
      <w:r>
        <w:t xml:space="preserve"> </w:t>
      </w:r>
      <w:r>
        <w:t>,</w:t>
      </w:r>
      <w:r>
        <w:t xml:space="preserve"> </w:t>
      </w:r>
      <w:r>
        <w:t>fg</w:t>
      </w:r>
      <w:r>
        <w:t xml:space="preserve"> </w:t>
      </w:r>
      <w:r>
        <w:t>]‐</w:t>
      </w:r>
      <w:r>
        <w:t xml:space="preserve"> </w:t>
      </w:r>
      <w:r>
        <w:t>as</w:t>
      </w:r>
      <w:r>
        <w:t xml:space="preserve"> </w:t>
      </w:r>
      <w:r>
        <w:t>‐indacene (</w:t>
      </w:r>
      <w:r>
        <w:t xml:space="preserve"> </w:t>
      </w:r>
      <w:r>
        <w:t>DCH‐</w:t>
      </w:r>
      <w:r>
        <w:t xml:space="preserve"> </w:t>
      </w:r>
      <w:r>
        <w:t>as</w:t>
      </w:r>
      <w:r>
        <w:t xml:space="preserve"> </w:t>
      </w:r>
      <w:r>
        <w:t>‐I</w:t>
      </w:r>
      <w:r>
        <w:t xml:space="preserve"> </w:t>
      </w:r>
      <w:r>
        <w:t>) motif and two additional heptagons. This defective π‐skeleton was efficiently synthesized from the oligophenylene precursors via the Scholl reaction, affording four heptagons in one shot. The integration of</w:t>
      </w:r>
      <w:r>
        <w:t xml:space="preserve"> </w:t>
      </w:r>
      <w:r>
        <w:t>DCH‐</w:t>
      </w:r>
      <w:r>
        <w:t xml:space="preserve"> </w:t>
      </w:r>
      <w:r>
        <w:t>as</w:t>
      </w:r>
      <w:r>
        <w:t xml:space="preserve"> </w:t>
      </w:r>
      <w:r>
        <w:t>‐I</w:t>
      </w:r>
      <w:r>
        <w:t xml:space="preserve"> </w:t>
      </w:r>
      <w:r>
        <w:t>and heptagons endows</w:t>
      </w:r>
      <w:r>
        <w:rPr>
          <w:vertAlign w:val="subscript"/>
        </w:rPr>
        <w:t>1</w:t>
      </w:r>
      <w:r>
        <w:t>with excellent solubility, superior fluorescence emission, multiple reversible redox processes, and exceptional supramolecular behavior. X‐ray crystallographic analysis shows that</w:t>
      </w:r>
      <w:r>
        <w:rPr>
          <w:vertAlign w:val="subscript"/>
        </w:rPr>
        <w:t>1</w:t>
      </w:r>
      <w:r>
        <w:t>adopts a chiral monkey‐saddle‐shaped conformation and exists as a pair of enantiomers in the crystal lattice. The saddles of</w:t>
      </w:r>
      <w:r>
        <w:rPr>
          <w:vertAlign w:val="subscript"/>
        </w:rPr>
        <w:t>1</w:t>
      </w:r>
      <w:r>
        <w:t>stack through π–π overlap into slipped π‐dimers, which further assemble into linear arrays with ellipsoidal cavities that encapsulate chloroform molecules, forming clathrate‐like structures. The supramolecular co‐assembly of saddle</w:t>
      </w:r>
      <w:r>
        <w:rPr>
          <w:vertAlign w:val="subscript"/>
        </w:rPr>
        <w:t>1</w:t>
      </w:r>
      <w:r>
        <w:t>with C</w:t>
      </w:r>
      <w:r>
        <w:rPr>
          <w:vertAlign w:val="subscript"/>
        </w:rPr>
        <w:t>60</w:t>
      </w:r>
      <w:r>
        <w:t>was confirmed both in solution and crystal states. Single‐crystal structures unequivocally revealed an unprecedented 4:4 complex (C</w:t>
      </w:r>
      <w:r>
        <w:rPr>
          <w:vertAlign w:val="subscript"/>
        </w:rPr>
        <w:t>60</w:t>
      </w:r>
      <w:r>
        <w:t>)</w:t>
      </w:r>
      <w:r>
        <w:rPr>
          <w:vertAlign w:val="subscript"/>
        </w:rPr>
        <w:t>4</w:t>
      </w:r>
      <w:r>
        <w:t>⊂(</w:t>
      </w:r>
      <w:r>
        <w:rPr>
          <w:vertAlign w:val="subscript"/>
        </w:rPr>
        <w:t>1</w:t>
      </w:r>
      <w:r>
        <w:t>)</w:t>
      </w:r>
      <w:r>
        <w:rPr>
          <w:vertAlign w:val="subscript"/>
        </w:rPr>
        <w:t>4</w:t>
      </w:r>
      <w:r>
        <w:t>, in which four saddles of identical configuration and four C</w:t>
      </w:r>
      <w:r>
        <w:rPr>
          <w:vertAlign w:val="subscript"/>
        </w:rPr>
        <w:t>60</w:t>
      </w:r>
      <w:r>
        <w:t>spheres are alternately arranged into a chiral paddle‐wheel structure. Two such complexes of opposite chirality further dimerize in a staggered fashion to form an aesthetically‐striking octameric nanocubular supramolecular architecture. This study offers profound insights into the joint influence of</w:t>
      </w:r>
      <w:r>
        <w:t xml:space="preserve"> </w:t>
      </w:r>
      <w:r>
        <w:t>DCH‐</w:t>
      </w:r>
      <w:r>
        <w:t xml:space="preserve"> </w:t>
      </w:r>
      <w:r>
        <w:t>as</w:t>
      </w:r>
      <w:r>
        <w:t xml:space="preserve"> </w:t>
      </w:r>
      <w:r>
        <w:t>‐I</w:t>
      </w:r>
      <w:r>
        <w:t xml:space="preserve"> </w:t>
      </w:r>
      <w:r>
        <w:t>and heptagonal defects on the topology, electronic structure, photophysical properties, and supramolecular assembly behavior of nanographenes.</w:t>
      </w:r>
    </w:p>
    <w:p>
      <w:pPr>
        <w:spacing w:before="120" w:after="120"/>
      </w:pPr>
      <w:r>
        <w:rPr>
          <w:sz w:val="18"/>
        </w:rPr>
        <w:t>——————————————————————————————————————————————————————————————————————</w:t>
      </w:r>
    </w:p>
    <w:p>
      <w:pPr>
        <w:spacing w:before="160" w:after="40" w:line="240" w:lineRule="auto"/>
      </w:pPr>
      <w:r>
        <w:rPr>
          <w:b/>
        </w:rPr>
        <w:t xml:space="preserve">[412] </w:t>
      </w:r>
      <w:hyperlink r:id="rId626">
        <w:r>
          <w:rPr>
            <w:color w:val="1155CC"/>
            <w:u w:val="single"/>
          </w:rPr>
          <w:t>通过规范散装和表面液态氧化物的当地环境,在LiRich Mn基底煤层中实现可逆氧红氧化物</w:t>
        </w:r>
      </w:hyperlink>
    </w:p>
    <w:p>
      <w:pPr>
        <w:spacing w:before="0" w:after="80"/>
      </w:pPr>
      <w:r>
        <w:rPr>
          <w:i/>
          <w:sz w:val="20"/>
        </w:rPr>
        <w:t>EN: Reversible Oxygen Redox in Li‐Rich Mn Based Cathodes Achieved by Regulating the Local Environments of Bulk and Surface Lattice Oxygen</w:t>
      </w:r>
    </w:p>
    <w:p>
      <w:pPr>
        <w:spacing w:before="0" w:after="120"/>
      </w:pPr>
      <w:r>
        <w:rPr>
          <w:b/>
        </w:rPr>
        <w:t xml:space="preserve">Source: </w:t>
      </w:r>
      <w:r>
        <w:t>Wiley: Advanced Materials: Table of Contents</w:t>
      </w:r>
      <w:r>
        <w:t xml:space="preserve">    </w:t>
      </w:r>
      <w:r>
        <w:rPr>
          <w:b/>
        </w:rPr>
        <w:t xml:space="preserve">Pub date: </w:t>
      </w:r>
      <w:r>
        <w:t>2026-02-04 06:15:12+00:00</w:t>
      </w:r>
      <w:r>
        <w:t xml:space="preserve">    </w:t>
      </w:r>
      <w:r>
        <w:rPr>
          <w:b/>
        </w:rPr>
        <w:t xml:space="preserve">DOI: </w:t>
      </w:r>
      <w:hyperlink r:id="rId627">
        <w:r>
          <w:rPr>
            <w:color w:val="1155CC"/>
            <w:u w:val="single"/>
          </w:rPr>
          <w:t>10.1002/adma.202523233</w:t>
        </w:r>
      </w:hyperlink>
    </w:p>
    <w:p>
      <w:pPr>
        <w:spacing w:before="0" w:after="120"/>
      </w:pPr>
      <w:r>
        <w:rPr>
          <w:b/>
        </w:rPr>
        <w:t xml:space="preserve">Notes: </w:t>
      </w:r>
      <w:r>
        <w:t>abstract_source=crossref</w:t>
      </w:r>
    </w:p>
    <w:p>
      <w:pPr>
        <w:spacing w:before="0" w:after="80" w:lineRule="auto" w:line="276"/>
      </w:pPr>
      <w:r>
        <w:rPr>
          <w:b/>
        </w:rPr>
        <w:t xml:space="preserve">摘要（ZH）: </w:t>
      </w:r>
      <w:r>
        <w:t>普遍认为,ABSTACT Lattice-oxygen 红氧化物(LOR)是一种可行的方法,可以实现下一代电池的高容量阴极,然而,由于薄氧的内在化学不稳定性,实现高度可逆的L ° OR仍然具有挑战性。因此,稳定薄氧对于改善含氧红氧化化学阴极材料的性能十分必要。在本研究中,散装和表面薄质氧的特性都是在一种液态氧化物的模型中系统研究的(LRMO,即Li 1.2 Ni 0.2 Mn 0.6 O 2 ) 。</w:t>
      </w:r>
    </w:p>
    <w:p>
      <w:pPr>
        <w:spacing w:before="0" w:after="200" w:lineRule="auto" w:line="276"/>
      </w:pPr>
      <w:r>
        <w:rPr>
          <w:b/>
        </w:rPr>
        <w:t xml:space="preserve">Abstract (EN): </w:t>
      </w:r>
      <w:r>
        <w:t>Lattice‐oxygen redox (L‐OR) has been widely considered a viable approach to attain high‐capacity cathodes for next‐generation batteries. However, achieving highly reversible L ‐ OR remains challenging due to the intrinsic chemical instability of lattice oxygen. As such, stabilizing the lattice oxygen becomes necessary for improving the performance of cathode materials with oxygen redox chemistry. In this study, the distinct properties of both bulk and surface lattice oxygen are systematically studied in a model Li‐rich layered oxide material (LRMO, i.e., Li</w:t>
      </w:r>
      <w:r>
        <w:t xml:space="preserve"> </w:t>
      </w:r>
      <w:r>
        <w:t>1.2</w:t>
      </w:r>
      <w:r>
        <w:t xml:space="preserve"> </w:t>
      </w:r>
      <w:r>
        <w:t>Ni</w:t>
      </w:r>
      <w:r>
        <w:t xml:space="preserve"> </w:t>
      </w:r>
      <w:r>
        <w:t>0.2</w:t>
      </w:r>
      <w:r>
        <w:t xml:space="preserve"> </w:t>
      </w:r>
      <w:r>
        <w:t>Mn</w:t>
      </w:r>
      <w:r>
        <w:t xml:space="preserve"> </w:t>
      </w:r>
      <w:r>
        <w:t>0.6</w:t>
      </w:r>
      <w:r>
        <w:t xml:space="preserve"> </w:t>
      </w:r>
      <w:r>
        <w:t>O</w:t>
      </w:r>
      <w:r>
        <w:rPr>
          <w:vertAlign w:val="subscript"/>
        </w:rPr>
        <w:t>2</w:t>
      </w:r>
      <w:r>
        <w:t>) by employing different techniques. We find that, in the bulk, distortions in octahedral coordination geometry are closely correlated with variations in the electronic structure, and the substitution of Li ions with protons in a subsurface layer enhances the stability of surface lattice oxygen by altering its coordination environment. By jointly regulating the local environments of both bulk and surface lattice oxygen, the initial Coulombic efficiency is remarkably improved from 73.88% to 91.72%. Moreover, the modified LRMO demonstrates an impressive cycle stability, which realizes a capacity retention of 95.9% after 500 cycles at 250 mA g</w:t>
      </w:r>
      <w:r>
        <w:t xml:space="preserve"> </w:t>
      </w:r>
      <w:r>
        <w:t>−1</w:t>
      </w:r>
      <w:r>
        <w:t xml:space="preserve"> </w:t>
      </w:r>
      <w:r>
        <w:t>. This work demonstrates that rationally‐designed local environments of lattice oxygen can effectively stabilize the oxygen redox in Li‐rich cathodes.</w:t>
      </w:r>
    </w:p>
    <w:p>
      <w:pPr>
        <w:spacing w:before="120" w:after="120"/>
      </w:pPr>
      <w:r>
        <w:rPr>
          <w:sz w:val="18"/>
        </w:rPr>
        <w:t>——————————————————————————————————————————————————————————————————————</w:t>
      </w:r>
    </w:p>
    <w:p>
      <w:pPr>
        <w:spacing w:before="160" w:after="40" w:line="240" w:lineRule="auto"/>
      </w:pPr>
      <w:r>
        <w:rPr>
          <w:b/>
        </w:rPr>
        <w:t xml:space="preserve">[413] </w:t>
      </w:r>
      <w:hyperlink r:id="rId628">
        <w:r>
          <w:rPr>
            <w:color w:val="1155CC"/>
            <w:u w:val="single"/>
          </w:rPr>
          <w:t>本地溶解剂 Anchod Sodium 金属电池</w:t>
        </w:r>
      </w:hyperlink>
    </w:p>
    <w:p>
      <w:pPr>
        <w:spacing w:before="0" w:after="80"/>
      </w:pPr>
      <w:r>
        <w:rPr>
          <w:i/>
          <w:sz w:val="20"/>
        </w:rPr>
        <w:t>EN: Localized Solvent‐Anchored Carboxylate Ester Electrolyte Enables Wide Temperature and Fast Charging Sodium Metal Batteries</w:t>
      </w:r>
    </w:p>
    <w:p>
      <w:pPr>
        <w:spacing w:before="0" w:after="120"/>
      </w:pPr>
      <w:r>
        <w:rPr>
          <w:b/>
        </w:rPr>
        <w:t xml:space="preserve">Source: </w:t>
      </w:r>
      <w:r>
        <w:t>Wiley: Advanced Materials: Table of Contents</w:t>
      </w:r>
      <w:r>
        <w:t xml:space="preserve">    </w:t>
      </w:r>
      <w:r>
        <w:rPr>
          <w:b/>
        </w:rPr>
        <w:t xml:space="preserve">Pub date: </w:t>
      </w:r>
      <w:r>
        <w:t>2026-02-04 06:18:50+00:00</w:t>
      </w:r>
      <w:r>
        <w:t xml:space="preserve">    </w:t>
      </w:r>
      <w:r>
        <w:rPr>
          <w:b/>
        </w:rPr>
        <w:t xml:space="preserve">DOI: </w:t>
      </w:r>
      <w:hyperlink r:id="rId629">
        <w:r>
          <w:rPr>
            <w:color w:val="1155CC"/>
            <w:u w:val="single"/>
          </w:rPr>
          <w:t>10.1002/adma.202523324</w:t>
        </w:r>
      </w:hyperlink>
    </w:p>
    <w:p>
      <w:pPr>
        <w:spacing w:before="0" w:after="120"/>
      </w:pPr>
      <w:r>
        <w:rPr>
          <w:b/>
        </w:rPr>
        <w:t xml:space="preserve">Notes: </w:t>
      </w:r>
      <w:r>
        <w:t>abstract_source=crossref</w:t>
      </w:r>
    </w:p>
    <w:p>
      <w:pPr>
        <w:spacing w:before="0" w:after="80" w:lineRule="auto" w:line="276"/>
      </w:pPr>
      <w:r>
        <w:rPr>
          <w:b/>
        </w:rPr>
        <w:t xml:space="preserve">摘要（ZH）: </w:t>
      </w:r>
      <w:r>
        <w:t>ABSTACT Sodi-金属电池(SMBs)因其丰富的原材料供应和高能量密度而引起了相当大的兴趣,然而,在广泛温度范围内实现快速充电和长期循环的稳定性仍是一个相当大的挑战。在这项工作中,我们提出一种新的战略,通过调控甲基丙烯酸酯(MP)和氟乙烯碳酸盐(FEC)之间的低分子二极相互作用,将分子锚定与微软溶解相结合,从而有效地稳定免费溶剂比率,在低温度和快速充电条件下抑制不规则的脱层形成,并在高温条件下最大限度地减少高频生成,从而增强电解化学稳定性和纳。</w:t>
      </w:r>
    </w:p>
    <w:p>
      <w:pPr>
        <w:spacing w:before="0" w:after="200" w:lineRule="auto" w:line="276"/>
      </w:pPr>
      <w:r>
        <w:rPr>
          <w:b/>
        </w:rPr>
        <w:t xml:space="preserve">Abstract (EN): </w:t>
      </w:r>
      <w:r>
        <w:t>Sodium‐metal batteries (SMBs) have attracted considerable interest due to their abundant raw material supply and high energy density. Nevertheless, realizing fast charging and long‐term cycling stability over a wide temperature range remains a considerable challenge. In this work, we propose a novel strategy that integrates molecular anchoring with weak solvation by modulating the dipole‐dipole interactions between methyl propionate (MP) and fluoroethylene carbonate (FEC). This approach effectively stabilizes the free solvent ratio, suppresses the irregular dendrite formation under low‐temperature and fast‐charging conditions, and minimizes HF generation at elevated temperatures, thereby enhancing electrolyte chemical stability and Na</w:t>
      </w:r>
      <w:r>
        <w:t xml:space="preserve"> </w:t>
      </w:r>
      <w:r>
        <w:t>+</w:t>
      </w:r>
      <w:r>
        <w:t xml:space="preserve"> </w:t>
      </w:r>
      <w:r>
        <w:t>desolvation kinetics. These synergistic enhancements enable rapid Na</w:t>
      </w:r>
      <w:r>
        <w:t xml:space="preserve"> </w:t>
      </w:r>
      <w:r>
        <w:t>+</w:t>
      </w:r>
      <w:r>
        <w:t xml:space="preserve"> </w:t>
      </w:r>
      <w:r>
        <w:t>transport and facilitate the formation of a robust interface layer across a broad temperature range. Consequently, Na</w:t>
      </w:r>
      <w:r>
        <w:rPr>
          <w:vertAlign w:val="subscript"/>
        </w:rPr>
        <w:t>3</w:t>
      </w:r>
      <w:r>
        <w:t>V</w:t>
      </w:r>
      <w:r>
        <w:rPr>
          <w:vertAlign w:val="subscript"/>
        </w:rPr>
        <w:t>2</w:t>
      </w:r>
      <w:r>
        <w:t>(PO</w:t>
      </w:r>
      <w:r>
        <w:rPr>
          <w:vertAlign w:val="subscript"/>
        </w:rPr>
        <w:t>4</w:t>
      </w:r>
      <w:r>
        <w:t>)</w:t>
      </w:r>
      <w:r>
        <w:rPr>
          <w:vertAlign w:val="subscript"/>
        </w:rPr>
        <w:t>3</w:t>
      </w:r>
      <w:r>
        <w:t>||Na cells demonstrate stable operation from −40°C to 70°C and sustain over 10 000 cycles at 80°C, outperforming previous reports on wide‐temperature fast‐charging systems. Notably, the cells achieve a capacity retention of 98.58% after 1200 cycles at −20°C and 85.93% after 1500 cycles at 60°C. Moreover, pouch cells configured with this electrolyte exhibit superior all‐weather adaptability and fast‐charging capability. This work offers valuable insights for developing high‐performance SMBs operable under broad‐ temperature conditions.</w:t>
      </w:r>
    </w:p>
    <w:p>
      <w:pPr>
        <w:spacing w:before="120" w:after="120"/>
      </w:pPr>
      <w:r>
        <w:rPr>
          <w:sz w:val="18"/>
        </w:rPr>
        <w:t>——————————————————————————————————————————————————————————————————————</w:t>
      </w:r>
    </w:p>
    <w:p>
      <w:pPr>
        <w:spacing w:before="160" w:after="40" w:line="240" w:lineRule="auto"/>
      </w:pPr>
      <w:r>
        <w:rPr>
          <w:b/>
        </w:rPr>
        <w:t xml:space="preserve">[414] </w:t>
      </w:r>
      <w:hyperlink r:id="rId630">
        <w:r>
          <w:rPr>
            <w:color w:val="1155CC"/>
            <w:u w:val="single"/>
          </w:rPr>
          <w:t>UltraLow-Low-Cow-Cow-Cot-Chydroform WFict 有机涂层,用于高可腐蚀锌阳极</w:t>
        </w:r>
      </w:hyperlink>
    </w:p>
    <w:p>
      <w:pPr>
        <w:spacing w:before="0" w:after="80"/>
      </w:pPr>
      <w:r>
        <w:rPr>
          <w:i/>
          <w:sz w:val="20"/>
        </w:rPr>
        <w:t>EN: Ultra‐Low‐Cost Hydrophobic Organic Coating for Highly Reversible Zinc Anodes</w:t>
      </w:r>
    </w:p>
    <w:p>
      <w:pPr>
        <w:spacing w:before="0" w:after="120"/>
      </w:pPr>
      <w:r>
        <w:rPr>
          <w:b/>
        </w:rPr>
        <w:t xml:space="preserve">Source: </w:t>
      </w:r>
      <w:r>
        <w:t>Wiley: Angewandte Chemie International Edition: Table of Contents</w:t>
      </w:r>
      <w:r>
        <w:t xml:space="preserve">    </w:t>
      </w:r>
      <w:r>
        <w:rPr>
          <w:b/>
        </w:rPr>
        <w:t xml:space="preserve">Pub date: </w:t>
      </w:r>
      <w:r>
        <w:t>2026-02-04 06:20:39+00:00</w:t>
      </w:r>
      <w:r>
        <w:t xml:space="preserve">    </w:t>
      </w:r>
      <w:r>
        <w:rPr>
          <w:b/>
        </w:rPr>
        <w:t xml:space="preserve">DOI: </w:t>
      </w:r>
      <w:hyperlink r:id="rId631">
        <w:r>
          <w:rPr>
            <w:color w:val="1155CC"/>
            <w:u w:val="single"/>
          </w:rPr>
          <w:t>10.1002/anie.202523567</w:t>
        </w:r>
      </w:hyperlink>
    </w:p>
    <w:p>
      <w:pPr>
        <w:spacing w:before="0" w:after="120"/>
      </w:pPr>
      <w:r>
        <w:rPr>
          <w:b/>
        </w:rPr>
        <w:t xml:space="preserve">Notes: </w:t>
      </w:r>
      <w:r>
        <w:t>abstract_source=crossref</w:t>
      </w:r>
    </w:p>
    <w:p>
      <w:pPr>
        <w:spacing w:before="0" w:after="80" w:lineRule="auto" w:line="276"/>
      </w:pPr>
      <w:r>
        <w:rPr>
          <w:b/>
        </w:rPr>
        <w:t xml:space="preserve">摘要（ZH）: </w:t>
      </w:r>
      <w:r>
        <w:t>ABSTACT电解添加剂工程为在面临与水利特性和/或高装载要求有关的挑战时实现无水锌电池(ZIBs)提供了一条大有希望的道路,我们为此开发了一种成本效益高且可伸缩的显形浸泡处理法,将1,3D(oítolyl)thiourea (DTH) 层的水分偏差和纳米级厚(14 nm)储存起来。这种方法产生超低DTH装载量(5.37×10-13 M)和超常成本效率(1.43×10-7美元Ah-1),超过传统的水强迫有机添加剂和生物量等量级。</w:t>
      </w:r>
    </w:p>
    <w:p>
      <w:pPr>
        <w:spacing w:before="0" w:after="200" w:lineRule="auto" w:line="276"/>
      </w:pPr>
      <w:r>
        <w:rPr>
          <w:b/>
        </w:rPr>
        <w:t xml:space="preserve">Abstract (EN): </w:t>
      </w:r>
      <w:r>
        <w:t>Electrolyte additive engineering offers a promising pathway for achieving dendrite‐free aqueous zinc‐ion batteries (ZIBs) while facing challenges related to hydrophilic characteristics and/or high loading requirements. Herein, we developed a cost‐effective and scalable facile immersion treatment to deposit a hydrophobic 1,3‐Di(o‐tolyl)thiourea (DTH) layer with nanoscale thickness (≤ 14 nm). This approach yields an ultra‐low DTH loading (5.37 × 10</w:t>
      </w:r>
      <w:r>
        <w:t xml:space="preserve"> </w:t>
      </w:r>
      <w:r>
        <w:t>−13</w:t>
      </w:r>
      <w:r>
        <w:t xml:space="preserve"> </w:t>
      </w:r>
      <w:r>
        <w:t>M) and exceptional cost efficiency (1.43 × 10</w:t>
      </w:r>
      <w:r>
        <w:t xml:space="preserve"> </w:t>
      </w:r>
      <w:r>
        <w:t>−7</w:t>
      </w:r>
      <w:r>
        <w:t xml:space="preserve"> </w:t>
      </w:r>
      <w:r>
        <w:t>USD Ah</w:t>
      </w:r>
      <w:r>
        <w:t xml:space="preserve"> </w:t>
      </w:r>
      <w:r>
        <w:t>−1</w:t>
      </w:r>
      <w:r>
        <w:t xml:space="preserve"> </w:t>
      </w:r>
      <w:r>
        <w:t>), surpassing conventional water‐miscible organic additives and biomass‐derived counterparts by orders of magnitude. The hydrophobic DTH layer optimizes Zn electrochemistry and mitigates parasitic reactions, irrespective of the immersion sequence in the same batch of ethanol solution. Consequently, the Zn||ODASnI</w:t>
      </w:r>
      <w:r>
        <w:rPr>
          <w:vertAlign w:val="subscript"/>
        </w:rPr>
        <w:t>4</w:t>
      </w:r>
      <w:r>
        <w:t>(ODA denotes 1,8‐octadiamine) coin cell demonstrated stable operation over 2500 cycles at 2 A g</w:t>
      </w:r>
      <w:r>
        <w:t xml:space="preserve"> </w:t>
      </w:r>
      <w:r>
        <w:t>−1</w:t>
      </w:r>
      <w:r>
        <w:t xml:space="preserve"> </w:t>
      </w:r>
      <w:r>
        <w:t>with a low additive cost of 1.43 × 10</w:t>
      </w:r>
      <w:r>
        <w:t xml:space="preserve"> </w:t>
      </w:r>
      <w:r>
        <w:t>−6</w:t>
      </w:r>
      <w:r>
        <w:t xml:space="preserve"> </w:t>
      </w:r>
      <w:r>
        <w:t>USD per cell. The pouch cell showed an average coulombic efficiency (CE) of 99.9% and 72% capacity retention after 1200 cycles, incurring an ultra‐low additive cost of 7.02× 10</w:t>
      </w:r>
      <w:r>
        <w:t xml:space="preserve"> </w:t>
      </w:r>
      <w:r>
        <w:t>−5</w:t>
      </w:r>
      <w:r>
        <w:t xml:space="preserve"> </w:t>
      </w:r>
      <w:r>
        <w:t>USD while delivering a high energy density of 143 Wh kg</w:t>
      </w:r>
      <w:r>
        <w:t xml:space="preserve"> </w:t>
      </w:r>
      <w:r>
        <w:t>−1</w:t>
      </w:r>
      <w:r>
        <w:t xml:space="preserve"> </w:t>
      </w:r>
      <w:r>
        <w:t>(based on cathode mass). This work enabled durable and high‐performance ZIBs at minimal cost, providing a foundation for further exploration of low‐cost, scalable strategies in aqueous battery systems.</w:t>
      </w:r>
    </w:p>
    <w:p>
      <w:pPr>
        <w:spacing w:before="120" w:after="120"/>
      </w:pPr>
      <w:r>
        <w:rPr>
          <w:sz w:val="18"/>
        </w:rPr>
        <w:t>——————————————————————————————————————————————————————————————————————</w:t>
      </w:r>
    </w:p>
    <w:p>
      <w:pPr>
        <w:spacing w:before="160" w:after="40" w:line="240" w:lineRule="auto"/>
      </w:pPr>
      <w:r>
        <w:rPr>
          <w:b/>
        </w:rPr>
        <w:t xml:space="preserve">[415] </w:t>
      </w:r>
      <w:hyperlink r:id="rId632">
        <w:r>
          <w:rPr>
            <w:color w:val="1155CC"/>
            <w:u w:val="single"/>
          </w:rPr>
          <w:t>P2-苯氧氧化二苯氧阴极中的阶段过渡监管机制</w:t>
        </w:r>
      </w:hyperlink>
    </w:p>
    <w:p>
      <w:pPr>
        <w:spacing w:before="0" w:after="80"/>
      </w:pPr>
      <w:r>
        <w:rPr>
          <w:i/>
          <w:sz w:val="20"/>
        </w:rPr>
        <w:t>EN: Phase Transition Regulation Mechanisms in P2‐Type Oxide Cathodes</w:t>
      </w:r>
    </w:p>
    <w:p>
      <w:pPr>
        <w:spacing w:before="0" w:after="120"/>
      </w:pPr>
      <w:r>
        <w:rPr>
          <w:b/>
        </w:rPr>
        <w:t xml:space="preserve">Source: </w:t>
      </w:r>
      <w:r>
        <w:t>Wiley: Advanced Materials: Table of Contents</w:t>
      </w:r>
      <w:r>
        <w:t xml:space="preserve">    </w:t>
      </w:r>
      <w:r>
        <w:rPr>
          <w:b/>
        </w:rPr>
        <w:t xml:space="preserve">Pub date: </w:t>
      </w:r>
      <w:r>
        <w:t>2026-02-04 06:20:57+00:00</w:t>
      </w:r>
      <w:r>
        <w:t xml:space="preserve">    </w:t>
      </w:r>
      <w:r>
        <w:rPr>
          <w:b/>
        </w:rPr>
        <w:t xml:space="preserve">DOI: </w:t>
      </w:r>
      <w:hyperlink r:id="rId633">
        <w:r>
          <w:rPr>
            <w:color w:val="1155CC"/>
            <w:u w:val="single"/>
          </w:rPr>
          <w:t>10.1002/adma.202521162</w:t>
        </w:r>
      </w:hyperlink>
    </w:p>
    <w:p>
      <w:pPr>
        <w:spacing w:before="0" w:after="120"/>
      </w:pPr>
      <w:r>
        <w:rPr>
          <w:b/>
        </w:rPr>
        <w:t xml:space="preserve">Notes: </w:t>
      </w:r>
      <w:r>
        <w:t>abstract_source=crossref</w:t>
      </w:r>
    </w:p>
    <w:p>
      <w:pPr>
        <w:spacing w:before="0" w:after="80" w:lineRule="auto" w:line="276"/>
      </w:pPr>
      <w:r>
        <w:rPr>
          <w:b/>
        </w:rPr>
        <w:t xml:space="preserve">摘要（ZH）: </w:t>
      </w:r>
      <w:r>
        <w:t>由于高能量密度和大规模制造的优势,ABSTRACT 层层过渡钠氧化金属(Nax TMO 2)是具有前景的离子电池催化剂之一,因为高能量密度和大规模制造的优势,最近,作为纳xTMO 2 的一个重要家族的P2-型氧化物阴极得到了很大的注意,因为氧红氧化化学通过“Na-O-Li”或“Na-O-Mg”的特殊配置可以进一步增加阴极的能量密度。</w:t>
      </w:r>
    </w:p>
    <w:p>
      <w:pPr>
        <w:spacing w:before="0" w:after="200" w:lineRule="auto" w:line="276"/>
      </w:pPr>
      <w:r>
        <w:rPr>
          <w:b/>
        </w:rPr>
        <w:t xml:space="preserve">Abstract (EN): </w:t>
      </w:r>
      <w:r>
        <w:t>Layered sodium transition metal oxides (Na</w:t>
      </w:r>
      <w:r>
        <w:t xml:space="preserve"> </w:t>
      </w:r>
      <w:r>
        <w:t>x</w:t>
      </w:r>
      <w:r>
        <w:t xml:space="preserve"> </w:t>
      </w:r>
      <w:r>
        <w:t>TMO</w:t>
      </w:r>
      <w:r>
        <w:rPr>
          <w:vertAlign w:val="subscript"/>
        </w:rPr>
        <w:t>2</w:t>
      </w:r>
      <w:r>
        <w:t>) are one of the promising cathodes for sodium ion batteries due to the high energy density and advantages of large‐scale manufacturing. Recently, P2‐type oxides cathodes, as an important family of Na</w:t>
      </w:r>
      <w:r>
        <w:t xml:space="preserve"> </w:t>
      </w:r>
      <w:r>
        <w:t>x</w:t>
      </w:r>
      <w:r>
        <w:t xml:space="preserve"> </w:t>
      </w:r>
      <w:r>
        <w:t>TMO</w:t>
      </w:r>
      <w:r>
        <w:rPr>
          <w:vertAlign w:val="subscript"/>
        </w:rPr>
        <w:t>2</w:t>
      </w:r>
      <w:r>
        <w:t>, has been paid much attention because the oxygen redox chemistry can further boost the energy density of the cathodes through the special configurations of “Na−O−Li” or “Na−O−Mg”. However, these materials suffer the phase transition due to highly depleting Na</w:t>
      </w:r>
      <w:r>
        <w:t xml:space="preserve"> </w:t>
      </w:r>
      <w:r>
        <w:t>+</w:t>
      </w:r>
      <w:r>
        <w:t xml:space="preserve"> </w:t>
      </w:r>
      <w:r>
        <w:t>in the structure, when the oxygen redox chemistry is triggered. Past of the decade has witnessed the effective strategies to cope with the phase transition issues through elements doping, but the universal rule behind the elements doping strategies is still a mystery, which is essential to provide guidance to design the advanced cathodes. In this perspective, we present a discussion on phase transitions during charge/discharge process in P2‐type oxides, drawing from the research within our group and recent publications. Phase transition process in P2‐type cathodes is analyzed through the lens of structural geometry evolution toward intrinsic physical/chemical properties. Governing principles and regulation mechanisms of phase transition are elucidated as well, which can give contributions to the rational design of high‐performance P2‐type oxide cathodes.</w:t>
      </w:r>
    </w:p>
    <w:p>
      <w:pPr>
        <w:spacing w:before="120" w:after="120"/>
      </w:pPr>
      <w:r>
        <w:rPr>
          <w:sz w:val="18"/>
        </w:rPr>
        <w:t>——————————————————————————————————————————————————————————————————————</w:t>
      </w:r>
    </w:p>
    <w:p>
      <w:pPr>
        <w:spacing w:before="160" w:after="40" w:line="240" w:lineRule="auto"/>
      </w:pPr>
      <w:r>
        <w:rPr>
          <w:b/>
        </w:rPr>
        <w:t xml:space="preserve">[416] </w:t>
      </w:r>
      <w:hyperlink r:id="rId634">
        <w:r>
          <w:rPr>
            <w:color w:val="1155CC"/>
            <w:u w:val="single"/>
          </w:rPr>
          <w:t>利用以Molybdenum为基地的纳诺兹米自带综合水凝仪进行自适应的周期性生态系统工程,用于微环境响应性精密治疗</w:t>
        </w:r>
      </w:hyperlink>
    </w:p>
    <w:p>
      <w:pPr>
        <w:spacing w:before="0" w:after="80"/>
      </w:pPr>
      <w:r>
        <w:rPr>
          <w:i/>
          <w:sz w:val="20"/>
        </w:rPr>
        <w:t>EN: A Self‐Adaptive Periodontal Ecosystem Engineered With Molybdenum‐Based Nanozyme‐Embedded Composite Hydrogel for Microenvironment‐Responsive Precision Therapy</w:t>
      </w:r>
    </w:p>
    <w:p>
      <w:pPr>
        <w:spacing w:before="0" w:after="120"/>
      </w:pPr>
      <w:r>
        <w:rPr>
          <w:b/>
        </w:rPr>
        <w:t xml:space="preserve">Source: </w:t>
      </w:r>
      <w:r>
        <w:t>Wiley: Advanced Materials: Table of Contents</w:t>
      </w:r>
      <w:r>
        <w:t xml:space="preserve">    </w:t>
      </w:r>
      <w:r>
        <w:rPr>
          <w:b/>
        </w:rPr>
        <w:t xml:space="preserve">Pub date: </w:t>
      </w:r>
      <w:r>
        <w:t>2026-02-04 06:22:24+00:00</w:t>
      </w:r>
      <w:r>
        <w:t xml:space="preserve">    </w:t>
      </w:r>
      <w:r>
        <w:rPr>
          <w:b/>
        </w:rPr>
        <w:t xml:space="preserve">DOI: </w:t>
      </w:r>
      <w:hyperlink r:id="rId635">
        <w:r>
          <w:rPr>
            <w:color w:val="1155CC"/>
            <w:u w:val="single"/>
          </w:rPr>
          <w:t>10.1002/adma.202522859</w:t>
        </w:r>
      </w:hyperlink>
    </w:p>
    <w:p>
      <w:pPr>
        <w:spacing w:before="0" w:after="120"/>
      </w:pPr>
      <w:r>
        <w:rPr>
          <w:b/>
        </w:rPr>
        <w:t xml:space="preserve">Notes: </w:t>
      </w:r>
      <w:r>
        <w:t>abstract_source=crossref</w:t>
      </w:r>
    </w:p>
    <w:p>
      <w:pPr>
        <w:spacing w:before="0" w:after="80" w:lineRule="auto" w:line="276"/>
      </w:pPr>
      <w:r>
        <w:rPr>
          <w:b/>
        </w:rPr>
        <w:t xml:space="preserve">摘要（ZH）: </w:t>
      </w:r>
      <w:r>
        <w:t>ABSTACT 周期性脊髓灰质炎是细菌生物膜驱动的第六大全球流行病,其特点是细胞毒性活性氧物种(ROS)和遗传性基矩阵基质金属蛋白累积,导致逐渐的周期性破坏;目前的疗法因诊断不准确、生物膜消除不完全、组织再生不足而受到限制;为应对这些挑战,提议通过便便成结构,注射可神经性Ce6@PEGMOO x 装载的液凝胶,包括用于全面周期性脑炎管理的智能闭塞结;在注射到周期性口袋后,水凝附在组织上,对微型环境MMP作出反应。</w:t>
      </w:r>
    </w:p>
    <w:p>
      <w:pPr>
        <w:spacing w:before="0" w:after="200" w:lineRule="auto" w:line="276"/>
      </w:pPr>
      <w:r>
        <w:rPr>
          <w:b/>
        </w:rPr>
        <w:t xml:space="preserve">Abstract (EN): </w:t>
      </w:r>
      <w:r>
        <w:t>Periodontitis, the sixth most significant global pandemic driven by bacterial biofilms, is characterized by cytotoxic reactive oxygen species (ROS) and histolytic matrix metalloproteinases (MMPs) accumulation, resulting in progressive periodontal destruction. Current therapies are limited by diagnostic inaccuracy, incomplete biofilm elimination, and inadequate tissue regeneration. To address these challenges, an injectable theranostic Ce6@PEG‐MoO</w:t>
      </w:r>
      <w:r>
        <w:t xml:space="preserve"> </w:t>
      </w:r>
      <w:r>
        <w:t>x</w:t>
      </w:r>
      <w:r>
        <w:t xml:space="preserve"> </w:t>
      </w:r>
      <w:r>
        <w:t>‐loaded hydrogel through facile construction is proposed, encompassing an intelligent closed‐loop for comprehensive periodontitis management. After being injected into periodontal pockets, the hydrogel adheres to tissues and responds to microenvironmental MMPs, realizing on‐demand therapeutic release. By integrating photoacoustic imaging, the hydrogel facilitates noninvasive, precise and reproducible measurement of porcine periodontal pocket depths, enabling periodontitis diagnosis and monitoring. Subsequently, released oxygen‐vacancy‐rich MoO</w:t>
      </w:r>
      <w:r>
        <w:t xml:space="preserve"> </w:t>
      </w:r>
      <w:r>
        <w:t>x</w:t>
      </w:r>
      <w:r>
        <w:t xml:space="preserve"> </w:t>
      </w:r>
      <w:r>
        <w:t>nanozyme mitigates cellular oxidative stress, generates O</w:t>
      </w:r>
      <w:r>
        <w:rPr>
          <w:vertAlign w:val="subscript"/>
        </w:rPr>
        <w:t>2</w:t>
      </w:r>
      <w:r>
        <w:t>to enhance Ce6‐mediated photodynamic eradication of deep‐seated biofilms, and scavenges residual ROS after bactericidal process. Notably, this system avoids off‐target ROS generation and photothermal damage, preserving surrounding tissues including dental pulp, thus exhibiting exceptional light‐controlled ROS‐modulation. Furthermore, released Mo activates the PI3K/AKT pathway to upregulate angiogenic factors, reprograms M2 macrophages polarization, and stimulates osteogenesis of periodontal stem cells. Altogether, this self‐adaptive ecosystem integrates diagnosis, monitoring, biofilm debridement, and tissue regeneration, establishing a closed‐loop precision therapy for periodontitis with significant clinical potential.</w:t>
      </w:r>
    </w:p>
    <w:p>
      <w:pPr>
        <w:spacing w:before="120" w:after="120"/>
      </w:pPr>
      <w:r>
        <w:rPr>
          <w:sz w:val="18"/>
        </w:rPr>
        <w:t>——————————————————————————————————————————————————————————————————————</w:t>
      </w:r>
    </w:p>
    <w:p>
      <w:pPr>
        <w:spacing w:before="160" w:after="40" w:line="240" w:lineRule="auto"/>
      </w:pPr>
      <w:r>
        <w:rPr>
          <w:b/>
        </w:rPr>
        <w:t xml:space="preserve">[417] </w:t>
      </w:r>
      <w:hyperlink r:id="rId636">
        <w:r>
          <w:rPr>
            <w:color w:val="1155CC"/>
            <w:u w:val="single"/>
          </w:rPr>
          <w:t>用于水电解的微型乳胶合成COF纳米表的质子交换质交换膜</w:t>
        </w:r>
      </w:hyperlink>
    </w:p>
    <w:p>
      <w:pPr>
        <w:spacing w:before="0" w:after="80"/>
      </w:pPr>
      <w:r>
        <w:rPr>
          <w:i/>
          <w:sz w:val="20"/>
        </w:rPr>
        <w:t>EN: Proton Exchange Membranes from Microemulsion‐Synthesized COF Nanosheets for Water Electrolysis</w:t>
      </w:r>
    </w:p>
    <w:p>
      <w:pPr>
        <w:spacing w:before="0" w:after="120"/>
      </w:pPr>
      <w:r>
        <w:rPr>
          <w:b/>
        </w:rPr>
        <w:t xml:space="preserve">Source: </w:t>
      </w:r>
      <w:r>
        <w:t>Wiley: Angewandte Chemie International Edition: Table of Contents</w:t>
      </w:r>
      <w:r>
        <w:t xml:space="preserve">    </w:t>
      </w:r>
      <w:r>
        <w:rPr>
          <w:b/>
        </w:rPr>
        <w:t xml:space="preserve">Pub date: </w:t>
      </w:r>
      <w:r>
        <w:t>2026-02-04 06:22:54+00:00</w:t>
      </w:r>
      <w:r>
        <w:t xml:space="preserve">    </w:t>
      </w:r>
      <w:r>
        <w:rPr>
          <w:b/>
        </w:rPr>
        <w:t xml:space="preserve">DOI: </w:t>
      </w:r>
      <w:hyperlink r:id="rId637">
        <w:r>
          <w:rPr>
            <w:color w:val="1155CC"/>
            <w:u w:val="single"/>
          </w:rPr>
          <w:t>10.1002/anie.3468299</w:t>
        </w:r>
      </w:hyperlink>
    </w:p>
    <w:p>
      <w:pPr>
        <w:spacing w:before="0" w:after="120"/>
      </w:pPr>
      <w:r>
        <w:rPr>
          <w:b/>
        </w:rPr>
        <w:t xml:space="preserve">Notes: </w:t>
      </w:r>
      <w:r>
        <w:t>abstract_source=crossref</w:t>
      </w:r>
    </w:p>
    <w:p>
      <w:pPr>
        <w:spacing w:before="0" w:after="80" w:lineRule="auto" w:line="276"/>
      </w:pPr>
      <w:r>
        <w:rPr>
          <w:b/>
        </w:rPr>
        <w:t xml:space="preserve">摘要（ZH）: </w:t>
      </w:r>
      <w:r>
        <w:t>PEM 水电解工作迫切需要在质子导导率高、机械强度强和肿胀低的情况下,同时使用质子交换薄膜(PEM),摘要交换质子交换薄膜(PEM),在本研究中,我们建议采用微模模拟半封闭法,以合成共价有机框架纳米表,其特点是同时实施统一尺寸、高晶度和产量以及极好的可缩缩缩性,这对于主要的跨子聚合和相位转移聚合方法几乎是不可能的。</w:t>
      </w:r>
    </w:p>
    <w:p>
      <w:pPr>
        <w:spacing w:before="0" w:after="200" w:lineRule="auto" w:line="276"/>
      </w:pPr>
      <w:r>
        <w:rPr>
          <w:b/>
        </w:rPr>
        <w:t xml:space="preserve">Abstract (EN): </w:t>
      </w:r>
      <w:r>
        <w:t>Proton exchange membranes (PEMs) simultaneously with high proton conductivity, strong mechanical strength and low swelling are urgently required for PEM water electrolysis. In this study, we propose a microemulsion‐mediated semi‐confined method for synthesis of covalent organic framework (COF) nanosheets featured by the concurrent implementation of uniform size, high crystallinity and yield, and excellent scalability, which is virtually impossible for the dominant interfacial polymerization and phase‐transfer polymerization methods. The versatility of this method is demonstrated by synthesizing a range of COF nanosheets, including TpPa‐SO</w:t>
      </w:r>
      <w:r>
        <w:rPr>
          <w:vertAlign w:val="subscript"/>
        </w:rPr>
        <w:t>3</w:t>
      </w:r>
      <w:r>
        <w:t>H, TpBd‐(SO</w:t>
      </w:r>
      <w:r>
        <w:rPr>
          <w:vertAlign w:val="subscript"/>
        </w:rPr>
        <w:t>3</w:t>
      </w:r>
      <w:r>
        <w:t>H)</w:t>
      </w:r>
      <w:r>
        <w:rPr>
          <w:vertAlign w:val="subscript"/>
        </w:rPr>
        <w:t>2</w:t>
      </w:r>
      <w:r>
        <w:t>, and TpTG. The resulting TpBd‐(SO</w:t>
      </w:r>
      <w:r>
        <w:rPr>
          <w:vertAlign w:val="subscript"/>
        </w:rPr>
        <w:t>3</w:t>
      </w:r>
      <w:r>
        <w:t>H)</w:t>
      </w:r>
      <w:r>
        <w:rPr>
          <w:vertAlign w:val="subscript"/>
        </w:rPr>
        <w:t>2</w:t>
      </w:r>
      <w:r>
        <w:t>COF nanosheets are assembled into self‐standing COF membranes, achieving the highest proton conductivity (1.76 S cm</w:t>
      </w:r>
      <w:r>
        <w:t xml:space="preserve"> </w:t>
      </w:r>
      <w:r>
        <w:t>−1</w:t>
      </w:r>
      <w:r>
        <w:t xml:space="preserve"> </w:t>
      </w:r>
      <w:r>
        <w:t>), high mechanical strength (92.1 MPa), and negligible swelling ratio (&amp;lt;5%). In practical PEM water electrolysis, the TpBd‐(SO</w:t>
      </w:r>
      <w:r>
        <w:rPr>
          <w:vertAlign w:val="subscript"/>
        </w:rPr>
        <w:t>3</w:t>
      </w:r>
      <w:r>
        <w:t>H)</w:t>
      </w:r>
      <w:r>
        <w:rPr>
          <w:vertAlign w:val="subscript"/>
        </w:rPr>
        <w:t>2</w:t>
      </w:r>
      <w:r>
        <w:t>COF membrane yields a current density of 3.0 A cm</w:t>
      </w:r>
      <w:r>
        <w:t xml:space="preserve"> </w:t>
      </w:r>
      <w:r>
        <w:t>−2</w:t>
      </w:r>
      <w:r>
        <w:t xml:space="preserve"> </w:t>
      </w:r>
      <w:r>
        <w:t>at 2.3 V and 60 °C, outperforming the commercial Nafion membrane (3.0 A cm</w:t>
      </w:r>
      <w:r>
        <w:t xml:space="preserve"> </w:t>
      </w:r>
      <w:r>
        <w:t>−2</w:t>
      </w:r>
      <w:r>
        <w:t xml:space="preserve"> </w:t>
      </w:r>
      <w:r>
        <w:t>at 2.7 V) under identical conditions. Our work develops an alternative platform method for COF nanosheet synthesis and marks the first application of self‐standing COF membranes in PEM water electrolysis, unlocking their great potential for high‐efficiency energy conversion.</w:t>
      </w:r>
    </w:p>
    <w:p>
      <w:pPr>
        <w:spacing w:before="120" w:after="120"/>
      </w:pPr>
      <w:r>
        <w:rPr>
          <w:sz w:val="18"/>
        </w:rPr>
        <w:t>——————————————————————————————————————————————————————————————————————</w:t>
      </w:r>
    </w:p>
    <w:p>
      <w:pPr>
        <w:spacing w:before="160" w:after="40" w:line="240" w:lineRule="auto"/>
      </w:pPr>
      <w:r>
        <w:rPr>
          <w:b/>
        </w:rPr>
        <w:t xml:space="preserve">[418] </w:t>
      </w:r>
      <w:hyperlink r:id="rId638">
        <w:r>
          <w:rPr>
            <w:color w:val="1155CC"/>
            <w:u w:val="single"/>
          </w:rPr>
          <w:t>二甲基Oxalate至C4二氯苯甲酸酯在Cu上的结合</w:t>
        </w:r>
      </w:hyperlink>
    </w:p>
    <w:p>
      <w:pPr>
        <w:spacing w:before="0" w:after="80"/>
      </w:pPr>
      <w:r>
        <w:rPr>
          <w:i/>
          <w:sz w:val="20"/>
        </w:rPr>
        <w:t>EN: Electrocatalytic C─C Coupling of Dimethyl Oxalate to C4 Dicarboxylate on Cu</w:t>
      </w:r>
    </w:p>
    <w:p>
      <w:pPr>
        <w:spacing w:before="0" w:after="120"/>
      </w:pPr>
      <w:r>
        <w:rPr>
          <w:b/>
        </w:rPr>
        <w:t xml:space="preserve">Source: </w:t>
      </w:r>
      <w:r>
        <w:t>Wiley: Angewandte Chemie International Edition: Table of Contents</w:t>
      </w:r>
      <w:r>
        <w:t xml:space="preserve">    </w:t>
      </w:r>
      <w:r>
        <w:rPr>
          <w:b/>
        </w:rPr>
        <w:t xml:space="preserve">Pub date: </w:t>
      </w:r>
      <w:r>
        <w:t>2026-02-04 06:28:43+00:00</w:t>
      </w:r>
      <w:r>
        <w:t xml:space="preserve">    </w:t>
      </w:r>
      <w:r>
        <w:rPr>
          <w:b/>
        </w:rPr>
        <w:t xml:space="preserve">DOI: </w:t>
      </w:r>
      <w:hyperlink r:id="rId639">
        <w:r>
          <w:rPr>
            <w:color w:val="1155CC"/>
            <w:u w:val="single"/>
          </w:rPr>
          <w:t>10.1002/anie.202525091</w:t>
        </w:r>
      </w:hyperlink>
    </w:p>
    <w:p>
      <w:pPr>
        <w:spacing w:before="0" w:after="120"/>
      </w:pPr>
      <w:r>
        <w:rPr>
          <w:b/>
        </w:rPr>
        <w:t xml:space="preserve">Notes: </w:t>
      </w:r>
      <w:r>
        <w:t>abstract_source=crossref</w:t>
      </w:r>
    </w:p>
    <w:p>
      <w:pPr>
        <w:spacing w:before="0" w:after="80" w:lineRule="auto" w:line="276"/>
      </w:pPr>
      <w:r>
        <w:rPr>
          <w:b/>
        </w:rPr>
        <w:t xml:space="preserve">摘要（ZH）: </w:t>
      </w:r>
      <w:r>
        <w:t>ABSTACT 将CO转化为增值多碳化学物质的电催化电动转换为增值多碳化学物质,可以实现碳资源再循环和减排。 在用CO和甲醇生产二甲基氧氧酸酯(DMO)的工业过程的基础上,我们在这项工作中报告了一种选择性电子化学途径,将DMO转换为二甲基酸盐酸(DMT),这是多种C 4 二oxylic酸的一种前体。在库(111)类似地点占主导地位的Cuα催化剂中,法拉达效率以及DMT部分当前密度分别达到74.7%和152 mA/cm-2,大大超过Cu。</w:t>
      </w:r>
    </w:p>
    <w:p>
      <w:pPr>
        <w:spacing w:before="0" w:after="200" w:lineRule="auto" w:line="276"/>
      </w:pPr>
      <w:r>
        <w:rPr>
          <w:b/>
        </w:rPr>
        <w:t xml:space="preserve">Abstract (EN): </w:t>
      </w:r>
      <w:r>
        <w:t>Electrocatalytic conversion of CO to value‐added multi‐carbon chemicals enables carbon resource recycling and emission reduction. Building on the industrial process of dimethyl oxalate (DMO) production from CO and methanol, we report in this work a selective electrochemical pathway to convert DMO to dimethyl tartarate (DMT), a precursor to multiple C</w:t>
      </w:r>
      <w:r>
        <w:rPr>
          <w:vertAlign w:val="subscript"/>
        </w:rPr>
        <w:t>4</w:t>
      </w:r>
      <w:r>
        <w:t>‐dicarboxylic acids. On a Cu</w:t>
      </w:r>
      <w:r>
        <w:t xml:space="preserve"> </w:t>
      </w:r>
      <w:r>
        <w:t>α</w:t>
      </w:r>
      <w:r>
        <w:t xml:space="preserve"> </w:t>
      </w:r>
      <w:r>
        <w:t>catalyst dominated by Cu(111)‐like sites, Faradaic efficiency and partial current density for DMT reach 74.7% and 152 mA/cm</w:t>
      </w:r>
      <w:r>
        <w:t xml:space="preserve"> </w:t>
      </w:r>
      <w:r>
        <w:t>−</w:t>
      </w:r>
      <w:r>
        <w:rPr>
          <w:vertAlign w:val="subscript"/>
        </w:rPr>
        <w:t>2</w:t>
      </w:r>
      <w:r>
        <w:t>, respectively, which significantly outperforms Cu</w:t>
      </w:r>
      <w:r>
        <w:t xml:space="preserve"> </w:t>
      </w:r>
      <w:r>
        <w:t>β</w:t>
      </w:r>
      <w:r>
        <w:t xml:space="preserve"> </w:t>
      </w:r>
      <w:r>
        <w:t>dominated with Cu(100)/(110)‐like sites. Facet dependence of the C─C coupling is confirmed via reactivity tests on single‐crystal Cu surfaces and CO‐poison experiments. In situ Raman spectroscopy reveals that DMO adopts distinct adsorption configurations on different Cu facets—planar on Cu(111) and upright on Cu(100)/(110)—accounting for the selectivity difference of DMT. Mechanistic studies indicate a surface‐mediated nonradical pathway, with the initial electron transfer to adsorbed DMO as the rate‐determining step for DMT formation. Our work enables the production of C</w:t>
      </w:r>
      <w:r>
        <w:rPr>
          <w:vertAlign w:val="subscript"/>
        </w:rPr>
        <w:t>4</w:t>
      </w:r>
      <w:r>
        <w:t>‐dicarboxylic acids via cascade reactions with CO as the initial feedstock.</w:t>
      </w:r>
    </w:p>
    <w:p>
      <w:pPr>
        <w:spacing w:before="120" w:after="120"/>
      </w:pPr>
      <w:r>
        <w:rPr>
          <w:sz w:val="18"/>
        </w:rPr>
        <w:t>——————————————————————————————————————————————————————————————————————</w:t>
      </w:r>
    </w:p>
    <w:p>
      <w:pPr>
        <w:spacing w:before="160" w:after="40" w:line="240" w:lineRule="auto"/>
      </w:pPr>
      <w:r>
        <w:rPr>
          <w:b/>
        </w:rPr>
        <w:t xml:space="preserve">[419] </w:t>
      </w:r>
      <w:hyperlink r:id="rId640">
        <w:r>
          <w:rPr>
            <w:color w:val="1155CC"/>
            <w:u w:val="single"/>
          </w:rPr>
          <w:t>Perovskite室内光伏稳定:重点审查和呼吁标准稳定报告</w:t>
        </w:r>
      </w:hyperlink>
    </w:p>
    <w:p>
      <w:pPr>
        <w:spacing w:before="0" w:after="80"/>
      </w:pPr>
      <w:r>
        <w:rPr>
          <w:i/>
          <w:sz w:val="20"/>
        </w:rPr>
        <w:t>EN: Stability of Perovskite Indoor Photovoltaics: A Focused Review and a Call for Standardized Stability Reporting</w:t>
      </w:r>
    </w:p>
    <w:p>
      <w:pPr>
        <w:spacing w:before="0" w:after="120"/>
      </w:pPr>
      <w:r>
        <w:rPr>
          <w:b/>
        </w:rPr>
        <w:t xml:space="preserve">Source: </w:t>
      </w:r>
      <w:r>
        <w:t>Wiley: Advanced Energy Materials: Table of Contents</w:t>
      </w:r>
      <w:r>
        <w:t xml:space="preserve">    </w:t>
      </w:r>
      <w:r>
        <w:rPr>
          <w:b/>
        </w:rPr>
        <w:t xml:space="preserve">Pub date: </w:t>
      </w:r>
      <w:r>
        <w:t>2026-02-04 06:29:00+00:00</w:t>
      </w:r>
      <w:r>
        <w:t xml:space="preserve">    </w:t>
      </w:r>
      <w:r>
        <w:rPr>
          <w:b/>
        </w:rPr>
        <w:t xml:space="preserve">DOI: </w:t>
      </w:r>
      <w:hyperlink r:id="rId641">
        <w:r>
          <w:rPr>
            <w:color w:val="1155CC"/>
            <w:u w:val="single"/>
          </w:rPr>
          <w:t>10.1002/aenm.202506091</w:t>
        </w:r>
      </w:hyperlink>
    </w:p>
    <w:p>
      <w:pPr>
        <w:spacing w:before="0" w:after="120"/>
      </w:pPr>
      <w:r>
        <w:rPr>
          <w:b/>
        </w:rPr>
        <w:t xml:space="preserve">Notes: </w:t>
      </w:r>
      <w:r>
        <w:t>abstract_source=crossref</w:t>
      </w:r>
    </w:p>
    <w:p>
      <w:pPr>
        <w:spacing w:before="0" w:after="80" w:lineRule="auto" w:line="276"/>
      </w:pPr>
      <w:r>
        <w:rPr>
          <w:b/>
        </w:rPr>
        <w:t xml:space="preserve">摘要（ZH）: </w:t>
      </w:r>
      <w:r>
        <w:t>金属卤化物在室内光伏发电(IPV)效率方面是新兴光伏发电技术中最顶尖的竞争者,据报告,Perovskite IPV的状态已经实现了44%以上的效率,表明其潜力巨大,然而,只有一小部分报告讨论了稳定度,其中约7%的报告讨论了稳定度,通过了有机光电稳定性国际峰会(ISOS)稳定评估协议,对新兴薄薄薄薄薄薄薄薄薄薄薄薄薄薄薄薄膜光伏发电的稳定性评估标准仍然落后。这一研究领域基本上尚未探索,但对于IPV技术的商业化至关重要。这次审查侧重于基于perovskite的IPV,重点是设备稳定性。它提供了对Oigi的讨论。</w:t>
      </w:r>
    </w:p>
    <w:p>
      <w:pPr>
        <w:spacing w:before="0" w:after="200" w:lineRule="auto" w:line="276"/>
      </w:pPr>
      <w:r>
        <w:rPr>
          <w:b/>
        </w:rPr>
        <w:t xml:space="preserve">Abstract (EN): </w:t>
      </w:r>
      <w:r>
        <w:t>Metal halide perovskite indoor photovoltaics (IPVs) are the top contenders in terms of efficiency among emerging IPV technologies. The state‐of‐the‐art perovskite IPVs have already achieved reported efficiencies above 44%, indicating their significant potential. However, only a small percentage of reports discuss stability measurements, with approximately 7% adopting the International Summit on Organic PV Stability (ISOS) protocol for stability evaluation. A standard for the stability assessment of emerging thin film IPVs still lags. This research area remains largely unexplored, yet it is essential to the commercialization of IPV technologies. This review focuses on perovskite‐based IPVs, with an emphasis on device stability. It provides discussions of the origins of degradation in perovskite materials and their corresponding IPV devices. This is followed by an overview of various structure–property–stability strategies, including compositional, interface, and device design engineering for perovskite materials to improve their performance. Finally, the review outlines some existing stability test protocols that could apply to perovskite IPVs, including addressing mitigation issues, such as encapsulation, draws the attention of researchers in the field, and calls for the development of standardized stability test protocols for perovskite IPVs and for understanding how these tests correlate with actual indoor lifespans to enable the commercialization of perovskite IPVs.</w:t>
      </w:r>
    </w:p>
    <w:p>
      <w:pPr>
        <w:spacing w:before="120" w:after="120"/>
      </w:pPr>
      <w:r>
        <w:rPr>
          <w:sz w:val="18"/>
        </w:rPr>
        <w:t>——————————————————————————————————————————————————————————————————————</w:t>
      </w:r>
    </w:p>
    <w:p>
      <w:pPr>
        <w:spacing w:before="160" w:after="40" w:line="240" w:lineRule="auto"/>
      </w:pPr>
      <w:r>
        <w:rPr>
          <w:b/>
        </w:rPr>
        <w:t xml:space="preserve">[420] </w:t>
      </w:r>
      <w:hyperlink r:id="rId642">
        <w:r>
          <w:rPr>
            <w:color w:val="1155CC"/>
            <w:u w:val="single"/>
          </w:rPr>
          <w:t>由同位素工程公司(Isotoope Engineering):碳硝化物光化催化器中受监管的充电载体进化</w:t>
        </w:r>
      </w:hyperlink>
    </w:p>
    <w:p>
      <w:pPr>
        <w:spacing w:before="0" w:after="80"/>
      </w:pPr>
      <w:r>
        <w:rPr>
          <w:i/>
          <w:sz w:val="20"/>
        </w:rPr>
        <w:t>EN: Tuning Exciton–Phonon Coupling by Isotope Engineering: Regulated Charge Carrier Evolution in Carbon Nitride Photocatalysts</w:t>
      </w:r>
    </w:p>
    <w:p>
      <w:pPr>
        <w:spacing w:before="0" w:after="120"/>
      </w:pPr>
      <w:r>
        <w:rPr>
          <w:b/>
        </w:rPr>
        <w:t xml:space="preserve">Source: </w:t>
      </w:r>
      <w:r>
        <w:t>Wiley: Angewandte Chemie International Edition: Table of Contents</w:t>
      </w:r>
      <w:r>
        <w:t xml:space="preserve">    </w:t>
      </w:r>
      <w:r>
        <w:rPr>
          <w:b/>
        </w:rPr>
        <w:t xml:space="preserve">Pub date: </w:t>
      </w:r>
      <w:r>
        <w:t>2026-02-04 06:30:33+00:00</w:t>
      </w:r>
      <w:r>
        <w:t xml:space="preserve">    </w:t>
      </w:r>
      <w:r>
        <w:rPr>
          <w:b/>
        </w:rPr>
        <w:t xml:space="preserve">DOI: </w:t>
      </w:r>
      <w:hyperlink r:id="rId643">
        <w:r>
          <w:rPr>
            <w:color w:val="1155CC"/>
            <w:u w:val="single"/>
          </w:rPr>
          <w:t>10.1002/anie.7690318</w:t>
        </w:r>
      </w:hyperlink>
    </w:p>
    <w:p>
      <w:pPr>
        <w:spacing w:before="0" w:after="120"/>
      </w:pPr>
      <w:r>
        <w:rPr>
          <w:b/>
        </w:rPr>
        <w:t xml:space="preserve">Notes: </w:t>
      </w:r>
      <w:r>
        <w:t>abstract_source=crossref</w:t>
      </w:r>
    </w:p>
    <w:p>
      <w:pPr>
        <w:spacing w:before="0" w:after="80" w:lineRule="auto" w:line="276"/>
      </w:pPr>
      <w:r>
        <w:rPr>
          <w:b/>
        </w:rPr>
        <w:t xml:space="preserve">摘要（ZH）: </w:t>
      </w:r>
      <w:r>
        <w:t>ABSTACT 聚合碳硝化物( C 3 N 4 ) ( C 3 N 4 ) 已成为充满希望的光催化物,但光转化效率仍然受到阻碍自由载体发电的严格约束的刺激性激素的限制。 虽然结构或电子改造可以降低与电荷结合的能量,但是在非辐射性衰变中,突变-光-光非相联作用往往被忽视。 在这里,我们提出了一个同位素战略,将热液合成的离子碳点(dQCD)整合到C 3 N 4 中,以构建 dCD/C 3 N 4 。</w:t>
      </w:r>
    </w:p>
    <w:p>
      <w:pPr>
        <w:spacing w:before="0" w:after="200" w:lineRule="auto" w:line="276"/>
      </w:pPr>
      <w:r>
        <w:rPr>
          <w:b/>
        </w:rPr>
        <w:t xml:space="preserve">Abstract (EN): </w:t>
      </w:r>
      <w:r>
        <w:t>Polymeric carbon nitride (C</w:t>
      </w:r>
      <w:r>
        <w:rPr>
          <w:vertAlign w:val="subscript"/>
        </w:rPr>
        <w:t>3</w:t>
      </w:r>
      <w:r>
        <w:t>N</w:t>
      </w:r>
      <w:r>
        <w:rPr>
          <w:vertAlign w:val="subscript"/>
        </w:rPr>
        <w:t>4</w:t>
      </w:r>
      <w:r>
        <w:t>) has emerged as a promising photocatalytic material, yet its photoconversion efficiency remains constrained by strongly bound excitons that impede free carrier generation. While structural or electronic modifications can lower the exciton binding energy, the detrimental role of exciton–phonon coupling in nonradiative decay is often overlooked. Here, we present an isotopic strategy by integrating hydrothermally synthesized deuterated carbon dots (d‐CD) into C</w:t>
      </w:r>
      <w:r>
        <w:rPr>
          <w:vertAlign w:val="subscript"/>
        </w:rPr>
        <w:t>3</w:t>
      </w:r>
      <w:r>
        <w:t>N</w:t>
      </w:r>
      <w:r>
        <w:rPr>
          <w:vertAlign w:val="subscript"/>
        </w:rPr>
        <w:t>4</w:t>
      </w:r>
      <w:r>
        <w:t>to construct d‐CD/C</w:t>
      </w:r>
      <w:r>
        <w:rPr>
          <w:vertAlign w:val="subscript"/>
        </w:rPr>
        <w:t>3</w:t>
      </w:r>
      <w:r>
        <w:t>N</w:t>
      </w:r>
      <w:r>
        <w:rPr>
          <w:vertAlign w:val="subscript"/>
        </w:rPr>
        <w:t>4</w:t>
      </w:r>
      <w:r>
        <w:t>composites, with negligible alteration to the bandgap. Temperature‐dependent photoluminescence spectroscopy reveals that deuteration not only reduces the exciton binding energy from 72.8 to 60.9 meV, but also weakens the exciton–phonon coupling strength from 977 to 794 meV. This suppression of exciton–phonon coupling mitigates nonradiative recombination, prolonging the charge carrier lifetime from 0.117 to 0.570 ms, as confirmed by transient photovoltage measurements. The stabilized long‐lived carriers further facilitate electron extraction, evidenced by enhanced electron transfer to methyl viologen as an effective electron mediator. As a result, d‐CD/C</w:t>
      </w:r>
      <w:r>
        <w:rPr>
          <w:vertAlign w:val="subscript"/>
        </w:rPr>
        <w:t>3</w:t>
      </w:r>
      <w:r>
        <w:t>N</w:t>
      </w:r>
      <w:r>
        <w:rPr>
          <w:vertAlign w:val="subscript"/>
        </w:rPr>
        <w:t>4</w:t>
      </w:r>
      <w:r>
        <w:t>exhibits a 1.7‐fold improvement in photocatalytic hydrogen evolution relative to its non‐deuterated counterpart. These findings underscore isotope engineering as an effective approach to regulate exciton–phonon interactions and charge carrier dynamics across the ps−ms timescale, offering a new dimension for tuning the optoelectronic behavior of C</w:t>
      </w:r>
      <w:r>
        <w:rPr>
          <w:vertAlign w:val="subscript"/>
        </w:rPr>
        <w:t>3</w:t>
      </w:r>
      <w:r>
        <w:t>N</w:t>
      </w:r>
      <w:r>
        <w:rPr>
          <w:vertAlign w:val="subscript"/>
        </w:rPr>
        <w:t>4</w:t>
      </w:r>
      <w:r>
        <w:t>‐based photocatalytic systems.</w:t>
      </w:r>
    </w:p>
    <w:p>
      <w:pPr>
        <w:spacing w:before="120" w:after="120"/>
      </w:pPr>
      <w:r>
        <w:rPr>
          <w:sz w:val="18"/>
        </w:rPr>
        <w:t>——————————————————————————————————————————————————————————————————————</w:t>
      </w:r>
    </w:p>
    <w:p>
      <w:pPr>
        <w:spacing w:before="160" w:after="40" w:line="240" w:lineRule="auto"/>
      </w:pPr>
      <w:r>
        <w:rPr>
          <w:b/>
        </w:rPr>
        <w:t xml:space="preserve">[421] </w:t>
      </w:r>
      <w:hyperlink r:id="rId644">
        <w:r>
          <w:rPr>
            <w:color w:val="1155CC"/>
            <w:u w:val="single"/>
          </w:rPr>
          <w:t>聚虫纳米粒子太阳流动合成:将局部实验扩大至全球潜力</w:t>
        </w:r>
      </w:hyperlink>
    </w:p>
    <w:p>
      <w:pPr>
        <w:spacing w:before="0" w:after="80"/>
      </w:pPr>
      <w:r>
        <w:rPr>
          <w:i/>
          <w:sz w:val="20"/>
        </w:rPr>
        <w:t>EN: Solar Flow Synthesis of Polymer Nanoparticles: Scaling Local Experiments to Global Potential</w:t>
      </w:r>
    </w:p>
    <w:p>
      <w:pPr>
        <w:spacing w:before="0" w:after="120"/>
      </w:pPr>
      <w:r>
        <w:rPr>
          <w:b/>
        </w:rPr>
        <w:t xml:space="preserve">Source: </w:t>
      </w:r>
      <w:r>
        <w:t>Wiley: Angewandte Chemie International Edition: Table of Contents</w:t>
      </w:r>
      <w:r>
        <w:t xml:space="preserve">    </w:t>
      </w:r>
      <w:r>
        <w:rPr>
          <w:b/>
        </w:rPr>
        <w:t xml:space="preserve">Pub date: </w:t>
      </w:r>
      <w:r>
        <w:t>2026-02-04 06:31:31+00:00</w:t>
      </w:r>
      <w:r>
        <w:t xml:space="preserve">    </w:t>
      </w:r>
      <w:r>
        <w:rPr>
          <w:b/>
        </w:rPr>
        <w:t xml:space="preserve">DOI: </w:t>
      </w:r>
      <w:hyperlink r:id="rId645">
        <w:r>
          <w:rPr>
            <w:color w:val="1155CC"/>
            <w:u w:val="single"/>
          </w:rPr>
          <w:t>10.1002/anie.202524746</w:t>
        </w:r>
      </w:hyperlink>
    </w:p>
    <w:p>
      <w:pPr>
        <w:spacing w:before="0" w:after="120"/>
      </w:pPr>
      <w:r>
        <w:rPr>
          <w:b/>
        </w:rPr>
        <w:t xml:space="preserve">Notes: </w:t>
      </w:r>
      <w:r>
        <w:t>abstract_source=crossref</w:t>
      </w:r>
    </w:p>
    <w:p>
      <w:pPr>
        <w:spacing w:before="0" w:after="80" w:lineRule="auto" w:line="276"/>
      </w:pPr>
      <w:r>
        <w:rPr>
          <w:b/>
        </w:rPr>
        <w:t xml:space="preserve">摘要（ZH）: </w:t>
      </w:r>
      <w:r>
        <w:t>ABSTACT 我们用太阳辐射来展示聚合纳米粒子在连续流中进行可伸缩的、添加式的、无添加式的合成,仅使用太阳辐射。 使用定制流动反应堆,太阳的紫外辐射诱发了双汞酰胺和二功能-甲基苯甲二烯酰胺之间的 Diels-Alder 梯度增殖聚合。 由此产生的光聚合物随后作为纳米粒子沉淀,而不需要额外的添加剂、刺激剂或加工步骤。 太阳流反应堆的设计首先仔细评估光子-诱发的Diels-Alder反应的光化学基础,然后利用光化学动作图对太阳辐照度下的粒子形成进行动能调查。</w:t>
      </w:r>
    </w:p>
    <w:p>
      <w:pPr>
        <w:spacing w:before="0" w:after="200" w:lineRule="auto" w:line="276"/>
      </w:pPr>
      <w:r>
        <w:rPr>
          <w:b/>
        </w:rPr>
        <w:t xml:space="preserve">Abstract (EN): </w:t>
      </w:r>
      <w:r>
        <w:t>We present the scalable, additive‐free synthesis of polymer nanoparticles in continuous flow, using solely solar radiation. Using a custom‐made flow reactor, the UV radiation from the sun induces a Diels–Alder step‐growth polymerization between a bismaleimide and a difunctional</w:t>
      </w:r>
      <w:r>
        <w:t xml:space="preserve"> </w:t>
      </w:r>
      <w:r>
        <w:t>o</w:t>
      </w:r>
      <w:r>
        <w:t xml:space="preserve"> </w:t>
      </w:r>
      <w:r>
        <w:t>‐methylbenzaldehyde. The resulting photopolymer subsequently precipitates as nanoparticles without the need for any additional additives, stimuli or processing steps. The solar flow reactor was designed by first carefully assessing the underpinning photochemistry of the photo‐induced Diels–Alder reaction using photochemical action plots and then performing a kinetic investigation of the particle formation under solar irradiation. The determined kinetics allow us to extrapolate our experimental results to a worldwide particle yield by using global UV index data, validated by two highly different geographical locations, Australia and Germany. Our results clearly demonstrate the applicability of our system for the scalable, sustainable, solar‐powered production of polymeric nanoparticles in regions of high levels of solar radiation. Furthermore, our calculations function as a blueprint for how local experimental data can be extrapolated to assess the global solar photochemical potential of photochemical systems, thus making their performance comparable.</w:t>
      </w:r>
    </w:p>
    <w:p>
      <w:pPr>
        <w:spacing w:before="120" w:after="120"/>
      </w:pPr>
      <w:r>
        <w:rPr>
          <w:sz w:val="18"/>
        </w:rPr>
        <w:t>——————————————————————————————————————————————————————————————————————</w:t>
      </w:r>
    </w:p>
    <w:p>
      <w:pPr>
        <w:spacing w:before="160" w:after="40" w:line="240" w:lineRule="auto"/>
      </w:pPr>
      <w:r>
        <w:rPr>
          <w:b/>
        </w:rPr>
        <w:t xml:space="preserve">[422] </w:t>
      </w:r>
      <w:hyperlink r:id="rId646">
        <w:r>
          <w:rPr>
            <w:color w:val="1155CC"/>
            <w:u w:val="single"/>
          </w:rPr>
          <w:t>中性螺旋-2-sp3 Diboron试剂及其在核循环圈内的应用</w:t>
        </w:r>
      </w:hyperlink>
    </w:p>
    <w:p>
      <w:pPr>
        <w:spacing w:before="0" w:after="80"/>
      </w:pPr>
      <w:r>
        <w:rPr>
          <w:i/>
          <w:sz w:val="20"/>
        </w:rPr>
        <w:t>EN: Mild Generation of Highly Nucleophilic N‐Heterocyclic Carbene Boryl Anion From Neutral sp2–sp3 Diboron Reagents and Its Applications in Nucleophilic Borylation</w:t>
      </w:r>
    </w:p>
    <w:p>
      <w:pPr>
        <w:spacing w:before="0" w:after="120"/>
      </w:pPr>
      <w:r>
        <w:rPr>
          <w:b/>
        </w:rPr>
        <w:t xml:space="preserve">Source: </w:t>
      </w:r>
      <w:r>
        <w:t>Wiley: Angewandte Chemie International Edition: Table of Contents</w:t>
      </w:r>
      <w:r>
        <w:t xml:space="preserve">    </w:t>
      </w:r>
      <w:r>
        <w:rPr>
          <w:b/>
        </w:rPr>
        <w:t xml:space="preserve">Pub date: </w:t>
      </w:r>
      <w:r>
        <w:t>2026-02-04 06:33:12+00:00</w:t>
      </w:r>
      <w:r>
        <w:t xml:space="preserve">    </w:t>
      </w:r>
      <w:r>
        <w:rPr>
          <w:b/>
        </w:rPr>
        <w:t xml:space="preserve">DOI: </w:t>
      </w:r>
      <w:hyperlink r:id="rId647">
        <w:r>
          <w:rPr>
            <w:color w:val="1155CC"/>
            <w:u w:val="single"/>
          </w:rPr>
          <w:t>10.1002/anie.7517492</w:t>
        </w:r>
      </w:hyperlink>
    </w:p>
    <w:p>
      <w:pPr>
        <w:spacing w:before="0" w:after="120"/>
      </w:pPr>
      <w:r>
        <w:rPr>
          <w:b/>
        </w:rPr>
        <w:t xml:space="preserve">Notes: </w:t>
      </w:r>
      <w:r>
        <w:t>abstract_source=crossref</w:t>
      </w:r>
    </w:p>
    <w:p>
      <w:pPr>
        <w:spacing w:before="0" w:after="80" w:lineRule="auto" w:line="276"/>
      </w:pPr>
      <w:r>
        <w:rPr>
          <w:b/>
        </w:rPr>
        <w:t xml:space="preserve">摘要（ZH）: </w:t>
      </w:r>
      <w:r>
        <w:t>ABSTACT ABSTACT 由于其高活度,N-HCH环烷阴离子的合成或生成仍然具有挑战性,只有有限的方法可供使用。传统的通过散装螺旋或芳香系统稳定下来的传统方法限制了其作为碳合成合成物的活性。在这项工作中,我们提出了一个直接的战略,通过中性螺旋2 -sp 3 diboron 试剂(NHC)BH 2 Bpin 与 KO t Bu 的反应,在室温现场生成NHC bory Anion。 这个不那么激进的短短短的短短时间里,通过中性螺旋2 -sp 3 diboron 试剂(NHC)BH 2 Bpin 和 KO t Bu 。</w:t>
      </w:r>
    </w:p>
    <w:p>
      <w:pPr>
        <w:spacing w:before="0" w:after="200" w:lineRule="auto" w:line="276"/>
      </w:pPr>
      <w:r>
        <w:rPr>
          <w:b/>
        </w:rPr>
        <w:t xml:space="preserve">Abstract (EN): </w:t>
      </w:r>
      <w:r>
        <w:t>Due to its high activity, the synthesis or generation of the</w:t>
      </w:r>
      <w:r>
        <w:t xml:space="preserve"> </w:t>
      </w:r>
      <w:r>
        <w:t>N</w:t>
      </w:r>
      <w:r>
        <w:t xml:space="preserve"> </w:t>
      </w:r>
      <w:r>
        <w:t>‐heterocyclic carbene (NHC) boryl anion remains challenging, with only limited methods available. Traditional stabilization through bulky ligands or aromatic systems restricts its reactivity as a boron synthon. In this work, we present a straightforward strategy for the in situ generation of an NHC boryl anion at room temperature through the reaction of neutral sp</w:t>
      </w:r>
      <w:r>
        <w:rPr>
          <w:vertAlign w:val="subscript"/>
        </w:rPr>
        <w:t>2</w:t>
      </w:r>
      <w:r>
        <w:t>–sp</w:t>
      </w:r>
      <w:r>
        <w:rPr>
          <w:vertAlign w:val="subscript"/>
        </w:rPr>
        <w:t>3</w:t>
      </w:r>
      <w:r>
        <w:t>diboron reagent (NHC)BH</w:t>
      </w:r>
      <w:r>
        <w:rPr>
          <w:vertAlign w:val="subscript"/>
        </w:rPr>
        <w:t>2</w:t>
      </w:r>
      <w:r>
        <w:t>Bpin with KO</w:t>
      </w:r>
      <w:r>
        <w:t xml:space="preserve"> </w:t>
      </w:r>
      <w:r>
        <w:t>t</w:t>
      </w:r>
      <w:r>
        <w:t xml:space="preserve"> </w:t>
      </w:r>
      <w:r>
        <w:t>Bu. This less sterically hindered and strongly nucleophilic boryl anion demonstrates broad reactivity with diverse electrophiles, including those that are unreactive with other types of boryl anions or traditional diboron reagents. These nucleophilic borylation reactions enable the synthesis of a diverse array of four‐coordinate organoboron compounds. Detailed mechanistic studies and DFT calculations confirm the intermediacy of the NHC boryl anion and provide clear insights into the reaction pathways for the newly discovered reactivities.</w:t>
      </w:r>
    </w:p>
    <w:p>
      <w:pPr>
        <w:spacing w:before="120" w:after="120"/>
      </w:pPr>
      <w:r>
        <w:rPr>
          <w:sz w:val="18"/>
        </w:rPr>
        <w:t>——————————————————————————————————————————————————————————————————————</w:t>
      </w:r>
    </w:p>
    <w:p>
      <w:pPr>
        <w:spacing w:before="160" w:after="40" w:line="240" w:lineRule="auto"/>
      </w:pPr>
      <w:r>
        <w:rPr>
          <w:b/>
        </w:rPr>
        <w:t xml:space="preserve">[423] </w:t>
      </w:r>
      <w:hyperlink r:id="rId648">
        <w:r>
          <w:rPr>
            <w:color w:val="1155CC"/>
            <w:u w:val="single"/>
          </w:rPr>
          <w:t>同步Rh1-Cu1-Cu1 二氧化二氮-二氧化二氮-二氮二氮二氮二氮二氮二氮二氮二氧化二氧化二氮通过自动选择氧源增强乙型低温度氧化性性能的增强</w:t>
        </w:r>
      </w:hyperlink>
    </w:p>
    <w:p>
      <w:pPr>
        <w:spacing w:before="0" w:after="80"/>
      </w:pPr>
      <w:r>
        <w:rPr>
          <w:i/>
          <w:sz w:val="20"/>
        </w:rPr>
        <w:t>EN: Synergistic Rh1–Cu1 Dual‐Atom‐Site Enhancing Performance of Ethane Low‐Temperature Oxidation via Auto‐Selective Oxygen Source From O2/H2O</w:t>
      </w:r>
    </w:p>
    <w:p>
      <w:pPr>
        <w:spacing w:before="0" w:after="120"/>
      </w:pPr>
      <w:r>
        <w:rPr>
          <w:b/>
        </w:rPr>
        <w:t xml:space="preserve">Source: </w:t>
      </w:r>
      <w:r>
        <w:t>Wiley: Angewandte Chemie International Edition: Table of Contents</w:t>
      </w:r>
      <w:r>
        <w:t xml:space="preserve">    </w:t>
      </w:r>
      <w:r>
        <w:rPr>
          <w:b/>
        </w:rPr>
        <w:t xml:space="preserve">Pub date: </w:t>
      </w:r>
      <w:r>
        <w:t>2026-02-04 06:36:31+00:00</w:t>
      </w:r>
      <w:r>
        <w:t xml:space="preserve">    </w:t>
      </w:r>
      <w:r>
        <w:rPr>
          <w:b/>
        </w:rPr>
        <w:t xml:space="preserve">DOI: </w:t>
      </w:r>
      <w:hyperlink r:id="rId649">
        <w:r>
          <w:rPr>
            <w:color w:val="1155CC"/>
            <w:u w:val="single"/>
          </w:rPr>
          <w:t>10.1002/anie.202521562</w:t>
        </w:r>
      </w:hyperlink>
    </w:p>
    <w:p>
      <w:pPr>
        <w:spacing w:before="0" w:after="120"/>
      </w:pPr>
      <w:r>
        <w:rPr>
          <w:b/>
        </w:rPr>
        <w:t xml:space="preserve">Notes: </w:t>
      </w:r>
      <w:r>
        <w:t>abstract_source=crossref</w:t>
      </w:r>
    </w:p>
    <w:p>
      <w:pPr>
        <w:spacing w:before="0" w:after="80" w:lineRule="auto" w:line="276"/>
      </w:pPr>
      <w:r>
        <w:rPr>
          <w:b/>
        </w:rPr>
        <w:t xml:space="preserve">摘要（ZH）: </w:t>
      </w:r>
      <w:r>
        <w:t>乙烷的低温直接转化对页岩气的利用更具吸引力。 双亚原子催化剂因其独特的合作效应而吸引了相当多的注意。 我们在这里报告了一种多孔有机聚合物支持Rh 1 - Cu 1 - Cu 1 双锡催化剂(Rh 1 - Cu 1@PES pph 3 ), 用于将乙烷选择性氧化为乙醇、乙二烯和乙酸,并配有自动选择性氧机制。 优化的Rh 1 - Cu 1 中心提供了一种支持。</w:t>
      </w:r>
    </w:p>
    <w:p>
      <w:pPr>
        <w:spacing w:before="0" w:after="200" w:lineRule="auto" w:line="276"/>
      </w:pPr>
      <w:r>
        <w:rPr>
          <w:b/>
        </w:rPr>
        <w:t xml:space="preserve">Abstract (EN): </w:t>
      </w:r>
      <w:r>
        <w:t>The low‐temperature direct conversion of ethane is more appealing for the utilization of shale gas. Dual‐atom catalysts have attracted considerable attention due to their unique cooperative effects. Herein, we report a porous organic polymer‐supported Rh</w:t>
      </w:r>
      <w:r>
        <w:rPr>
          <w:vertAlign w:val="subscript"/>
        </w:rPr>
        <w:t>1</w:t>
      </w:r>
      <w:r>
        <w:t>–Cu</w:t>
      </w:r>
      <w:r>
        <w:rPr>
          <w:vertAlign w:val="subscript"/>
        </w:rPr>
        <w:t>1</w:t>
      </w:r>
      <w:r>
        <w:t>dual‐site catalyst (Rh</w:t>
      </w:r>
      <w:r>
        <w:rPr>
          <w:vertAlign w:val="subscript"/>
        </w:rPr>
        <w:t>1</w:t>
      </w:r>
      <w:r>
        <w:t>–Cu</w:t>
      </w:r>
      <w:r>
        <w:rPr>
          <w:vertAlign w:val="subscript"/>
        </w:rPr>
        <w:t>1</w:t>
      </w:r>
      <w:r>
        <w:t>@POPs‐PPh</w:t>
      </w:r>
      <w:r>
        <w:rPr>
          <w:vertAlign w:val="subscript"/>
        </w:rPr>
        <w:t>3</w:t>
      </w:r>
      <w:r>
        <w:t>) for the selective oxidation of ethane to ethanol, acetaldehyde, and acetic acid with auto‐selective oxygen mechanism. The optimized Rh</w:t>
      </w:r>
      <w:r>
        <w:rPr>
          <w:vertAlign w:val="subscript"/>
        </w:rPr>
        <w:t>1</w:t>
      </w:r>
      <w:r>
        <w:t>–Cu</w:t>
      </w:r>
      <w:r>
        <w:rPr>
          <w:vertAlign w:val="subscript"/>
        </w:rPr>
        <w:t>1</w:t>
      </w:r>
      <w:r>
        <w:t>centers deliver a productivity of ca. 250 mol mol</w:t>
      </w:r>
      <w:r>
        <w:t xml:space="preserve"> </w:t>
      </w:r>
      <w:r>
        <w:t>Rh</w:t>
      </w:r>
      <w:r>
        <w:t xml:space="preserve"> </w:t>
      </w:r>
      <w:r>
        <w:t>−1</w:t>
      </w:r>
      <w:r>
        <w:t xml:space="preserve"> </w:t>
      </w:r>
      <w:r>
        <w:t>h</w:t>
      </w:r>
      <w:r>
        <w:t xml:space="preserve"> </w:t>
      </w:r>
      <w:r>
        <w:t>−1</w:t>
      </w:r>
      <w:r>
        <w:t xml:space="preserve"> </w:t>
      </w:r>
      <w:r>
        <w:t>based on Rh with 65% acetaldehyde selectivity at 423 K, representing a four‐fold improvement over the single‐Rh‐site catalyst. Through isotopic labeling and in situ characterizations, we uncover an auto‐selective oxygen source mechanism in which dehydrogenated species of ethane with different grades possess self‐selectivity for the combined oxygen source. Oxygen species derived from O</w:t>
      </w:r>
      <w:r>
        <w:rPr>
          <w:vertAlign w:val="subscript"/>
        </w:rPr>
        <w:t>2</w:t>
      </w:r>
      <w:r>
        <w:t>activate ethane and subsequently couple with the ethyl fragment to produce ethanol. While OH radicals from H</w:t>
      </w:r>
      <w:r>
        <w:rPr>
          <w:vertAlign w:val="subscript"/>
        </w:rPr>
        <w:t>2</w:t>
      </w:r>
      <w:r>
        <w:t>O dissociation react with ethyl intermediates from ethane dehydrogenation to yield acetaldehyde. Concurrently, oxygen species recombine with reactive hydrogen species to regenerate new H</w:t>
      </w:r>
      <w:r>
        <w:rPr>
          <w:vertAlign w:val="subscript"/>
        </w:rPr>
        <w:t>2</w:t>
      </w:r>
      <w:r>
        <w:t>O, completing the catalytic oxidation cycle. The density functional theory (DFT) calculations reveal that the Rh–Cl–Cu configuration lowers the lowest unoccupied molecular orbital (LUMO) energy of Rh</w:t>
      </w:r>
      <w:r>
        <w:rPr>
          <w:vertAlign w:val="subscript"/>
        </w:rPr>
        <w:t>1</w:t>
      </w:r>
      <w:r>
        <w:t>, thereby strengthening adsorbate‐metal interactions, weakening the C─H bond, and facilitating its activation.</w:t>
      </w:r>
    </w:p>
    <w:p>
      <w:pPr>
        <w:spacing w:before="120" w:after="120"/>
      </w:pPr>
      <w:r>
        <w:rPr>
          <w:sz w:val="18"/>
        </w:rPr>
        <w:t>——————————————————————————————————————————————————————————————————————</w:t>
      </w:r>
    </w:p>
    <w:p>
      <w:pPr>
        <w:spacing w:before="160" w:after="40" w:line="240" w:lineRule="auto"/>
      </w:pPr>
      <w:r>
        <w:rPr>
          <w:b/>
        </w:rPr>
        <w:t xml:space="preserve">[424] </w:t>
      </w:r>
      <w:hyperlink r:id="rId650">
        <w:r>
          <w:rPr>
            <w:color w:val="1155CC"/>
            <w:u w:val="single"/>
          </w:rPr>
          <w:t>秩序与融合之间:消除碳材料名词中的结构性误解</w:t>
        </w:r>
      </w:hyperlink>
    </w:p>
    <w:p>
      <w:pPr>
        <w:spacing w:before="0" w:after="80"/>
      </w:pPr>
      <w:r>
        <w:rPr>
          <w:i/>
          <w:sz w:val="20"/>
        </w:rPr>
        <w:t>EN: Between Order and Confusion: Clearing up Structural Misconceptions in Carbon Materials Nomenclature</w:t>
      </w:r>
    </w:p>
    <w:p>
      <w:pPr>
        <w:spacing w:before="0" w:after="120"/>
      </w:pPr>
      <w:r>
        <w:rPr>
          <w:b/>
        </w:rPr>
        <w:t xml:space="preserve">Source: </w:t>
      </w:r>
      <w:r>
        <w:t>Wiley: Angewandte Chemie International Edition: Table of Contents</w:t>
      </w:r>
      <w:r>
        <w:t xml:space="preserve">    </w:t>
      </w:r>
      <w:r>
        <w:rPr>
          <w:b/>
        </w:rPr>
        <w:t xml:space="preserve">Pub date: </w:t>
      </w:r>
      <w:r>
        <w:t>2026-02-04 06:39:36+00:00</w:t>
      </w:r>
      <w:r>
        <w:t xml:space="preserve">    </w:t>
      </w:r>
      <w:r>
        <w:rPr>
          <w:b/>
        </w:rPr>
        <w:t xml:space="preserve">DOI: </w:t>
      </w:r>
      <w:hyperlink r:id="rId651">
        <w:r>
          <w:rPr>
            <w:color w:val="1155CC"/>
            <w:u w:val="single"/>
          </w:rPr>
          <w:t>10.1002/anie.202519975</w:t>
        </w:r>
      </w:hyperlink>
    </w:p>
    <w:p>
      <w:pPr>
        <w:spacing w:before="0" w:after="120"/>
      </w:pPr>
      <w:r>
        <w:rPr>
          <w:b/>
        </w:rPr>
        <w:t xml:space="preserve">Notes: </w:t>
      </w:r>
      <w:r>
        <w:t>abstract_source=crossref</w:t>
      </w:r>
    </w:p>
    <w:p>
      <w:pPr>
        <w:spacing w:before="0" w:after="80" w:lineRule="auto" w:line="276"/>
      </w:pPr>
      <w:r>
        <w:rPr>
          <w:b/>
        </w:rPr>
        <w:t xml:space="preserve">摘要（ZH）: </w:t>
      </w:r>
      <w:r>
        <w:t>碳摘要材料对于各种应用,特别是能源储存和转换以及电解领域的各种应用越来越重要,因此,它们对于全世界向无排放经济过渡至关重要,因此,目前文献中讨论了各种碳材料,其中的石墨、石墨碳、非地铁碳和阿莫等不同水平的石墨、石墨碳、非地铁碳和碳碳等不同碳材料的精确特性,甚至正确术语往往被忽视,导致碳界内部的错误沟通和误解,特别是“不固定”碳。</w:t>
      </w:r>
    </w:p>
    <w:p>
      <w:pPr>
        <w:spacing w:before="0" w:after="200" w:lineRule="auto" w:line="276"/>
      </w:pPr>
      <w:r>
        <w:rPr>
          <w:b/>
        </w:rPr>
        <w:t xml:space="preserve">Abstract (EN): </w:t>
      </w:r>
      <w:r>
        <w:t>Carbon materials are of increasing importance for various applications especially in the field of energy storage and conversion as well as electrocatalysis, and thus, they are essential for the worldwide transition toward an emission‐free economy. Hence, various carbonaceous materials with different levels of order of graphene stacks are discussed in current literature. However, precise characterization or even the correct terminology of the respective material is often neglected, leading to miscommunication and misinterpretation throughout the carbon community, especially with respect to “amorphous” carbon. Here, we aim to clarify the terms describing different graphene‐containing carbon materials, namely graphite, graphitic carbon, non‐graphitic carbon, and amorphous carbon. We recall the IUPAC definitions of these materials and correlate them with characteristic X‐ray scattering patterns as well as Raman spectra, being the most widespread and appropriate characterization techniques. Thereby, this scientific perspective strives toward raising awareness for fine structural differences and the need for a consistent characterization and description of these carbon materials.</w:t>
      </w:r>
    </w:p>
    <w:p>
      <w:pPr>
        <w:spacing w:before="120" w:after="120"/>
      </w:pPr>
      <w:r>
        <w:rPr>
          <w:sz w:val="18"/>
        </w:rPr>
        <w:t>——————————————————————————————————————————————————————————————————————</w:t>
      </w:r>
    </w:p>
    <w:p>
      <w:pPr>
        <w:spacing w:before="160" w:after="40" w:line="240" w:lineRule="auto"/>
      </w:pPr>
      <w:r>
        <w:rPr>
          <w:b/>
        </w:rPr>
        <w:t xml:space="preserve">[425] </w:t>
      </w:r>
      <w:hyperlink r:id="rId652">
        <w:r>
          <w:rPr>
            <w:color w:val="1155CC"/>
            <w:u w:val="single"/>
          </w:rPr>
          <w:t>环二二二基双环环环二极化和环二极化环二极化</w:t>
        </w:r>
      </w:hyperlink>
    </w:p>
    <w:p>
      <w:pPr>
        <w:spacing w:before="0" w:after="80"/>
      </w:pPr>
      <w:r>
        <w:rPr>
          <w:i/>
          <w:sz w:val="20"/>
        </w:rPr>
        <w:t>EN: Tuning Circular Dichroism and Circularly Polarised Luminescence in Single Crystals of a Perylene Diimide Macrocycle</w:t>
      </w:r>
    </w:p>
    <w:p>
      <w:pPr>
        <w:spacing w:before="0" w:after="120"/>
      </w:pPr>
      <w:r>
        <w:rPr>
          <w:b/>
        </w:rPr>
        <w:t xml:space="preserve">Source: </w:t>
      </w:r>
      <w:r>
        <w:t>Wiley: Angewandte Chemie International Edition: Table of Contents</w:t>
      </w:r>
      <w:r>
        <w:t xml:space="preserve">    </w:t>
      </w:r>
      <w:r>
        <w:rPr>
          <w:b/>
        </w:rPr>
        <w:t xml:space="preserve">Pub date: </w:t>
      </w:r>
      <w:r>
        <w:t>2026-02-04 06:43:06+00:00</w:t>
      </w:r>
      <w:r>
        <w:t xml:space="preserve">    </w:t>
      </w:r>
      <w:r>
        <w:rPr>
          <w:b/>
        </w:rPr>
        <w:t xml:space="preserve">DOI: </w:t>
      </w:r>
      <w:hyperlink r:id="rId653">
        <w:r>
          <w:rPr>
            <w:color w:val="1155CC"/>
            <w:u w:val="single"/>
          </w:rPr>
          <w:t>10.1002/anie.202520567</w:t>
        </w:r>
      </w:hyperlink>
    </w:p>
    <w:p>
      <w:pPr>
        <w:spacing w:before="0" w:after="120"/>
      </w:pPr>
      <w:r>
        <w:rPr>
          <w:b/>
        </w:rPr>
        <w:t xml:space="preserve">Notes: </w:t>
      </w:r>
      <w:r>
        <w:t>abstract_source=crossref</w:t>
      </w:r>
    </w:p>
    <w:p>
      <w:pPr>
        <w:spacing w:before="0" w:after="80" w:lineRule="auto" w:line="276"/>
      </w:pPr>
      <w:r>
        <w:rPr>
          <w:b/>
        </w:rPr>
        <w:t xml:space="preserve">摘要（ZH）: </w:t>
      </w:r>
      <w:r>
        <w:t>利用循环两极光处理环极光的抽象奇拉材料在光电子、遥感和信息编码方面产生了新的应用,然而有机分子材料的功能往往受到相对较低的不对称系数(g abs/lum&amp;lt;10-2)的限制,包括接近红外线(&amp;gt;700纳米)。 放大 g abs/lum的有效战略是优化染色体的手性安排,用单晶体提供内在分子顺序。</w:t>
      </w:r>
    </w:p>
    <w:p>
      <w:pPr>
        <w:spacing w:before="0" w:after="200" w:lineRule="auto" w:line="276"/>
      </w:pPr>
      <w:r>
        <w:rPr>
          <w:b/>
        </w:rPr>
        <w:t xml:space="preserve">Abstract (EN): </w:t>
      </w:r>
      <w:r>
        <w:t>Chiral materials that manipulate circularly polarised light have burgeoning applications across optoelectronics, sensing and information encoding, yet the functionality of organic molecular materials is often limited by their relatively low dissymmetry factors (</w:t>
      </w:r>
      <w:r>
        <w:t xml:space="preserve"> </w:t>
      </w:r>
      <w:r>
        <w:t>g</w:t>
      </w:r>
      <w:r>
        <w:t xml:space="preserve"> </w:t>
      </w:r>
      <w:r>
        <w:t>abs/lum</w:t>
      </w:r>
      <w:r>
        <w:t xml:space="preserve"> </w:t>
      </w:r>
      <w:r>
        <w:t>&amp;lt; 10</w:t>
      </w:r>
      <w:r>
        <w:t xml:space="preserve"> </w:t>
      </w:r>
      <w:r>
        <w:t>−</w:t>
      </w:r>
      <w:r>
        <w:rPr>
          <w:vertAlign w:val="subscript"/>
        </w:rPr>
        <w:t>2</w:t>
      </w:r>
      <w:r>
        <w:t>), including towards the near infrared (</w:t>
      </w:r>
      <w:r>
        <w:t xml:space="preserve"> </w:t>
      </w:r>
      <w:r>
        <w:t>λ</w:t>
      </w:r>
      <w:r>
        <w:t xml:space="preserve"> </w:t>
      </w:r>
      <w:r>
        <w:t>&amp;gt; 700 nm). An effective strategy to amplifying</w:t>
      </w:r>
      <w:r>
        <w:t xml:space="preserve"> </w:t>
      </w:r>
      <w:r>
        <w:t>g</w:t>
      </w:r>
      <w:r>
        <w:t xml:space="preserve"> </w:t>
      </w:r>
      <w:r>
        <w:t>abs/lum</w:t>
      </w:r>
      <w:r>
        <w:t xml:space="preserve"> </w:t>
      </w:r>
      <w:r>
        <w:t>is to optimise the chiral arrangement of chromophores, with single crystals providing intrinsic molecular ordering. Herein, we quantify the circular dichroism and circularly polarised luminescence of single crystals of a chiral L‐valinol bis‐perylene diimide macrocycle by Mueller–Matrix polarimetry and circularly polarised luminescence microscopy, as required for the analysis of such anisotropic materials. Through this, we see that organic crystals are valuable for understanding how supramolecular structure can be used to modify the sign, strength and energy of the chiroptical signal. Indeed, by tuning the macrocycle's π–π stacking interactions, our materials deliver strong chiroptical properties (</w:t>
      </w:r>
      <w:r>
        <w:t xml:space="preserve"> </w:t>
      </w:r>
      <w:r>
        <w:t>g</w:t>
      </w:r>
      <w:r>
        <w:t xml:space="preserve"> </w:t>
      </w:r>
      <w:r>
        <w:t>abs/lum</w:t>
      </w:r>
      <w:r>
        <w:t xml:space="preserve"> </w:t>
      </w:r>
      <w:r>
        <w:t>&amp;gt; 10</w:t>
      </w:r>
      <w:r>
        <w:t xml:space="preserve"> </w:t>
      </w:r>
      <w:r>
        <w:t>−</w:t>
      </w:r>
      <w:r>
        <w:rPr>
          <w:vertAlign w:val="subscript"/>
        </w:rPr>
        <w:t>2</w:t>
      </w:r>
      <w:r>
        <w:t>), including circularly polarised luminescence into the near infrared (</w:t>
      </w:r>
      <w:r>
        <w:t xml:space="preserve"> </w:t>
      </w:r>
      <w:r>
        <w:t>λ</w:t>
      </w:r>
      <w:r>
        <w:t xml:space="preserve"> </w:t>
      </w:r>
      <w:r>
        <w:t>= 780 nm).</w:t>
      </w:r>
    </w:p>
    <w:p>
      <w:pPr>
        <w:spacing w:before="120" w:after="120"/>
      </w:pPr>
      <w:r>
        <w:rPr>
          <w:sz w:val="18"/>
        </w:rPr>
        <w:t>——————————————————————————————————————————————————————————————————————</w:t>
      </w:r>
    </w:p>
    <w:p>
      <w:pPr>
        <w:spacing w:before="160" w:after="40" w:line="240" w:lineRule="auto"/>
      </w:pPr>
      <w:r>
        <w:rPr>
          <w:b/>
        </w:rPr>
        <w:t xml:space="preserve">[426] </w:t>
      </w:r>
      <w:hyperlink r:id="rId654">
        <w:r>
          <w:rPr>
            <w:color w:val="1155CC"/>
            <w:u w:val="single"/>
          </w:rPr>
          <w:t>确定FAU-A多尺度模拟中包含的Al的上限的非易交换 Na+ Ions</w:t>
        </w:r>
      </w:hyperlink>
    </w:p>
    <w:p>
      <w:pPr>
        <w:spacing w:before="0" w:after="80"/>
      </w:pPr>
      <w:r>
        <w:rPr>
          <w:i/>
          <w:sz w:val="20"/>
        </w:rPr>
        <w:t>EN: Encapsulated Non‐Exchangeable Na+ Ions Determining the Upper Limit of Al Inclusion in FAU—A Multiscale Simulation</w:t>
      </w:r>
    </w:p>
    <w:p>
      <w:pPr>
        <w:spacing w:before="0" w:after="120"/>
      </w:pPr>
      <w:r>
        <w:rPr>
          <w:b/>
        </w:rPr>
        <w:t xml:space="preserve">Source: </w:t>
      </w:r>
      <w:r>
        <w:t>Wiley: Angewandte Chemie International Edition: Table of Contents</w:t>
      </w:r>
      <w:r>
        <w:t xml:space="preserve">    </w:t>
      </w:r>
      <w:r>
        <w:rPr>
          <w:b/>
        </w:rPr>
        <w:t xml:space="preserve">Pub date: </w:t>
      </w:r>
      <w:r>
        <w:t>2026-02-04 06:45:33+00:00</w:t>
      </w:r>
      <w:r>
        <w:t xml:space="preserve">    </w:t>
      </w:r>
      <w:r>
        <w:rPr>
          <w:b/>
        </w:rPr>
        <w:t xml:space="preserve">DOI: </w:t>
      </w:r>
      <w:hyperlink r:id="rId655">
        <w:r>
          <w:rPr>
            <w:color w:val="1155CC"/>
            <w:u w:val="single"/>
          </w:rPr>
          <w:t>10.1002/anie.202524044</w:t>
        </w:r>
      </w:hyperlink>
    </w:p>
    <w:p>
      <w:pPr>
        <w:spacing w:before="0" w:after="120"/>
      </w:pPr>
      <w:r>
        <w:rPr>
          <w:b/>
        </w:rPr>
        <w:t xml:space="preserve">Notes: </w:t>
      </w:r>
      <w:r>
        <w:t>abstract_source=crossref</w:t>
      </w:r>
    </w:p>
    <w:p>
      <w:pPr>
        <w:spacing w:before="0" w:after="80" w:lineRule="auto" w:line="276"/>
      </w:pPr>
      <w:r>
        <w:rPr>
          <w:b/>
        </w:rPr>
        <w:t xml:space="preserve">摘要（ZH）: </w:t>
      </w:r>
      <w:r>
        <w:t>Na + 离子作为制衡剂,控制Yzeolite 1至14 Al原子(Si/Al=472.4)铝原子框架分布的控制,酸强度根据DFT的计算、机器学习的描述器、AIMD模拟和实验分析进行了调查。不同于以前与质子(H+)相比的结果,质子(H+)为充电平衡剂,选择了下一个相邻的Al分离(3NAl),框架Al原子在Na +离子(4NAl和5N)的情况下,更喜欢较大的分离(4NQAL和5NAL),因为 Na +/AlO 4之间的平衡。</w:t>
      </w:r>
    </w:p>
    <w:p>
      <w:pPr>
        <w:spacing w:before="0" w:after="200" w:lineRule="auto" w:line="276"/>
      </w:pPr>
      <w:r>
        <w:rPr>
          <w:b/>
        </w:rPr>
        <w:t xml:space="preserve">Abstract (EN): </w:t>
      </w:r>
      <w:r>
        <w:t>Na</w:t>
      </w:r>
      <w:r>
        <w:t xml:space="preserve"> </w:t>
      </w:r>
      <w:r>
        <w:t>+</w:t>
      </w:r>
      <w:r>
        <w:t xml:space="preserve"> </w:t>
      </w:r>
      <w:r>
        <w:t>ion as charge‐balance agent controlling the distribution of framework aluminum atoms in Y‐zeolite from 1 to 14 Al atoms (Si/Al = 47‐2.4) and the acid strength have been investigated based on DFT computations, descriptors from machine learning, AIMD simulations, and experimental analysis. Different from previous results with proton (H</w:t>
      </w:r>
      <w:r>
        <w:t xml:space="preserve"> </w:t>
      </w:r>
      <w:r>
        <w:t>+</w:t>
      </w:r>
      <w:r>
        <w:t xml:space="preserve"> </w:t>
      </w:r>
      <w:r>
        <w:t>) as charge‐balancing agent preferring next‐nearest‐neighbor Al separation (3N‐Al), the framework Al atoms, in the presence of Na</w:t>
      </w:r>
      <w:r>
        <w:t xml:space="preserve"> </w:t>
      </w:r>
      <w:r>
        <w:t>+</w:t>
      </w:r>
      <w:r>
        <w:t xml:space="preserve"> </w:t>
      </w:r>
      <w:r>
        <w:t>ions, prefer larger separations (4N‐Al and 5N‐Al) due to the balance between Na</w:t>
      </w:r>
      <w:r>
        <w:t xml:space="preserve"> </w:t>
      </w:r>
      <w:r>
        <w:t>+</w:t>
      </w:r>
      <w:r>
        <w:t xml:space="preserve"> </w:t>
      </w:r>
      <w:r>
        <w:t>/AlO</w:t>
      </w:r>
      <w:r>
        <w:rPr>
          <w:vertAlign w:val="subscript"/>
        </w:rPr>
        <w:t>4</w:t>
      </w:r>
      <w:r>
        <w:t>−</w:t>
      </w:r>
      <w:r>
        <w:t>attractive and AlO</w:t>
      </w:r>
      <w:r>
        <w:rPr>
          <w:vertAlign w:val="subscript"/>
        </w:rPr>
        <w:t>4</w:t>
      </w:r>
      <w:r>
        <w:t>−</w:t>
      </w:r>
      <w:r>
        <w:t>/AlO</w:t>
      </w:r>
      <w:r>
        <w:rPr>
          <w:vertAlign w:val="subscript"/>
        </w:rPr>
        <w:t>4</w:t>
      </w:r>
      <w:r>
        <w:t>−</w:t>
      </w:r>
      <w:r>
        <w:t>repulsive interaction and the preferential occupancy of Na</w:t>
      </w:r>
      <w:r>
        <w:t xml:space="preserve"> </w:t>
      </w:r>
      <w:r>
        <w:t>+</w:t>
      </w:r>
      <w:r>
        <w:t xml:space="preserve"> </w:t>
      </w:r>
      <w:r>
        <w:t>ions following the order of six‐membered ring (6MR) &amp;gt; double six‐membered ring (D6R) &amp;gt; four‐membered ring (4MR). The computed sequential substitution enthalpy for 1‐14 Al shows the thermodynamically favorable upper limit of rather low Si/Al ratio (≤ 3) and explains the difficult synthesis of Y‐zeolite with higher Si/Al ratios. Y‐zeolite with non‐exchangeable Na</w:t>
      </w:r>
      <w:r>
        <w:t xml:space="preserve"> </w:t>
      </w:r>
      <w:r>
        <w:t>+</w:t>
      </w:r>
      <w:r>
        <w:t xml:space="preserve"> </w:t>
      </w:r>
      <w:r>
        <w:t>ions has stronger acid strength based on the adsorption energy of pyridine and ammonia and exhibits higher catalytic activity in propane cracking.</w:t>
      </w:r>
    </w:p>
    <w:p>
      <w:pPr>
        <w:spacing w:before="120" w:after="120"/>
      </w:pPr>
      <w:r>
        <w:rPr>
          <w:sz w:val="18"/>
        </w:rPr>
        <w:t>——————————————————————————————————————————————————————————————————————</w:t>
      </w:r>
    </w:p>
    <w:p>
      <w:pPr>
        <w:spacing w:before="160" w:after="40" w:line="240" w:lineRule="auto"/>
      </w:pPr>
      <w:r>
        <w:rPr>
          <w:b/>
        </w:rPr>
        <w:t xml:space="preserve">[427] </w:t>
      </w:r>
      <w:hyperlink r:id="rId656">
        <w:r>
          <w:rPr>
            <w:color w:val="1155CC"/>
            <w:u w:val="single"/>
          </w:rPr>
          <w:t>非饱和磷磷酸酯</w:t>
        </w:r>
      </w:hyperlink>
    </w:p>
    <w:p>
      <w:pPr>
        <w:spacing w:before="0" w:after="80"/>
      </w:pPr>
      <w:r>
        <w:rPr>
          <w:i/>
          <w:sz w:val="20"/>
        </w:rPr>
        <w:t>EN: Unsaturated Phosphorus Electrophiles to Probe Protein Tyrosine Phosphatases</w:t>
      </w:r>
    </w:p>
    <w:p>
      <w:pPr>
        <w:spacing w:before="0" w:after="120"/>
      </w:pPr>
      <w:r>
        <w:rPr>
          <w:b/>
        </w:rPr>
        <w:t xml:space="preserve">Source: </w:t>
      </w:r>
      <w:r>
        <w:t>Wiley: Angewandte Chemie International Edition: Table of Contents</w:t>
      </w:r>
      <w:r>
        <w:t xml:space="preserve">    </w:t>
      </w:r>
      <w:r>
        <w:rPr>
          <w:b/>
        </w:rPr>
        <w:t xml:space="preserve">Pub date: </w:t>
      </w:r>
      <w:r>
        <w:t>2026-02-04 06:46:38+00:00</w:t>
      </w:r>
      <w:r>
        <w:t xml:space="preserve">    </w:t>
      </w:r>
      <w:r>
        <w:rPr>
          <w:b/>
        </w:rPr>
        <w:t xml:space="preserve">DOI: </w:t>
      </w:r>
      <w:hyperlink r:id="rId657">
        <w:r>
          <w:rPr>
            <w:color w:val="1155CC"/>
            <w:u w:val="single"/>
          </w:rPr>
          <w:t>10.1002/anie.202521902</w:t>
        </w:r>
      </w:hyperlink>
    </w:p>
    <w:p>
      <w:pPr>
        <w:spacing w:before="0" w:after="120"/>
      </w:pPr>
      <w:r>
        <w:rPr>
          <w:b/>
        </w:rPr>
        <w:t xml:space="preserve">Notes: </w:t>
      </w:r>
      <w:r>
        <w:t>abstract_source=crossref</w:t>
      </w:r>
    </w:p>
    <w:p>
      <w:pPr>
        <w:spacing w:before="0" w:after="80" w:lineRule="auto" w:line="276"/>
      </w:pPr>
      <w:r>
        <w:rPr>
          <w:b/>
        </w:rPr>
        <w:t xml:space="preserve">摘要（ZH）: </w:t>
      </w:r>
      <w:r>
        <w:t>尽管已经开发了一些广泛的光谱电子生殖器、磷基苯乙烯和磷基酸模拟探针,以共价捕捉这些酶的催化场,但对高目标选择性PTP探针的需求仍然很高,这些探针可以用合成直截了当的方式获得,不饱和磷(V)(P(V))化合物最近已成为强大的cysteine-选择性生物合成试剂(P5)标签),我们引进了乙酰代二苯丙胺和磷酸作为磷基聚氨基,作为苯乙烯基的活性现场、共价试探针,我们表明这些P(V)类电荷可以再生。</w:t>
      </w:r>
    </w:p>
    <w:p>
      <w:pPr>
        <w:spacing w:before="0" w:after="200" w:lineRule="auto" w:line="276"/>
      </w:pPr>
      <w:r>
        <w:rPr>
          <w:b/>
        </w:rPr>
        <w:t xml:space="preserve">Abstract (EN): </w:t>
      </w:r>
      <w:r>
        <w:t>Protein tyrosine phosphatases (PTPs) represent an important pharmacological target and subject of study. Although a number of broad‐spectrum electrophilic, phosphotyrosine‐mimicking probes have been developed to covalently capture the catalytic site of these enzymes, there is still a high demand for PTP probes with high target selectivity that are accessible in a synthetically straightforward way. Unsaturated phosphorus (V) (P(V)) compounds have recently emerged as powerful cysteine‐selective bioconjugation reagents (P5‐labeling). Herein, we introduce ethynyl‐substituted aryl phosphonamidic and phosphonic acids as phosphotyrosine mimics, which serve as active‐site‐directed, covalent probes for tyrosine phosphatases. We show that these P(V) electrophiles can be readily incorporated into a peptide sequence, allowing proximity‐enabled reactivity and selective targeting of the catalytic cysteine residue of an interacting phosphatase, as exemplified for PTP1B, a protein tyrosine phosphatase that acts as a key negative regulator of insulin signaling. Both ethynyl phosphonamidic acid and ethynyl phosphonic acid show no reactivity towards nontarget cysteine residues, though the phosphonamidic acid probe was notably less reactive toward its intended target. Proteomics experiments in human cell lysates demonstrated that the phosphonic acid probe selectively enriches its interacting phosphatase in the human proteome. Our study highlights a versatile strategy to obtain remarkably precise peptide‐based PTP probes, thereby enabling the characterization of phosphatase interactions with high specificity.</w:t>
      </w:r>
    </w:p>
    <w:p>
      <w:pPr>
        <w:spacing w:before="120" w:after="120"/>
      </w:pPr>
      <w:r>
        <w:rPr>
          <w:sz w:val="18"/>
        </w:rPr>
        <w:t>——————————————————————————————————————————————————————————————————————</w:t>
      </w:r>
    </w:p>
    <w:p>
      <w:pPr>
        <w:spacing w:before="160" w:after="40" w:line="240" w:lineRule="auto"/>
      </w:pPr>
      <w:r>
        <w:rPr>
          <w:b/>
        </w:rPr>
        <w:t xml:space="preserve">[428] </w:t>
      </w:r>
      <w:hyperlink r:id="rId658">
        <w:r>
          <w:rPr>
            <w:color w:val="1155CC"/>
            <w:u w:val="single"/>
          </w:rPr>
          <w:t>二甲基二氧化碳碳酸碳酸碳酸二的高度高效的坦迪姆电电合成</w:t>
        </w:r>
      </w:hyperlink>
    </w:p>
    <w:p>
      <w:pPr>
        <w:spacing w:before="0" w:after="80"/>
      </w:pPr>
      <w:r>
        <w:rPr>
          <w:i/>
          <w:sz w:val="20"/>
        </w:rPr>
        <w:t>EN: Highly Efficient Tandem Electrosynthesis of Dimethyl Carbonate From CO2</w:t>
      </w:r>
    </w:p>
    <w:p>
      <w:pPr>
        <w:spacing w:before="0" w:after="120"/>
      </w:pPr>
      <w:r>
        <w:rPr>
          <w:b/>
        </w:rPr>
        <w:t xml:space="preserve">Source: </w:t>
      </w:r>
      <w:r>
        <w:t>Wiley: Angewandte Chemie International Edition: Table of Contents</w:t>
      </w:r>
      <w:r>
        <w:t xml:space="preserve">    </w:t>
      </w:r>
      <w:r>
        <w:rPr>
          <w:b/>
        </w:rPr>
        <w:t xml:space="preserve">Pub date: </w:t>
      </w:r>
      <w:r>
        <w:t>2026-02-04 06:54:44+00:00</w:t>
      </w:r>
      <w:r>
        <w:t xml:space="preserve">    </w:t>
      </w:r>
      <w:r>
        <w:rPr>
          <w:b/>
        </w:rPr>
        <w:t xml:space="preserve">DOI: </w:t>
      </w:r>
      <w:hyperlink r:id="rId659">
        <w:r>
          <w:rPr>
            <w:color w:val="1155CC"/>
            <w:u w:val="single"/>
          </w:rPr>
          <w:t>10.1002/anie.4855063</w:t>
        </w:r>
      </w:hyperlink>
    </w:p>
    <w:p>
      <w:pPr>
        <w:spacing w:before="0" w:after="120"/>
      </w:pPr>
      <w:r>
        <w:rPr>
          <w:b/>
        </w:rPr>
        <w:t xml:space="preserve">Notes: </w:t>
      </w:r>
      <w:r>
        <w:t>abstract_source=crossref</w:t>
      </w:r>
    </w:p>
    <w:p>
      <w:pPr>
        <w:spacing w:before="0" w:after="80" w:lineRule="auto" w:line="276"/>
      </w:pPr>
      <w:r>
        <w:rPr>
          <w:b/>
        </w:rPr>
        <w:t xml:space="preserve">摘要（ZH）: </w:t>
      </w:r>
      <w:r>
        <w:t>目前的DMC生产是能源密集型的,同时产生CO2排放量。 CO2的DMC电合成提供了可持续的替代品,但面临着惰性CO2激活和不受欢迎的CO联动的挑战,导致低选择性和当前密度。 我们在此提议,在环境条件下,利用带有单子原子场点和原子精密的硫聚(Pd 6 S 12)的钴聚氯二(CoPPc)框架(CoPPc),利用单子原子场点和原子精密的硫聚(Pd 6 S 12)的钴聚氯二(CoPPc)和原子精密的硫聚(Pd 6 S 12)进行高效DMC生产的同步电催化战略。</w:t>
      </w:r>
    </w:p>
    <w:p>
      <w:pPr>
        <w:spacing w:before="0" w:after="200" w:lineRule="auto" w:line="276"/>
      </w:pPr>
      <w:r>
        <w:rPr>
          <w:b/>
        </w:rPr>
        <w:t xml:space="preserve">Abstract (EN): </w:t>
      </w:r>
      <w:r>
        <w:t>Current DMC production is energy‐intensive, while generating CO</w:t>
      </w:r>
      <w:r>
        <w:rPr>
          <w:vertAlign w:val="subscript"/>
        </w:rPr>
        <w:t>2</w:t>
      </w:r>
      <w:r>
        <w:t>emissions. Electrosynthesis of DMC from CO</w:t>
      </w:r>
      <w:r>
        <w:rPr>
          <w:vertAlign w:val="subscript"/>
        </w:rPr>
        <w:t>2</w:t>
      </w:r>
      <w:r>
        <w:t>offers a sustainable alternative but faces challenges of inert CO</w:t>
      </w:r>
      <w:r>
        <w:rPr>
          <w:vertAlign w:val="subscript"/>
        </w:rPr>
        <w:t>2</w:t>
      </w:r>
      <w:r>
        <w:t>activation and unfavorable C‐O coupling, leading to low selectivity and current density. Herein, we propose a tandem electrocatalysis strategy for efficient DMC production from CO</w:t>
      </w:r>
      <w:r>
        <w:rPr>
          <w:vertAlign w:val="subscript"/>
        </w:rPr>
        <w:t>2</w:t>
      </w:r>
      <w:r>
        <w:t>under ambient conditions, utilizing a cobalt polyphthalocyanine framework (CoPPc) with single‐atom sites and atomically precise palladium‐sulfur clusters (Pd</w:t>
      </w:r>
      <w:r>
        <w:rPr>
          <w:vertAlign w:val="subscript"/>
        </w:rPr>
        <w:t>6</w:t>
      </w:r>
      <w:r>
        <w:t>S</w:t>
      </w:r>
      <w:r>
        <w:rPr>
          <w:vertAlign w:val="subscript"/>
        </w:rPr>
        <w:t>12</w:t>
      </w:r>
      <w:r>
        <w:t>). The CoPPc‐Pd</w:t>
      </w:r>
      <w:r>
        <w:rPr>
          <w:vertAlign w:val="subscript"/>
        </w:rPr>
        <w:t>6</w:t>
      </w:r>
      <w:r>
        <w:t>S</w:t>
      </w:r>
      <w:r>
        <w:rPr>
          <w:vertAlign w:val="subscript"/>
        </w:rPr>
        <w:t>12</w:t>
      </w:r>
      <w:r>
        <w:t>tandem catalyst system synergistically activates CO</w:t>
      </w:r>
      <w:r>
        <w:rPr>
          <w:vertAlign w:val="subscript"/>
        </w:rPr>
        <w:t>2</w:t>
      </w:r>
      <w:r>
        <w:t>and enhances mass transport, elevating the local concentration of key intermediates (CO and methoxy species) for improving DMC production efficiency. Thus, the tandem system delivers exceptional performance with 93.4% DMC selectivity and 34.9 mmol L</w:t>
      </w:r>
      <w:r>
        <w:t xml:space="preserve"> </w:t>
      </w:r>
      <w:r>
        <w:t>−1</w:t>
      </w:r>
      <w:r>
        <w:t xml:space="preserve"> </w:t>
      </w:r>
      <w:r>
        <w:t>h</w:t>
      </w:r>
      <w:r>
        <w:t xml:space="preserve"> </w:t>
      </w:r>
      <w:r>
        <w:t>−1</w:t>
      </w:r>
      <w:r>
        <w:t xml:space="preserve"> </w:t>
      </w:r>
      <w:r>
        <w:t>production in 0.1 M NaBr methanol electrolyte, while achieving a recorded current density of 155.2 mA cm</w:t>
      </w:r>
      <w:r>
        <w:t xml:space="preserve"> </w:t>
      </w:r>
      <w:r>
        <w:t>−2</w:t>
      </w:r>
      <w:r>
        <w:t xml:space="preserve"> </w:t>
      </w:r>
      <w:r>
        <w:t>at 0.5 M electrolyte concentration. In situ generated CO and methoxy over CoPPc efficiently transfer to the Pd‐S site, where achieves intermediate stabilization and optimal coupling orientation, boosting DMC selectivity and current density. Moreover, DFT calculations reveal that the CoPPc‐Pd</w:t>
      </w:r>
      <w:r>
        <w:rPr>
          <w:vertAlign w:val="subscript"/>
        </w:rPr>
        <w:t>6</w:t>
      </w:r>
      <w:r>
        <w:t>S</w:t>
      </w:r>
      <w:r>
        <w:rPr>
          <w:vertAlign w:val="subscript"/>
        </w:rPr>
        <w:t>12</w:t>
      </w:r>
      <w:r>
        <w:t>system reduces the energy barrier for C‐O coupling, facilitating DMC formation. This work provides an efficient tandem electrocatalysis system for DMC production from CO</w:t>
      </w:r>
      <w:r>
        <w:rPr>
          <w:vertAlign w:val="subscript"/>
        </w:rPr>
        <w:t>2</w:t>
      </w:r>
      <w:r>
        <w:t>with high selectivity and large current density.</w:t>
      </w:r>
    </w:p>
    <w:p>
      <w:pPr>
        <w:spacing w:before="120" w:after="120"/>
      </w:pPr>
      <w:r>
        <w:rPr>
          <w:sz w:val="18"/>
        </w:rPr>
        <w:t>——————————————————————————————————————————————————————————————————————</w:t>
      </w:r>
    </w:p>
    <w:p>
      <w:pPr>
        <w:spacing w:before="160" w:after="40" w:line="240" w:lineRule="auto"/>
      </w:pPr>
      <w:r>
        <w:rPr>
          <w:b/>
        </w:rPr>
        <w:t xml:space="preserve">[429] </w:t>
      </w:r>
      <w:hyperlink r:id="rId660">
        <w:r>
          <w:rPr>
            <w:color w:val="1155CC"/>
            <w:u w:val="single"/>
          </w:rPr>
          <w:t>Stephen P. L. 长:愿景、教师和实业家</w:t>
        </w:r>
      </w:hyperlink>
    </w:p>
    <w:p>
      <w:pPr>
        <w:spacing w:before="0" w:after="80"/>
      </w:pPr>
      <w:r>
        <w:rPr>
          <w:i/>
          <w:sz w:val="20"/>
        </w:rPr>
        <w:t>EN: Stephen P. Long: Visionary, teacher, and doer</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661">
        <w:r>
          <w:rPr>
            <w:color w:val="1155CC"/>
            <w:u w:val="single"/>
          </w:rPr>
          <w:t>10.1073/pnas.2536888123</w:t>
        </w:r>
      </w:hyperlink>
    </w:p>
    <w:p>
      <w:pPr>
        <w:spacing w:before="0" w:after="120"/>
      </w:pPr>
      <w:r>
        <w:rPr>
          <w:b/>
        </w:rPr>
        <w:t xml:space="preserve">Notes: </w:t>
      </w:r>
      <w:r>
        <w:t>abstract_source=pubmed</w:t>
      </w:r>
    </w:p>
    <w:p>
      <w:pPr>
        <w:spacing w:before="0" w:after="80" w:lineRule="auto" w:line="276"/>
      </w:pPr>
      <w:r>
        <w:rPr>
          <w:b/>
        </w:rPr>
        <w:t xml:space="preserve">摘要（ZH）: </w:t>
      </w:r>
      <w:r>
        <w:t>Stephen Long开创了一种多学科方法,通过将分子、细胞、有机体和生态层面的研究与对农业影响的务实理解结合起来,增进我们对光合作用的知识。这涉及开发新的数学模型、用于分析光合作用效率的专利设备、以及世界上最大的了解作物对大气变化的反应的露天实验室。 长期从根本上改变了我们对作物如何应对不断上升的二氧化碳和臭氧的认识。 他激励并领导了工程师光合作用努力,以提高产量,对不断上升的二氧化碳作出最大反应。 他发现,由于CO2集聚机制,C4植物具有高效的光合作用。</w:t>
      </w:r>
    </w:p>
    <w:p>
      <w:pPr>
        <w:spacing w:before="0" w:after="200" w:lineRule="auto" w:line="276"/>
      </w:pPr>
      <w:r>
        <w:rPr>
          <w:b/>
        </w:rPr>
        <w:t xml:space="preserve">Abstract (EN): </w:t>
      </w:r>
      <w:r>
        <w:t>Stephen Long pioneered a multidisciplinary approach to advance our knowledge of photosynthesis, by integrating research at the molecular, cellular, organismal, and ecological levels along with a pragmatic understanding of the implications for agriculture. This involved development of new mathematical models, patented equipment for analyzing photosynthetic efficiency, and the world's largest open-air laboratory for understanding crop responses to atmospheric change. Long fundamentally changed our understanding of how crops respond to rising CO2 and ozone. He inspired and led efforts to engineer photosynthesis to increase yield and respond maximally to rising CO2. He discovered that C4 plants, that have highly efficient photosynthesis due to a CO2 concentrating mechanism, could thrive in cold climates, which was a true paradigm shift as previously C4 photosynthesis had been considered limited to tropical and subtropical climates. He provided a theoretical explanation, and his research led to the discovery that Miscanthus x giganteus could achieve the high yields in cool northern climate achieved by other C4 plants in the tropics. This seminal finding led Long to experiment on the closely related and much more widely used maize plant, and he showed how it could be adapted to cooler conditions and achieve a significant yield jump in the Corn Belt. At a time when society critically needed new ways to achieve increases in productivity in ecologically sustainable ways, Long's research and leadership changed the way we think about choices of plants and cropping systems.</w:t>
      </w:r>
    </w:p>
    <w:p>
      <w:pPr>
        <w:spacing w:before="120" w:after="120"/>
      </w:pPr>
      <w:r>
        <w:rPr>
          <w:sz w:val="18"/>
        </w:rPr>
        <w:t>——————————————————————————————————————————————————————————————————————</w:t>
      </w:r>
    </w:p>
    <w:p>
      <w:pPr>
        <w:spacing w:before="160" w:after="40" w:line="240" w:lineRule="auto"/>
      </w:pPr>
      <w:r>
        <w:rPr>
          <w:b/>
        </w:rPr>
        <w:t xml:space="preserve">[430] </w:t>
      </w:r>
      <w:hyperlink r:id="rId662">
        <w:r>
          <w:rPr>
            <w:color w:val="1155CC"/>
            <w:u w:val="single"/>
          </w:rPr>
          <w:t>无辐射最低侵入性治疗法无辐射性最低侵入性治疗的可操作扩增磁导线</w:t>
        </w:r>
      </w:hyperlink>
    </w:p>
    <w:p>
      <w:pPr>
        <w:spacing w:before="0" w:after="80"/>
      </w:pPr>
      <w:r>
        <w:rPr>
          <w:i/>
          <w:sz w:val="20"/>
        </w:rPr>
        <w:t>EN: Optoacoustically augmented magnetic guidewire for radiation-free minimally invasive therapies</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63">
        <w:r>
          <w:rPr>
            <w:color w:val="1155CC"/>
            <w:u w:val="single"/>
          </w:rPr>
          <w:t>10.1126/sciadv.aea0201</w:t>
        </w:r>
      </w:hyperlink>
    </w:p>
    <w:p>
      <w:pPr>
        <w:spacing w:before="0" w:after="120"/>
      </w:pPr>
      <w:r>
        <w:rPr>
          <w:b/>
        </w:rPr>
        <w:t xml:space="preserve">Notes: </w:t>
      </w:r>
      <w:r>
        <w:t>abstract_source=pubmed</w:t>
      </w:r>
    </w:p>
    <w:p>
      <w:pPr>
        <w:spacing w:before="0" w:after="80" w:lineRule="auto" w:line="276"/>
      </w:pPr>
      <w:r>
        <w:rPr>
          <w:b/>
        </w:rPr>
        <w:t xml:space="preserve">摘要（ZH）: </w:t>
      </w:r>
      <w:r>
        <w:t>心血管干预对于治疗脑血管疾病至关重要,但其监测方法通常依赖电离辐射和对比物剂,对病人和临床医生造成不必要的风险。我们展示了多功能的透视扩增磁导线(OptoMaG),将光声成像与磁导航相结合,以便能够进行无辐射、图像引导的干预。 ~250米的灵活导线包含一个460纳米的发光核心,强化了光谱信号和FePt磁极,以进行精确、可控的控制。概念校对研究表明,OptoMAG可以积极地与外部磁场一起绕过3D人类规模的脑幻影,并准确地到达目标脑场。</w:t>
      </w:r>
    </w:p>
    <w:p>
      <w:pPr>
        <w:spacing w:before="0" w:after="200" w:lineRule="auto" w:line="276"/>
      </w:pPr>
      <w:r>
        <w:rPr>
          <w:b/>
        </w:rPr>
        <w:t xml:space="preserve">Abstract (EN): </w:t>
      </w:r>
      <w:r>
        <w:t>Endovascular interventions are essential for treating cerebrovascular diseases, yet their monitoring methods commonly rely on ionizing radiation and contrast agents, posing unnecessary risks to patients and clinicians. We present a multifunctional optoacoustically augmented magnetic guidewire (OptoMaG) that integrates optoacoustic imaging with magnetic navigation to enable radiation-free, image-guided interventions. The ~250-micrometer flexible guidewire incorporates a 460-nanometer luminescent core with an enhanced optoacoustic signature and a FePt magnetic tip for precise, steerable control. Proof-of-concept studies show that OptoMaG can be actively navigated with external magnetic fields to traverse a 3D human-scale cerebrovascular phantom and accurately reach target brain sites. Beyond navigation, the FePt tip enables localized thermal ablation under remote radiofrequency stimulation, highlighting its theranostic potential for tumor treatment. In addition, OptoMaG functions as a light source for photodynamic therapy, selectively activating photosensitizers to destroy tumor cells while preserving healthy tissue. Collectively, OptoMaG provides a safe, radiation-free platform merging real-time navigation with targeted therapeutic capabilities.</w:t>
      </w:r>
    </w:p>
    <w:p>
      <w:pPr>
        <w:spacing w:before="120" w:after="120"/>
      </w:pPr>
      <w:r>
        <w:rPr>
          <w:sz w:val="18"/>
        </w:rPr>
        <w:t>——————————————————————————————————————————————————————————————————————</w:t>
      </w:r>
    </w:p>
    <w:p>
      <w:pPr>
        <w:spacing w:before="160" w:after="40" w:line="240" w:lineRule="auto"/>
      </w:pPr>
      <w:r>
        <w:rPr>
          <w:b/>
        </w:rPr>
        <w:t xml:space="preserve">[431] </w:t>
      </w:r>
      <w:hyperlink r:id="rId664">
        <w:r>
          <w:rPr>
            <w:color w:val="1155CC"/>
            <w:u w:val="single"/>
          </w:rPr>
          <w:t>在PNIPAM寡头垄断者合作社崩溃和扩张过程中,以水为中介的氢债券和当地边链相互作用</w:t>
        </w:r>
      </w:hyperlink>
    </w:p>
    <w:p>
      <w:pPr>
        <w:spacing w:before="0" w:after="80"/>
      </w:pPr>
      <w:r>
        <w:rPr>
          <w:i/>
          <w:sz w:val="20"/>
        </w:rPr>
        <w:t>EN: Water-mediated hydrogen bonds and local side-chain interactions in the cooperative collapse and expansion of PNIPAM oligomers</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665">
        <w:r>
          <w:rPr>
            <w:color w:val="1155CC"/>
            <w:u w:val="single"/>
          </w:rPr>
          <w:t>10.1073/pnas.2523755123</w:t>
        </w:r>
      </w:hyperlink>
    </w:p>
    <w:p>
      <w:pPr>
        <w:spacing w:before="0" w:after="120"/>
      </w:pPr>
      <w:r>
        <w:rPr>
          <w:b/>
        </w:rPr>
        <w:t xml:space="preserve">Notes: </w:t>
      </w:r>
      <w:r>
        <w:t>abstract_source=pubmed</w:t>
      </w:r>
    </w:p>
    <w:p>
      <w:pPr>
        <w:spacing w:before="0" w:after="80" w:lineRule="auto" w:line="276"/>
      </w:pPr>
      <w:r>
        <w:rPr>
          <w:b/>
        </w:rPr>
        <w:t xml:space="preserve">摘要（ZH）: </w:t>
      </w:r>
      <w:r>
        <w:t>Poly(N-isoprocylcrylamid)(PNIPAM)是一种热反应性同质聚合物,是调查圆柱到球体转变的既定模式。在这里,我们结合长分子动态模拟(MD)、数据静音和图形理论分析,以阐明分子内和PNIPAM溶液瓶(H-bond)在PNIPAM球球球-油平衡中的作用。我们的分析将压实的驱动力分为两种贡献:因缺水补丁周围水分流失的水分和H-bonded至PNIPAM水的enthphalic稳定。我们发现溶剂在聚合体压实中的作用比以前假设的要活跃和复杂。我们的观察表明,中间之间的直接、链氢联结。</w:t>
      </w:r>
    </w:p>
    <w:p>
      <w:pPr>
        <w:spacing w:before="0" w:after="200" w:lineRule="auto" w:line="276"/>
      </w:pPr>
      <w:r>
        <w:rPr>
          <w:b/>
        </w:rPr>
        <w:t xml:space="preserve">Abstract (EN): </w:t>
      </w:r>
      <w:r>
        <w:t>Poly(N-isopropylacrylamide) (PNIPAM), a thermoresponsive homopolymer, is a well-established model for investigating coil-to-globule transitions. Here, we combine long molecular dynamics (MD) simulations, data sonification, and graph-theory analysis to elucidate the roles of intramolecular and PNIPAM-solvent hydrogen-bond (H-bond) patterns in the PNIPAM globule-coil equilibrium. Our analysis separates the driving forces for compaction into two contributions: the entropic gain from the loss of hydration water around hydrophobic patches and the enthalpic stabilization from water H-bonded to PNIPAM. We find that the role of the solvent in polymer compaction is more active and complex than has been previously assumed. Our observations indicate that direct, intrachain hydrogen bonds between amide groups (N-H···O=C) are not the primary stabilizing force. Instead, the collapsed globule contains an N-H···N network of local side-chain interactions and is stabilized by a dynamic network of persistent, long-distance water bridges, where individual water molecules form hydrogen bonds with multiple parts of the polymer chain.</w:t>
      </w:r>
    </w:p>
    <w:p>
      <w:pPr>
        <w:spacing w:before="120" w:after="120"/>
      </w:pPr>
      <w:r>
        <w:rPr>
          <w:sz w:val="18"/>
        </w:rPr>
        <w:t>——————————————————————————————————————————————————————————————————————</w:t>
      </w:r>
    </w:p>
    <w:p>
      <w:pPr>
        <w:spacing w:before="160" w:after="40" w:line="240" w:lineRule="auto"/>
      </w:pPr>
      <w:r>
        <w:rPr>
          <w:b/>
        </w:rPr>
        <w:t xml:space="preserve">[432] </w:t>
      </w:r>
      <w:hyperlink r:id="rId666">
        <w:r>
          <w:rPr>
            <w:color w:val="1155CC"/>
            <w:u w:val="single"/>
          </w:rPr>
          <w:t>由单模式线性光柱辅助的 光电引发的 femto second 旋翻</w:t>
        </w:r>
      </w:hyperlink>
    </w:p>
    <w:p>
      <w:pPr>
        <w:spacing w:before="0" w:after="80"/>
      </w:pPr>
      <w:r>
        <w:rPr>
          <w:i/>
          <w:sz w:val="20"/>
        </w:rPr>
        <w:t>EN: Photoinduced femtosecond spin-flip assisted by a single-mode linear phonon</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67">
        <w:r>
          <w:rPr>
            <w:color w:val="1155CC"/>
            <w:u w:val="single"/>
          </w:rPr>
          <w:t>10.1126/sciadv.adv9616</w:t>
        </w:r>
      </w:hyperlink>
    </w:p>
    <w:p>
      <w:pPr>
        <w:spacing w:before="0" w:after="120"/>
      </w:pPr>
      <w:r>
        <w:rPr>
          <w:b/>
        </w:rPr>
        <w:t xml:space="preserve">Notes: </w:t>
      </w:r>
      <w:r>
        <w:t>abstract_source=pubmed</w:t>
      </w:r>
    </w:p>
    <w:p>
      <w:pPr>
        <w:spacing w:before="0" w:after="80" w:lineRule="auto" w:line="276"/>
      </w:pPr>
      <w:r>
        <w:rPr>
          <w:b/>
        </w:rPr>
        <w:t xml:space="preserve">摘要（ZH）: </w:t>
      </w:r>
      <w:r>
        <w:t>为了创新下一代电子设备,长期以来一直努力在微秒到femto 秒到femto 秒的时间尺度上对旋翻流进行光学操纵,以创新下一代电子设备。然而,了解超快的旋-电子-电极-电极结合动态仍然具有挑战性,特别是当系统被驱动离平衡很远时。在这里,我们展示了Fe3Gete2中300英尺以内超快的光源驱动旋转翻流的光源。Fe3GeTe2中,这是一个原型的二维流体铁磁铁磁体。 值得注意的是,通过不同的激光宽度,我们确定了三个不同的制度,这些制度是由光源诱发的单一线性光光光光模式(即脱磁化、旋翻转和旋熔化)所形成的。 我们解决了刺激性兴奋性A1gphonons的主导作用,而无硅电占用对于打破旋转的退化至关重要。</w:t>
      </w:r>
    </w:p>
    <w:p>
      <w:pPr>
        <w:spacing w:before="0" w:after="200" w:lineRule="auto" w:line="276"/>
      </w:pPr>
      <w:r>
        <w:rPr>
          <w:b/>
        </w:rPr>
        <w:t xml:space="preserve">Abstract (EN): </w:t>
      </w:r>
      <w:r>
        <w:t>Optical manipulation of spin-flip on a picosecond to femtosecond timescale has long been pursued to innovate next-generation electronic devices. However, understanding the ultrafast spin-electron-lattice coupled dynamics remains challenging, especially when the system is driven far from equilibrium. Here, we demonstrate an ultrafast light-induced spin-flip within 300 fs in Fe3GeTe2, a prototypical two-dimensional itinerant ferromagnet. Notably, by varying the laser fluence, we identify three distinct regimes that emerge assisted by a photoinduced single linear phonon mode, namely demagnetization, spin-flip, and spin-melting. We resolve the dominant role of displacively excited A1g phonons, while nonequilibrium electron occupation is essential to break the degeneracy of the spin up and down states and lower the spin-flip energy barrier. Accompanying the spin-flip, we also observe a sign change of the Berry curvature, implying involvement of nontrivial band topology. Our results provide a general guidance for optical manipulation of spin orders, holding promises for advancing future spintronics and information technology.</w:t>
      </w:r>
    </w:p>
    <w:p>
      <w:pPr>
        <w:spacing w:before="120" w:after="120"/>
      </w:pPr>
      <w:r>
        <w:rPr>
          <w:sz w:val="18"/>
        </w:rPr>
        <w:t>——————————————————————————————————————————————————————————————————————</w:t>
      </w:r>
    </w:p>
    <w:p>
      <w:pPr>
        <w:spacing w:before="160" w:after="40" w:line="240" w:lineRule="auto"/>
      </w:pPr>
      <w:r>
        <w:rPr>
          <w:b/>
        </w:rPr>
        <w:t xml:space="preserve">[433] </w:t>
      </w:r>
      <w:hyperlink r:id="rId668">
        <w:r>
          <w:rPr>
            <w:color w:val="1155CC"/>
            <w:u w:val="single"/>
          </w:rPr>
          <w:t>BNST BNST介质中的应激反应综合症</w:t>
        </w:r>
      </w:hyperlink>
    </w:p>
    <w:p>
      <w:pPr>
        <w:spacing w:before="0" w:after="80"/>
      </w:pPr>
      <w:r>
        <w:rPr>
          <w:i/>
          <w:sz w:val="20"/>
        </w:rPr>
        <w:t>EN: Stress ensemble in the BNST mediates comorbid anxiety and sleep disruption</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69">
        <w:r>
          <w:rPr>
            <w:color w:val="1155CC"/>
            <w:u w:val="single"/>
          </w:rPr>
          <w:t>10.1126/sciadv.adz9546</w:t>
        </w:r>
      </w:hyperlink>
    </w:p>
    <w:p>
      <w:pPr>
        <w:spacing w:before="0" w:after="120"/>
      </w:pPr>
      <w:r>
        <w:rPr>
          <w:b/>
        </w:rPr>
        <w:t xml:space="preserve">Notes: </w:t>
      </w:r>
      <w:r>
        <w:t>abstract_source=pubmed</w:t>
      </w:r>
    </w:p>
    <w:p>
      <w:pPr>
        <w:spacing w:before="0" w:after="80" w:lineRule="auto" w:line="276"/>
      </w:pPr>
      <w:r>
        <w:rPr>
          <w:b/>
        </w:rPr>
        <w:t xml:space="preserve">摘要（ZH）: </w:t>
      </w:r>
      <w:r>
        <w:t>焦虑症和失眠症非常常见;然而,潜在的脑电路机制仍未得到充分探索。在这里,我们发现在螺旋终点站(BNST)床核内存在一种双功能共合体,通过不同的神经电路调节焦虑和失眠行为,具体地说,BNST的一组神经元表现出了针对焦虑信号和在醒觉期间的强化活动。这些共聚神经元的激活加剧了焦虑相似的行为,并减少了慢性抑制力小鼠的不适应性眼部(NREM)睡眠。相反,这些神经元的不活跃会缓解焦虑-类似行为,促进NREM睡眠。此外,神经元神经元的抗焦虑-节能药物在衰减性BNST应激反应聚合性高活性、缓解性(b)</w:t>
      </w:r>
    </w:p>
    <w:p>
      <w:pPr>
        <w:spacing w:before="0" w:after="200" w:lineRule="auto" w:line="276"/>
      </w:pPr>
      <w:r>
        <w:rPr>
          <w:b/>
        </w:rPr>
        <w:t xml:space="preserve">Abstract (EN): </w:t>
      </w:r>
      <w:r>
        <w:t>Anxiety and insomnia are highly comorbid; however, the underlying brain-circuit mechanisms remain inadequately explored. Here, we identify a dual-functional ensemble within the bed nucleus of the stria terminalis (BNST) that modulates both anxiety-like behaviors and insomnia through distinct neural circuits. Specifically, a subset of BNST neurons exhibits enhanced activity in response to anxiety-related cues and during wakefulness. Activation of these ensemble neurons exacerbates anxiety-like behaviors and reduces non-rapid eye movement (NREM) sleep in chronic restraint stress (CRS) mice. Conversely, inactivation of these neurons alleviates anxiety-like behaviors and promotes NREM sleep. In addition, anxiolytic-hypnotic medication attenuates BNST stress ensemble hyperactivity, mitigating both phenotypes. Furthermore, BNST stress ensembles project divergently to the dorsal raphe nucleus (DRN) and the preoptic area (POA): DRN-projecting neurons selectively modulated anxiety, whereas POA-projecting neurons specifically regulated sleep-wake states. These findings suggest that hyperactive BNST stress ensembles are responsible for inducing anxiety-like behaviors and disrupting sleep in CRS mice and achieve the modality specificity through their divergent downstream targets.</w:t>
      </w:r>
    </w:p>
    <w:p>
      <w:pPr>
        <w:spacing w:before="120" w:after="120"/>
      </w:pPr>
      <w:r>
        <w:rPr>
          <w:sz w:val="18"/>
        </w:rPr>
        <w:t>——————————————————————————————————————————————————————————————————————</w:t>
      </w:r>
    </w:p>
    <w:p>
      <w:pPr>
        <w:spacing w:before="160" w:after="40" w:line="240" w:lineRule="auto"/>
      </w:pPr>
      <w:r>
        <w:rPr>
          <w:b/>
        </w:rPr>
        <w:t xml:space="preserve">[434] </w:t>
      </w:r>
      <w:hyperlink r:id="rId670">
        <w:r>
          <w:rPr>
            <w:color w:val="1155CC"/>
            <w:u w:val="single"/>
          </w:rPr>
          <w:t>定向细胞分解诱导原代生物并调节跨组织和物种的神经扩张</w:t>
        </w:r>
      </w:hyperlink>
    </w:p>
    <w:p>
      <w:pPr>
        <w:spacing w:before="0" w:after="80"/>
      </w:pPr>
      <w:r>
        <w:rPr>
          <w:i/>
          <w:sz w:val="20"/>
        </w:rPr>
        <w:t>EN: Oriented cell divisions induce basal progenitors and regulate neural expansion across tissues and species</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71">
        <w:r>
          <w:rPr>
            <w:color w:val="1155CC"/>
            <w:u w:val="single"/>
          </w:rPr>
          <w:t>10.1126/sciadv.adz6827</w:t>
        </w:r>
      </w:hyperlink>
    </w:p>
    <w:p>
      <w:pPr>
        <w:spacing w:before="0" w:after="120"/>
      </w:pPr>
      <w:r>
        <w:rPr>
          <w:b/>
        </w:rPr>
        <w:t xml:space="preserve">Notes: </w:t>
      </w:r>
      <w:r>
        <w:t>abstract_source=pubmed</w:t>
      </w:r>
    </w:p>
    <w:p>
      <w:pPr>
        <w:spacing w:before="0" w:after="80" w:lineRule="auto" w:line="276"/>
      </w:pPr>
      <w:r>
        <w:rPr>
          <w:b/>
        </w:rPr>
        <w:t xml:space="preserve">摘要（ZH）: </w:t>
      </w:r>
      <w:r>
        <w:t>神经系统扩张依赖于子子子扩散,然而,其区域和进化监管却不完全被理解。虽然对子子子子子的分解与新园动物生长有关,但其发育起源和皮层以外的相关性仍然不明确。我们在这里表明,小鼠脊椎定向调节器GPM2和SAPCD2的双活性定位GPM2和SAPCD2在新皮层和视网膜中完全重新调整了新皮层和视网膜中的生殖器分解。这一转变增加了新皮层六倍以上的巴萨生殖器,并诱使视网膜中出现叶子,导致细胞层外增加,组织扩大~30%。 单细胞RNA测序显示,皮层导导导的巴萨生殖器类似于人类外的半辐射基因,以及皮质和再生细胞显示。</w:t>
      </w:r>
    </w:p>
    <w:p>
      <w:pPr>
        <w:spacing w:before="0" w:after="200" w:lineRule="auto" w:line="276"/>
      </w:pPr>
      <w:r>
        <w:rPr>
          <w:b/>
        </w:rPr>
        <w:t xml:space="preserve">Abstract (EN): </w:t>
      </w:r>
      <w:r>
        <w:t>Nervous system expansion relies on progenitor proliferation, yet its regional and evolutionary regulation is incompletely understood. While basally dividing progenitors are implicated in neocortical growth, their developmental origins and relevance beyond the cortex remain unclear. We show here that double inactivation of spindle orientation regulators GPSM2 and SAPCD2 in mice completely reorients progenitor divisions in both the neocortex and retina. This shift increases basal progenitors over sixfold in the neocortex and induces their ectopic emergence in the retina, resulting in extra cell layers and ~30% tissue enlargement. Single-cell RNA sequencing reveals that the induced basal progenitors in the cortex resemble human outer radial glia, and both cortical and retinal progenitors show altered Hippo signaling. Last, macaque and human retinas display twice as many reoriented divisions as the mouse and naturally contain basal progenitors. These findings show that division orientation is critical for regulating neural progenitor output and scaling tissue growth.</w:t>
      </w:r>
    </w:p>
    <w:p>
      <w:pPr>
        <w:spacing w:before="120" w:after="120"/>
      </w:pPr>
      <w:r>
        <w:rPr>
          <w:sz w:val="18"/>
        </w:rPr>
        <w:t>——————————————————————————————————————————————————————————————————————</w:t>
      </w:r>
    </w:p>
    <w:p>
      <w:pPr>
        <w:spacing w:before="160" w:after="40" w:line="240" w:lineRule="auto"/>
      </w:pPr>
      <w:r>
        <w:rPr>
          <w:b/>
        </w:rPr>
        <w:t xml:space="preserve">[435] </w:t>
      </w:r>
      <w:hyperlink r:id="rId672">
        <w:r>
          <w:rPr>
            <w:color w:val="1155CC"/>
            <w:u w:val="single"/>
          </w:rPr>
          <w:t>月月历表模型,长长6远处样本,对早期撞击历史的影响</w:t>
        </w:r>
      </w:hyperlink>
    </w:p>
    <w:p>
      <w:pPr>
        <w:spacing w:before="0" w:after="80"/>
      </w:pPr>
      <w:r>
        <w:rPr>
          <w:i/>
          <w:sz w:val="20"/>
        </w:rPr>
        <w:t>EN: Lunar chronology model with the Chang’e-6 farside samples and implications for the early impact history</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73">
        <w:r>
          <w:rPr>
            <w:color w:val="1155CC"/>
            <w:u w:val="single"/>
          </w:rPr>
          <w:t>10.1126/sciadv.ady9265</w:t>
        </w:r>
      </w:hyperlink>
    </w:p>
    <w:p>
      <w:pPr>
        <w:spacing w:before="0" w:after="120"/>
      </w:pPr>
      <w:r>
        <w:rPr>
          <w:b/>
        </w:rPr>
        <w:t xml:space="preserve">Notes: </w:t>
      </w:r>
      <w:r>
        <w:t>abstract_source=pubmed</w:t>
      </w:r>
    </w:p>
    <w:p>
      <w:pPr>
        <w:spacing w:before="0" w:after="80" w:lineRule="auto" w:line="276"/>
      </w:pPr>
      <w:r>
        <w:rPr>
          <w:b/>
        </w:rPr>
        <w:t xml:space="preserve">摘要（ZH）: </w:t>
      </w:r>
      <w:r>
        <w:t>返回的样品的辐射测量年龄是月球弹射时钟模型的基石,然而,以前的所有样品都来自近边的月球,与特定表面有关的样品的辐射测定年龄为&lt;40亿年;2024年6月25日,昌江-6成功地从远边的月球上返回了1.935公斤的样品;样品包括年龄为2 807 300万年的当地玄武岩和可能与南极-爱特肯盆地年龄相应的4 247 500万年的诺尔人。我们利用这些辐射测定年龄,改进了月球时钟功能,并核实它仍然与指数下降和线性速度相结合。我们进一步测算了撞击率并发现了它的存在。</w:t>
      </w:r>
    </w:p>
    <w:p>
      <w:pPr>
        <w:spacing w:before="0" w:after="200" w:lineRule="auto" w:line="276"/>
      </w:pPr>
      <w:r>
        <w:rPr>
          <w:b/>
        </w:rPr>
        <w:t xml:space="preserve">Abstract (EN): </w:t>
      </w:r>
      <w:r>
        <w:t>The radiometric ages of the returned samples are the cornerstone of lunar cratering chronology models. However, all the previous samples were from the lunar nearside and the radiometric ages of those samples that can be associated with particular surfaces are &lt;4.0 billion years. On 25 June 2024, Chang'e-6 successfully returned 1.935-kilogram samples from the lunar farside. The samples included local basalts with an age of 2807 ± 3 million years and the norites with an age of 4247 ± 5 million years likely corresponding to the age of the South Pole-Aitken basin. With these radiometric ages, we refined the lunar chronology function (CF) and verified that it is still consistent with a combination of an exponential decrease and a linear rate. We further derived the impacting rate and found it supports a smooth decay instead of abrupt changes of the impactor flux at early times. The refined lunar CF can be used to obtain more reliable ages for unsampled lunar areas and provide critical constraint for the lunar early impact history.</w:t>
      </w:r>
    </w:p>
    <w:p>
      <w:pPr>
        <w:spacing w:before="120" w:after="120"/>
      </w:pPr>
      <w:r>
        <w:rPr>
          <w:sz w:val="18"/>
        </w:rPr>
        <w:t>——————————————————————————————————————————————————————————————————————</w:t>
      </w:r>
    </w:p>
    <w:p>
      <w:pPr>
        <w:spacing w:before="160" w:after="40" w:line="240" w:lineRule="auto"/>
      </w:pPr>
      <w:r>
        <w:rPr>
          <w:b/>
        </w:rPr>
        <w:t xml:space="preserve">[436] </w:t>
      </w:r>
      <w:hyperlink r:id="rId674">
        <w:r>
          <w:rPr>
            <w:color w:val="1155CC"/>
            <w:u w:val="single"/>
          </w:rPr>
          <w:t>毗邻美国的野火烟雾PP2.5和死亡率:因果建模研究</w:t>
        </w:r>
      </w:hyperlink>
    </w:p>
    <w:p>
      <w:pPr>
        <w:spacing w:before="0" w:after="80"/>
      </w:pPr>
      <w:r>
        <w:rPr>
          <w:i/>
          <w:sz w:val="20"/>
        </w:rPr>
        <w:t>EN: Wildfire smoke PM2.5 and mortality rate in the contiguous United States: A causal modeling study</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75">
        <w:r>
          <w:rPr>
            <w:color w:val="1155CC"/>
            <w:u w:val="single"/>
          </w:rPr>
          <w:t>10.1126/sciadv.adw5890</w:t>
        </w:r>
      </w:hyperlink>
    </w:p>
    <w:p>
      <w:pPr>
        <w:spacing w:before="0" w:after="120"/>
      </w:pPr>
      <w:r>
        <w:rPr>
          <w:b/>
        </w:rPr>
        <w:t xml:space="preserve">Notes: </w:t>
      </w:r>
      <w:r>
        <w:t>abstract_source=pubmed</w:t>
      </w:r>
    </w:p>
    <w:p>
      <w:pPr>
        <w:spacing w:before="0" w:after="80" w:lineRule="auto" w:line="276"/>
      </w:pPr>
      <w:r>
        <w:rPr>
          <w:b/>
        </w:rPr>
        <w:t xml:space="preserve">摘要（ZH）: </w:t>
      </w:r>
      <w:r>
        <w:t>长期接触野火烟雾PP2.5(含有空气动力直径为2.5微米的片状物质)与死亡率之间的关系仍然不甚为人们所理解,因果证据尤其稀少。 在这项生态研究中,我们采用了一种双倍有力的方法,采用灵活通用的倾向性分分分估计方法,该方法收集了混淆者之间潜在的非线性和相互作用,并放宽了接触分布表假设,以估计2006年至2020年期间每年接触野火烟烟雾PP2.5(具有空气动力直径为2.5微米的片状物质)对毗连的美国境内所有原因和特定原因死亡率的影响。 我们发现,野火烟PP2.5与所有研究结果的死亡率上升有关,但交通事故或坠落造成的死亡除外。</w:t>
      </w:r>
    </w:p>
    <w:p>
      <w:pPr>
        <w:spacing w:before="0" w:after="200" w:lineRule="auto" w:line="276"/>
      </w:pPr>
      <w:r>
        <w:rPr>
          <w:b/>
        </w:rPr>
        <w:t xml:space="preserve">Abstract (EN): </w:t>
      </w:r>
      <w:r>
        <w:t>The relationships between chronic exposure to wildfire smoke PM2.5 (particulate matter with aerodynamic diameter of ≤2.5 μm) and mortality remain poorly understood, with causal evidence being particularly scarce. In this ecological study, we used a doubly robust method, incorporating flexible generalized propensity score estimation that captured potential nonlinearity and interactions among confounders and relaxed the distribution form assumption for exposure, to estimate the effects of annual exposure to wildfire smoke PM2.5 on all-cause and cause-specific mortality in the contiguous United States from 2006 to 2020. We found that wildfire smoke PM2.5 was associated with increased mortality rate for all studied outcomes, except for deaths from transport accidents or falls, which served as negative outcome controls. Wildfire smoke PM2.5 was responsible for ~24,100 all-cause deaths per year in the contiguous United States. The exposure-response curve for all-cause mortality increased monotonically, with no evidence of a "safe" threshold. Among the six cause-specific outcomes, mortality from neurological disease showed the greatest increase per 0.1 μg/m3 increase in smoke PM2.5 exposure. Our study provided robust evidence for the chronic effect of wildfire smoke PM2.5 on mortality, underscoring the urgent need for targeted measures to mitigate the substantial and escalating burden of wildfires.</w:t>
      </w:r>
    </w:p>
    <w:p>
      <w:pPr>
        <w:spacing w:before="120" w:after="120"/>
      </w:pPr>
      <w:r>
        <w:rPr>
          <w:sz w:val="18"/>
        </w:rPr>
        <w:t>——————————————————————————————————————————————————————————————————————</w:t>
      </w:r>
    </w:p>
    <w:p>
      <w:pPr>
        <w:spacing w:before="160" w:after="40" w:line="240" w:lineRule="auto"/>
      </w:pPr>
      <w:r>
        <w:rPr>
          <w:b/>
        </w:rPr>
        <w:t xml:space="preserve">[437] </w:t>
      </w:r>
      <w:hyperlink r:id="rId676">
        <w:r>
          <w:rPr>
            <w:color w:val="1155CC"/>
            <w:u w:val="single"/>
          </w:rPr>
          <w:t>社区黑人人口变化时学校纪律差异加大</w:t>
        </w:r>
      </w:hyperlink>
    </w:p>
    <w:p>
      <w:pPr>
        <w:spacing w:before="0" w:after="80"/>
      </w:pPr>
      <w:r>
        <w:rPr>
          <w:i/>
          <w:sz w:val="20"/>
        </w:rPr>
        <w:t>EN: School discipline disparities increase when neighborhood Black population changes</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77">
        <w:r>
          <w:rPr>
            <w:color w:val="1155CC"/>
            <w:u w:val="single"/>
          </w:rPr>
          <w:t>10.1126/sciadv.ady4239</w:t>
        </w:r>
      </w:hyperlink>
    </w:p>
    <w:p>
      <w:pPr>
        <w:spacing w:before="0" w:after="120"/>
      </w:pPr>
      <w:r>
        <w:rPr>
          <w:b/>
        </w:rPr>
        <w:t xml:space="preserve">Notes: </w:t>
      </w:r>
      <w:r>
        <w:t>abstract_source=pubmed</w:t>
      </w:r>
    </w:p>
    <w:p>
      <w:pPr>
        <w:spacing w:before="0" w:after="80" w:lineRule="auto" w:line="276"/>
      </w:pPr>
      <w:r>
        <w:rPr>
          <w:b/>
        </w:rPr>
        <w:t xml:space="preserve">摘要（ZH）: </w:t>
      </w:r>
      <w:r>
        <w:t>在过去的十年中,美国周边的种族景观发生了巨大的变化,提出了如何在本地学校中反映这些变化的问题。 这项研究将学校区的形状档案与人口普查和公民权利数据库数据结合起来,以探讨黑人人口的种族变化是否预测了2010年至2018年黑人-白人学校暂停教育差异的变化。 我们发现,暂停教育中的种族差异有所扩大,特别是在黑人人口发生重大变化的街区。 这些增长在黑人人口变化的郊区和农村地区尤为明显,黑人人口在流动,所有以白人为主的居民区尤为明显。 尽管学校纪律改革旨在减少种族差异,但只有在某些类型的邻居中才有所下降。</w:t>
      </w:r>
    </w:p>
    <w:p>
      <w:pPr>
        <w:spacing w:before="0" w:after="200" w:lineRule="auto" w:line="276"/>
      </w:pPr>
      <w:r>
        <w:rPr>
          <w:b/>
        </w:rPr>
        <w:t xml:space="preserve">Abstract (EN): </w:t>
      </w:r>
      <w:r>
        <w:t>The racial landscape of US neighborhoods shifted tremendously over the past decade, raising questions about how these changes are reflected in local schools. This study combines school zone shapefiles with census and Civil Rights Database data to explore whether neighborhood racial change in Black populations predicts changes in Black-white school suspension disparities from 2010 to 2018. We find that racial disparities in suspensions increased, particularly in neighborhoods experiencing substantial shifts in Black populations. These increases were especially pronounced in suburban and rural areas with shifting Black populations and all predominantly White neighborhoods. Although school discipline reforms aimed to reduce racial disparities, they only declined in certain types of neighborhoods, most notably in urban areas. Our findings advance insights into processes of school and neighborhood change, school discipline, and racial stratification, with broad policy implications.</w:t>
      </w:r>
    </w:p>
    <w:p>
      <w:pPr>
        <w:spacing w:before="120" w:after="120"/>
      </w:pPr>
      <w:r>
        <w:rPr>
          <w:sz w:val="18"/>
        </w:rPr>
        <w:t>——————————————————————————————————————————————————————————————————————</w:t>
      </w:r>
    </w:p>
    <w:p>
      <w:pPr>
        <w:spacing w:before="160" w:after="40" w:line="240" w:lineRule="auto"/>
      </w:pPr>
      <w:r>
        <w:rPr>
          <w:b/>
        </w:rPr>
        <w:t xml:space="preserve">[438] </w:t>
      </w:r>
      <w:hyperlink r:id="rId678">
        <w:r>
          <w:rPr>
            <w:color w:val="1155CC"/>
            <w:u w:val="single"/>
          </w:rPr>
          <w:t>由于小鼠卵细胞中的 Cohessin 保护错误导致女性混合不育</w:t>
        </w:r>
      </w:hyperlink>
    </w:p>
    <w:p>
      <w:pPr>
        <w:spacing w:before="0" w:after="80"/>
      </w:pPr>
      <w:r>
        <w:rPr>
          <w:i/>
          <w:sz w:val="20"/>
        </w:rPr>
        <w:t>EN: Hybrid female sterility due to cohesin protection errors in mouse oocytes</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79">
        <w:r>
          <w:rPr>
            <w:color w:val="1155CC"/>
            <w:u w:val="single"/>
          </w:rPr>
          <w:t>10.1126/sciadv.adx9729</w:t>
        </w:r>
      </w:hyperlink>
    </w:p>
    <w:p>
      <w:pPr>
        <w:spacing w:before="0" w:after="120"/>
      </w:pPr>
      <w:r>
        <w:rPr>
          <w:b/>
        </w:rPr>
        <w:t xml:space="preserve">Notes: </w:t>
      </w:r>
      <w:r>
        <w:t>abstract_source=pubmed</w:t>
      </w:r>
    </w:p>
    <w:p>
      <w:pPr>
        <w:spacing w:before="0" w:after="80" w:lineRule="auto" w:line="276"/>
      </w:pPr>
      <w:r>
        <w:rPr>
          <w:b/>
        </w:rPr>
        <w:t xml:space="preserve">摘要（ZH）: </w:t>
      </w:r>
      <w:r>
        <w:t>F1混合体的不相容性可能导致F1混合体的致命性和不育性,促进分化。混合不相容的细胞生物基础仍然基本上不为人知,特别是在哺乳动物中。我们在这里发现,Mus musculus homenus和Mus spicilegus 老鼠之间的雌性混合体由于在卵细胞中未进行同色染色分离,产生中微粒蛋,因此没有消毒。这种不相容的苯型是由Cohesin保护器SGO2沿着染色体武器定位错误所驱动的,而不是其典型的中子浓缩,从而导致内分泌过度保护。上游的血细胞BUB1显示,在混合卵细胞中活动增加,解释了SGO2目标错误。在与可行的混合老鼠一致的松动中未观察到更大的BUB1活动。</w:t>
      </w:r>
    </w:p>
    <w:p>
      <w:pPr>
        <w:spacing w:before="0" w:after="200" w:lineRule="auto" w:line="276"/>
      </w:pPr>
      <w:r>
        <w:rPr>
          <w:b/>
        </w:rPr>
        <w:t xml:space="preserve">Abstract (EN): </w:t>
      </w:r>
      <w:r>
        <w:t>Hybrid incompatibility can lead to lethality and sterility of F1 hybrids, promoting speciation. The cell biological basis underlying hybrid incompatibility remains largely unknown, especially in mammals. Here, we found that female hybrids between Mus musculus domesticus and Mus spicilegus mice are sterile due to the failure of homologous-chromosome separation in oocyte meiosis, producing aneuploid eggs. This nondisjunction phenotype was driven by the mislocalization of the cohesin protector, SGO2, along the chromosome arms instead of its typical centromeric enrichment, resulting in cohesin overprotection. The upstream kinase, BUB1, showed a higher activity in hybrid oocytes, explaining SGO2 mistargeting. Higher BUB1 activity was not observed in mitosis, consistent with viable hybrid mice. Cohesion defects were also evident in hybrid mice from another genus, Peromyscus, wherein cohesin protection is weakened. Defective cohesion in oocytes is a leading cause of reduced fertility. Our work provides evidence that a major cause of human infertility may play a positive role in mammalian speciation.</w:t>
      </w:r>
    </w:p>
    <w:p>
      <w:pPr>
        <w:spacing w:before="120" w:after="120"/>
      </w:pPr>
      <w:r>
        <w:rPr>
          <w:sz w:val="18"/>
        </w:rPr>
        <w:t>——————————————————————————————————————————————————————————————————————</w:t>
      </w:r>
    </w:p>
    <w:p>
      <w:pPr>
        <w:spacing w:before="160" w:after="40" w:line="240" w:lineRule="auto"/>
      </w:pPr>
      <w:r>
        <w:rPr>
          <w:b/>
        </w:rPr>
        <w:t xml:space="preserve">[439] </w:t>
      </w:r>
      <w:hyperlink r:id="rId680">
        <w:r>
          <w:rPr>
            <w:color w:val="1155CC"/>
            <w:u w:val="single"/>
          </w:rPr>
          <w:t>美国在行为措施方面的种族和族裔差距与美国的性别差距相对应。</w:t>
        </w:r>
      </w:hyperlink>
    </w:p>
    <w:p>
      <w:pPr>
        <w:spacing w:before="0" w:after="80"/>
      </w:pPr>
      <w:r>
        <w:rPr>
          <w:i/>
          <w:sz w:val="20"/>
        </w:rPr>
        <w:t>EN: The racial and ethnic gap in behavioral measures rivals the gender gap in the United States</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681">
        <w:r>
          <w:rPr>
            <w:color w:val="1155CC"/>
            <w:u w:val="single"/>
          </w:rPr>
          <w:t>10.1073/pnas.2527671123</w:t>
        </w:r>
      </w:hyperlink>
    </w:p>
    <w:p>
      <w:pPr>
        <w:spacing w:before="0" w:after="120"/>
      </w:pPr>
      <w:r>
        <w:rPr>
          <w:b/>
        </w:rPr>
        <w:t xml:space="preserve">Notes: </w:t>
      </w:r>
      <w:r>
        <w:t>abstract_source=pubmed</w:t>
      </w:r>
    </w:p>
    <w:p>
      <w:pPr>
        <w:spacing w:before="0" w:after="80" w:lineRule="auto" w:line="276"/>
      </w:pPr>
      <w:r>
        <w:rPr>
          <w:b/>
        </w:rPr>
        <w:t xml:space="preserve">摘要（ZH）: </w:t>
      </w:r>
      <w:r>
        <w:t>人们批评行为研究依赖人口狭小的WEIRD样本 — — 西方、教育、工业化、富有和民主。 虽然最近的工作已经扩大到探索跨国行为差异,但国内差异研究主要侧重于性别,忽视种族和族裔,以至于WEIRD中的“W”可能也支持“白色 ” 。 我们用激励性任务和大量美国成年人分层抽样来记录在竞争力和风险容忍方面的巨大种族和族裔差距,这两种差距都得到了广泛研究:(非西班牙裔)白人比黑人和西班牙裔白人竞争较少,风险容忍度更高。 这些差距与我们抽样中相应的性别差距相当。</w:t>
      </w:r>
    </w:p>
    <w:p>
      <w:pPr>
        <w:spacing w:before="0" w:after="200" w:lineRule="auto" w:line="276"/>
      </w:pPr>
      <w:r>
        <w:rPr>
          <w:b/>
        </w:rPr>
        <w:t xml:space="preserve">Abstract (EN): </w:t>
      </w:r>
      <w:r>
        <w:t>Behavioral research has been criticized for relying on demographically narrow WEIRD samples-Western, Educated, Industrialized, Rich, and Democratic. While recent work has expanded to explore cross-country behavioral differences, the study of within-country variation has largely focused on gender, ignoring race and ethnicity-so much so that the "W" in WEIRD might as well stand for "White." Using incentivized tasks and a large, stratified sample of U.S. adults, we document substantial racial and ethnic gaps in competitiveness and risk tolerance both of which are widely studied behavioral measures: (non-Hispanic) Whites are less competitive and more risk tolerant than Blacks and Hispanics. These gaps are comparable in magnitude to the corresponding gender gaps in our sample. Notably, gender differences do not generalize across racial and ethnic groups: Whereas Whites and Hispanics exhibit gender gaps in competitiveness and risk tolerance, Black women neither shy away from competition nor are they less risk tolerant than Black men. These findings challenge prevailing generalizations in the literature and underscore the importance of examining race and ethnicity in behavioral research.</w:t>
      </w:r>
    </w:p>
    <w:p>
      <w:pPr>
        <w:spacing w:before="120" w:after="120"/>
      </w:pPr>
      <w:r>
        <w:rPr>
          <w:sz w:val="18"/>
        </w:rPr>
        <w:t>——————————————————————————————————————————————————————————————————————</w:t>
      </w:r>
    </w:p>
    <w:p>
      <w:pPr>
        <w:spacing w:before="160" w:after="40" w:line="240" w:lineRule="auto"/>
      </w:pPr>
      <w:r>
        <w:rPr>
          <w:b/>
        </w:rPr>
        <w:t xml:space="preserve">[440] </w:t>
      </w:r>
      <w:hyperlink r:id="rId682">
        <w:r>
          <w:rPr>
            <w:color w:val="1155CC"/>
            <w:u w:val="single"/>
          </w:rPr>
          <w:t>伤害引起的电化学结合触发器官生长</w:t>
        </w:r>
      </w:hyperlink>
    </w:p>
    <w:p>
      <w:pPr>
        <w:spacing w:before="0" w:after="80"/>
      </w:pPr>
      <w:r>
        <w:rPr>
          <w:i/>
          <w:sz w:val="20"/>
        </w:rPr>
        <w:t>EN: Injury-induced electrochemical coupling triggers organ growth</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83">
        <w:r>
          <w:rPr>
            <w:color w:val="1155CC"/>
            <w:u w:val="single"/>
          </w:rPr>
          <w:t>10.1126/sciadv.aec0687</w:t>
        </w:r>
      </w:hyperlink>
    </w:p>
    <w:p>
      <w:pPr>
        <w:spacing w:before="0" w:after="120"/>
      </w:pPr>
      <w:r>
        <w:rPr>
          <w:b/>
        </w:rPr>
        <w:t xml:space="preserve">Notes: </w:t>
      </w:r>
      <w:r>
        <w:t>abstract_source=pubmed</w:t>
      </w:r>
    </w:p>
    <w:p>
      <w:pPr>
        <w:spacing w:before="0" w:after="80" w:lineRule="auto" w:line="276"/>
      </w:pPr>
      <w:r>
        <w:rPr>
          <w:b/>
        </w:rPr>
        <w:t xml:space="preserve">摘要（ZH）: </w:t>
      </w:r>
      <w:r>
        <w:t>器官伤害触发了非中中子电动电流,这是再生的关键。然而,产生、感应和在损坏时传送电信号以促进器官生长的机制仍然不明确。在这里,我们发现器官修复依赖于膜潜在分流和细胞内信号之间的动态电化学联动,这是激活细胞扩散必不可少的。通过当地受伤的斑马鱼幼鳍的二分之二活成像,我们辨别了跨时间和空间的事件:一毫秒、长程、膜脱极梯度,随后是细胞内二次持久性的钙反应。在接下来的一小时,电压感测磷酶感应了受伤害驱动的膜潜在变化,并自主翻译了电信号i。</w:t>
      </w:r>
    </w:p>
    <w:p>
      <w:pPr>
        <w:spacing w:before="0" w:after="200" w:lineRule="auto" w:line="276"/>
      </w:pPr>
      <w:r>
        <w:rPr>
          <w:b/>
        </w:rPr>
        <w:t xml:space="preserve">Abstract (EN): </w:t>
      </w:r>
      <w:r>
        <w:t>Organ injury triggers nonneuronal electric currents essential for regeneration. However, the mechanisms by which electrical signals are generated, sensed, and transmitted upon damage to promote organ growth remain unclear. Here, we uncover that organ repair relies on dynamic electrochemical coupling between membrane potential depolarization and intracellular signaling, essential to activate cell proliferation. By subsecond live imaging of locally injured zebrafish larval fins, we identify events across time and space: a millisecond, long-range, membrane depolarization gradient, followed by second-persistent intracellular calcium responses. In the subsequent hour, voltage sensing phosphatase senses the injury-driven membrane potential change and autonomously translates the electric signal intracellularly, promoting tissue-wide cell proliferation. Connecting these dynamics with an electrodiffusive model showed that ionic fluxes and electric potential become coupled in the fin's interstitial space, enabling organ-wide signal spreading. Our work reveals the coupling between fast electrical signals and slower intracellular signaling, ensuring complete organ recovery.</w:t>
      </w:r>
    </w:p>
    <w:p>
      <w:pPr>
        <w:spacing w:before="120" w:after="120"/>
      </w:pPr>
      <w:r>
        <w:rPr>
          <w:sz w:val="18"/>
        </w:rPr>
        <w:t>——————————————————————————————————————————————————————————————————————</w:t>
      </w:r>
    </w:p>
    <w:p>
      <w:pPr>
        <w:spacing w:before="160" w:after="40" w:line="240" w:lineRule="auto"/>
      </w:pPr>
      <w:r>
        <w:rPr>
          <w:b/>
        </w:rPr>
        <w:t xml:space="preserve">[441] </w:t>
      </w:r>
      <w:hyperlink r:id="rId684">
        <w:r>
          <w:rPr>
            <w:color w:val="1155CC"/>
            <w:u w:val="single"/>
          </w:rPr>
          <w:t>TiO2纳米立方体上的纳米胶片,用于通用质谱成像</w:t>
        </w:r>
      </w:hyperlink>
    </w:p>
    <w:p>
      <w:pPr>
        <w:spacing w:before="0" w:after="80"/>
      </w:pPr>
      <w:r>
        <w:rPr>
          <w:i/>
          <w:sz w:val="20"/>
        </w:rPr>
        <w:t>EN: Interface-engineered plasmonic covalent organic framework nanofilms on TiO2 nanotubes for universal mass spectrometry imaging</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85">
        <w:r>
          <w:rPr>
            <w:color w:val="1155CC"/>
            <w:u w:val="single"/>
          </w:rPr>
          <w:t>10.1126/sciadv.adx8264</w:t>
        </w:r>
      </w:hyperlink>
    </w:p>
    <w:p>
      <w:pPr>
        <w:spacing w:before="0" w:after="120"/>
      </w:pPr>
      <w:r>
        <w:rPr>
          <w:b/>
        </w:rPr>
        <w:t xml:space="preserve">Notes: </w:t>
      </w:r>
      <w:r>
        <w:t>abstract_source=pubmed</w:t>
      </w:r>
    </w:p>
    <w:p>
      <w:pPr>
        <w:spacing w:before="0" w:after="80" w:lineRule="auto" w:line="276"/>
      </w:pPr>
      <w:r>
        <w:rPr>
          <w:b/>
        </w:rPr>
        <w:t xml:space="preserve">摘要（ZH）: </w:t>
      </w:r>
      <w:r>
        <w:t>共价有机框架(COFs)具有地表辅助激光解吸/离子质谱成像(MSI)的希望,然而,它们与质子纳米结构化平台的整合仍未被探索。在这里,我们报告了一项液液液内液间合成自组式战略,用于在二氧化纳米管上建造颗粒式金纳米粒子装饰的COF纳米薄膜。这种等级设计同步了质子增强、高效电荷转移和提高离子化效率,实现了对常规基质的敏感度改进。 质谱平台提供了与现有生物抽样准备协议的普遍兼容性, 包括印刷、印章和多质MSI的冷冻切。</w:t>
      </w:r>
    </w:p>
    <w:p>
      <w:pPr>
        <w:spacing w:before="0" w:after="200" w:lineRule="auto" w:line="276"/>
      </w:pPr>
      <w:r>
        <w:rPr>
          <w:b/>
        </w:rPr>
        <w:t xml:space="preserve">Abstract (EN): </w:t>
      </w:r>
      <w:r>
        <w:t>Covalent organic frameworks (COFs) hold promise for surface-assisted laser desorption/ionization mass spectrometry imaging (MSI), yet their integration with plasmonic nanostructured platforms remains unexplored. Here, we report a liquid-liquid interfacial self-assembly strategy to construct plasmonic gold nanoparticle-decorated COF nanofilms on titanium dioxide nanotubes. This hierarchical design synergizes plasmonic enhancement, efficient charge transfer, and enhanced ionization efficiency, achieving sensitivity improvement over conventional matrices. The plasmonic platform affords universal compatibility with currently available biosample preparation protocols including imprinting, stamping, and cryo-sectioning for multitissue MSI. The first whole-plant imprinting MSI of Vigna unguiculata reveals tissue-specific distributions of three pollutants with distinct translocation rate and endogenous metabolites. In addition, 10-micrometer resolution lipid mapping was achieved in stamped fingerprints and cryo-sectioned murine brains. Moreover, we successfully visualized ischemic stroke biomarkers in rat brains for interrogating the pathogenesis of focal ischemia. Our findings highlight the advantages of plasmonic COF nanofilms on titanium dioxide nanoarrays for universal matrix-free MSI in complex biological systems, bridging advanced materials and life science applications.</w:t>
      </w:r>
    </w:p>
    <w:p>
      <w:pPr>
        <w:spacing w:before="120" w:after="120"/>
      </w:pPr>
      <w:r>
        <w:rPr>
          <w:sz w:val="18"/>
        </w:rPr>
        <w:t>——————————————————————————————————————————————————————————————————————</w:t>
      </w:r>
    </w:p>
    <w:p>
      <w:pPr>
        <w:spacing w:before="160" w:after="40" w:line="240" w:lineRule="auto"/>
      </w:pPr>
      <w:r>
        <w:rPr>
          <w:b/>
        </w:rPr>
        <w:t xml:space="preserve">[442] </w:t>
      </w:r>
      <w:hyperlink r:id="rId686">
        <w:r>
          <w:rPr>
            <w:color w:val="1155CC"/>
            <w:u w:val="single"/>
          </w:rPr>
          <w:t>人类GLP1R A316T变异体的功能特征分析和结构定性</w:t>
        </w:r>
      </w:hyperlink>
    </w:p>
    <w:p>
      <w:pPr>
        <w:spacing w:before="0" w:after="80"/>
      </w:pPr>
      <w:r>
        <w:rPr>
          <w:i/>
          <w:sz w:val="20"/>
        </w:rPr>
        <w:t>EN: In vivo functional profiling and structural characterization of the human GLP1R A316T variant</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87">
        <w:r>
          <w:rPr>
            <w:color w:val="1155CC"/>
            <w:u w:val="single"/>
          </w:rPr>
          <w:t>10.1126/sciadv.adw0899</w:t>
        </w:r>
      </w:hyperlink>
    </w:p>
    <w:p>
      <w:pPr>
        <w:spacing w:before="0" w:after="120"/>
      </w:pPr>
      <w:r>
        <w:rPr>
          <w:b/>
        </w:rPr>
        <w:t xml:space="preserve">Notes: </w:t>
      </w:r>
      <w:r>
        <w:t>abstract_source=pubmed</w:t>
      </w:r>
    </w:p>
    <w:p>
      <w:pPr>
        <w:spacing w:before="0" w:after="80" w:lineRule="auto" w:line="276"/>
      </w:pPr>
      <w:r>
        <w:rPr>
          <w:b/>
        </w:rPr>
        <w:t xml:space="preserve">摘要（ZH）: </w:t>
      </w:r>
      <w:r>
        <w:t>Glucagon 类似peptide-1 受体激动剂(GLP-1RAs)是治疗2型糖尿病(T2D)和肥胖的有效疗法,但病人的反应却各不相同,GLP1R基因变异可能与治疗结果有关。GLP1R 自然失常变异、A316T, 防止T2D和心血管疾病。在这里,我们产生并定性了人类GLP1R A316T鼠模型。人类GLPP1RA316T/A316T小鼠在新陈代谢压力下也表现出较慢的节食性血甘蔗糖和野生型垃圾,在异体细胞结构化、葡萄素分泌和肝代谢的高脂肪和高糖分泌酶饮食下体重增减慢和变异。然而,这与对活体中GLP-1RAs的钝化反应有关。对β细胞模型的进一步调查显示,对β细胞模型进行了进一步调查。</w:t>
      </w:r>
    </w:p>
    <w:p>
      <w:pPr>
        <w:spacing w:before="0" w:after="200" w:lineRule="auto" w:line="276"/>
      </w:pPr>
      <w:r>
        <w:rPr>
          <w:b/>
        </w:rPr>
        <w:t xml:space="preserve">Abstract (EN): </w:t>
      </w:r>
      <w:r>
        <w:t>Glucagon-like peptide-1 receptor agonists (GLP-1RAs) are effective therapies for type 2 diabetes (T2D) and obesity, yet patient responses are variable, with GLP1R gene variation potentially linked to therapeutic outcomes. A GLP1R natural missense variant, A316T, protects against T2D and cardiovascular disease. Here, we generated and characterized a human GLP1R A316T mouse model. Human GLP1RA316T/A316T mice displayed lower fasting blood glucose versus wild-type littermates even under metabolic stress, as well as slower weight gain and alterations in islet cytoarchitecture, glucagon secretion, and liver metabolism under a high-fat, high-sucrose diet. This was however associated with blunted responses to pharmacological GLP-1RAs in vivo. Further investigations in β cell models demonstrated that human GLP1R A316T exhibits characteristics of constitutive activation but dampened GLP-1RA responses. Results are further supported by cryo-EM analyses and molecular dynamics simulations of GLP-1R A316T structure, collectively demonstrating that the A316T variant governs basal GLP-1R activity and pharmacological responses to GLP-1R-targeting therapies.</w:t>
      </w:r>
    </w:p>
    <w:p>
      <w:pPr>
        <w:spacing w:before="120" w:after="120"/>
      </w:pPr>
      <w:r>
        <w:rPr>
          <w:sz w:val="18"/>
        </w:rPr>
        <w:t>——————————————————————————————————————————————————————————————————————</w:t>
      </w:r>
    </w:p>
    <w:p>
      <w:pPr>
        <w:spacing w:before="160" w:after="40" w:line="240" w:lineRule="auto"/>
      </w:pPr>
      <w:r>
        <w:rPr>
          <w:b/>
        </w:rPr>
        <w:t xml:space="preserve">[443] </w:t>
      </w:r>
      <w:hyperlink r:id="rId688">
        <w:r>
          <w:rPr>
            <w:color w:val="1155CC"/>
            <w:u w:val="single"/>
          </w:rPr>
          <w:t>酶活性的代谢物控制将压力与生物合成调节联系起来</w:t>
        </w:r>
      </w:hyperlink>
    </w:p>
    <w:p>
      <w:pPr>
        <w:spacing w:before="0" w:after="80"/>
      </w:pPr>
      <w:r>
        <w:rPr>
          <w:i/>
          <w:sz w:val="20"/>
        </w:rPr>
        <w:t>EN: Metabolite control of enzyme activity links stress to biosynthetic regulation</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689">
        <w:r>
          <w:rPr>
            <w:color w:val="1155CC"/>
            <w:u w:val="single"/>
          </w:rPr>
          <w:t>10.1073/pnas.2529243123</w:t>
        </w:r>
      </w:hyperlink>
    </w:p>
    <w:p>
      <w:pPr>
        <w:spacing w:before="0" w:after="120"/>
      </w:pPr>
      <w:r>
        <w:rPr>
          <w:b/>
        </w:rPr>
        <w:t xml:space="preserve">Notes: </w:t>
      </w:r>
      <w:r>
        <w:t>abstract_source=pubmed</w:t>
      </w:r>
    </w:p>
    <w:p>
      <w:pPr>
        <w:spacing w:before="0" w:after="80" w:lineRule="auto" w:line="276"/>
      </w:pPr>
      <w:r>
        <w:rPr>
          <w:b/>
        </w:rPr>
        <w:t xml:space="preserve">摘要（ZH）: </w:t>
      </w:r>
      <w:r>
        <w:t>在不断变化的环境条件下,细胞必须不断调整代谢产物,以保持顺常态,然而,能够快速和可逆地控制路径活动的机制仍然基本上不为人所知。细菌来源的甲基苯丙胺磷酸酯(MEP)途径,以及保存在具有粘性、含菌性、包括植物和浮聚磷寄生虫在内的聚氨酯中,产生了生长和压力适应所必需的异丙基前体。我们在这里确定甲基苯丙胺环乙酸酯(MECPP)是一种双重功能代谢物,既用作生物合成中间体,又直接调节酶活动。遗传突扰和高光度压力暴露出非光学调节的分步骤特定聚聚聚聚物。生物化学和蛋白防护实验。</w:t>
      </w:r>
    </w:p>
    <w:p>
      <w:pPr>
        <w:spacing w:before="0" w:after="200" w:lineRule="auto" w:line="276"/>
      </w:pPr>
      <w:r>
        <w:rPr>
          <w:b/>
        </w:rPr>
        <w:t xml:space="preserve">Abstract (EN): </w:t>
      </w:r>
      <w:r>
        <w:t>Cells must continuously adjust metabolic output to maintain homeostasis under changing environmental conditions, yet the mechanisms that enable rapid and reversible control of pathway activity remain largely unknown. The methylerythritol phosphate (MEP) pathway, of bacterial origin and conserved in plastid-bearing eukaryotes, including plants and apicomplexan parasites, produces isoprenoid precursors essential for growth and stress adaptation. Here, we identify methylerythritol cyclodiphosphate (MEcPP) as a dual-function metabolite that serves both as a biosynthetic intermediate and a direct modulator of enzyme activity. Genetic perturbations and high light stress revealed step-specific MEcPP accumulation independent of transcriptional regulation. Biochemical and protease-protection assays showed that MEcPP destabilizes and inhibits methylerythritol cytidylyltransferase (MCT) while modestly stabilizing hydroxymethylbutenyl diphosphate synthase (HDS). Molecular docking analyses indicate that MEcPP interacts directly with the MCT catalytic site, displacing the natural substrate and thereby attenuating enzyme activity, suggesting a competitive, feedback-like mechanism of metabolic control. These results define MEcPP as a metabolic feedback signal that translates stress-induced changes into targeted enzymatic control. This mechanism illustrates how pathway intermediates dynamically coordinate biosynthetic activity with environmental cues, representing a broadly conserved strategy for metabolite-driven control of cellular metabolism.</w:t>
      </w:r>
    </w:p>
    <w:p>
      <w:pPr>
        <w:spacing w:before="120" w:after="120"/>
      </w:pPr>
      <w:r>
        <w:rPr>
          <w:sz w:val="18"/>
        </w:rPr>
        <w:t>——————————————————————————————————————————————————————————————————————</w:t>
      </w:r>
    </w:p>
    <w:p>
      <w:pPr>
        <w:spacing w:before="160" w:after="40" w:line="240" w:lineRule="auto"/>
      </w:pPr>
      <w:r>
        <w:rPr>
          <w:b/>
        </w:rPr>
        <w:t xml:space="preserve">[444] </w:t>
      </w:r>
      <w:hyperlink r:id="rId690">
        <w:r>
          <w:rPr>
            <w:color w:val="1155CC"/>
            <w:u w:val="single"/>
          </w:rPr>
          <w:t>OsRNS4 - 中介交叉王室RNA的干扰受到Ustilaginoidea virens效应者SCRE2的抑制,以助长稻米感染。</w:t>
        </w:r>
      </w:hyperlink>
    </w:p>
    <w:p>
      <w:pPr>
        <w:spacing w:before="0" w:after="80"/>
      </w:pPr>
      <w:r>
        <w:rPr>
          <w:i/>
          <w:sz w:val="20"/>
        </w:rPr>
        <w:t>EN: OsRNS4-mediated cross-kingdom RNA interference is inhibited by Ustilaginoidea virens effector SCRE2 to promote infection in rice</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91">
        <w:r>
          <w:rPr>
            <w:color w:val="1155CC"/>
            <w:u w:val="single"/>
          </w:rPr>
          <w:t>10.1126/sciadv.adx7385</w:t>
        </w:r>
      </w:hyperlink>
    </w:p>
    <w:p>
      <w:pPr>
        <w:spacing w:before="0" w:after="120"/>
      </w:pPr>
      <w:r>
        <w:rPr>
          <w:b/>
        </w:rPr>
        <w:t xml:space="preserve">Notes: </w:t>
      </w:r>
      <w:r>
        <w:t>abstract_source=pubmed</w:t>
      </w:r>
    </w:p>
    <w:p>
      <w:pPr>
        <w:spacing w:before="0" w:after="80" w:lineRule="auto" w:line="276"/>
      </w:pPr>
      <w:r>
        <w:rPr>
          <w:b/>
        </w:rPr>
        <w:t xml:space="preserve">摘要（ZH）: </w:t>
      </w:r>
      <w:r>
        <w:t>Ustilaginoidea virens efforor SCRE2 先前被确定为一种基本毒理因素。为了阐明SCRE2 毒理功能背后的分子机制,我们确定SCRE2 与Oryza sativa S-s-slibonuclevel 家庭成员OsRNS4互动。作为一个催化性不活跃的RNase, OsRNS4 根据其RNA绑定能力,积极管制稻米豁免。 OsRNS4 通过四丙型阳性外细胞囊(EVs)进行非常规的隐蔽。 OsRNS4 与某些米稻的MIRNAs组捆绑,而 SSCRE2 防止将OsRNS4 与 MIRNAs捆绑在一起。 特别是,在假的雪球中检测到OsRNS4 MIR528-5p, 使UvSfk1 US virens virrultence 所必需的基因被封住。因此, OsRNS4 可能作为运运将MIRNAs从米到取的母的</w:t>
      </w:r>
    </w:p>
    <w:p>
      <w:pPr>
        <w:spacing w:before="0" w:after="200" w:lineRule="auto" w:line="276"/>
      </w:pPr>
      <w:r>
        <w:rPr>
          <w:b/>
        </w:rPr>
        <w:t xml:space="preserve">Abstract (EN): </w:t>
      </w:r>
      <w:r>
        <w:t>The Ustilaginoidea virens effector SCRE2 has been previously identified to be an essential virulence factor. To elucidate molecular mechanisms underlying SCRE2 virulence function, we identify that SCRE2 interacts with Oryza sativa S-like ribonuclease family member OsRNS4. As a catalytically inactive RNase, OsRNS4 positively regulates rice immunity, depending on its RNA binding ability. OsRNS4 is unconventionally secreted through tetraspanin-positive extracellular vesicles (EVs). OsRNS4 binds to certain groups of rice miRNAs, whereas SCRE2 prevents the binding of OsRNS4 to miRNAs. Especially, OsRNS4-bound miR528-5p in rice is detected in false smut balls and silences the gene UvSfk1 essential for U. virens virulence. Thus, OsRNS4 might act as a carrier to transport miRNAs from rice into fungi, which target the virulence genes in U. virens and thereby contributes to rice resistance against fungal pathogens. As an unidentified counter-defense mechanism, SCRE2 suppresses cross-kingdom RNA interference to promote infection through inhibiting OsRNS4 binding to miRNAs.</w:t>
      </w:r>
    </w:p>
    <w:p>
      <w:pPr>
        <w:spacing w:before="120" w:after="120"/>
      </w:pPr>
      <w:r>
        <w:rPr>
          <w:sz w:val="18"/>
        </w:rPr>
        <w:t>——————————————————————————————————————————————————————————————————————</w:t>
      </w:r>
    </w:p>
    <w:p>
      <w:pPr>
        <w:spacing w:before="160" w:after="40" w:line="240" w:lineRule="auto"/>
      </w:pPr>
      <w:r>
        <w:rPr>
          <w:b/>
        </w:rPr>
        <w:t xml:space="preserve">[445] </w:t>
      </w:r>
      <w:hyperlink r:id="rId692">
        <w:r>
          <w:rPr>
            <w:color w:val="1155CC"/>
            <w:u w:val="single"/>
          </w:rPr>
          <w:t>- 在马恰提亚聚变形态中的植物-fungi相互作用与横向基因转移和世系新陈代谢有关。</w:t>
        </w:r>
      </w:hyperlink>
    </w:p>
    <w:p>
      <w:pPr>
        <w:spacing w:before="0" w:after="80"/>
      </w:pPr>
      <w:r>
        <w:rPr>
          <w:i/>
          <w:sz w:val="20"/>
        </w:rPr>
        <w:t>EN: Plant–fungi interactions in Marchantia polymorpha are associated with horizontal gene transfer and terpene metabolism</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693">
        <w:r>
          <w:rPr>
            <w:color w:val="1155CC"/>
            <w:u w:val="single"/>
          </w:rPr>
          <w:t>10.1073/pnas.2532723123</w:t>
        </w:r>
      </w:hyperlink>
    </w:p>
    <w:p>
      <w:pPr>
        <w:spacing w:before="0" w:after="120"/>
      </w:pPr>
      <w:r>
        <w:rPr>
          <w:b/>
        </w:rPr>
        <w:t xml:space="preserve">Notes: </w:t>
      </w:r>
      <w:r>
        <w:t>abstract_source=pubmed</w:t>
      </w:r>
    </w:p>
    <w:p>
      <w:pPr>
        <w:spacing w:before="0" w:after="80" w:lineRule="auto" w:line="276"/>
      </w:pPr>
      <w:r>
        <w:rPr>
          <w:b/>
        </w:rPr>
        <w:t xml:space="preserve">摘要（ZH）: </w:t>
      </w:r>
      <w:r>
        <w:t>在这项研究中,我们调查了M. 聚变体对一种自然产生的兼容寄生虫,即真菌病原体Colletotrichum nymphaeae的定量抗药性的遗传基础。我们通过将恋童癖、细胞学和定型学方法结合起来,结合全基因组的联系研究(GWAS),确定了关键的与防御有关的基因和途径。我们利用在自然M. 聚变体加入中存在的生物和遗传变异性,我们强调了横向转基因的作用。</w:t>
      </w:r>
    </w:p>
    <w:p>
      <w:pPr>
        <w:spacing w:before="0" w:after="200" w:lineRule="auto" w:line="276"/>
      </w:pPr>
      <w:r>
        <w:rPr>
          <w:b/>
        </w:rPr>
        <w:t xml:space="preserve">Abstract (EN): </w:t>
      </w:r>
      <w:r>
        <w:t>The liverwort Marchantia polymorpha has emerged as a model for studying plant immunity in bryophytes, providing unique insights into conserved defense mechanisms across land plants. By contrast, Marchantia-specific immune mechanisms remained largely underexplored. In this study, we investigated the genetic basis of quantitative resistance in M. polymorpha against the fungal pathogen Colletotrichum nymphaeae, a naturally occurring compatible parasite. Through a combination of phenotypic, cytological, and transcriptomic approaches, combined with genome-wide association studies (GWAS), we identified key defense-related genes and pathways. Leveraging the biological and genetic variability present in a collection of natural M. polymorpha accessions, we highlight the role of horizontally transferred microbial-like terpene synthase genes, which may contribute to the exceptional terpene diversity of liverworts and potentially play a role in pathogen resistance. GWAS uncovered candidate loci associated with resistance traits, implicating both core immune components and specialized metabolic pathways. Transcriptomic analyses performed on two accessions with contrasting phenotypes after inoculation with C. nymphaeae revealed the upregulation of accession-specific and horizontally acquired genes. These results provide insights into the specific molecular underpinnings of bryophyte immunity and underscore the evolutionary significance of horizontal gene transfer and specialized metabolites in shaping plant-pathogen interactions.</w:t>
      </w:r>
    </w:p>
    <w:p>
      <w:pPr>
        <w:spacing w:before="120" w:after="120"/>
      </w:pPr>
      <w:r>
        <w:rPr>
          <w:sz w:val="18"/>
        </w:rPr>
        <w:t>——————————————————————————————————————————————————————————————————————</w:t>
      </w:r>
    </w:p>
    <w:p>
      <w:pPr>
        <w:spacing w:before="160" w:after="40" w:line="240" w:lineRule="auto"/>
      </w:pPr>
      <w:r>
        <w:rPr>
          <w:b/>
        </w:rPr>
        <w:t xml:space="preserve">[446] </w:t>
      </w:r>
      <w:hyperlink r:id="rId694">
        <w:r>
          <w:rPr>
            <w:color w:val="1155CC"/>
            <w:u w:val="single"/>
          </w:rPr>
          <w:t>上皮细胞中的皮层和边际等离子体膜具有不同的脂状体和生物物理特性。</w:t>
        </w:r>
      </w:hyperlink>
    </w:p>
    <w:p>
      <w:pPr>
        <w:spacing w:before="0" w:after="80"/>
      </w:pPr>
      <w:r>
        <w:rPr>
          <w:i/>
          <w:sz w:val="20"/>
        </w:rPr>
        <w:t>EN: Apical and basolateral plasma membranes in epithelial cells have distinct lipidomes and biophysical properties</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695">
        <w:r>
          <w:rPr>
            <w:color w:val="1155CC"/>
            <w:u w:val="single"/>
          </w:rPr>
          <w:t>10.1073/pnas.2521220123</w:t>
        </w:r>
      </w:hyperlink>
    </w:p>
    <w:p>
      <w:pPr>
        <w:spacing w:before="0" w:after="120"/>
      </w:pPr>
      <w:r>
        <w:rPr>
          <w:b/>
        </w:rPr>
        <w:t xml:space="preserve">Notes: </w:t>
      </w:r>
      <w:r>
        <w:t>abstract_source=pubmed</w:t>
      </w:r>
    </w:p>
    <w:p>
      <w:pPr>
        <w:spacing w:before="0" w:after="80" w:lineRule="auto" w:line="276"/>
      </w:pPr>
      <w:r>
        <w:rPr>
          <w:b/>
        </w:rPr>
        <w:t xml:space="preserve">摘要（ZH）: </w:t>
      </w:r>
      <w:r>
        <w:t>许多生理过程,包括组织肿瘤产生、养分吸收、屏障完整和定向分泌,都离不开细胞细胞两极分化,这种分化的一个决定性特征是将血浆膜脂和蛋白分解为不同的表层和边际隔间,人们长期以来一直认为,阴极隔间含有丰富的凝胶和胆固醇,这种成份是通过贩运自组的膜领域(经确定为脂质的木筏)产生的。然而,对上皮细胞内膜隔间分子分类的详细构成或机制都没有完全解决。特别是,边膜的脂质特征以及由此而来的长膜和长膜之间的脂质差异。</w:t>
      </w:r>
    </w:p>
    <w:p>
      <w:pPr>
        <w:spacing w:before="0" w:after="200" w:lineRule="auto" w:line="276"/>
      </w:pPr>
      <w:r>
        <w:rPr>
          <w:b/>
        </w:rPr>
        <w:t xml:space="preserve">Abstract (EN): </w:t>
      </w:r>
      <w:r>
        <w:t>Epithelial cell polarization is essential for many physiological processes, including tissue morphogenesis, nutrient absorption, barrier integrity, and directional secretion. A defining feature of such polarization is the separation of plasma membrane (PM) lipids and proteins into distinct apical and basolateral compartments. It has long been suggested that the apical compartment is rich in glycolipids and cholesterol and that this composition arises through trafficking of self-assembled membrane domains (termed lipid rafts). However, neither the detailed composition nor the mechanisms of molecular sorting between epithelial cell PM compartments have been fully resolved. Particularly, the lipid profile of the basolateral membrane and consequently the lipid disparity between the apical and basolateral membrane remain undefined. We developed a method to separately isolate the apical and basolateral PM and used lipidomics and biophysical profiling to characterize the changes in membrane composition and properties between these compartments in polarized Madin-Darby canine kidney cells. We find that the apical membrane is enriched in cholesterol, saturated lipids, and glycolipids relative to the basolateral membrane and that its biophysical properties reflect a more ordered environment. Further, we evaluate the longstanding hypothesis that lipid rafts contribute to apical protein trafficking by assessing the relationship between transmembrane domain raft affinity and apical localization and find that lipid raft affinity only modestly influences apical versus basolateral sorting. These findings define the distinct compositional and biophysical features of apical and basolateral compartments of epithelial cells and suggest mechanistic evidence for their biogenesis.</w:t>
      </w:r>
    </w:p>
    <w:p>
      <w:pPr>
        <w:spacing w:before="120" w:after="120"/>
      </w:pPr>
      <w:r>
        <w:rPr>
          <w:sz w:val="18"/>
        </w:rPr>
        <w:t>——————————————————————————————————————————————————————————————————————</w:t>
      </w:r>
    </w:p>
    <w:p>
      <w:pPr>
        <w:spacing w:before="160" w:after="40" w:line="240" w:lineRule="auto"/>
      </w:pPr>
      <w:r>
        <w:rPr>
          <w:b/>
        </w:rPr>
        <w:t xml:space="preserve">[447] </w:t>
      </w:r>
      <w:hyperlink r:id="rId696">
        <w:r>
          <w:rPr>
            <w:color w:val="1155CC"/>
            <w:u w:val="single"/>
          </w:rPr>
          <w:t>来自北美大海盆地的复杂易腐技术揭示了专门化的 " 后白球 " 改造技术。</w:t>
        </w:r>
      </w:hyperlink>
    </w:p>
    <w:p>
      <w:pPr>
        <w:spacing w:before="0" w:after="80"/>
      </w:pPr>
      <w:r>
        <w:rPr>
          <w:i/>
          <w:sz w:val="20"/>
        </w:rPr>
        <w:t>EN: Complex perishable technologies from the North American Great Basin reveal specialized Late Pleistocene adaptations</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97">
        <w:r>
          <w:rPr>
            <w:color w:val="1155CC"/>
            <w:u w:val="single"/>
          </w:rPr>
          <w:t>10.1126/sciadv.aec2916</w:t>
        </w:r>
      </w:hyperlink>
    </w:p>
    <w:p>
      <w:pPr>
        <w:spacing w:before="0" w:after="120"/>
      </w:pPr>
      <w:r>
        <w:rPr>
          <w:b/>
        </w:rPr>
        <w:t xml:space="preserve">Notes: </w:t>
      </w:r>
      <w:r>
        <w:t>abstract_source=pubmed</w:t>
      </w:r>
    </w:p>
    <w:p>
      <w:pPr>
        <w:spacing w:before="0" w:after="80" w:lineRule="auto" w:line="276"/>
      </w:pPr>
      <w:r>
        <w:rPr>
          <w:b/>
        </w:rPr>
        <w:t xml:space="preserve">摘要（ZH）: </w:t>
      </w:r>
      <w:r>
        <w:t>结构上和功能上复杂的技术是后白球类社会的一个决定性要素,但在考古记录中,这些技术的物理实例仍然极为罕见,因为大多数都是用易腐原材料制作的,这些众多技术的稀少材料记录限制了我们制定人类历史上这一关键时期的细微模型的能力。我们提供了世界上最大的两个最晚白球类的放射性碳、按大规模分光测量的祖阿氏学和其他分类识别数据,即美洲狮山洞穴和帕伊斯利洞穴,美国俄勒冈州。这些数据包括15种植物和动物分类的55种物品的66个无线碳日期,包括已知的古老的缝隙遗骸。我们提供了关于眼部的数据。</w:t>
      </w:r>
    </w:p>
    <w:p>
      <w:pPr>
        <w:spacing w:before="0" w:after="200" w:lineRule="auto" w:line="276"/>
      </w:pPr>
      <w:r>
        <w:rPr>
          <w:b/>
        </w:rPr>
        <w:t xml:space="preserve">Abstract (EN): </w:t>
      </w:r>
      <w:r>
        <w:t>Structurally and functionally complex technologies were a defining element of Late Pleistocene societies, but physical examples of them remain extremely rare in the archaeological record because most were made from perishable raw materials. The sparse material record of those myriad technologies limits our ability to formulate nuanced models about this critical period in human history. We present radiocarbon, Zooarchaeology by Mass Spectrometry, and other taxonomic identification data from two of the largest Late Pleistocene perishable assemblages in the world, Cougar Mountain Cave and Paisley Caves, Oregon, US. These data include 66 radiocarbon dates on 55 items made from 15 different plant and animal taxa, including the oldest known physical remains of sewn hide. We provide data on eyed bone needles from four regional sites, showing that they are among the finest bone needles made in the Pleistocene. Our study illuminates the complex interplay of culture, climate, and technology in the Pleistocene.</w:t>
      </w:r>
    </w:p>
    <w:p>
      <w:pPr>
        <w:spacing w:before="120" w:after="120"/>
      </w:pPr>
      <w:r>
        <w:rPr>
          <w:sz w:val="18"/>
        </w:rPr>
        <w:t>——————————————————————————————————————————————————————————————————————</w:t>
      </w:r>
    </w:p>
    <w:p>
      <w:pPr>
        <w:spacing w:before="160" w:after="40" w:line="240" w:lineRule="auto"/>
      </w:pPr>
      <w:r>
        <w:rPr>
          <w:b/>
        </w:rPr>
        <w:t xml:space="preserve">[448] </w:t>
      </w:r>
      <w:hyperlink r:id="rId698">
        <w:r>
          <w:rPr>
            <w:color w:val="1155CC"/>
            <w:u w:val="single"/>
          </w:rPr>
          <w:t>水电池电池的电解设计</w:t>
        </w:r>
      </w:hyperlink>
    </w:p>
    <w:p>
      <w:pPr>
        <w:spacing w:before="0" w:after="80"/>
      </w:pPr>
      <w:r>
        <w:rPr>
          <w:i/>
          <w:sz w:val="20"/>
        </w:rPr>
        <w:t>EN: Electrolyte design for aqueous batteries</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699">
        <w:r>
          <w:rPr>
            <w:color w:val="1155CC"/>
            <w:u w:val="single"/>
          </w:rPr>
          <w:t>10.1126/sciadv.aeb4498</w:t>
        </w:r>
      </w:hyperlink>
    </w:p>
    <w:p>
      <w:pPr>
        <w:spacing w:before="0" w:after="120"/>
      </w:pPr>
      <w:r>
        <w:rPr>
          <w:b/>
        </w:rPr>
        <w:t xml:space="preserve">Notes: </w:t>
      </w:r>
      <w:r>
        <w:t>abstract_source=pubmed</w:t>
      </w:r>
    </w:p>
    <w:p>
      <w:pPr>
        <w:spacing w:before="0" w:after="80" w:lineRule="auto" w:line="276"/>
      </w:pPr>
      <w:r>
        <w:rPr>
          <w:b/>
        </w:rPr>
        <w:t xml:space="preserve">摘要（ZH）: </w:t>
      </w:r>
      <w:r>
        <w:t>水电池具有固有的安全性、操作简单性和成本效益,已成为电网规模能源储存应用的有希望的候选条件,然而,水体系统相对较低的产出电压继续限制其可实现的能源密度,水电解解介离运输和阴极和阳极的相互反应,因此,电解设计的进步对于满足未来的性能需求是必不可少的。我们在这次审查中阐明了水电解技术设计中的核心瓶颈,蒸馏分子级设计原则,并概述了今后实际执行的可行途径。我们的目标是指导下一代的发展。</w:t>
      </w:r>
    </w:p>
    <w:p>
      <w:pPr>
        <w:spacing w:before="0" w:after="200" w:lineRule="auto" w:line="276"/>
      </w:pPr>
      <w:r>
        <w:rPr>
          <w:b/>
        </w:rPr>
        <w:t xml:space="preserve">Abstract (EN): </w:t>
      </w:r>
      <w:r>
        <w:t>Aqueous batteries, with their inherent safety, operational simplicity, and cost-effectiveness, have emerged as promising candidates for grid-scale energy storage applications. However, the relatively low output voltage of aqueous systems continues to limit their achievable energy density. The aqueous electrolyte occupies a central role in addressing this limitation because it mediates ion transport and interfacial reactions at both the cathode and anode; accordingly, advances in electrolyte design are indispensable to meet future performance demands. In this review, we elucidate the core bottlenecks in aqueous electrolyte design, distill molecular-level design principles, and outline feasible pathways for future practical implementation. We aim to guide the development of next-generation aqueous electrolytes that harmonize outstanding electrochemical performance, thereby accelerating the transition from laboratory concepts to transformative energy solutions.</w:t>
      </w:r>
    </w:p>
    <w:p>
      <w:pPr>
        <w:spacing w:before="120" w:after="120"/>
      </w:pPr>
      <w:r>
        <w:rPr>
          <w:sz w:val="18"/>
        </w:rPr>
        <w:t>——————————————————————————————————————————————————————————————————————</w:t>
      </w:r>
    </w:p>
    <w:p>
      <w:pPr>
        <w:spacing w:before="160" w:after="40" w:line="240" w:lineRule="auto"/>
      </w:pPr>
      <w:r>
        <w:rPr>
          <w:b/>
        </w:rPr>
        <w:t xml:space="preserve">[449] </w:t>
      </w:r>
      <w:hyperlink r:id="rId700">
        <w:r>
          <w:rPr>
            <w:color w:val="1155CC"/>
            <w:u w:val="single"/>
          </w:rPr>
          <w:t>利用代谢生物标志物在大面积的coccocolothophophophore花朵中绘制病毒支流图</w:t>
        </w:r>
      </w:hyperlink>
    </w:p>
    <w:p>
      <w:pPr>
        <w:spacing w:before="0" w:after="80"/>
      </w:pPr>
      <w:r>
        <w:rPr>
          <w:i/>
          <w:sz w:val="20"/>
        </w:rPr>
        <w:t>EN: Mapping of the viral shunt across widespread coccolithophore blooms using metabolic biomarkers</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701">
        <w:r>
          <w:rPr>
            <w:color w:val="1155CC"/>
            <w:u w:val="single"/>
          </w:rPr>
          <w:t>10.1073/pnas.2424035123</w:t>
        </w:r>
      </w:hyperlink>
    </w:p>
    <w:p>
      <w:pPr>
        <w:spacing w:before="0" w:after="120"/>
      </w:pPr>
      <w:r>
        <w:rPr>
          <w:b/>
        </w:rPr>
        <w:t xml:space="preserve">Notes: </w:t>
      </w:r>
      <w:r>
        <w:t>abstract_source=pubmed</w:t>
      </w:r>
    </w:p>
    <w:p>
      <w:pPr>
        <w:spacing w:before="0" w:after="80" w:lineRule="auto" w:line="276"/>
      </w:pPr>
      <w:r>
        <w:rPr>
          <w:b/>
        </w:rPr>
        <w:t xml:space="preserve">摘要（ZH）: </w:t>
      </w:r>
      <w:r>
        <w:t>病毒分流是一个基本的生态系统过程,它转移了在藻类盛开活动期间通过光合作用固定的有机碳的通量,从异氧营养放牧动物到细菌。通过代谢物的外细胞释放,在海洋中通过淋病病毒感染提供2-10%的光合固定碳,用于细菌呼吸。尽管光合固定碳对碳循环具有重要意义,但我们缺乏工具来检测自然环境中的病毒分流并评估其生态影响。在这里,我们通过应用分子、代谢和海洋学工具研究横跨大西洋的宇宙微生物(Gephyrocapsa huxleyi)(前Emilania huxleyi)的繁殖动态,调查了将异形代谢物用作病毒避漏的生物标志,其范围跨越了四个生物地球化学。</w:t>
      </w:r>
    </w:p>
    <w:p>
      <w:pPr>
        <w:spacing w:before="0" w:after="200" w:lineRule="auto" w:line="276"/>
      </w:pPr>
      <w:r>
        <w:rPr>
          <w:b/>
        </w:rPr>
        <w:t xml:space="preserve">Abstract (EN): </w:t>
      </w:r>
      <w:r>
        <w:t>The viral shunt is a fundamental ecosystem process which diverts the flux of organic carbon fixed through photosynthesis during algal bloom events from heterotrophic grazers to bacteria. Through the extracellular release of metabolites, lytic viral infections supply 2 to 10% of photosynthetically fixed carbon in the ocean for bacterial respiration. Despite its significance for the carbon cycle, we lack tools to detect the viral shunt in the natural environment and assess its ecological impact. Here, we investigated the use of exometabolites as biomarkers for the viral shunt by applying molecular, metabolomics, and oceanographic tools to study bloom dynamics of the cosmopolitan microalga Gephyrocapsa huxleyi (formerly Emiliania huxleyi) across the Atlantic Ocean, spanning four biogeochemical provinces between Iceland and Patagonia. We mapped the distinct metabolic footprint of its viral infections using exo- and endometabolomics and detected nineteen organohalogen metabolites across the blooms, showing their global distribution. A time-resolved comparison of particulate and dissolved metabolite pools during an induced mesocosm bloom revealed that virocells-actively infected host cells-were the source of the halogenated metabolites. Three trichloro-iodo metabolites were present during the demise of all virus-infected oceanic blooms, highlighting them as suitable metabolic biomarkers for the viral shunt. The environmental stability of these halometabolites in the dissolved organic matter pool over a few days can recapitulate viral infections at earlier stages of phytoplankton bloom succession. The chloro-iodo metabolites thereby expand the existing repertoire of metabolic biomarkers for viral infections at sea and may advance efforts to trace the biogeochemical impact of alga-virus interactions in the ocean.</w:t>
      </w:r>
    </w:p>
    <w:p>
      <w:pPr>
        <w:spacing w:before="120" w:after="120"/>
      </w:pPr>
      <w:r>
        <w:rPr>
          <w:sz w:val="18"/>
        </w:rPr>
        <w:t>——————————————————————————————————————————————————————————————————————</w:t>
      </w:r>
    </w:p>
    <w:p>
      <w:pPr>
        <w:spacing w:before="160" w:after="40" w:line="240" w:lineRule="auto"/>
      </w:pPr>
      <w:r>
        <w:rPr>
          <w:b/>
        </w:rPr>
        <w:t xml:space="preserve">[450] </w:t>
      </w:r>
      <w:hyperlink r:id="rId702">
        <w:r>
          <w:rPr>
            <w:color w:val="1155CC"/>
            <w:u w:val="single"/>
          </w:rPr>
          <w:t>Nanocollisition促进用于肿瘤治疗的双丁基细胞的移动</w:t>
        </w:r>
      </w:hyperlink>
    </w:p>
    <w:p>
      <w:pPr>
        <w:spacing w:before="0" w:after="80"/>
      </w:pPr>
      <w:r>
        <w:rPr>
          <w:i/>
          <w:sz w:val="20"/>
        </w:rPr>
        <w:t>EN: Nanocollision promotes locomotion of dendritic cells for tumor therapy</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03">
        <w:r>
          <w:rPr>
            <w:color w:val="1155CC"/>
            <w:u w:val="single"/>
          </w:rPr>
          <w:t>10.1126/sciadv.aeb7714</w:t>
        </w:r>
      </w:hyperlink>
    </w:p>
    <w:p>
      <w:pPr>
        <w:spacing w:before="0" w:after="120"/>
      </w:pPr>
      <w:r>
        <w:rPr>
          <w:b/>
        </w:rPr>
        <w:t xml:space="preserve">Notes: </w:t>
      </w:r>
      <w:r>
        <w:t>abstract_source=pubmed</w:t>
      </w:r>
    </w:p>
    <w:p>
      <w:pPr>
        <w:spacing w:before="0" w:after="80" w:lineRule="auto" w:line="276"/>
      </w:pPr>
      <w:r>
        <w:rPr>
          <w:b/>
        </w:rPr>
        <w:t xml:space="preserve">摘要（ZH）: </w:t>
      </w:r>
      <w:r>
        <w:t>由细胞外矩阵产生的机械刺激已被证明通过调节登地性细胞(DC)运动运动,影响抗脉冲免疫,但是,超小型生物粒子诱发的纳米凝胶的免疫后果基本上仍然是一个尚未探索的领域,尽管它在活性环境内无处不在和不断发生。在这里,我们披露,由内生生物粒子(如外细胞囊囊囊囊)引起的纳米分泌可以诱发局部膜畸形。这种空间封闭的机械输入在碰撞地点激活Piezo1,并推广Myosin IIA磷酸性反应介导F-活性稳定,增强DC的内在运动力。</w:t>
      </w:r>
    </w:p>
    <w:p>
      <w:pPr>
        <w:spacing w:before="0" w:after="200" w:lineRule="auto" w:line="276"/>
      </w:pPr>
      <w:r>
        <w:rPr>
          <w:b/>
        </w:rPr>
        <w:t xml:space="preserve">Abstract (EN): </w:t>
      </w:r>
      <w:r>
        <w:t>Mechanical stimuli originating from extracellular matrix have been proved to affect antitumor immunity by regulating dendritic cell (DC) locomotion. However, the immunological consequences of ultrasmall bioparticle-induced nanocollision remain largely an unexplored realm despite its ubiquitous and incessant occurrence within the in vivo milieu. Herein, we disclose that nanocollisions caused by endogenous bioparticles, such as extracellular vesicles, can induce localized membrane deformations. This spatially confined mechanical input activates Piezo1 at collision sites and promotes myosin IIA phosphorylation-mediated F-actin stabilization, enhancing DC intrinsic motility. Subsequent diffusion of Ca2+ up-regulates chemotaxis machinery, improving their capacity of tumor microenvironment patrolling and lymph node homing for antitumor immunity. This finding reveals a previously unidentified mechanoimmunological mechanism of immune surveillance. To accelerate the translation of this mechanism into clinical therapeutics, we developed an ultrasound-responsive nanocollision generator using gas-liquid-solid triphase conversion. This system achieves precise nanocollision to augment DC locomotion, promoting antitumor immunity in vivo.</w:t>
      </w:r>
    </w:p>
    <w:p>
      <w:pPr>
        <w:spacing w:before="120" w:after="120"/>
      </w:pPr>
      <w:r>
        <w:rPr>
          <w:sz w:val="18"/>
        </w:rPr>
        <w:t>——————————————————————————————————————————————————————————————————————</w:t>
      </w:r>
    </w:p>
    <w:p>
      <w:pPr>
        <w:spacing w:before="160" w:after="40" w:line="240" w:lineRule="auto"/>
      </w:pPr>
      <w:r>
        <w:rPr>
          <w:b/>
        </w:rPr>
        <w:t xml:space="preserve">[451] </w:t>
      </w:r>
      <w:hyperlink r:id="rId704">
        <w:r>
          <w:rPr>
            <w:color w:val="1155CC"/>
            <w:u w:val="single"/>
          </w:rPr>
          <w:t>静态压力诱发“海洋积雪”微粒大量渗漏溶解有机物。</w:t>
        </w:r>
      </w:hyperlink>
    </w:p>
    <w:p>
      <w:pPr>
        <w:spacing w:before="0" w:after="80"/>
      </w:pPr>
      <w:r>
        <w:rPr>
          <w:i/>
          <w:sz w:val="20"/>
        </w:rPr>
        <w:t>EN: Hydrostatic pressure induces strong leakage of dissolved organic matter from “marine snow” particles</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05">
        <w:r>
          <w:rPr>
            <w:color w:val="1155CC"/>
            <w:u w:val="single"/>
          </w:rPr>
          <w:t>10.1126/sciadv.aec5677</w:t>
        </w:r>
      </w:hyperlink>
    </w:p>
    <w:p>
      <w:pPr>
        <w:spacing w:before="0" w:after="120"/>
      </w:pPr>
      <w:r>
        <w:rPr>
          <w:b/>
        </w:rPr>
        <w:t xml:space="preserve">Notes: </w:t>
      </w:r>
      <w:r>
        <w:t>abstract_source=pubmed</w:t>
      </w:r>
    </w:p>
    <w:p>
      <w:pPr>
        <w:spacing w:before="0" w:after="80" w:lineRule="auto" w:line="276"/>
      </w:pPr>
      <w:r>
        <w:rPr>
          <w:b/>
        </w:rPr>
        <w:t xml:space="preserve">摘要（ZH）: </w:t>
      </w:r>
      <w:r>
        <w:t>海洋表面的海洋积雪形式,深水汇,最终使海底的碳固存成为可能。快速汇合的海洋积雪颗粒,如diatom集集体,在下降期间会遇到快速增加的静水压力。我们利用旋转压力罐的孵化作用,发现相当于2至6千米水深的压力水平会引出溶解有机物(DOM)的溶解物(DOM),其含量相当于其初始碳含量的50%。渗漏的DOM证明是来自diatom的,并大大改变了周围海水中DOM的数量和构成。超高分辨率质谱度光谱学、高蛋白类荧光度和低碳:氮比率将泄漏的DOM(DOM)归为实验室。</w:t>
      </w:r>
    </w:p>
    <w:p>
      <w:pPr>
        <w:spacing w:before="0" w:after="200" w:lineRule="auto" w:line="276"/>
      </w:pPr>
      <w:r>
        <w:rPr>
          <w:b/>
        </w:rPr>
        <w:t xml:space="preserve">Abstract (EN): </w:t>
      </w:r>
      <w:r>
        <w:t>Marine snow forms at the ocean surface, sinks to depth, and ultimately enables carbon sequestration in the seabed. Fast-sinking marine snow particles, such as diatom aggregates, encounter a rapid increase in hydrostatic pressure during their descent. Using incubations in rotating pressure tanks, we found that pressure levels corresponding to 2- to 6-kilometer water depth induce leakage of dissolved organic matter (DOM) from diatom aggregates equivalent to ~50% of their initial carbon contents. The leaked DOM proved to be diatom-derived and changed the amount and composition of DOM in the surrounding seawater substantially. Ultrahigh-resolution mass spectrometry, high protein-like fluorescence, and low carbon:nitrogen ratios classified the leaked DOM as labile. The bioavailability of leaked DOM was demonstrated by its rapid utilization by a pelagic microbial community, leaving mainly recalcitrant DOM behind. Pressure-induced DOM leakage likely weakens the gravitational "biological carbon pump" and supplies labile DOM to the pelagic microbiome of the deep ocean.</w:t>
      </w:r>
    </w:p>
    <w:p>
      <w:pPr>
        <w:spacing w:before="120" w:after="120"/>
      </w:pPr>
      <w:r>
        <w:rPr>
          <w:sz w:val="18"/>
        </w:rPr>
        <w:t>——————————————————————————————————————————————————————————————————————</w:t>
      </w:r>
    </w:p>
    <w:p>
      <w:pPr>
        <w:spacing w:before="160" w:after="40" w:line="240" w:lineRule="auto"/>
      </w:pPr>
      <w:r>
        <w:rPr>
          <w:b/>
        </w:rPr>
        <w:t xml:space="preserve">[452] </w:t>
      </w:r>
      <w:hyperlink r:id="rId706">
        <w:r>
          <w:rPr>
            <w:color w:val="1155CC"/>
            <w:u w:val="single"/>
          </w:rPr>
          <w:t>海洋在压力下的生物碳泵</w:t>
        </w:r>
      </w:hyperlink>
    </w:p>
    <w:p>
      <w:pPr>
        <w:spacing w:before="0" w:after="80"/>
      </w:pPr>
      <w:r>
        <w:rPr>
          <w:i/>
          <w:sz w:val="20"/>
        </w:rPr>
        <w:t>EN: The ocean’s biological carbon pump under pressure</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07">
        <w:r>
          <w:rPr>
            <w:color w:val="1155CC"/>
            <w:u w:val="single"/>
          </w:rPr>
          <w:t>10.1126/sciadv.aef3182</w:t>
        </w:r>
      </w:hyperlink>
    </w:p>
    <w:p>
      <w:pPr>
        <w:spacing w:before="0" w:after="120"/>
      </w:pPr>
      <w:r>
        <w:rPr>
          <w:b/>
        </w:rPr>
        <w:t xml:space="preserve">Notes: </w:t>
      </w:r>
      <w:r>
        <w:t>abstract_source=pubmed</w:t>
      </w:r>
    </w:p>
    <w:p>
      <w:pPr>
        <w:spacing w:before="0" w:after="80" w:lineRule="auto" w:line="276"/>
      </w:pPr>
      <w:r>
        <w:rPr>
          <w:b/>
        </w:rPr>
        <w:t xml:space="preserve">摘要（ZH）: </w:t>
      </w:r>
      <w:r>
        <w:t>日益增加的静水压力促使迅速沉积的海洋微粒释放溶解的有机物,并有助于碳通量的深度减低。</w:t>
      </w:r>
    </w:p>
    <w:p>
      <w:pPr>
        <w:spacing w:before="0" w:after="200" w:lineRule="auto" w:line="276"/>
      </w:pPr>
      <w:r>
        <w:rPr>
          <w:b/>
        </w:rPr>
        <w:t xml:space="preserve">Abstract (EN): </w:t>
      </w:r>
      <w:r>
        <w:t>Increasing hydrostatic pressure induces the release of dissolved organic matter from rapidly settling marine particles and contributes to the depth attenuation of carbon fluxes.</w:t>
      </w:r>
    </w:p>
    <w:p>
      <w:pPr>
        <w:spacing w:before="120" w:after="120"/>
      </w:pPr>
      <w:r>
        <w:rPr>
          <w:sz w:val="18"/>
        </w:rPr>
        <w:t>——————————————————————————————————————————————————————————————————————</w:t>
      </w:r>
    </w:p>
    <w:p>
      <w:pPr>
        <w:spacing w:before="160" w:after="40" w:line="240" w:lineRule="auto"/>
      </w:pPr>
      <w:r>
        <w:rPr>
          <w:b/>
        </w:rPr>
        <w:t xml:space="preserve">[453] </w:t>
      </w:r>
      <w:hyperlink r:id="rId708">
        <w:r>
          <w:rPr>
            <w:color w:val="1155CC"/>
            <w:u w:val="single"/>
          </w:rPr>
          <w:t>跨界水冲突、合作和前进道路</w:t>
        </w:r>
      </w:hyperlink>
    </w:p>
    <w:p>
      <w:pPr>
        <w:spacing w:before="0" w:after="80"/>
      </w:pPr>
      <w:r>
        <w:rPr>
          <w:i/>
          <w:sz w:val="20"/>
        </w:rPr>
        <w:t>EN: Transboundary water conflicts, cooperation, and pathways forward</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709">
        <w:r>
          <w:rPr>
            <w:color w:val="1155CC"/>
            <w:u w:val="single"/>
          </w:rPr>
          <w:t>10.1073/pnas.2537439123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[454] </w:t>
      </w:r>
      <w:hyperlink r:id="rId710">
        <w:r>
          <w:rPr>
            <w:color w:val="1155CC"/>
            <w:u w:val="single"/>
          </w:rPr>
          <w:t>双冲断断间修复过程中出现的变异和结构变异</w:t>
        </w:r>
      </w:hyperlink>
    </w:p>
    <w:p>
      <w:pPr>
        <w:spacing w:before="0" w:after="80"/>
      </w:pPr>
      <w:r>
        <w:rPr>
          <w:i/>
          <w:sz w:val="20"/>
        </w:rPr>
        <w:t>EN: Mutations and structural variants arising during double-strand break repair</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711">
        <w:r>
          <w:rPr>
            <w:color w:val="1155CC"/>
            <w:u w:val="single"/>
          </w:rPr>
          <w:t>10.1073/pnas.2504584123</w:t>
        </w:r>
      </w:hyperlink>
    </w:p>
    <w:p>
      <w:pPr>
        <w:spacing w:before="0" w:after="120"/>
      </w:pPr>
      <w:r>
        <w:rPr>
          <w:b/>
        </w:rPr>
        <w:t xml:space="preserve">Notes: </w:t>
      </w:r>
      <w:r>
        <w:t>abstract_source=pubmed</w:t>
      </w:r>
    </w:p>
    <w:p>
      <w:pPr>
        <w:spacing w:before="0" w:after="80" w:lineRule="auto" w:line="276"/>
      </w:pPr>
      <w:r>
        <w:rPr>
          <w:b/>
        </w:rPr>
        <w:t xml:space="preserve">摘要（ZH）: </w:t>
      </w:r>
      <w:r>
        <w:t>双层断裂( DSB) 修复与正常复制相比具有高度诱变性。 在萌芽的酵母中,对交配类型的α体(MATAT)的 HO (Homathallism) 内分泌诱发的 DSB (DSB) 的修复可以通过使用叶酸异相异谱 HMR (:Kl-URA3 捐赠者) 来修复: MAT: Kl-URA3 产生: Kl-Ura3 - 修复过程中产生的突变, 50%是基面替代物。 30% 是在短的单核核分裂物运行中的1- bp 。 30% 的 HO(homothallismallis) 是1 强烈偏好于+1 。 在复制过程中, 自发-1 和 +1 事件是相等 。 受微生物限制的、 修理相关的内部删除(IDs) 恢复频率比同步复制(TD ) 12 次 。 。 这些数据表明修复重的结构图示: ID 和TD 出现在一个MIgradtitititic 结构</w:t>
      </w:r>
    </w:p>
    <w:p>
      <w:pPr>
        <w:spacing w:before="0" w:after="200" w:lineRule="auto" w:line="276"/>
      </w:pPr>
      <w:r>
        <w:rPr>
          <w:b/>
        </w:rPr>
        <w:t xml:space="preserve">Abstract (EN): </w:t>
      </w:r>
      <w:r>
        <w:t>Double-strand break (DSB) repair is highly mutagenic compared to normal replication. In budding yeast, repair of an HO (homothallism) endonuclease-induced DSB at the mating-type α locus (MATα) can be repaired by using an ectopic heterochromatic HMR::Kl-URA3 donor, producing MAT::Kl-URA3. Among MAT::Kl-Ura3- mutations arising during repair, 50% are base-pair substitutions. 30% are 1-bp indels in short homonucleotide runs, with -1 strongly favored over +1, whereas during replication, spontaneous -1 and +1 events are equal. Microhomology-bounded, repair-associated intragenic deletions (IDs) are recovered 12 times more frequently than tandem duplications (TDs). These data suggest a picture of the structure of the repair replication fork: IDs and TDs occur within the open structure of a migrating D-loop, where the 3' end of a partly copied new DNA strand can dissociate and anneal with a single-stranded region of microhomology either within ~80 bp ahead or ~40 bp behind the 3' end. Approximately ~10% of repair-associated mutations are interchromosomal template switches (ICTS), even though the Kluyveromyces lactis URA3 sequence in HMR is only 72% identical (homeologous) with Saccharomyces cerevisiae ura3-52. ICTS events begin and end at regions of short (~7.5 bp) microhomology; however, ICTS events are constrained to the middle of the copied sequence. Whereas microhomology usage in intragenic deletions is not influenced by adjacent homeology, we show that extensive pairing of adjacent homeology plays a critical role in ICTS. Thus, although by convention, structural variants are characterized by the precise base pairs at their junction, microhomology-mediated template switching actually requires alignment of extensive adjacent homeology.</w:t>
      </w:r>
    </w:p>
    <w:p>
      <w:pPr>
        <w:spacing w:before="120" w:after="120"/>
      </w:pPr>
      <w:r>
        <w:rPr>
          <w:sz w:val="18"/>
        </w:rPr>
        <w:t>——————————————————————————————————————————————————————————————————————</w:t>
      </w:r>
    </w:p>
    <w:p>
      <w:pPr>
        <w:spacing w:before="160" w:after="40" w:line="240" w:lineRule="auto"/>
      </w:pPr>
      <w:r>
        <w:rPr>
          <w:b/>
        </w:rPr>
        <w:t xml:space="preserve">[455] </w:t>
      </w:r>
      <w:hyperlink r:id="rId712">
        <w:r>
          <w:rPr>
            <w:color w:val="1155CC"/>
            <w:u w:val="single"/>
          </w:rPr>
          <w:t>观测超弹道导弹 布朗运动的液体</w:t>
        </w:r>
      </w:hyperlink>
    </w:p>
    <w:p>
      <w:pPr>
        <w:spacing w:before="0" w:after="80"/>
      </w:pPr>
      <w:r>
        <w:rPr>
          <w:i/>
          <w:sz w:val="20"/>
        </w:rPr>
        <w:t>EN: Observation of super-ballistic Brownian motion in liquid</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13">
        <w:r>
          <w:rPr>
            <w:color w:val="1155CC"/>
            <w:u w:val="single"/>
          </w:rPr>
          <w:t>10.1126/sciadv.aeb4579</w:t>
        </w:r>
      </w:hyperlink>
    </w:p>
    <w:p>
      <w:pPr>
        <w:spacing w:before="0" w:after="120"/>
      </w:pPr>
      <w:r>
        <w:rPr>
          <w:b/>
        </w:rPr>
        <w:t xml:space="preserve">Notes: </w:t>
      </w:r>
      <w:r>
        <w:t>abstract_source=pubmed</w:t>
      </w:r>
    </w:p>
    <w:p>
      <w:pPr>
        <w:spacing w:before="0" w:after="80" w:lineRule="auto" w:line="276"/>
      </w:pPr>
      <w:r>
        <w:rPr>
          <w:b/>
        </w:rPr>
        <w:t xml:space="preserve">摘要（ZH）: </w:t>
      </w:r>
      <w:r>
        <w:t>Brownian 运动是一个基础物理过程,其特征是平均平方位移位,在热平衡中以线性速度缩放,称为扩散。在短时期内,平均平方移位成为弹道,以[形式:见文字]缩放。1907年爱因斯坦预测了这种效果,最近还进行了实验观察。我们报告说,这一景象只是平均真实的;通过调整具体的初始速度,我们从理论上预测,并通过实验确认,平均平方位移位成为超级弹道,具有[形式:见文字]的功率定律。其结果是不压缩液体的有色噪音,导致热力在非零初始速度条件下出现非零第一时刻。这些结果是一个实验结果。</w:t>
      </w:r>
    </w:p>
    <w:p>
      <w:pPr>
        <w:spacing w:before="0" w:after="200" w:lineRule="auto" w:line="276"/>
      </w:pPr>
      <w:r>
        <w:rPr>
          <w:b/>
        </w:rPr>
        <w:t xml:space="preserve">Abstract (EN): </w:t>
      </w:r>
      <w:r>
        <w:t>Brownian motion is a foundational physical process characterized by a mean squared displacement that scales linearly in time in thermal equilibrium, known as diffusion. At short times, the mean squared displacement becomes ballistic, scaling as [Formula: see text]. This effect was predicted by Einstein in 1907 and recently observed experimentally. We report that this picture is only true on average; by conditioning specific initial velocities, we predict theoretically and confirm by experiment that the mean squared displacement becomes super-ballistic, with a power scaling law of [Formula: see text]. This result is due to the colored noise of incompressible fluids, resulting in a nonzero first moment for the thermal force when conditioned on nonzero initial velocities. These results are a step toward the unraveling of nonequilibrium dynamics of fluids.</w:t>
      </w:r>
    </w:p>
    <w:p>
      <w:pPr>
        <w:spacing w:before="120" w:after="120"/>
      </w:pPr>
      <w:r>
        <w:rPr>
          <w:sz w:val="18"/>
        </w:rPr>
        <w:t>——————————————————————————————————————————————————————————————————————</w:t>
      </w:r>
    </w:p>
    <w:p>
      <w:pPr>
        <w:spacing w:before="160" w:after="40" w:line="240" w:lineRule="auto"/>
      </w:pPr>
      <w:r>
        <w:rPr>
          <w:b/>
        </w:rPr>
        <w:t xml:space="preserve">[456] </w:t>
      </w:r>
      <w:hyperlink r:id="rId714">
        <w:r>
          <w:rPr>
            <w:color w:val="1155CC"/>
            <w:u w:val="single"/>
          </w:rPr>
          <w:t>通过有氧凝胶解解和替代的TCA循环切分,菌菌感染促使上皮细胞的代谢重新编程。</w:t>
        </w:r>
      </w:hyperlink>
    </w:p>
    <w:p>
      <w:pPr>
        <w:spacing w:before="0" w:after="80"/>
      </w:pPr>
      <w:r>
        <w:rPr>
          <w:i/>
          <w:sz w:val="20"/>
        </w:rPr>
        <w:t>EN: Fungal infection drives metabolic reprogramming in epithelial cells via aerobic glycolysis and an alternative TCA cycle shunt</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15">
        <w:r>
          <w:rPr>
            <w:color w:val="1155CC"/>
            <w:u w:val="single"/>
          </w:rPr>
          <w:t>10.1126/sciadv.aea0405</w:t>
        </w:r>
      </w:hyperlink>
    </w:p>
    <w:p>
      <w:pPr>
        <w:spacing w:before="0" w:after="120"/>
      </w:pPr>
      <w:r>
        <w:rPr>
          <w:b/>
        </w:rPr>
        <w:t xml:space="preserve">Notes: </w:t>
      </w:r>
      <w:r>
        <w:t>abstract_source=pubmed</w:t>
      </w:r>
    </w:p>
    <w:p>
      <w:pPr>
        <w:spacing w:before="0" w:after="80" w:lineRule="auto" w:line="276"/>
      </w:pPr>
      <w:r>
        <w:rPr>
          <w:b/>
        </w:rPr>
        <w:t xml:space="preserve">摘要（ZH）: </w:t>
      </w:r>
      <w:r>
        <w:t>Candida albicans 诱发的甲状腺免疫新陈代谢变化促使免疫细胞的复杂反应。然而,C. albicans 是否以及如何导致对口腔上皮细胞(OEC)新陈代谢进行改造尚不清楚。在这里,我们在体外实验和病人活性活体中使用体外实验和病人活生素来证明,当C. albicans 受C. albicans 感染时,OEC会进行代谢性再编程,而C. albicans 与开明性分泌分离无关,增加玻璃分解,并减少三oxboxylical酸(TCA)循环活动。Glyco解析和甘蔗迁移抑制表明,这些途径支持OEC 细胞外皮细胞释放,强调通过细胞新陈代谢部分控制抗芬性上皮细胞免疫。然而,葡萄糖补充会干扰CEEC在Vitro和Vivo中的反应,表明,这些真菌会从这些代变和 t中受益。</w:t>
      </w:r>
    </w:p>
    <w:p>
      <w:pPr>
        <w:spacing w:before="0" w:after="200" w:lineRule="auto" w:line="276"/>
      </w:pPr>
      <w:r>
        <w:rPr>
          <w:b/>
        </w:rPr>
        <w:t xml:space="preserve">Abstract (EN): </w:t>
      </w:r>
      <w:r>
        <w:t>Candida albicans-induced immunometabolic changes drive complex responses in immune cells. However, whether and how C. albicans causes remodeling of oral epithelial cell (OEC) metabolism is unclear. Here, we use in vitro experiments and patient biopsies to demonstrate that OECs undergo metabolic reprogramming when infected by C. albicans independently of candidalysin secretion, increasing glycolysis and decreasing tricarboxylic acid (TCA) cycle activity. Glycolysis and glucose transport inhibition show that these pathways support OEC cytokine release, highlighting the partial control of antifungal epithelial immunity by cellular metabolism. However, glucose supplementation disrupts OEC responses both in vitro and in vivo, suggesting that the fungus benefits from these metabolic shifts and that increased aerobic glycolysis in OECs is detrimental. Genome-scale metabolic modeling predicted a shutdown of the TCA cycle and a previously unidentified role for glutamic-oxaloacetic transaminase 1 (GOT1) in response to C. albicans, which was subsequently shown to be important for OEC survival during infection. This study reveals a fundamental role for hexose metabolism and identifies a GOT1-mediated TCA cycle shunt in regulating OEC survival and immune responses during mucosal fungal infections.</w:t>
      </w:r>
    </w:p>
    <w:p>
      <w:pPr>
        <w:spacing w:before="120" w:after="120"/>
      </w:pPr>
      <w:r>
        <w:rPr>
          <w:sz w:val="18"/>
        </w:rPr>
        <w:t>——————————————————————————————————————————————————————————————————————</w:t>
      </w:r>
    </w:p>
    <w:p>
      <w:pPr>
        <w:spacing w:before="160" w:after="40" w:line="240" w:lineRule="auto"/>
      </w:pPr>
      <w:r>
        <w:rPr>
          <w:b/>
        </w:rPr>
        <w:t xml:space="preserve">[457] </w:t>
      </w:r>
      <w:hyperlink r:id="rId716">
        <w:r>
          <w:rPr>
            <w:color w:val="1155CC"/>
            <w:u w:val="single"/>
          </w:rPr>
          <w:t>自我调适渗透是软抽吸湿粘合中的分离</w:t>
        </w:r>
      </w:hyperlink>
    </w:p>
    <w:p>
      <w:pPr>
        <w:spacing w:before="0" w:after="80"/>
      </w:pPr>
      <w:r>
        <w:rPr>
          <w:i/>
          <w:sz w:val="20"/>
        </w:rPr>
        <w:t>EN: Self-modifying percolation governs detachment in soft suction wet adhesion</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17">
        <w:r>
          <w:rPr>
            <w:color w:val="1155CC"/>
            <w:u w:val="single"/>
          </w:rPr>
          <w:t>10.1126/sciadv.aeb4013</w:t>
        </w:r>
      </w:hyperlink>
    </w:p>
    <w:p>
      <w:pPr>
        <w:spacing w:before="0" w:after="120"/>
      </w:pPr>
      <w:r>
        <w:rPr>
          <w:b/>
        </w:rPr>
        <w:t xml:space="preserve">Notes: </w:t>
      </w:r>
      <w:r>
        <w:t>abstract_source=pubmed</w:t>
      </w:r>
    </w:p>
    <w:p>
      <w:pPr>
        <w:spacing w:before="0" w:after="80" w:lineRule="auto" w:line="276"/>
      </w:pPr>
      <w:r>
        <w:rPr>
          <w:b/>
        </w:rPr>
        <w:t xml:space="preserve">摘要（ZH）: </w:t>
      </w:r>
      <w:r>
        <w:t>章鱼等水生动物使用软抽吸杯来解决粗表面湿附加物的持久性挑战。 分离长期以来被描述为受雷诺兹式压力梯度制约的光滑排水。 将抽吸杯- 基质界面之间对流体层的波时压力映射与流体层的凝胶成像相结合, 我们揭示了压力平衡的两阶段、 无平衡路径, 从而挑战常规观点。 抽吸诱发的弹性变形动态改造间流体, 产生一个自相叠合的压力通道系统。 第一阶段受外向移动入侵- 渗透抽吸前端和扩散式缩放法的制约。 当内部抽吸低于临界值时, 网络将打开全球, 第二阶段随后进行。</w:t>
      </w:r>
    </w:p>
    <w:p>
      <w:pPr>
        <w:spacing w:before="0" w:after="200" w:lineRule="auto" w:line="276"/>
      </w:pPr>
      <w:r>
        <w:rPr>
          <w:b/>
        </w:rPr>
        <w:t xml:space="preserve">Abstract (EN): </w:t>
      </w:r>
      <w:r>
        <w:t>Aquatic animals such as octopuses use soft suction cups to solve the persistent challenge of wet attachment on rough surfaces. Detachment has long been described as smooth drainage governed by a Reynolds-type pressure gradient. Combining spatiotemporal pressure mapping with confocal imaging of the fluid layer between a suction cup-substrate interface, we reveal a two-stage, nonequilibrium pathway for pressure equalization that challenges this conventional view. Suction-induced elastic deformation dynamically remodels the interfacial fluid, producing a self-coupled pressure channel system. Stage I is governed by an outward-moving invasion-percolation suction front with diffusion-like scaling. When internal suction falls below a critical value, the network opens globally, and stage II follows classical Poiseuille drainage. This mechanism defines a self-modifying percolation in which the flow remodels its own pathways, which advances our understanding of biological suction and viscous adhesion and suggests design principles for long-lived wet adhesives and hydrogel microfluidics.</w:t>
      </w:r>
    </w:p>
    <w:p>
      <w:pPr>
        <w:spacing w:before="120" w:after="120"/>
      </w:pPr>
      <w:r>
        <w:rPr>
          <w:sz w:val="18"/>
        </w:rPr>
        <w:t>——————————————————————————————————————————————————————————————————————</w:t>
      </w:r>
    </w:p>
    <w:p>
      <w:pPr>
        <w:spacing w:before="160" w:after="40" w:line="240" w:lineRule="auto"/>
      </w:pPr>
      <w:r>
        <w:rPr>
          <w:b/>
        </w:rPr>
        <w:t xml:space="preserve">[458] </w:t>
      </w:r>
      <w:hyperlink r:id="rId718">
        <w:r>
          <w:rPr>
            <w:color w:val="1155CC"/>
            <w:u w:val="single"/>
          </w:rPr>
          <w:t>NMDA受管者GluN2A子单元的线性全线分布便利了GluN2B至GluN2A开关和合成突变成熟</w:t>
        </w:r>
      </w:hyperlink>
    </w:p>
    <w:p>
      <w:pPr>
        <w:spacing w:before="0" w:after="80"/>
      </w:pPr>
      <w:r>
        <w:rPr>
          <w:i/>
          <w:sz w:val="20"/>
        </w:rPr>
        <w:t>EN: Linear ubiquitination of the NMDA receptor GluN2A subunit facilitates the GluN2B-to-GluN2A switch and synaptic maturation</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719">
        <w:r>
          <w:rPr>
            <w:color w:val="1155CC"/>
            <w:u w:val="single"/>
          </w:rPr>
          <w:t>10.1073/pnas.2515389123</w:t>
        </w:r>
      </w:hyperlink>
    </w:p>
    <w:p>
      <w:pPr>
        <w:spacing w:before="0" w:after="120"/>
      </w:pPr>
      <w:r>
        <w:rPr>
          <w:b/>
        </w:rPr>
        <w:t xml:space="preserve">Notes: </w:t>
      </w:r>
      <w:r>
        <w:t>abstract_source=pubmed</w:t>
      </w:r>
    </w:p>
    <w:p>
      <w:pPr>
        <w:spacing w:before="0" w:after="80" w:lineRule="auto" w:line="276"/>
      </w:pPr>
      <w:r>
        <w:rPr>
          <w:b/>
        </w:rPr>
        <w:t xml:space="preserve">摘要（ZH）: </w:t>
      </w:r>
      <w:r>
        <w:t>N-Met-D-spartate型谷类受体(NMDARs)开始使用合成塑料,作为学习和记忆的基础。在前脑刺激神经元中,NMDARs是由两个GluN1子单元和两个NMDA 亚单元(GluN2A)或GluN2B子单元组成的热四色体。在出生时,NMDARs主要含有GluN2B,但在几周内,含有GluN2A的受体占前脑,占成人时NMDAR总数的65%以上。这种快速的子单元切换对新生儿认知发展至关重要,但驱动它的机制仍然不清楚。特别是,虽然GluN2B的值保持相对稳定,但GluN2A的值增加了几百倍,尽管其 mRNA仅上升了~10倍,这强烈表明未知的后导管会参与。</w:t>
      </w:r>
    </w:p>
    <w:p>
      <w:pPr>
        <w:spacing w:before="0" w:after="200" w:lineRule="auto" w:line="276"/>
      </w:pPr>
      <w:r>
        <w:rPr>
          <w:b/>
        </w:rPr>
        <w:t xml:space="preserve">Abstract (EN): </w:t>
      </w:r>
      <w:r>
        <w:t>N-methyl-D-aspartate-type glutamate receptors (NMDARs) initiate the synaptic plasticity underlying learning and memory. In forebrain excitatory neurons, NMDARs are heteromeric tetramers composed of two GluN1 subunits and two glutamate ionotropic receptor NMDA type subunit 2A (GluN2A) or GluN2B subunits. At birth, NMDARs contain primarily GluN2B, but within weeks, GluN2A-containing receptors predominate the forebrain, comprising over 65% of total NMDARs in adulthood. This rapid subunit switch is essential for neonatal cognitive development, yet mechanisms driving it remain unclear. Particularly, while GluN2B levels remain relatively constant, GluN2A increases several 100-fold, despite its mRNA rising by only ~10-fold, strongly suggesting involvement of unknown posttranslational regulation. Here, we show that in the neonatal mouse forebrain, the linear ubiquitination axis, composed of the E3 ligase complex LUBAC and the deubiquitinase OTULIN, shifts transiently toward higher activity, with HOIP upregulated and OTULIN downregulated. In neonatal mice, experimentally reducing the axis activity by OTULIN overexpression causes persistent synaptic immaturity and adult cognitive deficits. Using proteomic and biochemical assays, we identified GluN2A as a key substrate: Linear ubiquitination at six lysines in the GluN2A C-terminus stabilizes the subunit and promotes its synaptic expression, whereas disrupting this modification destabilizes GluN2A by promoting lysosomal degradation. Consistently, overexpression of wild-type GluN2A rescues OTULIN-induced synaptic immaturity, whereas the ubiquitination-deficient GluN2A-6KR mutant fails to rescue and further exacerbates this defect. OTULIN overexpression selectively promotes GluN2A degradation, thereby delaying the GluN2B-to-GluN2A switch and synaptic maturation. These findings reveal a role for the linear ubiquitination axis in selectively stabilizing GluN2A, supporting rapid synaptic and cognitive development.</w:t>
      </w:r>
    </w:p>
    <w:p>
      <w:pPr>
        <w:spacing w:before="120" w:after="120"/>
      </w:pPr>
      <w:r>
        <w:rPr>
          <w:sz w:val="18"/>
        </w:rPr>
        <w:t>——————————————————————————————————————————————————————————————————————</w:t>
      </w:r>
    </w:p>
    <w:p>
      <w:pPr>
        <w:spacing w:before="160" w:after="40" w:line="240" w:lineRule="auto"/>
      </w:pPr>
      <w:r>
        <w:rPr>
          <w:b/>
        </w:rPr>
        <w:t xml:space="preserve">[459] </w:t>
      </w:r>
      <w:hyperlink r:id="rId720">
        <w:r>
          <w:rPr>
            <w:color w:val="1155CC"/>
            <w:u w:val="single"/>
          </w:rPr>
          <w:t>对DNADNA序列的高度敏感、蛋白独立检测</w:t>
        </w:r>
      </w:hyperlink>
    </w:p>
    <w:p>
      <w:pPr>
        <w:spacing w:before="0" w:after="80"/>
      </w:pPr>
      <w:r>
        <w:rPr>
          <w:i/>
          <w:sz w:val="20"/>
        </w:rPr>
        <w:t>EN: High-sensitivity, protein-independent detection of dsDNA sequences</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721">
        <w:r>
          <w:rPr>
            <w:color w:val="1155CC"/>
            <w:u w:val="single"/>
          </w:rPr>
          <w:t>10.1073/pnas.2515765123</w:t>
        </w:r>
      </w:hyperlink>
    </w:p>
    <w:p>
      <w:pPr>
        <w:spacing w:before="0" w:after="120"/>
      </w:pPr>
      <w:r>
        <w:rPr>
          <w:b/>
        </w:rPr>
        <w:t xml:space="preserve">Notes: </w:t>
      </w:r>
      <w:r>
        <w:t>abstract_source=pubmed</w:t>
      </w:r>
    </w:p>
    <w:p>
      <w:pPr>
        <w:spacing w:before="0" w:after="80" w:lineRule="auto" w:line="276"/>
      </w:pPr>
      <w:r>
        <w:rPr>
          <w:b/>
        </w:rPr>
        <w:t xml:space="preserve">摘要（ZH）: </w:t>
      </w:r>
      <w:r>
        <w:t>目前检测双层DNA(dsDNA)序列的方法要求将目标放大并放大成单层DNA(sDNA),以便能够通过华生-克克基对基配对进行序列检测,然而,这些方法受到以下风险的限制:非特定放大、依赖复杂、温度敏感蛋白酶、以及强烈基底或酸性环境等反应条件恶劣的复杂、对温度敏感的蛋白酶。在这里,我们引入了一种dsDNA检测平台,将双极核酸(PNA)结合为dsDNA耐饱和剂,在基于滴的系统中,多成分脱氧核糖核酸(sDNA)检测工具为多成分脱氧核酸。这种无蛋白和添加剂方法提供单核分裂溶解,检测到单一的dsDNA分子,并交付结果wi。</w:t>
      </w:r>
    </w:p>
    <w:p>
      <w:pPr>
        <w:spacing w:before="0" w:after="200" w:lineRule="auto" w:line="276"/>
      </w:pPr>
      <w:r>
        <w:rPr>
          <w:b/>
        </w:rPr>
        <w:t xml:space="preserve">Abstract (EN): </w:t>
      </w:r>
      <w:r>
        <w:t>Current methodologies for detecting the sequence of double-stranded DNA (dsDNA) require amplifying and denaturing the target into single-stranded DNA (ssDNA) to enable sequence detection through Watson-Crick base pairing. However, these approaches are limited by the risks of nonspecific amplification, reliance on complex, temperature-sensitive protein enzymes, and harsh reaction conditions, such as in strong base or acidic environments. Here, we introduce a dsDNA detection platform that integrates a peptide nucleic acid (PNA) as the dsDNA denaturation agent, with multicomponent deoxyribozyme as the ssDNA detection tool, in a droplet-based system. This protein- and amplification-free method offers single-nucleotide resolution, detects down to a single dsDNA molecule, and delivers results within 1 h at room temperature. This work introduces a conceptually unique approach, that may be useful for both diagnostics and therapeutics.</w:t>
      </w:r>
    </w:p>
    <w:p>
      <w:pPr>
        <w:spacing w:before="120" w:after="120"/>
      </w:pPr>
      <w:r>
        <w:rPr>
          <w:sz w:val="18"/>
        </w:rPr>
        <w:t>——————————————————————————————————————————————————————————————————————</w:t>
      </w:r>
    </w:p>
    <w:p>
      <w:pPr>
        <w:spacing w:before="160" w:after="40" w:line="240" w:lineRule="auto"/>
      </w:pPr>
      <w:r>
        <w:rPr>
          <w:b/>
        </w:rPr>
        <w:t xml:space="preserve">[460] </w:t>
      </w:r>
      <w:hyperlink r:id="rId722">
        <w:r>
          <w:rPr>
            <w:color w:val="1155CC"/>
            <w:u w:val="single"/>
          </w:rPr>
          <w:t>地下岩层洞洞穴大气中金属营养物的高效率甲烷消耗:不可辩驳的甲烷汇</w:t>
        </w:r>
      </w:hyperlink>
    </w:p>
    <w:p>
      <w:pPr>
        <w:spacing w:before="0" w:after="80"/>
      </w:pPr>
      <w:r>
        <w:rPr>
          <w:i/>
          <w:sz w:val="20"/>
        </w:rPr>
        <w:t>EN: High-efficiency methane consumption by atmospheric methanotrophs in subsurface karst caves: The irrefutable methane sink</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23">
        <w:r>
          <w:rPr>
            <w:color w:val="1155CC"/>
            <w:u w:val="single"/>
          </w:rPr>
          <w:t>10.1126/sciadv.ady5942</w:t>
        </w:r>
      </w:hyperlink>
    </w:p>
    <w:p>
      <w:pPr>
        <w:spacing w:before="0" w:after="120"/>
      </w:pPr>
      <w:r>
        <w:rPr>
          <w:b/>
        </w:rPr>
        <w:t xml:space="preserve">Notes: </w:t>
      </w:r>
      <w:r>
        <w:t>abstract_source=pubmed</w:t>
      </w:r>
    </w:p>
    <w:p>
      <w:pPr>
        <w:spacing w:before="0" w:after="80" w:lineRule="auto" w:line="276"/>
      </w:pPr>
      <w:r>
        <w:rPr>
          <w:b/>
        </w:rPr>
        <w:t xml:space="preserve">摘要（ZH）: </w:t>
      </w:r>
      <w:r>
        <w:t>我们检测到甲烷氧化率上升,从2.9 + 0.1 + 90.7 + 4.5 ngg-1/hour-1,同时向洞穴沉积物供应百万分之2至500(ppm) CH4, 由大气中甲酸盐养殖地上土壤质团(USCGM)负责这一氧化作用的土壤质团(USCGM)又被分配到Candidatus家族(Ca.)的3个基因组,其中包括2个以前未被承认的基因组:纳米尺度二级离子质谱成像仪和13C-PLFA(磷脂脂肪酸)和13CH4供养的13CH4微孔的13CO2确认甲烷为碳和能源来源。</w:t>
      </w:r>
    </w:p>
    <w:p>
      <w:pPr>
        <w:spacing w:before="0" w:after="200" w:lineRule="auto" w:line="276"/>
      </w:pPr>
      <w:r>
        <w:rPr>
          <w:b/>
        </w:rPr>
        <w:t xml:space="preserve">Abstract (EN): </w:t>
      </w:r>
      <w:r>
        <w:t>Subsurface karst systems represent substantial but underexplored methane sinks, yet the identities and activities of cave-dwelling methanotrophs remain poorly characterized. We detected increased methane oxidation rates from 2.9 ± 0.1 to 90.7 ± 4.5 ng·g-1·hour-1 while supplied with 2 to 500 parts per million (ppm) CH4 to cave sediments. Atmospheric methanotroph Upland Soil Clusters γ (USCγ), responsible for this oxidation, was further assigned to three genera within the family Candidatus (Ca.) Methyloligotrophaceae, including two previously unrecognized genera. Nano-scale secondary ion mass spectrometry (NanoSIMS) imaging and the produced 13C-PLFAs (phospholipid fatty acids) and 13CO2 in 13CH4-fed microcosm confirmed methane as both carbon and energy sources. These methanotrophs exhibited low half-saturation constant (Km; 138.8 ± 15.8 ppm), high carbon assimilation efficiency (&gt;50%), and metabolic versatility, as revealed by metagenomics and metatranscriptomics analyses. By extrapolating global distribution of Ca. Methyloligotrophaceae and comparing methane oxidation rates between caves and soil ecosystems, we conservatively estimate that subsurface karst in southwest China sequester ~0.56 Tg CH4 annually. These findings highlight the ecological importance of karst ecosystems as a previously overlooked methane sink.</w:t>
      </w:r>
    </w:p>
    <w:p>
      <w:pPr>
        <w:spacing w:before="120" w:after="120"/>
      </w:pPr>
      <w:r>
        <w:rPr>
          <w:sz w:val="18"/>
        </w:rPr>
        <w:t>——————————————————————————————————————————————————————————————————————</w:t>
      </w:r>
    </w:p>
    <w:p>
      <w:pPr>
        <w:spacing w:before="160" w:after="40" w:line="240" w:lineRule="auto"/>
      </w:pPr>
      <w:r>
        <w:rPr>
          <w:b/>
        </w:rPr>
        <w:t xml:space="preserve">[461] </w:t>
      </w:r>
      <w:hyperlink r:id="rId724">
        <w:r>
          <w:rPr>
            <w:color w:val="1155CC"/>
            <w:u w:val="single"/>
          </w:rPr>
          <w:t>认知精确度的日常波动预测领域一般意图行为差距</w:t>
        </w:r>
      </w:hyperlink>
    </w:p>
    <w:p>
      <w:pPr>
        <w:spacing w:before="0" w:after="80"/>
      </w:pPr>
      <w:r>
        <w:rPr>
          <w:i/>
          <w:sz w:val="20"/>
        </w:rPr>
        <w:t>EN: Day-to-day fluctuations in cognitive precision predict the domain-general intention-behavior gap</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25">
        <w:r>
          <w:rPr>
            <w:color w:val="1155CC"/>
            <w:u w:val="single"/>
          </w:rPr>
          <w:t>10.1126/sciadv.aea8697</w:t>
        </w:r>
      </w:hyperlink>
    </w:p>
    <w:p>
      <w:pPr>
        <w:spacing w:before="0" w:after="120"/>
      </w:pPr>
      <w:r>
        <w:rPr>
          <w:b/>
        </w:rPr>
        <w:t xml:space="preserve">Notes: </w:t>
      </w:r>
      <w:r>
        <w:t>abstract_source=pubmed</w:t>
      </w:r>
    </w:p>
    <w:p>
      <w:pPr>
        <w:spacing w:before="0" w:after="80" w:lineRule="auto" w:line="276"/>
      </w:pPr>
      <w:r>
        <w:rPr>
          <w:b/>
        </w:rPr>
        <w:t xml:space="preserve">摘要（ZH）: </w:t>
      </w:r>
      <w:r>
        <w:t>更好的认知功能有助于缩小目标和行为之间差距的想法似乎是不言自明的,但实证工作发现认知任务业绩与现实世界、目标相关结果之间的个体联系异常薄弱。在这里,我们通过从特级分析向州级分析转变来解决这一悖论。 利用微任务设计来衡量认知功能、目标设定和目标进展、情绪、睡眠和动机方面的日常波动,对大学生进行为期12周的密集纵向研究(N=184,时间点=9248),我们显示,在学前和学前,在一般领域一般认知处理精确度方面,人内部上升,并预测在学术和非学术领域,甚至在康托里,在同一天自我报告的目标和成就的设定和完成情况。</w:t>
      </w:r>
    </w:p>
    <w:p>
      <w:pPr>
        <w:spacing w:before="0" w:after="200" w:lineRule="auto" w:line="276"/>
      </w:pPr>
      <w:r>
        <w:rPr>
          <w:b/>
        </w:rPr>
        <w:t xml:space="preserve">Abstract (EN): </w:t>
      </w:r>
      <w:r>
        <w:t>The idea that better cognitive functioning helps to close the gap between goals and behavior seems self-evident, yet empirical work has found unusually weak interindividual associations between cognitive task performance and real-world, goal-relevant outcomes. Here, we resolve this paradox by shifting from trait-level to state-level analysis. Leveraging a microtask design to measure daily fluctuations in cognitive function, goal setting and goal progress, mood, sleep, and motivation over a 12-week intensive longitudinal study of university students (N = 184, time points = 9248), we show that within-person upswings in domain-general cognitive processing precision precede and predict same-day self-reported goal setting and achievement across both academic and nonacademic domains, even controlling for other factors. A one-standard-deviation change in cognitive precision had an effect statistically equivalent to ~40 min of work, with similar or larger predictive effects compared to fluctuations in mood/motivation and no moderation by trait-level self-control or conscientiousness. Our work addresses long-standing controversies and highlights the power of intraindividual analysis to reveal relationships missed by cross-sectional approaches.</w:t>
      </w:r>
    </w:p>
    <w:p>
      <w:pPr>
        <w:spacing w:before="120" w:after="120"/>
      </w:pPr>
      <w:r>
        <w:rPr>
          <w:sz w:val="18"/>
        </w:rPr>
        <w:t>——————————————————————————————————————————————————————————————————————</w:t>
      </w:r>
    </w:p>
    <w:p>
      <w:pPr>
        <w:spacing w:before="160" w:after="40" w:line="240" w:lineRule="auto"/>
      </w:pPr>
      <w:r>
        <w:rPr>
          <w:b/>
        </w:rPr>
        <w:t xml:space="preserve">[462] </w:t>
      </w:r>
      <w:hyperlink r:id="rId726">
        <w:r>
          <w:rPr>
            <w:color w:val="1155CC"/>
            <w:u w:val="single"/>
          </w:rPr>
          <w:t>空间转录缩影学揭示了肿瘤微环境的微环境驱动亚型入侵性肿瘤。</w:t>
        </w:r>
      </w:hyperlink>
    </w:p>
    <w:p>
      <w:pPr>
        <w:spacing w:before="0" w:after="80"/>
      </w:pPr>
      <w:r>
        <w:rPr>
          <w:i/>
          <w:sz w:val="20"/>
        </w:rPr>
        <w:t>EN: Spatial transcriptomics reveals tumor microenvironment–driven subtypes of invasive lobular carcinoma</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727">
        <w:r>
          <w:rPr>
            <w:color w:val="1155CC"/>
            <w:u w:val="single"/>
          </w:rPr>
          <w:t>10.1073/pnas.2517567123</w:t>
        </w:r>
      </w:hyperlink>
    </w:p>
    <w:p>
      <w:pPr>
        <w:spacing w:before="0" w:after="120"/>
      </w:pPr>
      <w:r>
        <w:rPr>
          <w:b/>
        </w:rPr>
        <w:t xml:space="preserve">Notes: </w:t>
      </w:r>
      <w:r>
        <w:t>abstract_source=pubmed</w:t>
      </w:r>
    </w:p>
    <w:p>
      <w:pPr>
        <w:spacing w:before="0" w:after="80" w:lineRule="auto" w:line="276"/>
      </w:pPr>
      <w:r>
        <w:rPr>
          <w:b/>
        </w:rPr>
        <w:t xml:space="preserve">摘要（ZH）: </w:t>
      </w:r>
      <w:r>
        <w:t>血管肿瘤是乳腺癌第二大常见的亚类型,与非特殊类型乳腺癌相比,表现出独特的临床和生物行为。然而,目前的分子分类在很大程度上忽略了其复杂的空间组织和肿瘤微观环境。在这里,我们对43个荷尔蒙受体阳性、HER2-阴性(HR+/HER2-)的ILC肿瘤进行了空间记录组学,并配有详细的形态说明和长期临床跟踪。通过将空间基因表达与病理学和单细胞分解相结合,我们确定了TME的构成和结构,并揭示了高异系间和内遗传性。空间聚变发现细胞群和与临床结果相关的路径。</w:t>
      </w:r>
    </w:p>
    <w:p>
      <w:pPr>
        <w:spacing w:before="0" w:after="200" w:lineRule="auto" w:line="276"/>
      </w:pPr>
      <w:r>
        <w:rPr>
          <w:b/>
        </w:rPr>
        <w:t xml:space="preserve">Abstract (EN): </w:t>
      </w:r>
      <w:r>
        <w:t>Invasive lobular carcinoma (ILC) is the second most common histological subtype of breast cancer and displays distinct clinical and biological behavior compared to breast cancer of no special type. However, current molecular classifications largely overlook its complex spatial organization and tumor microenvironment (TME). Here, we performed spatial transcriptomics on 43 hormone receptor-positive, HER2-negative (HR+/HER2-) ILC tumors with detailed morphological annotation and long-term clinical follow-up. By integrating spatial gene expression with histology and single-cell deconvolution, we characterized the composition and architecture of the TME and revealed high inter- and intratumor heterogeneity. Spatial clustering uncovered cell populations and pathways linked to clinical outcome. We then developed a multimodal classification of ILC by integrating gene expression, morphology, and spatial metrics, identifying four distinct subtypes: normal/stroma-enriched (NSE), proliferative (P), androgen receptor-enriched (ARE), and metabolic/immune-enriched (MIE). These subtypes, collectively termed ILC4TME, reflect the interplay between tumor and microenvironmental features. Gene signatures derived from the spatial data enabled subtype assignment in external bulk RNA-seq and microarray datasets (SCAN-B, METABRIC), revealing reproducible biology and significant associations with survival. In multivariable models, ILC4TME retained prognostic value beyond established gene signatures and clinicopathological variables. Notably, the P subtype was linked to poor prognosis, even in patients treated with endocrine therapy alone, while the NSE subtype was associated with favorable outcomes. Our findings uncover spatial and cellular heterogeneity in ILC that is not captured by existing classification approaches, offering a refined framework for risk stratification and therapeutic targeting based on tumor microenvironment architecture.</w:t>
      </w:r>
    </w:p>
    <w:p>
      <w:pPr>
        <w:spacing w:before="120" w:after="120"/>
      </w:pPr>
      <w:r>
        <w:rPr>
          <w:sz w:val="18"/>
        </w:rPr>
        <w:t>——————————————————————————————————————————————————————————————————————</w:t>
      </w:r>
    </w:p>
    <w:p>
      <w:pPr>
        <w:spacing w:before="160" w:after="40" w:line="240" w:lineRule="auto"/>
      </w:pPr>
      <w:r>
        <w:rPr>
          <w:b/>
        </w:rPr>
        <w:t xml:space="preserve">[463] </w:t>
      </w:r>
      <w:hyperlink r:id="rId728">
        <w:r>
          <w:rPr>
            <w:color w:val="1155CC"/>
            <w:u w:val="single"/>
          </w:rPr>
          <w:t>古老的荷敏因的被入侵的线粒体碎片改变核基因组在现代人类中的功能</w:t>
        </w:r>
      </w:hyperlink>
    </w:p>
    <w:p>
      <w:pPr>
        <w:spacing w:before="0" w:after="80"/>
      </w:pPr>
      <w:r>
        <w:rPr>
          <w:i/>
          <w:sz w:val="20"/>
        </w:rPr>
        <w:t>EN: Introgressed mitochondrial fragments from archaic hominins alter nuclear genome function in modern humans</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29">
        <w:r>
          <w:rPr>
            <w:color w:val="1155CC"/>
            <w:u w:val="single"/>
          </w:rPr>
          <w:t>10.1126/sciadv.aea0706</w:t>
        </w:r>
      </w:hyperlink>
    </w:p>
    <w:p>
      <w:pPr>
        <w:spacing w:before="0" w:after="120"/>
      </w:pPr>
      <w:r>
        <w:rPr>
          <w:b/>
        </w:rPr>
        <w:t xml:space="preserve">Notes: </w:t>
      </w:r>
      <w:r>
        <w:t>abstract_source=pubmed</w:t>
      </w:r>
    </w:p>
    <w:p>
      <w:pPr>
        <w:spacing w:before="0" w:after="80" w:lineRule="auto" w:line="276"/>
      </w:pPr>
      <w:r>
        <w:rPr>
          <w:b/>
        </w:rPr>
        <w:t xml:space="preserve">摘要（ZH）: </w:t>
      </w:r>
      <w:r>
        <w:t>古老的进化在现代人类中引入了与功能相关的变体,但小规模的插入仍未得到充分研究。在这里,我们利用了2519个现代人类基因组和四个高覆盖的古老人类基因组系统化地定性核线粒子体DNA部分(NUMTs ) 。我们发现了全球不同人口群中的483个多形态NUMTs 和10个古老基因组中的10个。通过将重叠与尼安德特人和杰尼索亚人衍生的包状型、植物基因分析、插入时间估计和机型共位化相结合,我们确定了5个通过古老的原型反射向引入现代人类的NUMTs 。功能分析显示,被侵袭的NUMTs可以调节基因表达方式,包括免疫相关基因RASGR。</w:t>
      </w:r>
    </w:p>
    <w:p>
      <w:pPr>
        <w:spacing w:before="0" w:after="200" w:lineRule="auto" w:line="276"/>
      </w:pPr>
      <w:r>
        <w:rPr>
          <w:b/>
        </w:rPr>
        <w:t xml:space="preserve">Abstract (EN): </w:t>
      </w:r>
      <w:r>
        <w:t>Archaic introgression introduced functionally relevant variants into modern humans, yet small-scale insertions remain understudied. Here, we leverage 2519 modern human genomes and four high-coverage archaic hominin genomes to systematically characterize nuclear mitochondrial DNA segments (NUMTs). We uncover 483 polymorphic NUMTs across globally diverse human populations and 10 in archaic genomes. By combining overlap with Neanderthal-derived and Denisovan-derived haplotypes, phylogenetic analyses, insertion time estimates, and haplotype colocalization, we identify five NUMTs introduced into modern humans via archaic hominin introgression. Functional analyses reveal that introgressed NUMTs can modulate gene expression, including allele-specific up-regulation of the immune-related gene RASGRP3, and reshape three-dimensional chromatin structure at loci such as SCD5 and HNRNPD. These findings highlight an underappreciated mechanism by which archaic mitochondrial fragments shape nuclear genome function and evolution. Our study reframes NUMTs not as passive genomic fossils but as dynamic elements influencing modern human diversity and adaptation.</w:t>
      </w:r>
    </w:p>
    <w:p>
      <w:pPr>
        <w:spacing w:before="120" w:after="120"/>
      </w:pPr>
      <w:r>
        <w:rPr>
          <w:sz w:val="18"/>
        </w:rPr>
        <w:t>——————————————————————————————————————————————————————————————————————</w:t>
      </w:r>
    </w:p>
    <w:p>
      <w:pPr>
        <w:spacing w:before="160" w:after="40" w:line="240" w:lineRule="auto"/>
      </w:pPr>
      <w:r>
        <w:rPr>
          <w:b/>
        </w:rPr>
        <w:t xml:space="preserve">[464] </w:t>
      </w:r>
      <w:hyperlink r:id="rId730">
        <w:r>
          <w:rPr>
            <w:color w:val="1155CC"/>
            <w:u w:val="single"/>
          </w:rPr>
          <w:t>单分子分子局部化显微分析显示内生膜受体的分子组织。</w:t>
        </w:r>
      </w:hyperlink>
    </w:p>
    <w:p>
      <w:pPr>
        <w:spacing w:before="0" w:after="80"/>
      </w:pPr>
      <w:r>
        <w:rPr>
          <w:i/>
          <w:sz w:val="20"/>
        </w:rPr>
        <w:t>EN: Single-molecule localization microscopy reveals the molecular organization of endogenous membrane receptors</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31">
        <w:r>
          <w:rPr>
            <w:color w:val="1155CC"/>
            <w:u w:val="single"/>
          </w:rPr>
          <w:t>10.1126/sciadv.aea2310</w:t>
        </w:r>
      </w:hyperlink>
    </w:p>
    <w:p>
      <w:pPr>
        <w:spacing w:before="0" w:after="120"/>
      </w:pPr>
      <w:r>
        <w:rPr>
          <w:b/>
        </w:rPr>
        <w:t xml:space="preserve">Notes: </w:t>
      </w:r>
      <w:r>
        <w:t>abstract_source=pubmed</w:t>
      </w:r>
    </w:p>
    <w:p>
      <w:pPr>
        <w:spacing w:before="0" w:after="80" w:lineRule="auto" w:line="276"/>
      </w:pPr>
      <w:r>
        <w:rPr>
          <w:b/>
        </w:rPr>
        <w:t xml:space="preserve">摘要（ZH）: </w:t>
      </w:r>
      <w:r>
        <w:t>与基因标签方法相结合的超分辨率显显显显显显显显显显性显性显性微显性显性显性显性显性微显性显性显性显性显性微显性显性显性显性微显性显性显性显性微性显性微性显性微性显性微性显性显性微性显性微性显性微性显性微性显性微性显性微性微性微性微性微性微性对细胞的定量和识别膜受体受体受体微性微性微性影响。我们开发了一种优化的免疫标签和分析程序,并通过解决内生CD45、CD69和Jurkat细胞的分子组织来证明这种方法的效用,我们研究了初级免疫疗法应用的相互作用。</w:t>
      </w:r>
    </w:p>
    <w:p>
      <w:pPr>
        <w:spacing w:before="0" w:after="200" w:lineRule="auto" w:line="276"/>
      </w:pPr>
      <w:r>
        <w:rPr>
          <w:b/>
        </w:rPr>
        <w:t xml:space="preserve">Abstract (EN): </w:t>
      </w:r>
      <w:r>
        <w:t>Super-resolution microscopy in combination with genetic labeling methods allows imaging of single proteins in cells. However, visualizing endogenous proteins on primary cells remains challenging due to the use of sterically demanding antibodies for labeling. Here, we demonstrate how immunolabeling conditions and antibody cross-linking influence the quantification and identification of membrane receptor stoichiometry on cells using single-molecule localization microscopy. We developed an optimized immunolabeling and analysis protocol and demonstrate the performance of the approach by resolving the molecular organization of endogenous CD45, CD69, and CD38 on Jurkat T cells. To demonstrate the usefulness of the method for immunotherapy applications, we investigated the interaction of primary multiple myeloma cells with the therapeutic monoclonal antibodies daratumumab and isatuximab and a polyclonal anti-CD38 antibody. Our approach might lay the foundation for improved personalized diagnostics and treatment with therapeutic antibodies.</w:t>
      </w:r>
    </w:p>
    <w:p>
      <w:pPr>
        <w:spacing w:before="120" w:after="120"/>
      </w:pPr>
      <w:r>
        <w:rPr>
          <w:sz w:val="18"/>
        </w:rPr>
        <w:t>——————————————————————————————————————————————————————————————————————</w:t>
      </w:r>
    </w:p>
    <w:p>
      <w:pPr>
        <w:spacing w:before="160" w:after="40" w:line="240" w:lineRule="auto"/>
      </w:pPr>
      <w:r>
        <w:rPr>
          <w:b/>
        </w:rPr>
        <w:t xml:space="preserve">[465] </w:t>
      </w:r>
      <w:hyperlink r:id="rId732">
        <w:r>
          <w:rPr>
            <w:color w:val="1155CC"/>
            <w:u w:val="single"/>
          </w:rPr>
          <w:t>一种核COBW/WW -- -- 大陆因素抑制了绿色alga Chlamydomonas Reinhardtii中的二氧化碳集中机制。</w:t>
        </w:r>
      </w:hyperlink>
    </w:p>
    <w:p>
      <w:pPr>
        <w:spacing w:before="0" w:after="80"/>
      </w:pPr>
      <w:r>
        <w:rPr>
          <w:i/>
          <w:sz w:val="20"/>
        </w:rPr>
        <w:t>EN: A nuclear CobW/WW-domain factor represses the CO2-concentrating mechanism in the green alga Chlamydomonas reinhardtii</w:t>
      </w:r>
    </w:p>
    <w:p>
      <w:pPr>
        <w:spacing w:before="0" w:after="120"/>
      </w:pPr>
      <w:r>
        <w:rPr>
          <w:b/>
        </w:rPr>
        <w:t xml:space="preserve">Source: </w:t>
      </w:r>
      <w:r>
        <w:t>Proceedings of the National Academy of Sciences: Keyword search for query</w:t>
      </w:r>
      <w:r>
        <w:t xml:space="preserve">    </w:t>
      </w:r>
      <w:r>
        <w:rPr>
          <w:b/>
        </w:rPr>
        <w:t xml:space="preserve">Pub date: </w:t>
      </w:r>
      <w:r>
        <w:t>2026-02-04 08:00:00+00:00</w:t>
      </w:r>
      <w:r>
        <w:t xml:space="preserve">    </w:t>
      </w:r>
      <w:r>
        <w:rPr>
          <w:b/>
        </w:rPr>
        <w:t xml:space="preserve">DOI: </w:t>
      </w:r>
      <w:hyperlink r:id="rId733">
        <w:r>
          <w:rPr>
            <w:color w:val="1155CC"/>
            <w:u w:val="single"/>
          </w:rPr>
          <w:t>10.1073/pnas.2518136123</w:t>
        </w:r>
      </w:hyperlink>
    </w:p>
    <w:p>
      <w:pPr>
        <w:spacing w:before="0" w:after="120"/>
      </w:pPr>
      <w:r>
        <w:rPr>
          <w:b/>
        </w:rPr>
        <w:t xml:space="preserve">Notes: </w:t>
      </w:r>
      <w:r>
        <w:t>abstract_source=pubmed</w:t>
      </w:r>
    </w:p>
    <w:p>
      <w:pPr>
        <w:spacing w:before="0" w:after="80" w:lineRule="auto" w:line="276"/>
      </w:pPr>
      <w:r>
        <w:rPr>
          <w:b/>
        </w:rPr>
        <w:t xml:space="preserve">摘要（ZH）: </w:t>
      </w:r>
      <w:r>
        <w:t>在二氧化碳有限的情况下,微藻会诱导一个二氧化碳集聚机制(CCM)来维持光合作用。由于这个系统消耗大量光合生成的ATP,因此当二氧化碳含量上升时抑制它对于能源平衡至关重要,但基本机制仍然不清楚。在这里,我们在绿色的alga Chlamydomonasrehardtie中发现了CCM的核抑制器。CCCM1/CIA5号总活体互动伙伴的拉下屏幕显示一种与CCM1密切关联的未经鉴定的蛋白质。这个蛋白质、CCCCM1结合的蛋白质1(CBP1)、一个CobW/CobW_CGTP结合的金属开花激素模块与蛋白质-蛋白相互作用的WWM-may特性相结合。CBP1号总活性与CCM1在核中共同定位和互动,不管CO2条件如何。</w:t>
      </w:r>
    </w:p>
    <w:p>
      <w:pPr>
        <w:spacing w:before="0" w:after="200" w:lineRule="auto" w:line="276"/>
      </w:pPr>
      <w:r>
        <w:rPr>
          <w:b/>
        </w:rPr>
        <w:t xml:space="preserve">Abstract (EN): </w:t>
      </w:r>
      <w:r>
        <w:t>Microalgae induce a CO2-concentrating mechanism (CCM) to maintain photosynthesis when CO2 is limited. Because this system consumes a substantial portion of photosynthetically generated ATP, its suppression when CO2 levels rise is critical for energy balance, yet the underlying mechanism remains unclear. Here, we identify a nuclear repressor of the CCM in the green alga Chlamydomonas reinhardtii. A pull-down screen for interacting partners of the master activator CCM1/CIA5 revealed an uncharacterized protein that tightly associates with CCM1. This protein, CCM1-binding protein 1 (CBP1), combines a CobW/CobW_C GTP-binding metallochaperone module with a WW-domain characteristic of protein-protein interactions. CBP1 colocalizes and interacts with CCM1 in the nucleus regardless of CO2 conditions. Disruption of CBP1 does not affect growth or CCM induction under CO2 limitation but derepresses 27 of 41 CCM1-dependent low-CO2 inducible genes under high-CO2 conditions. These include the periplasmic and intracellular carbonic anhydrases (CAH1 and LCIB) and inorganic carbon transporters/channels (LCIA, LCI1, BST1, and BST3). Consistently, cbp1 mutants accumulate CAH1 and LCIB proteins and exhibit 40% higher inorganic carbon affinity under high-CO2 conditions; this phenotype is rescued by CBP1 complementation or by acetazolamide treatment. Crucially, cbp1 mutants exhibit significant growth delays under high-CO2 conditions, especially when light is limiting, providing direct evidence that CBP1-mediated repression is essential for energy conservation. Thus, CBP1 prevents unnecessary CCM activity when CO2 is abundant, acting upstream of both transporter/channel and carbonic anhydrase modules. Our findings suggest a regulatory mechanism potentially linking zinc-dependent protein chemistry to CCM gene repression, providing insights into energy-efficient CO2 sensing in aquatic photosynthetic organisms.</w:t>
      </w:r>
    </w:p>
    <w:p>
      <w:pPr>
        <w:spacing w:before="120" w:after="120"/>
      </w:pPr>
      <w:r>
        <w:rPr>
          <w:sz w:val="18"/>
        </w:rPr>
        <w:t>——————————————————————————————————————————————————————————————————————</w:t>
      </w:r>
    </w:p>
    <w:p>
      <w:pPr>
        <w:spacing w:before="160" w:after="40" w:line="240" w:lineRule="auto"/>
      </w:pPr>
      <w:r>
        <w:rPr>
          <w:b/>
        </w:rPr>
        <w:t xml:space="preserve">[466] </w:t>
      </w:r>
      <w:hyperlink r:id="rId734">
        <w:r>
          <w:rPr>
            <w:color w:val="1155CC"/>
            <w:u w:val="single"/>
          </w:rPr>
          <w:t>非侵入性光声光声学计算出用于纵向脑成像的透镜镜镜像学</w:t>
        </w:r>
      </w:hyperlink>
    </w:p>
    <w:p>
      <w:pPr>
        <w:spacing w:before="0" w:after="80"/>
      </w:pPr>
      <w:r>
        <w:rPr>
          <w:i/>
          <w:sz w:val="20"/>
        </w:rPr>
        <w:t>EN: Noninvasive photoacoustic computed mesoscopy for longitudinal brain imaging</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35">
        <w:r>
          <w:rPr>
            <w:color w:val="1155CC"/>
            <w:u w:val="single"/>
          </w:rPr>
          <w:t>10.1126/sciadv.aea1602</w:t>
        </w:r>
      </w:hyperlink>
    </w:p>
    <w:p>
      <w:pPr>
        <w:spacing w:before="0" w:after="120"/>
      </w:pPr>
      <w:r>
        <w:rPr>
          <w:b/>
        </w:rPr>
        <w:t xml:space="preserve">Notes: </w:t>
      </w:r>
      <w:r>
        <w:t>abstract_source=pubmed</w:t>
      </w:r>
    </w:p>
    <w:p>
      <w:pPr>
        <w:spacing w:before="0" w:after="80" w:lineRule="auto" w:line="276"/>
      </w:pPr>
      <w:r>
        <w:rPr>
          <w:b/>
        </w:rPr>
        <w:t xml:space="preserve">摘要（ZH）: </w:t>
      </w:r>
      <w:r>
        <w:t>光声成像已成为直视大脑形态、功能和新陈代谢的强大工具,但严重的光散和脑内高频声学减低使光声脑成像的性能退化。为了解决这种局限性,我们提议对完整鼠脑内的脑血管非侵入性、高分辨率和纵向直观性进行线基光声学计算光声学计算法(PACMes)的非侵入性、高分辨率和脑血管纵向直观化。</w:t>
      </w:r>
    </w:p>
    <w:p>
      <w:pPr>
        <w:spacing w:before="0" w:after="200" w:lineRule="auto" w:line="276"/>
      </w:pPr>
      <w:r>
        <w:rPr>
          <w:b/>
        </w:rPr>
        <w:t xml:space="preserve">Abstract (EN): </w:t>
      </w:r>
      <w:r>
        <w:t>Photoacoustic imaging has become a powerful tool for visualizing the brain morphology, function, and metabolism. However, severe optical scattering and high-frequency acoustic attenuation within the brain degrade the performance of photoacoustic brain imaging. To address such limitation, we propose a line scanning-based photoacoustic computed mesoscopic (PACMes) approach for noninvasive, high-resolution, and longitudinal visualization of cerebral vasculature inside the intact mouse brain. This technique uses converging near-infrared (NIR) lines scanned at multiple angles for tight optical excitation; a low-frequency, full-ring ultrasound transducer array for high-sensitivity detection; and a compound reconstruction algorithm integrating filtered back-projection and optical localization of photoacoustic signals to recover the image. We perform long-term (&gt;5 months), noninvasive imaging of the entire cortex of mice through the intact scalp and skull with a field of view of 13 millimeters and a spatial resolution of 33 micrometers. The results demonstrate the potential of PACMes for investigating brain function and disease.</w:t>
      </w:r>
    </w:p>
    <w:p>
      <w:pPr>
        <w:spacing w:before="120" w:after="120"/>
      </w:pPr>
      <w:r>
        <w:rPr>
          <w:sz w:val="18"/>
        </w:rPr>
        <w:t>——————————————————————————————————————————————————————————————————————</w:t>
      </w:r>
    </w:p>
    <w:p>
      <w:pPr>
        <w:spacing w:before="160" w:after="40" w:line="240" w:lineRule="auto"/>
      </w:pPr>
      <w:r>
        <w:rPr>
          <w:b/>
        </w:rPr>
        <w:t xml:space="preserve">[467] </w:t>
      </w:r>
      <w:hyperlink r:id="rId736">
        <w:r>
          <w:rPr>
            <w:color w:val="1155CC"/>
            <w:u w:val="single"/>
          </w:rPr>
          <w:t>克服宿主限制,使 GII.3 人类肠肠内肠内肠胃病毒得以连续通过</w:t>
        </w:r>
      </w:hyperlink>
    </w:p>
    <w:p>
      <w:pPr>
        <w:spacing w:before="0" w:after="80"/>
      </w:pPr>
      <w:r>
        <w:rPr>
          <w:i/>
          <w:sz w:val="20"/>
        </w:rPr>
        <w:t>EN: Overcoming host restrictions to enable continuous passaging of GII.3 human norovirus in human intestinal enteroids</w:t>
      </w:r>
    </w:p>
    <w:p>
      <w:pPr>
        <w:spacing w:before="0" w:after="120"/>
      </w:pPr>
      <w:r>
        <w:rPr>
          <w:b/>
        </w:rPr>
        <w:t xml:space="preserve">Source: </w:t>
      </w:r>
      <w:r>
        <w:t>AAAS: Science Advances: Table of Contents</w:t>
      </w:r>
      <w:r>
        <w:t xml:space="preserve">    </w:t>
      </w:r>
      <w:r>
        <w:rPr>
          <w:b/>
        </w:rPr>
        <w:t xml:space="preserve">Pub date: </w:t>
      </w:r>
      <w:r>
        <w:t>2026-02-04 08:00:00+00:00</w:t>
      </w:r>
      <w:r>
        <w:t xml:space="preserve">    </w:t>
      </w:r>
      <w:r>
        <w:rPr>
          <w:b/>
        </w:rPr>
        <w:t xml:space="preserve">DOI: </w:t>
      </w:r>
      <w:hyperlink r:id="rId737">
        <w:r>
          <w:rPr>
            <w:color w:val="1155CC"/>
            <w:u w:val="single"/>
          </w:rPr>
          <w:t>10.1126/sciadv.aeb0455</w:t>
        </w:r>
      </w:hyperlink>
    </w:p>
    <w:p>
      <w:pPr>
        <w:spacing w:before="0" w:after="120"/>
      </w:pPr>
      <w:r>
        <w:rPr>
          <w:b/>
        </w:rPr>
        <w:t xml:space="preserve">Notes: </w:t>
      </w:r>
      <w:r>
        <w:t>abstract_source=pubmed</w:t>
      </w:r>
    </w:p>
    <w:p>
      <w:pPr>
        <w:spacing w:before="0" w:after="80" w:lineRule="auto" w:line="276"/>
      </w:pPr>
      <w:r>
        <w:rPr>
          <w:b/>
        </w:rPr>
        <w:t xml:space="preserve">摘要（ZH）: </w:t>
      </w:r>
      <w:r>
        <w:t>将人类肠内肠质素(HIEs)作为人类肠道病毒(HuNoV)复制模式的建立,对于研究胃肠炎这一主要原因来说,已经产生了变革性的影响,然而,在HIE中无限期通过HuNoVs仍然是一项挑战,需要将病人的凳样样本用作病毒异丙醇。我们利用RNA-seq,将CXCL10、CXCL11和CCL5确定为高度管制的化学物质,表明其潜力是宿主限制因素。TAK-779,CXCR3/CR5/CCR2敌国,加强GII.3 HuNoV的复制和以剂量和时间独立的方式传播病毒,使得GII.3 HuNoV在两种不同的HIE线上成功通过和产生病毒库存。</w:t>
      </w:r>
    </w:p>
    <w:p>
      <w:pPr>
        <w:spacing w:before="0" w:after="200" w:lineRule="auto" w:line="276"/>
      </w:pPr>
      <w:r>
        <w:rPr>
          <w:b/>
        </w:rPr>
        <w:t xml:space="preserve">Abstract (EN): </w:t>
      </w:r>
      <w:r>
        <w:t>The establishment of human intestinal enteroids (HIEs) as a model for human norovirus (HuNoV) replication has been transformative for studying this leading cause of gastroenteritis. However, indefinite passaging of HuNoVs in HIEs remained a challenge, necessitating the use of patient stool samples as viral inocula. Using RNA-seq, we identified CXCL10, CXCL11, and CCL5 as up-regulated chemokines, suggesting their potential as host restriction factors. TAK-779, a CXCR3/CCR5/CCR2 antagonist, enhanced GII.3 HuNoV replication and viral spread in a dose- and time-dependent manner, enabling successful passaging of GII.3 HuNoV in two different HIE lines and generation of viral stocks. Sequencing passaged virus revealed one consensus change in the major capsid protein and several dynamic adaptations, suggesting emergence of variants. TAK-779 also enhanced replication of GI.1 and GII.17 strains, but not GII.4, suggesting strain-specific host interactions. This breakthrough in passaging provides insight into HuNoV-host interactions, establishes a scalable in vitro system for virus propagation, and opens avenues for structural, biochemical, and therapeutic studies.</w:t>
      </w:r>
    </w:p>
    <w:p>
      <w:pPr>
        <w:spacing w:before="120" w:after="120"/>
      </w:pPr>
      <w:r>
        <w:rPr>
          <w:sz w:val="18"/>
        </w:rPr>
        <w:t>——————————————————————————————————————————————————————————————————————</w:t>
      </w:r>
    </w:p>
    <w:p>
      <w:pPr>
        <w:spacing w:before="160" w:after="40" w:line="240" w:lineRule="auto"/>
      </w:pPr>
      <w:r>
        <w:rPr>
          <w:b/>
        </w:rPr>
        <w:t xml:space="preserve">[468] </w:t>
      </w:r>
      <w:hyperlink r:id="rId738">
        <w:r>
          <w:rPr>
            <w:color w:val="1155CC"/>
            <w:u w:val="single"/>
          </w:rPr>
          <w:t>[ASAP] 高效卤素 高效卤素 光光辐照性有机框架</w:t>
        </w:r>
      </w:hyperlink>
    </w:p>
    <w:p>
      <w:pPr>
        <w:spacing w:before="0" w:after="80"/>
      </w:pPr>
      <w:r>
        <w:rPr>
          <w:i/>
          <w:sz w:val="20"/>
        </w:rPr>
        <w:t>EN: [ASAP] Efficient Halogen Radical-Mediated Photosynthesis of Cyclic Carbonates over Perylene Diimide-Grafted Zirconium Metal–Organic Frameworks with Visible Light Irradiation</w:t>
      </w:r>
    </w:p>
    <w:p>
      <w:pPr>
        <w:spacing w:before="0" w:after="120"/>
      </w:pPr>
      <w:r>
        <w:rPr>
          <w:b/>
        </w:rPr>
        <w:t xml:space="preserve">Source: </w:t>
      </w:r>
      <w:r>
        <w:t>Journal of the American Chemical Society: Latest Articles (ACS Publications)</w:t>
      </w:r>
      <w:r>
        <w:t xml:space="preserve">    </w:t>
      </w:r>
      <w:r>
        <w:rPr>
          <w:b/>
        </w:rPr>
        <w:t xml:space="preserve">Pub date: </w:t>
      </w:r>
      <w:r>
        <w:t>2026-02-04 09:07:13+00:00</w:t>
      </w:r>
      <w:r>
        <w:t xml:space="preserve">    </w:t>
      </w:r>
      <w:r>
        <w:rPr>
          <w:b/>
        </w:rPr>
        <w:t xml:space="preserve">DOI: </w:t>
      </w:r>
      <w:hyperlink r:id="rId739">
        <w:r>
          <w:rPr>
            <w:color w:val="1155CC"/>
            <w:u w:val="single"/>
          </w:rPr>
          <w:t>10.1021/jacs.5c17348</w:t>
        </w:r>
      </w:hyperlink>
    </w:p>
    <w:p>
      <w:pPr>
        <w:spacing w:before="0" w:after="120"/>
      </w:pPr>
      <w:r>
        <w:rPr>
          <w:b/>
        </w:rPr>
        <w:t xml:space="preserve">Notes: </w:t>
      </w:r>
      <w:r>
        <w:t>abstract_source=pubmed</w:t>
      </w:r>
    </w:p>
    <w:p>
      <w:pPr>
        <w:spacing w:before="0" w:after="80" w:lineRule="auto" w:line="276"/>
      </w:pPr>
      <w:r>
        <w:rPr>
          <w:b/>
        </w:rPr>
        <w:t xml:space="preserve">摘要（ZH）: </w:t>
      </w:r>
      <w:r>
        <w:t>这项工作展示了一种高效的卤素基介介导光阻光催光催化剂途径,以克服二氧化碳循环循环与氧化物的动动能瓶颈,以产生循环碳酸盐。一种新的有机无机纳米杂交纳米光催化剂是智能设计和制造的,其方法是用UiO-66-NH2金属机体框架(UZN)将丙烯二氧化物循环添加到可见光线下(420 nm)的丙烯氧化物(PO)以进行循环。PDI和UZN细胞通过氨化桥连接,形成二型血压界面,前者作为洞收集器,包括B-、Cl-、F-和I-的卤素离子直接氧化到基体,后者作为电子接收器,CO2在爆炸中被吸收。</w:t>
      </w:r>
    </w:p>
    <w:p>
      <w:pPr>
        <w:spacing w:before="0" w:after="200" w:lineRule="auto" w:line="276"/>
      </w:pPr>
      <w:r>
        <w:rPr>
          <w:b/>
        </w:rPr>
        <w:t xml:space="preserve">Abstract (EN): </w:t>
      </w:r>
      <w:r>
        <w:t>This work demonstrates an efficient halogen radical-mediated photocatalytic route for overcoming the kinetic bottleneck of CO2 cycloaddition with epoxides to produce cyclic carbonates. A novel organic-inorganic nanohybrid photocatalyst is smartly designed and prepared by grafting of perylene-3,4,9,10-tetracarboxylic diimide (PDI) molecules with UiO-66-NH2 metal-organic frameworks (UZN) to perform cycloaddition of CO2 to propylene oxide (PO) under visible light (λ ≥ 420 nm) irradiation. The PDI and UZN moieties are linked by an amide bridge to form a type II heterojunction interface, and the former serves as the hole collector, where halogen anions including Br-, Cl-, F-, and I- are directly oxidized to radicals, and the latter acts as the electron acceptor, where CO2 is adsorbed on the exposed Zr sites of [ZrO6] units and reduced to CO2-• radicals. The optimal PDI-UZN photocatalyst achieves an impressive propylene carbonate (PC) yield of 99.4% at a production rate of 34.1 mmol·g-1·h-1, with a benchmark apparent quantum efficiency of 35.9% at 400 nm. The combination of characterization results and density functional theory calculation clearly reveals that the formed Br• radicals are preferential to attacking the C-O bonds of PO adsorbed over the PDI moiety to generate C2H6-BrC-O• intermediates, which react with CO2-•, finally producing propylene carbonate (PC) by dehalogenation. The findings provide general guidance to design efficient photocatalysts for CO2 fixation and green organic photosynthesis.</w:t>
      </w:r>
    </w:p>
    <w:p>
      <w:pPr>
        <w:spacing w:before="120" w:after="120"/>
      </w:pPr>
      <w:r>
        <w:rPr>
          <w:sz w:val="18"/>
        </w:rPr>
        <w:t>——————————————————————————————————————————————————————————————————————</w:t>
      </w:r>
    </w:p>
    <w:p>
      <w:pPr>
        <w:spacing w:before="160" w:after="40" w:line="240" w:lineRule="auto"/>
      </w:pPr>
      <w:r>
        <w:rPr>
          <w:b/>
        </w:rPr>
        <w:t xml:space="preserve">[469] </w:t>
      </w:r>
      <w:hyperlink r:id="rId740">
        <w:r>
          <w:rPr>
            <w:color w:val="1155CC"/>
            <w:u w:val="single"/>
          </w:rPr>
          <w:t>[ASAP] 短波红外红外红外红外线</w:t>
        </w:r>
      </w:hyperlink>
    </w:p>
    <w:p>
      <w:pPr>
        <w:spacing w:before="0" w:after="80"/>
      </w:pPr>
      <w:r>
        <w:rPr>
          <w:i/>
          <w:sz w:val="20"/>
        </w:rPr>
        <w:t>EN: [ASAP] Short-Wave Infrared InAs Quantum-Dot Light-Emitting Diodes with Tunable Electroluminescence beyond 1.4 μm</w:t>
      </w:r>
    </w:p>
    <w:p>
      <w:pPr>
        <w:spacing w:before="0" w:after="120"/>
      </w:pPr>
      <w:r>
        <w:rPr>
          <w:b/>
        </w:rPr>
        <w:t xml:space="preserve">Source: </w:t>
      </w:r>
      <w:r>
        <w:t>ACS Energy Letters: Latest Articles (ACS Publications)</w:t>
      </w:r>
      <w:r>
        <w:t xml:space="preserve">    </w:t>
      </w:r>
      <w:r>
        <w:rPr>
          <w:b/>
        </w:rPr>
        <w:t xml:space="preserve">Pub date: </w:t>
      </w:r>
      <w:r>
        <w:t>2026-02-04 09:17:11+00:00</w:t>
      </w:r>
      <w:r>
        <w:t xml:space="preserve">    </w:t>
      </w:r>
      <w:r>
        <w:rPr>
          <w:b/>
        </w:rPr>
        <w:t xml:space="preserve">DOI: </w:t>
      </w:r>
      <w:hyperlink r:id="rId741">
        <w:r>
          <w:rPr>
            <w:color w:val="1155CC"/>
            <w:u w:val="single"/>
          </w:rPr>
          <w:t>10.1021/acsenergylett.5c03820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[470] </w:t>
      </w:r>
      <w:hyperlink r:id="rId742">
        <w:r>
          <w:rPr>
            <w:color w:val="1155CC"/>
            <w:u w:val="single"/>
          </w:rPr>
          <w:t>用于超高速和高分辨率无线电摄影的 Exciton Exciton Expciton Expulte- Exintillator 用于超高速和高分辨率无线电摄影的压缩Sintillator</w:t>
        </w:r>
      </w:hyperlink>
    </w:p>
    <w:p>
      <w:pPr>
        <w:spacing w:before="0" w:after="80"/>
      </w:pPr>
      <w:r>
        <w:rPr>
          <w:i/>
          <w:sz w:val="20"/>
        </w:rPr>
        <w:t>EN: Exciton Diffusion‐Suppressed Scintillator for Ultrafast and High‐Resolution Radiography</w:t>
      </w:r>
    </w:p>
    <w:p>
      <w:pPr>
        <w:spacing w:before="0" w:after="120"/>
      </w:pPr>
      <w:r>
        <w:rPr>
          <w:b/>
        </w:rPr>
        <w:t xml:space="preserve">Source: </w:t>
      </w:r>
      <w:r>
        <w:t>Wiley: Advanced Materials: Table of Contents</w:t>
      </w:r>
      <w:r>
        <w:t xml:space="preserve">    </w:t>
      </w:r>
      <w:r>
        <w:rPr>
          <w:b/>
        </w:rPr>
        <w:t xml:space="preserve">Pub date: </w:t>
      </w:r>
      <w:r>
        <w:t>2026-02-04 09:24:27+00:00</w:t>
      </w:r>
      <w:r>
        <w:t xml:space="preserve">    </w:t>
      </w:r>
      <w:r>
        <w:rPr>
          <w:b/>
        </w:rPr>
        <w:t xml:space="preserve">DOI: </w:t>
      </w:r>
      <w:hyperlink r:id="rId743">
        <w:r>
          <w:rPr>
            <w:color w:val="1155CC"/>
            <w:u w:val="single"/>
          </w:rPr>
          <w:t>10.1002/adma.202521327</w:t>
        </w:r>
      </w:hyperlink>
    </w:p>
    <w:p>
      <w:pPr>
        <w:spacing w:before="0" w:after="120"/>
      </w:pPr>
      <w:r>
        <w:rPr>
          <w:b/>
        </w:rPr>
        <w:t xml:space="preserve">Notes: </w:t>
      </w:r>
      <w:r>
        <w:t>abstract_source=crossref</w:t>
      </w:r>
    </w:p>
    <w:p>
      <w:pPr>
        <w:spacing w:before="0" w:after="80" w:lineRule="auto" w:line="276"/>
      </w:pPr>
      <w:r>
        <w:rPr>
          <w:b/>
        </w:rPr>
        <w:t xml:space="preserve">摘要（ZH）: </w:t>
      </w:r>
      <w:r>
        <w:t>ABSTACT 有机有机机性混合焚化炉 PEA 2 PbBr 4 已成为极快辐射成像应用、脉冲辐射场瞬时诊断和医疗放射诊断的有希望的快速焚化炉,但是,由于稀散散散散散散散散散散散散散散的散装激素的辐射再组合效率低下,其性能由于高能X射线振动下显著延长的衰变时间而受到限制。 此外,在高质量、大面积单一晶体的生长和加工方面遇到的困难阻碍了可扩展的焚化屏幕的开发。</w:t>
      </w:r>
    </w:p>
    <w:p>
      <w:pPr>
        <w:spacing w:before="0" w:after="200" w:lineRule="auto" w:line="276"/>
      </w:pPr>
      <w:r>
        <w:rPr>
          <w:b/>
        </w:rPr>
        <w:t xml:space="preserve">Abstract (EN): </w:t>
      </w:r>
      <w:r>
        <w:t>Organic‐inorganic hybrid scintillator PEA</w:t>
      </w:r>
      <w:r>
        <w:rPr>
          <w:vertAlign w:val="subscript"/>
        </w:rPr>
        <w:t>2</w:t>
      </w:r>
      <w:r>
        <w:t>PbBr</w:t>
      </w:r>
      <w:r>
        <w:rPr>
          <w:vertAlign w:val="subscript"/>
        </w:rPr>
        <w:t>4</w:t>
      </w:r>
      <w:r>
        <w:t>has emerged as a promising fast scintillator for applications in ultrafast radiation imaging, transient diagnosis of pulsed radiation fields, and medical radiodiagnosis. However, its performance is limited by notably prolonged decay times under high‐energy X‐ray excitation due to inefficient radiative recombination of sparsely distributed bulk excitons. Furthermore, the difficulty in growing and processing high‐quality, large‐area single crystals hinders the development of scalable scintillation screens. Here, we report a general fabrication strategy for large‐area uniform scintillation screens that synergistically enhances the decay time and imaging resolution under X‐ray excitation by suppressing bulk exciton diffusion in PEA</w:t>
      </w:r>
      <w:r>
        <w:rPr>
          <w:vertAlign w:val="subscript"/>
        </w:rPr>
        <w:t>2</w:t>
      </w:r>
      <w:r>
        <w:t>PbBr</w:t>
      </w:r>
      <w:r>
        <w:rPr>
          <w:vertAlign w:val="subscript"/>
        </w:rPr>
        <w:t>4</w:t>
      </w:r>
      <w:r>
        <w:t>. By leveraging the spatial confinement of nano‐porous templates, we reduce the dimensionality of PEA</w:t>
      </w:r>
      <w:r>
        <w:rPr>
          <w:vertAlign w:val="subscript"/>
        </w:rPr>
        <w:t>2</w:t>
      </w:r>
      <w:r>
        <w:t>PbBr</w:t>
      </w:r>
      <w:r>
        <w:rPr>
          <w:vertAlign w:val="subscript"/>
        </w:rPr>
        <w:t>4</w:t>
      </w:r>
      <w:r>
        <w:t>from bulk single crystals to uniform 1D nanowires, leading to spatial localization of bulk excitons. This localization significantly shortens the radioluminescence decay time from 11.85 to 1.87 ns. Meanwhile, the regularly aligned periodic optical waveguide structure enables directional propagation of scintillation photons along the nanowires, yielding high spatial resolution imaging (57.1 lp/mm at MTF = 0.2). This work provides a viable approach for advancing the application of organic‐inorganic hybrid scintillators in ultrafast radiation imaging.</w:t>
      </w:r>
    </w:p>
    <w:p>
      <w:pPr>
        <w:spacing w:before="120" w:after="120"/>
      </w:pPr>
      <w:r>
        <w:rPr>
          <w:sz w:val="18"/>
        </w:rPr>
        <w:t>——————————————————————————————————————————————————————————————————————</w:t>
      </w:r>
    </w:p>
    <w:p>
      <w:pPr>
        <w:spacing w:before="160" w:after="40" w:line="240" w:lineRule="auto"/>
      </w:pPr>
      <w:r>
        <w:rPr>
          <w:b/>
        </w:rPr>
        <w:t xml:space="preserve">[471] </w:t>
      </w:r>
      <w:hyperlink r:id="rId744">
        <w:r>
          <w:rPr>
            <w:color w:val="1155CC"/>
            <w:u w:val="single"/>
          </w:rPr>
          <w:t>用于深海海底肿瘤治疗的穿刺耐雷综合光纤和NIRII活化热敏感热感热凝胶</w:t>
        </w:r>
      </w:hyperlink>
    </w:p>
    <w:p>
      <w:pPr>
        <w:spacing w:before="0" w:after="80"/>
      </w:pPr>
      <w:r>
        <w:rPr>
          <w:i/>
          <w:sz w:val="20"/>
        </w:rPr>
        <w:t>EN: Puncture‐Needle‐Integrated Optical Fibers and NIR‐II‐Activated Thermosensitive Hydrogels for Deep‐Seated Tumor Therapy</w:t>
      </w:r>
    </w:p>
    <w:p>
      <w:pPr>
        <w:spacing w:before="0" w:after="120"/>
      </w:pPr>
      <w:r>
        <w:rPr>
          <w:b/>
        </w:rPr>
        <w:t xml:space="preserve">Source: </w:t>
      </w:r>
      <w:r>
        <w:t>Wiley: Advanced Materials: Table of Contents</w:t>
      </w:r>
      <w:r>
        <w:t xml:space="preserve">    </w:t>
      </w:r>
      <w:r>
        <w:rPr>
          <w:b/>
        </w:rPr>
        <w:t xml:space="preserve">Pub date: </w:t>
      </w:r>
      <w:r>
        <w:t>2026-02-04 09:31:55+00:00</w:t>
      </w:r>
      <w:r>
        <w:t xml:space="preserve">    </w:t>
      </w:r>
      <w:r>
        <w:rPr>
          <w:b/>
        </w:rPr>
        <w:t xml:space="preserve">DOI: </w:t>
      </w:r>
      <w:hyperlink r:id="rId745">
        <w:r>
          <w:rPr>
            <w:color w:val="1155CC"/>
            <w:u w:val="single"/>
          </w:rPr>
          <w:t>10.1002/adma.202517632</w:t>
        </w:r>
      </w:hyperlink>
    </w:p>
    <w:p>
      <w:pPr>
        <w:spacing w:before="0" w:after="120"/>
      </w:pPr>
      <w:r>
        <w:rPr>
          <w:b/>
        </w:rPr>
        <w:t xml:space="preserve">Notes: </w:t>
      </w:r>
      <w:r>
        <w:t>abstract_source=crossref</w:t>
      </w:r>
    </w:p>
    <w:p>
      <w:pPr>
        <w:spacing w:before="0" w:after="80" w:lineRule="auto" w:line="276"/>
      </w:pPr>
      <w:r>
        <w:rPr>
          <w:b/>
        </w:rPr>
        <w:t xml:space="preserve">摘要（ZH）: </w:t>
      </w:r>
      <w:r>
        <w:t>利用光纤进行“内外”激光辐照的中间PTT(SW8@Gel)是一种很有希望的解决办法,本研究报告建议建立一个药物诊断综合平台,由一条刺穿针协助,将刺激性凝胶与球状聚合物(SPOF)相结合,以克服双重挑战:光热剂保存不足和光学渗透不足。</w:t>
      </w:r>
    </w:p>
    <w:p>
      <w:pPr>
        <w:spacing w:before="0" w:after="200" w:lineRule="auto" w:line="276"/>
      </w:pPr>
      <w:r>
        <w:rPr>
          <w:b/>
        </w:rPr>
        <w:t xml:space="preserve">Abstract (EN): </w:t>
      </w:r>
      <w:r>
        <w:t>Deep‐seated tumors are difficult to treat because of their location, conventional treatment resistance, and limited light penetration during photothermal therapy (PTT). Interstitial PTT with “inside‐out” laser irradiation using optical fibers (OFs) offers a promising solution. This study proposes a drug‐device integrated platform assisted by a puncture needle combining stimuli‐responsive hydrogels with a spherical‐tip polymer OF (</w:t>
      </w:r>
      <w:r>
        <w:t xml:space="preserve"> </w:t>
      </w:r>
      <w:r>
        <w:t>SPOF</w:t>
      </w:r>
      <w:r>
        <w:t xml:space="preserve"> </w:t>
      </w:r>
      <w:r>
        <w:t>) to overcome dual challenges: Inadequate photothermal agent retention and insufficient optical penetration. The injectable thermosensitive hydrogel (</w:t>
      </w:r>
      <w:r>
        <w:t xml:space="preserve"> </w:t>
      </w:r>
      <w:r>
        <w:t>SW8@Gel</w:t>
      </w:r>
      <w:r>
        <w:t xml:space="preserve"> </w:t>
      </w:r>
      <w:r>
        <w:t>), composed of Pluronic F127 and aza‐boron‐dipyrromethene‐derived</w:t>
      </w:r>
      <w:r>
        <w:t xml:space="preserve"> </w:t>
      </w:r>
      <w:r>
        <w:t>SW8</w:t>
      </w:r>
      <w:r>
        <w:t xml:space="preserve"> </w:t>
      </w:r>
      <w:r>
        <w:t>nanoparticles, rapidly undergoes sol–gel transition at 38°C, facilitating localized and sustained delivery of the photothermal agent. The flexible low‐bending‐loss</w:t>
      </w:r>
      <w:r>
        <w:t xml:space="preserve"> </w:t>
      </w:r>
      <w:r>
        <w:t>SPOF</w:t>
      </w:r>
      <w:r>
        <w:t xml:space="preserve"> </w:t>
      </w:r>
      <w:r>
        <w:t>emits 360° divergent near‐infrared II (1064 nm) light from its spherical tip, allowing single‐fiber illumination of deep‐seated tumors (penetration &amp;gt;10 cm) in complex biological environments. Integrating these components enables depth‐adaptive tumor ablation. Compared to other methods, the</w:t>
      </w:r>
      <w:r>
        <w:t xml:space="preserve"> </w:t>
      </w:r>
      <w:r>
        <w:t>SPOF</w:t>
      </w:r>
      <w:r>
        <w:t xml:space="preserve"> </w:t>
      </w:r>
      <w:r>
        <w:t>/</w:t>
      </w:r>
      <w:r>
        <w:t>SW8@Gel</w:t>
      </w:r>
      <w:r>
        <w:t xml:space="preserve"> </w:t>
      </w:r>
      <w:r>
        <w:t>combination demonstrates the lowest frequency and shortest duration for PTT of deep‐seated tumors and achieves superior efficacy, with a 90% tumor regression rate in mice models and no off‐target damage due to enhanced heating uniformity and reduced systemic toxicity. This platform offers a transformative clinically viable solution for precise ablation of deep malignancies, bridging advanced photonics and targeted oncotherapy.</w:t>
      </w:r>
    </w:p>
    <w:p>
      <w:pPr>
        <w:spacing w:before="120" w:after="120"/>
      </w:pPr>
      <w:r>
        <w:rPr>
          <w:sz w:val="18"/>
        </w:rPr>
        <w:t>——————————————————————————————————————————————————————————————————————</w:t>
      </w:r>
    </w:p>
    <w:p>
      <w:pPr>
        <w:spacing w:before="160" w:after="40" w:line="240" w:lineRule="auto"/>
      </w:pPr>
      <w:r>
        <w:rPr>
          <w:b/>
        </w:rPr>
        <w:t xml:space="preserve">[472] </w:t>
      </w:r>
      <w:hyperlink r:id="rId746">
        <w:r>
          <w:rPr>
            <w:color w:val="1155CC"/>
            <w:u w:val="single"/>
          </w:rPr>
          <w:t>[ASAP] 蛋白因电电阻电磁图显示自然和工程光板轻氧氧伏(LOV)域的单电离能源差距</w:t>
        </w:r>
      </w:hyperlink>
    </w:p>
    <w:p>
      <w:pPr>
        <w:spacing w:before="0" w:after="80"/>
      </w:pPr>
      <w:r>
        <w:rPr>
          <w:i/>
          <w:sz w:val="20"/>
        </w:rPr>
        <w:t>EN: [ASAP] Protein Electrostatics Tune the Singlet–Triplet Energy Gap in Natural and Engineered Phototropin Light-Oxygen-Voltage (LOV) Domains</w:t>
      </w:r>
    </w:p>
    <w:p>
      <w:pPr>
        <w:spacing w:before="0" w:after="120"/>
      </w:pPr>
      <w:r>
        <w:rPr>
          <w:b/>
        </w:rPr>
        <w:t xml:space="preserve">Source: </w:t>
      </w:r>
      <w:r>
        <w:t>Journal of the American Chemical Society: Latest Articles (ACS Publications)</w:t>
      </w:r>
      <w:r>
        <w:t xml:space="preserve">    </w:t>
      </w:r>
      <w:r>
        <w:rPr>
          <w:b/>
        </w:rPr>
        <w:t xml:space="preserve">Pub date: </w:t>
      </w:r>
      <w:r>
        <w:t>2026-02-04 09:37:23+00:00</w:t>
      </w:r>
      <w:r>
        <w:t xml:space="preserve">    </w:t>
      </w:r>
      <w:r>
        <w:rPr>
          <w:b/>
        </w:rPr>
        <w:t xml:space="preserve">DOI: </w:t>
      </w:r>
      <w:hyperlink r:id="rId747">
        <w:r>
          <w:rPr>
            <w:color w:val="1155CC"/>
            <w:u w:val="single"/>
          </w:rPr>
          <w:t>10.1021/jacs.5c21945</w:t>
        </w:r>
      </w:hyperlink>
    </w:p>
    <w:p>
      <w:pPr>
        <w:spacing w:before="0" w:after="120"/>
      </w:pPr>
      <w:r>
        <w:rPr>
          <w:b/>
        </w:rPr>
        <w:t xml:space="preserve">Notes: </w:t>
      </w:r>
      <w:r>
        <w:t>abstract_source=pubmed</w:t>
      </w:r>
    </w:p>
    <w:p>
      <w:pPr>
        <w:spacing w:before="0" w:after="80" w:lineRule="auto" w:line="276"/>
      </w:pPr>
      <w:r>
        <w:rPr>
          <w:b/>
        </w:rPr>
        <w:t xml:space="preserve">摘要（ZH）: </w:t>
      </w:r>
      <w:r>
        <w:t>光-氧氧-伏特加(LOV)域等光-光-氧氧-伏特(LOV)域等光活法质素(Flavopotateins)域作为脚架,通过序列突变调整其捆绑的法质同源体的光物理学。这一可变调效应导致开发了一系列基于LOV的工程设计液态蛋白,在一系列时间尺度上优化荧光、跨系统(ISC)、减少照片和/或吸附形成。为了更好地指导未来的工程工作,我们最近采用了LOV域的混合量量子机械/分子机械(QM/MM)模型,研究内部电斯塔克如何对Flavin的光物理学进行控制。这项工作侧重于从Arabidopsis Thaliana(AtLOVV)、Avena ativa(AsLOV)和Chramidonas Reinhardti(CrLOV)以及T的三组三个LOV2域。</w:t>
      </w:r>
    </w:p>
    <w:p>
      <w:pPr>
        <w:spacing w:before="0" w:after="200" w:lineRule="auto" w:line="276"/>
      </w:pPr>
      <w:r>
        <w:rPr>
          <w:b/>
        </w:rPr>
        <w:t xml:space="preserve">Abstract (EN): </w:t>
      </w:r>
      <w:r>
        <w:t>Photoactive flavoproteins such as Light-Oxygen-Voltage (LOV) domains serve as scaffolds for tuning the photophysics of their bound flavin cofactor through sequence mutations. This variable tuning effect has led to the development of a series of engineered LOV-based proteins that optimize fluorescence, intersystem crossing (ISC), photoreduction, and/or adduct formation over a range of time scales. To better guide future engineering efforts, we recently employed hybrid quantum mechanical/molecular mechanical (QM/MM) models of LOV domains to study how intradomain electrostatics exert control over flavin's photophysics. This work focuses on a series of three LOV1 and three LOV2 domains from Arabidopsis thaliana (AtLOV), Avena sativa (AsLOV), and Chlamydomonas reinhardtii (CrLOV), as well as two engineered protein variants used for singlet oxygen generation, miniSOG and SOPP3. The results, which include an analysis of conformational flexibility, energetics of low-lying singlet and triplet π,π* and n,π* states, and protein electrostatic projection maps, shed light on the variations in ISC efficiency in those systems. We found that LOV1 domains are more flexible than LOV2 domains and have consistently higher triplet n,π* (TnN,π*) energies when compared to the first optically active singlet π,π* (S1π,π*) state. This finding corroborates reports in the literature that ISC is typically less efficient in LOV1 domains. We also find that unfavorable triplet state energetics may provide an alternative explanation for a competing adduct formation directly from the singlet S1π,π* state in CrLOV2. In contrast, SOPP3 was found to have a smaller energy gap between the S1π,π* and TnN,π* compared to miniSOG and all other natural LOV domains, which explains its improved ability to sensitize triplet oxygen. Together, these results emphasize the importance of electrostatic tuning in controlling the efficiency of ISC in LOV domains. The results also indicate that a heavy-atom effect alone cannot explain efficient ISC, especially in Cys-devoid systems like SOPP3.</w:t>
      </w:r>
    </w:p>
    <w:p>
      <w:pPr>
        <w:spacing w:before="120" w:after="120"/>
      </w:pPr>
      <w:r>
        <w:rPr>
          <w:sz w:val="18"/>
        </w:rPr>
        <w:t>——————————————————————————————————————————————————————————————————————</w:t>
      </w:r>
    </w:p>
    <w:p>
      <w:pPr>
        <w:spacing w:before="160" w:after="40" w:line="240" w:lineRule="auto"/>
      </w:pPr>
      <w:r>
        <w:rPr>
          <w:b/>
        </w:rPr>
        <w:t xml:space="preserve">[473] </w:t>
      </w:r>
      <w:hyperlink r:id="rId748">
        <w:r>
          <w:rPr>
            <w:color w:val="1155CC"/>
            <w:u w:val="single"/>
          </w:rPr>
          <w:t>[ASAP] 热咸红色和感应近红外红外光电开关</w:t>
        </w:r>
      </w:hyperlink>
    </w:p>
    <w:p>
      <w:pPr>
        <w:spacing w:before="0" w:after="80"/>
      </w:pPr>
      <w:r>
        <w:rPr>
          <w:i/>
          <w:sz w:val="20"/>
        </w:rPr>
        <w:t>EN: [ASAP] Thermo-Bistable Red and Sensitized Near-Infrared Photoswitches</w:t>
      </w:r>
    </w:p>
    <w:p>
      <w:pPr>
        <w:spacing w:before="0" w:after="120"/>
      </w:pPr>
      <w:r>
        <w:rPr>
          <w:b/>
        </w:rPr>
        <w:t xml:space="preserve">Source: </w:t>
      </w:r>
      <w:r>
        <w:t>Journal of the American Chemical Society: Latest Articles (ACS Publications)</w:t>
      </w:r>
      <w:r>
        <w:t xml:space="preserve">    </w:t>
      </w:r>
      <w:r>
        <w:rPr>
          <w:b/>
        </w:rPr>
        <w:t xml:space="preserve">Pub date: </w:t>
      </w:r>
      <w:r>
        <w:t>2026-02-04 10:53:35+00:00</w:t>
      </w:r>
      <w:r>
        <w:t xml:space="preserve">    </w:t>
      </w:r>
      <w:r>
        <w:rPr>
          <w:b/>
        </w:rPr>
        <w:t xml:space="preserve">DOI: </w:t>
      </w:r>
      <w:hyperlink r:id="rId749">
        <w:r>
          <w:rPr>
            <w:color w:val="1155CC"/>
            <w:u w:val="single"/>
          </w:rPr>
          <w:t>10.1021/jacs.5c20020</w:t>
        </w:r>
      </w:hyperlink>
    </w:p>
    <w:p>
      <w:pPr>
        <w:spacing w:before="0" w:after="120"/>
      </w:pPr>
      <w:r>
        <w:rPr>
          <w:b/>
        </w:rPr>
        <w:t xml:space="preserve">Notes: </w:t>
      </w:r>
      <w:r>
        <w:t>abstract_source=pubmed</w:t>
      </w:r>
    </w:p>
    <w:p>
      <w:pPr>
        <w:spacing w:before="0" w:after="80" w:lineRule="auto" w:line="276"/>
      </w:pPr>
      <w:r>
        <w:rPr>
          <w:b/>
        </w:rPr>
        <w:t xml:space="preserve">摘要（ZH）: </w:t>
      </w:r>
      <w:r>
        <w:t>在红外和近红外(NIR)区域,大量寻求在生物系统、光电子装置和功能材料中应用分子光电装置和功能性材料,低能光能尽量减少光损坏,使深组织渗透;然而,开发光电开关,同时实现长波反应,以强力热二元和高量效率实现长波反应,仍是一项艰巨的挑战。在这里,我们报告,基于双乙烯二酰胺(PBI)的光电动模型(605 nm/730 nm),光电动模型具有内在的热双向反应(608 nm/730 nm),从而能够通过三重路径进一步实现前所未见的NIR(808 nm/730 nm)光异构化。</w:t>
      </w:r>
    </w:p>
    <w:p>
      <w:pPr>
        <w:spacing w:before="0" w:after="200" w:lineRule="auto" w:line="276"/>
      </w:pPr>
      <w:r>
        <w:rPr>
          <w:b/>
        </w:rPr>
        <w:t xml:space="preserve">Abstract (EN): </w:t>
      </w:r>
      <w:r>
        <w:t>Molecular photoswitching in the red and near-infrared (NIR) region is highly sought after for applications in biological systems, optoelectronic devices, and functional materials where low-energy light minimizes photodamage and enables deep-tissue penetration. However, developing photoswitches that simultaneously achieve long-wavelength responsiveness with robust thermal bistability and high quantum efficiency remains a formidable challenge. Here, we report an intrinsic thermo-bistable, red-light-responsive (605 nm/730 nm) photochromic motif based on a perylene bisimide (PBI) scaffold, which further enables an unprecedented sensitized NIR (808 nm/730 nm) photoisomerization through a triplet pathway. Rational side-chain engineering with aryl substituents of distinct aromaticity and electronic character finely tunes the transition-state energy barrier (ΔG‡ = 45.07 kcal mol-1), leading to exceptional thermal stability and a long-lived closed isomer. Further molecular engineering of PBI-based photoswitches also delivers high photoisomerization quantum yield, bright fluorescence, and near-quantitative photoconversion efficiency. This work provides a new photochromic motif that boosts the overall photochemical/thermal performances of molecular photoswitching at the red-light end, thereby enriching the structural and functional landscape of a high-performance photoswitching system. Demonstrations in dynamic cell-membrane imaging further highlight the potential of these PBI-based photoswitches as powerful photochemical platforms for advanced biomedical and optoelectronic applications.</w:t>
      </w:r>
    </w:p>
    <w:p>
      <w:pPr>
        <w:spacing w:before="120" w:after="120"/>
      </w:pPr>
      <w:r>
        <w:rPr>
          <w:sz w:val="18"/>
        </w:rPr>
        <w:t>——————————————————————————————————————————————————————————————————————</w:t>
      </w:r>
    </w:p>
    <w:p>
      <w:pPr>
        <w:spacing w:before="160" w:after="40" w:line="240" w:lineRule="auto"/>
      </w:pPr>
      <w:r>
        <w:rPr>
          <w:b/>
        </w:rPr>
        <w:t xml:space="preserve">[474] </w:t>
      </w:r>
      <w:hyperlink r:id="rId750">
        <w:r>
          <w:rPr>
            <w:color w:val="1155CC"/>
            <w:u w:val="single"/>
          </w:rPr>
          <w:t>[ASAP]迈向可持续电化学CO2的增值</w:t>
        </w:r>
      </w:hyperlink>
    </w:p>
    <w:p>
      <w:pPr>
        <w:spacing w:before="0" w:after="80"/>
      </w:pPr>
      <w:r>
        <w:rPr>
          <w:i/>
          <w:sz w:val="20"/>
        </w:rPr>
        <w:t>EN: [ASAP] Toward Sustainable Electrochemical CO2 Valorization</w:t>
      </w:r>
    </w:p>
    <w:p>
      <w:pPr>
        <w:spacing w:before="0" w:after="120"/>
      </w:pPr>
      <w:r>
        <w:rPr>
          <w:b/>
        </w:rPr>
        <w:t xml:space="preserve">Source: </w:t>
      </w:r>
      <w:r>
        <w:t>ACS Energy Letters: Latest Articles (ACS Publications)</w:t>
      </w:r>
      <w:r>
        <w:t xml:space="preserve">    </w:t>
      </w:r>
      <w:r>
        <w:rPr>
          <w:b/>
        </w:rPr>
        <w:t xml:space="preserve">Pub date: </w:t>
      </w:r>
      <w:r>
        <w:t>2026-02-04 11:12:25+00:00</w:t>
      </w:r>
      <w:r>
        <w:t xml:space="preserve">    </w:t>
      </w:r>
      <w:r>
        <w:rPr>
          <w:b/>
        </w:rPr>
        <w:t xml:space="preserve">DOI: </w:t>
      </w:r>
      <w:hyperlink r:id="rId751">
        <w:r>
          <w:rPr>
            <w:color w:val="1155CC"/>
            <w:u w:val="single"/>
          </w:rPr>
          <w:t>10.1021/acsenergylett.5c04160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[475] </w:t>
      </w:r>
      <w:hyperlink r:id="rId752">
        <w:r>
          <w:rPr>
            <w:color w:val="1155CC"/>
            <w:u w:val="single"/>
          </w:rPr>
          <w:t>[ASAP] H+/Ag+在i-Motif DNA基Friedel-Crafts反应中的Enantio选择性切换</w:t>
        </w:r>
      </w:hyperlink>
    </w:p>
    <w:p>
      <w:pPr>
        <w:spacing w:before="0" w:after="80"/>
      </w:pPr>
      <w:r>
        <w:rPr>
          <w:i/>
          <w:sz w:val="20"/>
        </w:rPr>
        <w:t>EN: [ASAP] H+/Ag+ Switch of Enantioselectivity in i-Motif DNA-Based Friedel–Crafts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2026-02-04 11:41:58+00:00</w:t>
      </w:r>
      <w:r>
        <w:t xml:space="preserve">    </w:t>
      </w:r>
      <w:r>
        <w:rPr>
          <w:b/>
        </w:rPr>
        <w:t xml:space="preserve">DOI: </w:t>
      </w:r>
      <w:hyperlink r:id="rId753">
        <w:r>
          <w:rPr>
            <w:color w:val="1155CC"/>
            <w:u w:val="single"/>
          </w:rPr>
          <w:t>10.1021/jacs.5c20057</w:t>
        </w:r>
      </w:hyperlink>
    </w:p>
    <w:p>
      <w:pPr>
        <w:spacing w:before="0" w:after="120"/>
      </w:pPr>
      <w:r>
        <w:rPr>
          <w:b/>
        </w:rPr>
        <w:t xml:space="preserve">Notes: </w:t>
      </w:r>
      <w:r>
        <w:t>abstract_source=pubmed</w:t>
      </w:r>
    </w:p>
    <w:p>
      <w:pPr>
        <w:spacing w:before="0" w:after="80" w:lineRule="auto" w:line="276"/>
      </w:pPr>
      <w:r>
        <w:rPr>
          <w:b/>
        </w:rPr>
        <w:t xml:space="preserve">摘要（ZH）: </w:t>
      </w:r>
      <w:r>
        <w:t>DNA-金属复合体代表了一种日益增长的用于对应选择性催化的人工金属链。 与蛋白袋不同,G-quadruplex等DNA支架的结构性金枪鱼性使得对对应选择性的动态控制成为可能。 然而,这些催化剂往往表现出低催化效率和有限的对应选择性转换,强调了对合理设计战略的高度需求,以推进这个领域。 利用i-motif DNA(IMDNA)中可编程的细胞-细胞素基底配对,我们制定了一种四重制战略,以构建一种铜(II)混合催化剂(IMDNA(H+)/Cu2+),其特点是 hemiprotonated citosine-cytosine基底对(C-H+-C),这种催化剂实现了定量转换,在Friedel-Crafts反应中达到98%的抗血清(ee)过量。</w:t>
      </w:r>
    </w:p>
    <w:p>
      <w:pPr>
        <w:spacing w:before="0" w:after="200" w:lineRule="auto" w:line="276"/>
      </w:pPr>
      <w:r>
        <w:rPr>
          <w:b/>
        </w:rPr>
        <w:t xml:space="preserve">Abstract (EN): </w:t>
      </w:r>
      <w:r>
        <w:t>DNA-metal complexes represent a growing class of artificial metalloenzymes for enantioselective catalysis. Unlike protein pockets, the structural tunability of DNA scaffolds, such as the G-quadruplex, enables dynamic control over enantioselectivity. However, these catalysts often exhibit low catalytic efficiency and limited enantioselectivity switching, underscoring a high demand for rational design strategies to advance this field. Capitalizing on the programmable cytosine-cytosine base pairing in i-motif DNA (imDNA), we develop a tetrad-capping strategy to construct a copper(II) hybrid catalyst (imDNA(H+)/Cu2+) featuring hemiprotonated cytosine-cytosine base pairs (C-H+-C). This catalyst achieves quantitative conversions and up to 98% enantiomeric excess (ee) in Friedel-Crafts reactions. Remarkably, Ag+ ions reconfigure imDNA(H+) into a distinct imDNA(Ag+) conformation, realizing inversion of enantioselectivity (up to -93% ee) with the 4,4'-dimethyl-2,2'-bipyridine copper(II) complex (Cu2+(dmbpy)). The chiral inversion originates from distinct H+- and Ag+-regulated i-motif topologies. Comprehensive spectroscopic, electrophoretic, and thermodynamic analyses reveal that imDNA(Ag+) adopts an antiparallel strand orientation stabilized by four C-Ag+-C and two G-Ag+-G base pairs, in contrast to the capped imDNA(H+). The plausible binding sites of catalytic copper(II) species are proposed through binding assays and mutagenesis, where three Cu2+ ions are located within three loop regions of imDNA(H+), and two Cu2+(dmbpy) complexes might primarily interact with imDNA(Ag+) via end-stacking. This work establishes a general paradigm for designing tunable DNA hybrid catalysts via programmable base pairing, opening avenues for diverse enantioselective transformations.</w:t>
      </w:r>
    </w:p>
    <w:p>
      <w:pPr>
        <w:spacing w:before="120" w:after="120"/>
      </w:pPr>
      <w:r>
        <w:rPr>
          <w:sz w:val="18"/>
        </w:rPr>
        <w:t>——————————————————————————————————————————————————————————————————————</w:t>
      </w:r>
    </w:p>
    <w:p>
      <w:pPr>
        <w:spacing w:before="160" w:after="40" w:line="240" w:lineRule="auto"/>
      </w:pPr>
      <w:r>
        <w:rPr>
          <w:b/>
        </w:rPr>
        <w:t xml:space="preserve">[476] </w:t>
      </w:r>
      <w:hyperlink r:id="rId754">
        <w:r>
          <w:rPr>
            <w:color w:val="1155CC"/>
            <w:u w:val="single"/>
          </w:rPr>
          <w:t>[ASAP]通过序列陶化反应对La3Ni2O5F双无线(I)阶段La3Ni2O5F的合成</w:t>
        </w:r>
      </w:hyperlink>
    </w:p>
    <w:p>
      <w:pPr>
        <w:spacing w:before="0" w:after="80"/>
      </w:pPr>
      <w:r>
        <w:rPr>
          <w:i/>
          <w:sz w:val="20"/>
        </w:rPr>
        <w:t>EN: [ASAP] Synthesis of the Double Infinite-Layer Ni(I) Phase La3Ni2O5F via Sequential Topochemical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2026-02-04 12:23:49+00:00</w:t>
      </w:r>
      <w:r>
        <w:t xml:space="preserve">    </w:t>
      </w:r>
      <w:r>
        <w:rPr>
          <w:b/>
        </w:rPr>
        <w:t xml:space="preserve">DOI: </w:t>
      </w:r>
      <w:hyperlink r:id="rId755">
        <w:r>
          <w:rPr>
            <w:color w:val="1155CC"/>
            <w:u w:val="single"/>
          </w:rPr>
          <w:t>10.1021/jacs.5c16740</w:t>
        </w:r>
      </w:hyperlink>
    </w:p>
    <w:p>
      <w:pPr>
        <w:spacing w:before="0" w:after="120"/>
      </w:pPr>
      <w:r>
        <w:rPr>
          <w:b/>
        </w:rPr>
        <w:t xml:space="preserve">Notes: </w:t>
      </w:r>
      <w:r>
        <w:t>abstract_source=pubmed</w:t>
      </w:r>
    </w:p>
    <w:p>
      <w:pPr>
        <w:spacing w:before="0" w:after="80" w:lineRule="auto" w:line="276"/>
      </w:pPr>
      <w:r>
        <w:rPr>
          <w:b/>
        </w:rPr>
        <w:t xml:space="preserve">摘要（ZH）: </w:t>
      </w:r>
      <w:r>
        <w:t>Nn = 2 Ludlesden-Popper 氧化物, La3Ni2O2O7, 含聚氟乙烯的La3Ni2O5F4, 这一阶段的氟离子已插入Luddlesden-Popper 框架中的中间点,并与居住在Apical 阴离子场的氧化物离子进行交换。190°C与LiH在190°C时的反应通过抽取中间氟化离子来减少La3Ni2O5F4, 从而进一步减少La3Ni2O5F4。由此形成的阶段,La3Ni2O5F3采用了空间组结构结构的La3Ni2O5F, 一个一+阶段,该阶段将半填充的中间层的氟离子排列在与 y-轴平行的链条链中,而NiO5F八氟烷采取一个-a-c+/-(a-a-a-a-c)c+倾斜模式。</w:t>
      </w:r>
    </w:p>
    <w:p>
      <w:pPr>
        <w:spacing w:before="0" w:after="200" w:lineRule="auto" w:line="276"/>
      </w:pPr>
      <w:r>
        <w:rPr>
          <w:b/>
        </w:rPr>
        <w:t xml:space="preserve">Abstract (EN): </w:t>
      </w:r>
      <w:r>
        <w:t>Fluorination of the n = 2 Ruddlesden-Popper oxide, La3Ni2O7, with polyvinylidene fluoride yields La3Ni2O5F4, a phase in which fluoride ions have been inserted into interstitial sites in the Ruddlesden-Popper framework and also exchanged with the oxide ions residing on apical anion sites. Reaction with LiH at 190 °C reduces La3Ni2O5F4 by extracting interstitial fluoride ions. The resulting phase, La3Ni2O5F3, adopts a structure described in space group Pbcm in which the fluoride ions in the half-filled interstitial layer are arranged in chains parallel to the y-axis, and the NiO5F octahedra adopt an a-a-c+/-(a-a-)c+ tilting pattern. Further reduction with LiH at 250 °C converts La3Ni2O5F3 into La3Ni2O5F, a Ni1+ phase which adopts a T'-structure consisting of double infinite-sheets of apex linked NiO4 squares, stacked with LaOF fluorite-type layers. Magnetization and neutron diffraction data indicate La3Ni2O5F3 adopts an antiferromagnetically ordered state below TN = 225 K, while magnetization data from La3Ni2O5F exhibit a broad maximum centered at 75 K, suggestive of antiferromagnetic order.</w:t>
      </w:r>
    </w:p>
    <w:p>
      <w:pPr>
        <w:spacing w:before="120" w:after="120"/>
      </w:pPr>
      <w:r>
        <w:rPr>
          <w:sz w:val="18"/>
        </w:rPr>
        <w:t>——————————————————————————————————————————————————————————————————————</w:t>
      </w:r>
    </w:p>
    <w:p>
      <w:pPr>
        <w:spacing w:before="160" w:after="40" w:line="240" w:lineRule="auto"/>
      </w:pPr>
      <w:r>
        <w:rPr>
          <w:b/>
        </w:rPr>
        <w:t xml:space="preserve">[477] </w:t>
      </w:r>
      <w:hyperlink r:id="rId756">
        <w:r>
          <w:rPr>
            <w:color w:val="1155CC"/>
            <w:u w:val="single"/>
          </w:rPr>
          <w:t>[ASAP]减少电化学CO2在氮-多子碳电动催化器上存在SO2杂质</w:t>
        </w:r>
      </w:hyperlink>
    </w:p>
    <w:p>
      <w:pPr>
        <w:spacing w:before="0" w:after="80"/>
      </w:pPr>
      <w:r>
        <w:rPr>
          <w:i/>
          <w:sz w:val="20"/>
        </w:rPr>
        <w:t>EN: [ASAP] Electrochemical CO2 Reduction in the Presence of SO2 Impurities on a Nitrogen-Doped Carbon Electrocatalyst</w:t>
      </w:r>
    </w:p>
    <w:p>
      <w:pPr>
        <w:spacing w:before="0" w:after="120"/>
      </w:pPr>
      <w:r>
        <w:rPr>
          <w:b/>
        </w:rPr>
        <w:t xml:space="preserve">Source: </w:t>
      </w:r>
      <w:r>
        <w:t>Journal of the American Chemical Society: Latest Articles (ACS Publications)</w:t>
      </w:r>
      <w:r>
        <w:t xml:space="preserve">    </w:t>
      </w:r>
      <w:r>
        <w:rPr>
          <w:b/>
        </w:rPr>
        <w:t xml:space="preserve">Pub date: </w:t>
      </w:r>
      <w:r>
        <w:t>2026-02-04 12:44:15+00:00</w:t>
      </w:r>
      <w:r>
        <w:t xml:space="preserve">    </w:t>
      </w:r>
      <w:r>
        <w:rPr>
          <w:b/>
        </w:rPr>
        <w:t xml:space="preserve">DOI: </w:t>
      </w:r>
      <w:hyperlink r:id="rId757">
        <w:r>
          <w:rPr>
            <w:color w:val="1155CC"/>
            <w:u w:val="single"/>
          </w:rPr>
          <w:t>10.1021/jacs.5c11790</w:t>
        </w:r>
      </w:hyperlink>
    </w:p>
    <w:p>
      <w:pPr>
        <w:spacing w:before="0" w:after="120"/>
      </w:pPr>
      <w:r>
        <w:rPr>
          <w:b/>
        </w:rPr>
        <w:t xml:space="preserve">Notes: </w:t>
      </w:r>
      <w:r>
        <w:t>abstract_source=pubmed</w:t>
      </w:r>
    </w:p>
    <w:p>
      <w:pPr>
        <w:spacing w:before="0" w:after="80" w:lineRule="auto" w:line="276"/>
      </w:pPr>
      <w:r>
        <w:rPr>
          <w:b/>
        </w:rPr>
        <w:t xml:space="preserve">摘要（ZH）: </w:t>
      </w:r>
      <w:r>
        <w:t>然而,工业来源产生的二氧化碳流往往含有SO2杂质,严重毒害常规金属催化剂。在这里,我们报告一个氮化碳催化剂,在SO2(100-10 000ppm)的出现下,CO2对CO2的转化表现出明显的耐受性和稳定性。催化剂在电解8小时期间将90%以上的法拉地对CO的效率保持在电解期间,时间为-1.0 VxRHE和100 ppm的SO2,而Ag foil电极则迅速停用。密度功能理论计算加上地表分析表明,薄弱的SO2吸附力和氮化碳缺乏稳定的硫的积累强化了其再生能力。</w:t>
      </w:r>
    </w:p>
    <w:p>
      <w:pPr>
        <w:spacing w:before="0" w:after="200" w:lineRule="auto" w:line="276"/>
      </w:pPr>
      <w:r>
        <w:rPr>
          <w:b/>
        </w:rPr>
        <w:t xml:space="preserve">Abstract (EN): </w:t>
      </w:r>
      <w:r>
        <w:t>Electrochemical CO2 reduction to CO offers a sustainable route for converting CO2 into value-added chemicals and fuels. However, CO2 streams derived from industrial sources often contain SO2 impurities that severely poison conventional metal-based catalysts. Here, we report a nitrogen-doped carbon catalyst that exhibits pronounced tolerance and stability for CO2-to-CO conversion in the presence of SO2 (100-10,000 ppm). The catalyst maintains over 90% Faradaic efficiency toward CO during 8 h of electrolysis at -1.0 V vs RHE with 100 ppm of SO2, whereas Ag foil electrodes undergo rapid deactivation. Density functional theory calculations combined with surface analyses indicate that weak SO2 adsorption and the absence of stable sulfur accumulation on nitrogen-doped carbon strengthen its resistance to impurity-induced deactivation, in contrast to Ag catalysts that form Ag2S. Gas-fed tests in a membrane electrode assembly (MEA) electrolyzer further confirm that nitrogen-doped carbon sustains high CO selectivity at elevated current densities, while Ag nanoparticles suffer irreversible sulfur poisoning. These results demonstrate that nitrogen-doped carbon is intrinsically resistant to SO2-induced deactivation and highlight its potential as a robust catalyst for CO2 electroreduction under impurity-containing conditions.</w:t>
      </w:r>
    </w:p>
    <w:p>
      <w:pPr>
        <w:spacing w:before="120" w:after="120"/>
      </w:pPr>
      <w:r>
        <w:rPr>
          <w:sz w:val="18"/>
        </w:rPr>
        <w:t>——————————————————————————————————————————————————————————————————————</w:t>
      </w:r>
    </w:p>
    <w:p>
      <w:pPr>
        <w:spacing w:before="160" w:after="40" w:line="240" w:lineRule="auto"/>
      </w:pPr>
      <w:r>
        <w:rPr>
          <w:b/>
        </w:rPr>
        <w:t xml:space="preserve">[478] </w:t>
      </w:r>
      <w:hyperlink r:id="rId758">
        <w:r>
          <w:rPr>
            <w:color w:val="1155CC"/>
            <w:u w:val="single"/>
          </w:rPr>
          <w:t>高性能人造肌肉单纤维设计</w:t>
        </w:r>
      </w:hyperlink>
    </w:p>
    <w:p>
      <w:pPr>
        <w:spacing w:before="0" w:after="80"/>
      </w:pPr>
      <w:r>
        <w:rPr>
          <w:i/>
          <w:sz w:val="20"/>
        </w:rPr>
        <w:t>EN: Single‐Fiber Design for Higher Performance Artificial Muscles</w:t>
      </w:r>
    </w:p>
    <w:p>
      <w:pPr>
        <w:spacing w:before="0" w:after="120"/>
      </w:pPr>
      <w:r>
        <w:rPr>
          <w:b/>
        </w:rPr>
        <w:t xml:space="preserve">Source: </w:t>
      </w:r>
      <w:r>
        <w:t>Wiley: Advanced Materials: Table of Contents</w:t>
      </w:r>
      <w:r>
        <w:t xml:space="preserve">    </w:t>
      </w:r>
      <w:r>
        <w:rPr>
          <w:b/>
        </w:rPr>
        <w:t xml:space="preserve">Pub date: </w:t>
      </w:r>
      <w:r>
        <w:t>2026-02-04 12:50:16+00:00</w:t>
      </w:r>
      <w:r>
        <w:t xml:space="preserve">    </w:t>
      </w:r>
      <w:r>
        <w:rPr>
          <w:b/>
        </w:rPr>
        <w:t xml:space="preserve">DOI: </w:t>
      </w:r>
      <w:hyperlink r:id="rId759">
        <w:r>
          <w:rPr>
            <w:color w:val="1155CC"/>
            <w:u w:val="single"/>
          </w:rPr>
          <w:t>10.1002/adma.202514781</w:t>
        </w:r>
      </w:hyperlink>
    </w:p>
    <w:p>
      <w:pPr>
        <w:spacing w:before="0" w:after="120"/>
      </w:pPr>
      <w:r>
        <w:rPr>
          <w:b/>
        </w:rPr>
        <w:t xml:space="preserve">Notes: </w:t>
      </w:r>
      <w:r>
        <w:t>abstract_source=crossref</w:t>
      </w:r>
    </w:p>
    <w:p>
      <w:pPr>
        <w:spacing w:before="0" w:after="80" w:lineRule="auto" w:line="276"/>
      </w:pPr>
      <w:r>
        <w:rPr>
          <w:b/>
        </w:rPr>
        <w:t xml:space="preserve">摘要（ZH）: </w:t>
      </w:r>
      <w:r>
        <w:t>ABSTACT 人工肌肉是下一代软机器人、生物医学装置和适应性磨损器进步的基本组成部分。传统纤维化活性器通常依赖多材料组件和复杂的跨面工程,但其性能受到结构异质和低能效能源结合的限制。本审查突出了单纤维或无纤维人造肌肉设计的新模式,在单纤维或非纤维人造肌肉设计中,激活功能在个体纤维的分子结构中被内在编码。我们全面审查了阶段过渡材料、块式共同聚合物自组、机械式内部聚合物、共价超分子混合体和编织聚体等最新材料系统。</w:t>
      </w:r>
    </w:p>
    <w:p>
      <w:pPr>
        <w:spacing w:before="0" w:after="200" w:lineRule="auto" w:line="276"/>
      </w:pPr>
      <w:r>
        <w:rPr>
          <w:b/>
        </w:rPr>
        <w:t xml:space="preserve">Abstract (EN): </w:t>
      </w:r>
      <w:r>
        <w:t>Artificial muscles are essential components in the advancement of next‐generation soft robotics, biomedical devices, and adaptive wearables. While conventional fiber‐based actuators often rely on multi‐material assemblies and complex interfacial engineering, their performance is limited by structural heterogeneity and low‐efficient energy coupling. This review highlights the emerging paradigm of single‐fiber or in‐fiber artificial muscle design, where actuation functionality is intrinsically encoded within the molecular architecture of individual fibers. We comprehensively examine state‐of‐the‐art material systems such as phase‐transition materials, block copolymer self‐assemblies, mechanically interlocked polymers, covalent supramolecular hybrids, and woven polymer networks. Particular emphasis is placed on the structure–property–function relationships that govern the actuation strain, stress output, response speed, and long‐term durability. We also propose a unified framework for evaluating single fiber actuator performance based on key metrics and critically discuss manufacturing challenges, scalability, and integration with smart sensing system. This review provides a roadmap for molecular design of the high‐performance artificial muscle, offering new strategies for intelligent actuation and soft material systems in real‐world applications.</w:t>
      </w:r>
    </w:p>
    <w:p>
      <w:pPr>
        <w:spacing w:before="120" w:after="120"/>
      </w:pPr>
      <w:r>
        <w:rPr>
          <w:sz w:val="18"/>
        </w:rPr>
        <w:t>——————————————————————————————————————————————————————————————————————</w:t>
      </w:r>
    </w:p>
    <w:p>
      <w:pPr>
        <w:spacing w:before="160" w:after="40" w:line="240" w:lineRule="auto"/>
      </w:pPr>
      <w:r>
        <w:rPr>
          <w:b/>
        </w:rPr>
        <w:t xml:space="preserve">[479] </w:t>
      </w:r>
      <w:hyperlink r:id="rId760">
        <w:r>
          <w:rPr>
            <w:color w:val="1155CC"/>
            <w:u w:val="single"/>
          </w:rPr>
          <w:t>支持的具有氢和氯氯化烷烃高性能的超双硫硫磺纳米粒子</w:t>
        </w:r>
      </w:hyperlink>
    </w:p>
    <w:p>
      <w:pPr>
        <w:spacing w:before="0" w:after="80"/>
      </w:pPr>
      <w:r>
        <w:rPr>
          <w:i/>
          <w:sz w:val="20"/>
        </w:rPr>
        <w:t>EN: Boron Carbide Supported Ultra‐Small Ruthenium Nanoparticles with High‐Performance for Hydrogen and Chlor‐Alkali Co‐Production</w:t>
      </w:r>
    </w:p>
    <w:p>
      <w:pPr>
        <w:spacing w:before="0" w:after="120"/>
      </w:pPr>
      <w:r>
        <w:rPr>
          <w:b/>
        </w:rPr>
        <w:t xml:space="preserve">Source: </w:t>
      </w:r>
      <w:r>
        <w:t>Wiley: Advanced Energy Materials: Table of Contents</w:t>
      </w:r>
      <w:r>
        <w:t xml:space="preserve">    </w:t>
      </w:r>
      <w:r>
        <w:rPr>
          <w:b/>
        </w:rPr>
        <w:t xml:space="preserve">Pub date: </w:t>
      </w:r>
      <w:r>
        <w:t>2026-02-04 12:53:06+00:00</w:t>
      </w:r>
      <w:r>
        <w:t xml:space="preserve">    </w:t>
      </w:r>
      <w:r>
        <w:rPr>
          <w:b/>
        </w:rPr>
        <w:t xml:space="preserve">DOI: </w:t>
      </w:r>
      <w:hyperlink r:id="rId761">
        <w:r>
          <w:rPr>
            <w:color w:val="1155CC"/>
            <w:u w:val="single"/>
          </w:rPr>
          <w:t>10.1002/aenm.202506175</w:t>
        </w:r>
      </w:hyperlink>
    </w:p>
    <w:p>
      <w:pPr>
        <w:spacing w:before="0" w:after="120"/>
      </w:pPr>
      <w:r>
        <w:rPr>
          <w:b/>
        </w:rPr>
        <w:t xml:space="preserve">Notes: </w:t>
      </w:r>
      <w:r>
        <w:t>abstract_source=crossref</w:t>
      </w:r>
    </w:p>
    <w:p>
      <w:pPr>
        <w:spacing w:before="0" w:after="80" w:lineRule="auto" w:line="276"/>
      </w:pPr>
      <w:r>
        <w:rPr>
          <w:b/>
        </w:rPr>
        <w:t xml:space="preserve">摘要（ZH）: </w:t>
      </w:r>
      <w:r>
        <w:t>(Ru)是氢和氯碱共同生产的极有希望的电催化剂,但受到水吸附不良和氢解吸的困扰。为了提高氢进化反应(HER)的性能,本研究采用了密度功能理论(DFT)来探索非金属支持(B、C、N)如何通过金属支持相互作用(MSI)调节鲁的电子结构。结果显示B4C是最佳支持,从Ru 13转至B 4 C,1.56电子从Ru 13转至B 4 C,将Ru düband中心移到Fermi一级,并协同优化她中间体的吸附。</w:t>
      </w:r>
    </w:p>
    <w:p>
      <w:pPr>
        <w:spacing w:before="0" w:after="200" w:lineRule="auto" w:line="276"/>
      </w:pPr>
      <w:r>
        <w:rPr>
          <w:b/>
        </w:rPr>
        <w:t xml:space="preserve">Abstract (EN): </w:t>
      </w:r>
      <w:r>
        <w:t>Ruthenium (Ru) is a promising electrocatalyst for hydrogen and chlor‐alkali co‐production, but suffers from poor water adsorption and hydrogen desorption. To enhance its hydrogen evolution reaction (HER) performance, this study employs density functional theory (DFT) to explore how non‐metallic supports (B, C, N) modulate the electronic structure of Ru via metal‐support interactions (MSIs). Results reveal B</w:t>
      </w:r>
      <w:r>
        <w:rPr>
          <w:vertAlign w:val="subscript"/>
        </w:rPr>
        <w:t>4</w:t>
      </w:r>
      <w:r>
        <w:t>C as the optimal support, with 1.56 electrons transferred from Ru</w:t>
      </w:r>
      <w:r>
        <w:rPr>
          <w:vertAlign w:val="subscript"/>
        </w:rPr>
        <w:t>13</w:t>
      </w:r>
      <w:r>
        <w:t>to B</w:t>
      </w:r>
      <w:r>
        <w:rPr>
          <w:vertAlign w:val="subscript"/>
        </w:rPr>
        <w:t>4</w:t>
      </w:r>
      <w:r>
        <w:t>C, shifting the Ru d‐band center closer to the Fermi level and synergistically optimizing the adsorption of HER intermediates. The synthesized N‐doped carbon‐coated Ru/B</w:t>
      </w:r>
      <w:r>
        <w:rPr>
          <w:vertAlign w:val="subscript"/>
        </w:rPr>
        <w:t>4</w:t>
      </w:r>
      <w:r>
        <w:t>C catalyst (Ru/B</w:t>
      </w:r>
      <w:r>
        <w:rPr>
          <w:vertAlign w:val="subscript"/>
        </w:rPr>
        <w:t>4</w:t>
      </w:r>
      <w:r>
        <w:t>C@NC) exhibits outstanding alkaline HER activity, achieving overpotentials of only 5 mV at 10 mA cm</w:t>
      </w:r>
      <w:r>
        <w:t xml:space="preserve"> </w:t>
      </w:r>
      <w:r>
        <w:t>−2</w:t>
      </w:r>
      <w:r>
        <w:t xml:space="preserve"> </w:t>
      </w:r>
      <w:r>
        <w:t>and 361 mV at 1 A cm</w:t>
      </w:r>
      <w:r>
        <w:t xml:space="preserve"> </w:t>
      </w:r>
      <w:r>
        <w:t>−2</w:t>
      </w:r>
      <w:r>
        <w:t xml:space="preserve"> </w:t>
      </w:r>
      <w:r>
        <w:t>, along with stability over 500 h. Under chlor‐alkali conditions, Ru/B</w:t>
      </w:r>
      <w:r>
        <w:rPr>
          <w:vertAlign w:val="subscript"/>
        </w:rPr>
        <w:t>4</w:t>
      </w:r>
      <w:r>
        <w:t>C@NC also maintains high HER activity with overpotentials of 5 and 99 mV at 10 and 500 mA cm</w:t>
      </w:r>
      <w:r>
        <w:t xml:space="preserve"> </w:t>
      </w:r>
      <w:r>
        <w:t>−2</w:t>
      </w:r>
      <w:r>
        <w:t xml:space="preserve"> </w:t>
      </w:r>
      <w:r>
        <w:t>and long‐term stability for 300 h. A hybrid electrolysis cell with Ru/B</w:t>
      </w:r>
      <w:r>
        <w:rPr>
          <w:vertAlign w:val="subscript"/>
        </w:rPr>
        <w:t>4</w:t>
      </w:r>
      <w:r>
        <w:t>C@NC (−) //RuO</w:t>
      </w:r>
      <w:r>
        <w:rPr>
          <w:vertAlign w:val="subscript"/>
        </w:rPr>
        <w:t>2</w:t>
      </w:r>
      <w:r>
        <w:t>/IrO</w:t>
      </w:r>
      <w:r>
        <w:rPr>
          <w:vertAlign w:val="subscript"/>
        </w:rPr>
        <w:t>2</w:t>
      </w:r>
      <w:r>
        <w:t>‐coated Ti mesh (+) achieves a record low voltage of 2.33 V at 10 mA cm</w:t>
      </w:r>
      <w:r>
        <w:t xml:space="preserve"> </w:t>
      </w:r>
      <w:r>
        <w:t>−2</w:t>
      </w:r>
      <w:r>
        <w:t xml:space="preserve"> </w:t>
      </w:r>
      <w:r>
        <w:t>with long‐term stability for 100 h. This work provides valuable insights for designing advanced Ru‐based catalysts for integrated hydrogen and chlor‐alkali production.</w:t>
      </w:r>
    </w:p>
    <w:p>
      <w:pPr>
        <w:spacing w:before="120" w:after="120"/>
      </w:pPr>
      <w:r>
        <w:rPr>
          <w:sz w:val="18"/>
        </w:rPr>
        <w:t>——————————————————————————————————————————————————————————————————————</w:t>
      </w:r>
    </w:p>
    <w:p>
      <w:pPr>
        <w:spacing w:before="160" w:after="40" w:line="240" w:lineRule="auto"/>
      </w:pPr>
      <w:r>
        <w:rPr>
          <w:b/>
        </w:rPr>
        <w:t xml:space="preserve">[480] </w:t>
      </w:r>
      <w:hyperlink r:id="rId762">
        <w:r>
          <w:rPr>
            <w:color w:val="1155CC"/>
            <w:u w:val="single"/>
          </w:rPr>
          <w:t>核酸分离阶段:机制、属性和应用</w:t>
        </w:r>
      </w:hyperlink>
    </w:p>
    <w:p>
      <w:pPr>
        <w:spacing w:before="0" w:after="80"/>
      </w:pPr>
      <w:r>
        <w:rPr>
          <w:i/>
          <w:sz w:val="20"/>
        </w:rPr>
        <w:t>EN: Phase Separation of Nucleic Acids: Mechanisms, Properties, and Applications</w:t>
      </w:r>
    </w:p>
    <w:p>
      <w:pPr>
        <w:spacing w:before="0" w:after="120"/>
      </w:pPr>
      <w:r>
        <w:rPr>
          <w:b/>
        </w:rPr>
        <w:t xml:space="preserve">Source: </w:t>
      </w:r>
      <w:r>
        <w:t>Wiley: Angewandte Chemie International Edition: Table of Contents</w:t>
      </w:r>
      <w:r>
        <w:t xml:space="preserve">    </w:t>
      </w:r>
      <w:r>
        <w:rPr>
          <w:b/>
        </w:rPr>
        <w:t xml:space="preserve">Pub date: </w:t>
      </w:r>
      <w:r>
        <w:t>2026-02-04 12:53:52+00:00</w:t>
      </w:r>
      <w:r>
        <w:t xml:space="preserve">    </w:t>
      </w:r>
      <w:r>
        <w:rPr>
          <w:b/>
        </w:rPr>
        <w:t xml:space="preserve">DOI: </w:t>
      </w:r>
      <w:hyperlink r:id="rId763">
        <w:r>
          <w:rPr>
            <w:color w:val="1155CC"/>
            <w:u w:val="single"/>
          </w:rPr>
          <w:t>10.1002/anie.202523943</w:t>
        </w:r>
      </w:hyperlink>
    </w:p>
    <w:p>
      <w:pPr>
        <w:spacing w:before="0" w:after="120"/>
      </w:pPr>
      <w:r>
        <w:rPr>
          <w:b/>
        </w:rPr>
        <w:t xml:space="preserve">Notes: </w:t>
      </w:r>
      <w:r>
        <w:t>abstract_source=crossref</w:t>
      </w:r>
    </w:p>
    <w:p>
      <w:pPr>
        <w:spacing w:before="0" w:after="80" w:lineRule="auto" w:line="276"/>
      </w:pPr>
      <w:r>
        <w:rPr>
          <w:b/>
        </w:rPr>
        <w:t xml:space="preserve">摘要（ZH）: </w:t>
      </w:r>
      <w:r>
        <w:t>抽象核酸是具有遗传信息并在后核电解调节中发挥重要作用的基本生物大型分子。鉴于基于华生-克里克-弗兰克林基基质互动的高度可编程性,合成DNA和RNA核糖核酸已成为纳米结构、纳米机器和大型材料可编程组合的多功能构件。 最近的发现表明长链核酸可以经历温度-诱发阶段分离,从而能够快速和快速形成微规模、核酸富含凝聚物。 与主要依赖基质互动的常规DNA/RNA纳米技术不同,相继分离会利用核酸的内在聚合性质。</w:t>
      </w:r>
    </w:p>
    <w:p>
      <w:pPr>
        <w:spacing w:before="0" w:after="200" w:lineRule="auto" w:line="276"/>
      </w:pPr>
      <w:r>
        <w:rPr>
          <w:b/>
        </w:rPr>
        <w:t xml:space="preserve">Abstract (EN): </w:t>
      </w:r>
      <w:r>
        <w:t>Nucleic acids are essential biological macromolecules bearing genetic information and playing important roles in post‐transcriptional regulation. Given their high programmability based on Watson–Crick–Franklin base‐pairing interactions, synthetic DNA and RNA oligonucleotides have become versatile building blocks for programmable assembly of nanostructures, nanomachines, and macroscopic materials. Recent discoveries have shown that long‐chain nucleic acids can undergo temperature‐induced phase separation, enabling rapid and facile formation of micro‐sized, nucleic acid‐rich condensates. Unlike conventional DNA/RNA nanotechnology, which relies primarily on base‐pairing interactions, phase separation leverages the intrinsic polymeric nature of nucleic acids. While it expands the scope of DNA/RNA nanotechnology for new applications, nucleic acid phase separation also provides a fresh perspective for how compartmentalization may have emerged in the prebiotic RNA world during the origin of life. In this Minireview, we discuss the current mechanistic understanding of temperature‐induced phase separation of synthetic long‐chain DNA and RNA in vitro, in the absence of complex coacervation with proteins and polymers. We highlight strategies for controlling the physical and chemical properties of DNA condensates and review the progress and advances in developing them for various applications.</w:t>
      </w:r>
    </w:p>
    <w:p>
      <w:pPr>
        <w:spacing w:before="120" w:after="120"/>
      </w:pPr>
      <w:r>
        <w:rPr>
          <w:sz w:val="18"/>
        </w:rPr>
        <w:t>——————————————————————————————————————————————————————————————————————</w:t>
      </w:r>
    </w:p>
    <w:p>
      <w:pPr>
        <w:spacing w:before="160" w:after="40" w:line="240" w:lineRule="auto"/>
      </w:pPr>
      <w:r>
        <w:rPr>
          <w:b/>
        </w:rPr>
        <w:t xml:space="preserve">[481] </w:t>
      </w:r>
      <w:hyperlink r:id="rId764">
        <w:r>
          <w:rPr>
            <w:color w:val="1155CC"/>
            <w:u w:val="single"/>
          </w:rPr>
          <w:t>用于波能吸收和腐蚀防护的电波能源生成器</w:t>
        </w:r>
      </w:hyperlink>
    </w:p>
    <w:p>
      <w:pPr>
        <w:spacing w:before="0" w:after="80"/>
      </w:pPr>
      <w:r>
        <w:rPr>
          <w:i/>
          <w:sz w:val="20"/>
        </w:rPr>
        <w:t>EN: Arch Shaped Triboelectric Nanogenerator for Wave Energy Harvesting and Corrosion Protection</w:t>
      </w:r>
    </w:p>
    <w:p>
      <w:pPr>
        <w:spacing w:before="0" w:after="120"/>
      </w:pPr>
      <w:r>
        <w:rPr>
          <w:b/>
        </w:rPr>
        <w:t xml:space="preserve">Source: </w:t>
      </w:r>
      <w:r>
        <w:t>Wiley: Advanced Materials: Table of Contents</w:t>
      </w:r>
      <w:r>
        <w:t xml:space="preserve">    </w:t>
      </w:r>
      <w:r>
        <w:rPr>
          <w:b/>
        </w:rPr>
        <w:t xml:space="preserve">Pub date: </w:t>
      </w:r>
      <w:r>
        <w:t>2026-02-04 12:56:28+00:00</w:t>
      </w:r>
      <w:r>
        <w:t xml:space="preserve">    </w:t>
      </w:r>
      <w:r>
        <w:rPr>
          <w:b/>
        </w:rPr>
        <w:t xml:space="preserve">DOI: </w:t>
      </w:r>
      <w:hyperlink r:id="rId765">
        <w:r>
          <w:rPr>
            <w:color w:val="1155CC"/>
            <w:u w:val="single"/>
          </w:rPr>
          <w:t>10.1002/adma.202523290</w:t>
        </w:r>
      </w:hyperlink>
    </w:p>
    <w:p>
      <w:pPr>
        <w:spacing w:before="0" w:after="120"/>
      </w:pPr>
      <w:r>
        <w:rPr>
          <w:b/>
        </w:rPr>
        <w:t xml:space="preserve">Notes: </w:t>
      </w:r>
      <w:r>
        <w:t>abstract_source=crossref</w:t>
      </w:r>
    </w:p>
    <w:p>
      <w:pPr>
        <w:spacing w:before="0" w:after="80" w:lineRule="auto" w:line="276"/>
      </w:pPr>
      <w:r>
        <w:rPr>
          <w:b/>
        </w:rPr>
        <w:t xml:space="preserve">摘要（ZH）: </w:t>
      </w:r>
      <w:r>
        <w:t>传统电磁发电机(EMGs)的低频率转换效率低,限制了大规模应用。2012年发明的Triboower 纳米发电机(TENGs)为波浪能源收获提供了一种新的方式,其优势是材料选择广泛、低频率适应性低、轻重量和低成本,但受到海洋腐蚀和低频捕捉效率的限制。这项工作设计了一个通过弯曲捕捉波能的拱门式TENG(ArchETENG),与CSTENG相比,其电源转移增加了450%以上,电源输出密度为12.7 ncm 2。</w:t>
      </w:r>
    </w:p>
    <w:p>
      <w:pPr>
        <w:spacing w:before="0" w:after="200" w:lineRule="auto" w:line="276"/>
      </w:pPr>
      <w:r>
        <w:rPr>
          <w:b/>
        </w:rPr>
        <w:t xml:space="preserve">Abstract (EN): </w:t>
      </w:r>
      <w:r>
        <w:t>As a renewable energy source, wave energy exploitation reduces fossil energy pollution and aids carbon neutrality. Traditional electromagnetic generators (EMGs) have low low‐frequency conversion efficiency, limiting large‐scale application. Triboelectric nanogenerators (TENGs), invented in 2012, offer a new way for wave energy harvesting with advantages of wide material selection, low‐frequency adaptability, light weight and low cost, but are restricted by marine corrosion and inefficient low‐frequency capture. This work designed an arch‐structured TENG (Arch‐TENG) that captures wave energy via bending. Compared with CS‐TENG, its charge transfer increases by over 450%, with a charge output density of 12.7 nC cm</w:t>
      </w:r>
      <w:r>
        <w:rPr>
          <w:vertAlign w:val="subscript"/>
        </w:rPr>
        <w:t>2</w:t>
      </w:r>
      <w:r>
        <w:t>at 0.5 Hz and stable performance after 26 h tests. The array‐integrated device capable of large‐scale wave energy harvesting is designed based on the Arch‐TENG. It was verified that this device can not only stably power low‐power electronic devices but also be used for cathodic protection tests of carbon steel Q235 in seawater, which will provide more practical applications of TENG in marine environments.</w:t>
      </w:r>
    </w:p>
    <w:p>
      <w:pPr>
        <w:spacing w:before="120" w:after="120"/>
      </w:pPr>
      <w:r>
        <w:rPr>
          <w:sz w:val="18"/>
        </w:rPr>
        <w:t>——————————————————————————————————————————————————————————————————————</w:t>
      </w:r>
    </w:p>
    <w:p>
      <w:pPr>
        <w:spacing w:before="160" w:after="40" w:line="240" w:lineRule="auto"/>
      </w:pPr>
      <w:r>
        <w:rPr>
          <w:b/>
        </w:rPr>
        <w:t xml:space="preserve">[482] </w:t>
      </w:r>
      <w:hyperlink r:id="rId766">
        <w:r>
          <w:rPr>
            <w:color w:val="1155CC"/>
            <w:u w:val="single"/>
          </w:rPr>
          <w:t>电子Rich Rylenes及其稳定性</w:t>
        </w:r>
      </w:hyperlink>
    </w:p>
    <w:p>
      <w:pPr>
        <w:spacing w:before="0" w:after="80"/>
      </w:pPr>
      <w:r>
        <w:rPr>
          <w:i/>
          <w:sz w:val="20"/>
        </w:rPr>
        <w:t>EN: Alternately Twisted, Electron‐Rich Rylenes and Their Stable Cations</w:t>
      </w:r>
    </w:p>
    <w:p>
      <w:pPr>
        <w:spacing w:before="0" w:after="120"/>
      </w:pPr>
      <w:r>
        <w:rPr>
          <w:b/>
        </w:rPr>
        <w:t xml:space="preserve">Source: </w:t>
      </w:r>
      <w:r>
        <w:t>Wiley: Angewandte Chemie International Edition: Table of Contents</w:t>
      </w:r>
      <w:r>
        <w:t xml:space="preserve">    </w:t>
      </w:r>
      <w:r>
        <w:rPr>
          <w:b/>
        </w:rPr>
        <w:t xml:space="preserve">Pub date: </w:t>
      </w:r>
      <w:r>
        <w:t>2026-02-04 13:02:50+00:00</w:t>
      </w:r>
      <w:r>
        <w:t xml:space="preserve">    </w:t>
      </w:r>
      <w:r>
        <w:rPr>
          <w:b/>
        </w:rPr>
        <w:t xml:space="preserve">DOI: </w:t>
      </w:r>
      <w:hyperlink r:id="rId767">
        <w:r>
          <w:rPr>
            <w:color w:val="1155CC"/>
            <w:u w:val="single"/>
          </w:rPr>
          <w:t>10.1002/anie.4322934</w:t>
        </w:r>
      </w:hyperlink>
    </w:p>
    <w:p>
      <w:pPr>
        <w:spacing w:before="0" w:after="120"/>
      </w:pPr>
      <w:r>
        <w:rPr>
          <w:b/>
        </w:rPr>
        <w:t xml:space="preserve">Notes: </w:t>
      </w:r>
      <w:r>
        <w:t>abstract_source=crossref</w:t>
      </w:r>
    </w:p>
    <w:p>
      <w:pPr>
        <w:spacing w:before="0" w:after="80" w:lineRule="auto" w:line="276"/>
      </w:pPr>
      <w:r>
        <w:rPr>
          <w:b/>
        </w:rPr>
        <w:t xml:space="preserve">摘要（ZH）: </w:t>
      </w:r>
      <w:r>
        <w:t>长arylene(ABSTACT)溶解相合成(ABSTACT Solution)仍具有挑战性,因为它们具有很强的聚合趋势。 引入骨干扭动可以减少聚合,同时产生潜在的螺旋性。 在这里,我们报告了一系列包含奇数和偶数氯化萘单位以及海湾/奥尔托位置上多个非丁氧替代单位的内烯分子,这些分子通过分级交叉结合合成,然后有控制的氧化脱氢化。 Peri etached 4(三氟甲基甲基)苯基组进一步稳定了扩展的。</w:t>
      </w:r>
    </w:p>
    <w:p>
      <w:pPr>
        <w:spacing w:before="0" w:after="200" w:lineRule="auto" w:line="276"/>
      </w:pPr>
      <w:r>
        <w:rPr>
          <w:b/>
        </w:rPr>
        <w:t xml:space="preserve">Abstract (EN): </w:t>
      </w:r>
      <w:r>
        <w:t>Solution‐phase synthesis of long rylenes remains challenging due to their strong tendency to aggregate. Introducing backbone twist can reduce aggregation and simultaneously generate potential helical chirality. Herein, we report a series of rylene molecules–up to octarylene—bearing both odd‐ and even‐numbered naphthalene units and multiple</w:t>
      </w:r>
      <w:r>
        <w:t xml:space="preserve"> </w:t>
      </w:r>
      <w:r>
        <w:t>n</w:t>
      </w:r>
      <w:r>
        <w:t xml:space="preserve"> </w:t>
      </w:r>
      <w:r>
        <w:t>‐butoxy substituents at the bay/ortho positions, synthesized via stepwise cross‐coupling followed by controlled oxidative dehydrogenation.</w:t>
      </w:r>
      <w:r>
        <w:t xml:space="preserve"> </w:t>
      </w:r>
      <w:r>
        <w:t>Peri</w:t>
      </w:r>
      <w:r>
        <w:t xml:space="preserve"> </w:t>
      </w:r>
      <w:r>
        <w:t>‐attached 4‐(trifluoromethyl)phenyl groups further stabilize the extended scaffolds. The electron‐rich</w:t>
      </w:r>
      <w:r>
        <w:t xml:space="preserve"> </w:t>
      </w:r>
      <w:r>
        <w:t>n</w:t>
      </w:r>
      <w:r>
        <w:t xml:space="preserve"> </w:t>
      </w:r>
      <w:r>
        <w:t>‐butoxy groups not only induce pronounced backbone twisting but also impart strong electron‐donating character. X‐ray crystallography reveals that long rylenes with two or more bay‐ tetra(</w:t>
      </w:r>
      <w:r>
        <w:t xml:space="preserve"> </w:t>
      </w:r>
      <w:r>
        <w:t>n</w:t>
      </w:r>
      <w:r>
        <w:t xml:space="preserve"> </w:t>
      </w:r>
      <w:r>
        <w:t>‐butoxy) motifs adopt alternating</w:t>
      </w:r>
      <w:r>
        <w:t xml:space="preserve"> </w:t>
      </w:r>
      <w:r>
        <w:t>P</w:t>
      </w:r>
      <w:r>
        <w:t xml:space="preserve"> </w:t>
      </w:r>
      <w:r>
        <w:t>/</w:t>
      </w:r>
      <w:r>
        <w:t>M</w:t>
      </w:r>
      <w:r>
        <w:t xml:space="preserve"> </w:t>
      </w:r>
      <w:r>
        <w:t>helicity rather than a homochiral helical conformation. These molecules exhibit clear length‐dependent optical and electrochemical properties, with absorption and emission spanning the visible to near‐infrared region. Their electron‐rich nature enables facile formation of stable radical cations and dications. Solid‐state structures of representative radical cations show distinct intermolecular stabilizing interactions, while</w:t>
      </w:r>
      <w:r>
        <w:rPr>
          <w:vertAlign w:val="subscript"/>
        </w:rPr>
        <w:t>1</w:t>
      </w:r>
      <w:r>
        <w:t>H NMR and ACID analyses of the dications reveal a systematic evolution from local to global aromaticity.</w:t>
      </w:r>
    </w:p>
    <w:p>
      <w:pPr>
        <w:spacing w:before="120" w:after="120"/>
      </w:pPr>
      <w:r>
        <w:rPr>
          <w:sz w:val="18"/>
        </w:rPr>
        <w:t>——————————————————————————————————————————————————————————————————————</w:t>
      </w:r>
    </w:p>
    <w:p>
      <w:pPr>
        <w:spacing w:before="160" w:after="40" w:line="240" w:lineRule="auto"/>
      </w:pPr>
      <w:r>
        <w:rPr>
          <w:b/>
        </w:rPr>
        <w:t xml:space="preserve">[483] </w:t>
      </w:r>
      <w:hyperlink r:id="rId768">
        <w:r>
          <w:rPr>
            <w:color w:val="1155CC"/>
            <w:u w:val="single"/>
          </w:rPr>
          <w:t>[ASAP]对填充碳纳诺管:综合、特性和应用的全面审查</w:t>
        </w:r>
      </w:hyperlink>
    </w:p>
    <w:p>
      <w:pPr>
        <w:spacing w:before="0" w:after="80"/>
      </w:pPr>
      <w:r>
        <w:rPr>
          <w:i/>
          <w:sz w:val="20"/>
        </w:rPr>
        <w:t>EN: [ASAP] A Comprehensive Review on Filled Carbon Nanotubes: Synthesis, Properties and Applications</w:t>
      </w:r>
    </w:p>
    <w:p>
      <w:pPr>
        <w:spacing w:before="0" w:after="120"/>
      </w:pPr>
      <w:r>
        <w:rPr>
          <w:b/>
        </w:rPr>
        <w:t xml:space="preserve">Source: </w:t>
      </w:r>
      <w:r>
        <w:t>Chemical Reviews: Latest Articles (ACS Publications)</w:t>
      </w:r>
      <w:r>
        <w:t xml:space="preserve">    </w:t>
      </w:r>
      <w:r>
        <w:rPr>
          <w:b/>
        </w:rPr>
        <w:t xml:space="preserve">Pub date: </w:t>
      </w:r>
      <w:r>
        <w:t>2026-02-04 14:12:52+00:00</w:t>
      </w:r>
      <w:r>
        <w:t xml:space="preserve">    </w:t>
      </w:r>
      <w:r>
        <w:rPr>
          <w:b/>
        </w:rPr>
        <w:t xml:space="preserve">DOI: </w:t>
      </w:r>
      <w:hyperlink r:id="rId769">
        <w:r>
          <w:rPr>
            <w:color w:val="1155CC"/>
            <w:u w:val="single"/>
          </w:rPr>
          <w:t>10.1021/acs.chemrev.5c00219</w:t>
        </w:r>
      </w:hyperlink>
    </w:p>
    <w:p>
      <w:pPr>
        <w:spacing w:before="0" w:after="120"/>
      </w:pPr>
      <w:r>
        <w:rPr>
          <w:b/>
        </w:rPr>
        <w:t xml:space="preserve">Notes: </w:t>
      </w:r>
      <w:r>
        <w:t>abstract_source=pubmed</w:t>
      </w:r>
    </w:p>
    <w:p>
      <w:pPr>
        <w:spacing w:before="0" w:after="80" w:lineRule="auto" w:line="276"/>
      </w:pPr>
      <w:r>
        <w:rPr>
          <w:b/>
        </w:rPr>
        <w:t xml:space="preserve">摘要（ZH）: </w:t>
      </w:r>
      <w:r>
        <w:t>碳纳米管(CNTs)已成为碳纳米材料中最令人兴奋的一组碳纳米管(CNTs),其空心管结构具有纳米内空洞,不仅界定了它们独特的物理和化学行为,而且还能够封装各种材料,包括无机和有机化合物。这种封装能力使碳纳米管(CNTs)能够发挥纳米容器、保护宿主和封闭的反应容器的作用,从而产生具有量身定制的光学、电子、催化和机械特性的新型混合材料。在本次审查中,我们全面概述了填充碳纳米管时所使用的方法,包括就地和就地方法。我们批判性地检查了氯乙烯管内各种材料,强调氯乙烯管内装的各种材料。</w:t>
      </w:r>
    </w:p>
    <w:p>
      <w:pPr>
        <w:spacing w:before="0" w:after="200" w:lineRule="auto" w:line="276"/>
      </w:pPr>
      <w:r>
        <w:rPr>
          <w:b/>
        </w:rPr>
        <w:t xml:space="preserve">Abstract (EN): </w:t>
      </w:r>
      <w:r>
        <w:t>Carbon nanotubes (CNTs) have emerged as one of the most exciting families of carbon nanomaterials. Their hollow tubular architecture, with a nanometric inner cavity, not only defines their distinct physical and chemical behavior but also enables the encapsulation of a wide range of materials, including inorganic and organic compounds. This encapsulation capability allows CNTs to function as nanocontainers, protective hosts, and confined reaction vessels, leading to novel hybrid materials with tailored optical, electronic, catalytic, and mechanical properties. In this review, we provide a comprehensive overview of the methodologies employed for filling CNTs, including in situ and ex situ approaches. We critically examined the diverse range of materials encapsulated within CNTs, highlighting how confinement at the nanoscale influences their chemical reactivity, phase stability, and emergent quantum phenomena. Special attention is given to the wide range of applications of filled CNTs in addressing societal challenges. These include biomedicine, catalysis, energy storage, gas separation, filtration membranes, sensing technologies, and nanoelectronics. Beyond revisiting the current state-of-the-art, this review offers a critical discussion of future directions and challenges in this field.</w:t>
      </w:r>
    </w:p>
    <w:p>
      <w:pPr>
        <w:spacing w:before="120" w:after="120"/>
      </w:pPr>
      <w:r>
        <w:rPr>
          <w:sz w:val="18"/>
        </w:rPr>
        <w:t>——————————————————————————————————————————————————————————————————————</w:t>
      </w:r>
    </w:p>
    <w:p>
      <w:pPr>
        <w:spacing w:before="160" w:after="40" w:line="240" w:lineRule="auto"/>
      </w:pPr>
      <w:r>
        <w:rPr>
          <w:b/>
        </w:rPr>
        <w:t xml:space="preserve">[484] </w:t>
      </w:r>
      <w:hyperlink r:id="rId770">
        <w:r>
          <w:rPr>
            <w:color w:val="1155CC"/>
            <w:u w:val="single"/>
          </w:rPr>
          <w:t>[ASAP] 与Alkkenes和Alkynes的β-Keto碳基和Alkynes的波形-增强的当前电电加速解变能碳化碳-氧化碳</w:t>
        </w:r>
      </w:hyperlink>
    </w:p>
    <w:p>
      <w:pPr>
        <w:spacing w:before="0" w:after="80"/>
      </w:pPr>
      <w:r>
        <w:rPr>
          <w:i/>
          <w:sz w:val="20"/>
        </w:rPr>
        <w:t>EN: [ASAP] Waveform-Enhanced Alternating Current Electrocatalysis Enables Cu-Catalyzed Carbon–Oxygenation of β-Keto Carbonyls with Alkenes and Alkynes</w:t>
      </w:r>
    </w:p>
    <w:p>
      <w:pPr>
        <w:spacing w:before="0" w:after="120"/>
      </w:pPr>
      <w:r>
        <w:rPr>
          <w:b/>
        </w:rPr>
        <w:t xml:space="preserve">Source: </w:t>
      </w:r>
      <w:r>
        <w:t>Journal of the American Chemical Society: Latest Articles (ACS Publications)</w:t>
      </w:r>
      <w:r>
        <w:t xml:space="preserve">    </w:t>
      </w:r>
      <w:r>
        <w:rPr>
          <w:b/>
        </w:rPr>
        <w:t xml:space="preserve">Pub date: </w:t>
      </w:r>
      <w:r>
        <w:t>2026-02-04 14:29:08+00:00</w:t>
      </w:r>
      <w:r>
        <w:t xml:space="preserve">    </w:t>
      </w:r>
      <w:r>
        <w:rPr>
          <w:b/>
        </w:rPr>
        <w:t xml:space="preserve">DOI: </w:t>
      </w:r>
      <w:hyperlink r:id="rId771">
        <w:r>
          <w:rPr>
            <w:color w:val="1155CC"/>
            <w:u w:val="single"/>
          </w:rPr>
          <w:t>10.1021/jacs.5c19029</w:t>
        </w:r>
      </w:hyperlink>
    </w:p>
    <w:p>
      <w:pPr>
        <w:spacing w:before="0" w:after="120"/>
      </w:pPr>
      <w:r>
        <w:rPr>
          <w:b/>
        </w:rPr>
        <w:t xml:space="preserve">Notes: </w:t>
      </w:r>
      <w:r>
        <w:t>abstract_source=pubmed</w:t>
      </w:r>
    </w:p>
    <w:p>
      <w:pPr>
        <w:spacing w:before="0" w:after="80" w:lineRule="auto" w:line="276"/>
      </w:pPr>
      <w:r>
        <w:rPr>
          <w:b/>
        </w:rPr>
        <w:t xml:space="preserve">摘要（ZH）: </w:t>
      </w:r>
      <w:r>
        <w:t>在这项工作中,我们引入了一种不对称的AC波形驱动的Cu-催化催化氧化战略,采用现有的β-基碳基、烷或烷基战略,通过内部和中间分子碳氧化基因获得宝贵的5,5-二次环流和E型烷基骨架。在两种截然不同的波形下,反应顺利地进行,它们分别通过Cu-受控的基质添加途径和核分裂生物添加途径进行。电磁共振反应(EPR)研究表明,非对称的AC波形保持了铜中间体在各自区域内的高浓缩动态平衡。</w:t>
      </w:r>
    </w:p>
    <w:p>
      <w:pPr>
        <w:spacing w:before="0" w:after="200" w:lineRule="auto" w:line="276"/>
      </w:pPr>
      <w:r>
        <w:rPr>
          <w:b/>
        </w:rPr>
        <w:t xml:space="preserve">Abstract (EN): </w:t>
      </w:r>
      <w:r>
        <w:t>Alternating current (AC) electrolysis furnishes a dynamic electric field with tunable frequency, duty ratio, and waveform, features that have recently conferred distinct advantages in organic electrosynthesis. In this work, we introduce an unsymmetrical AC waveform-driven Cu-catalyzed oxidative strategy that employs available β-keto carbonyls, alkenes or alkynes to access valuable 5,5-spirocyclic and E-type alkene scaffolds via intra- and intermolecular carbon-oxygenation. Under two distinct waveforms, the reactions proceed smoothly via a Cu-bound radical and nucleophilic addition pathway, respectively. Electron paramagnetic resonance (EPR) studies demonstrate that unsymmetrical AC waveforms maintain a high-concentration dynamic equilibrium of copper intermediates within their respective reaction environments. These findings broaden the scope of AC electrosynthesis and illustrate how waveform design can be leveraged to direct reactivity in challenging bond-forming cascades.</w:t>
      </w:r>
    </w:p>
    <w:p>
      <w:pPr>
        <w:spacing w:before="120" w:after="120"/>
      </w:pPr>
      <w:r>
        <w:rPr>
          <w:sz w:val="18"/>
        </w:rPr>
        <w:t>——————————————————————————————————————————————————————————————————————</w:t>
      </w:r>
    </w:p>
    <w:p>
      <w:pPr>
        <w:spacing w:before="160" w:after="40" w:line="240" w:lineRule="auto"/>
      </w:pPr>
      <w:r>
        <w:rPr>
          <w:b/>
        </w:rPr>
        <w:t xml:space="preserve">[485] </w:t>
      </w:r>
      <w:hyperlink r:id="rId772">
        <w:r>
          <w:rPr>
            <w:color w:val="1155CC"/>
            <w:u w:val="single"/>
          </w:rPr>
          <w:t>[ASAP] Myoglobin-Membrane协会促进通过活性点数计分法释放氧气</w:t>
        </w:r>
      </w:hyperlink>
    </w:p>
    <w:p>
      <w:pPr>
        <w:spacing w:before="0" w:after="80"/>
      </w:pPr>
      <w:r>
        <w:rPr>
          <w:i/>
          <w:sz w:val="20"/>
        </w:rPr>
        <w:t>EN: [ASAP] Myoglobin-Membrane Association Facilitates Oxygen Release via Active-Site Tuning</w:t>
      </w:r>
    </w:p>
    <w:p>
      <w:pPr>
        <w:spacing w:before="0" w:after="120"/>
      </w:pPr>
      <w:r>
        <w:rPr>
          <w:b/>
        </w:rPr>
        <w:t xml:space="preserve">Source: </w:t>
      </w:r>
      <w:r>
        <w:t>Journal of the American Chemical Society: Latest Articles (ACS Publications)</w:t>
      </w:r>
      <w:r>
        <w:t xml:space="preserve">    </w:t>
      </w:r>
      <w:r>
        <w:rPr>
          <w:b/>
        </w:rPr>
        <w:t xml:space="preserve">Pub date: </w:t>
      </w:r>
      <w:r>
        <w:t>2026-02-04 14:47:45+00:00</w:t>
      </w:r>
      <w:r>
        <w:t xml:space="preserve">    </w:t>
      </w:r>
      <w:r>
        <w:rPr>
          <w:b/>
        </w:rPr>
        <w:t xml:space="preserve">DOI: </w:t>
      </w:r>
      <w:hyperlink r:id="rId773">
        <w:r>
          <w:rPr>
            <w:color w:val="1155CC"/>
            <w:u w:val="single"/>
          </w:rPr>
          <w:t>10.1021/jacs.5c20333</w:t>
        </w:r>
      </w:hyperlink>
    </w:p>
    <w:p>
      <w:pPr>
        <w:spacing w:before="0" w:after="120"/>
      </w:pPr>
      <w:r>
        <w:rPr>
          <w:b/>
        </w:rPr>
        <w:t xml:space="preserve">Notes: </w:t>
      </w:r>
      <w:r>
        <w:t>abstract_source=pubmed</w:t>
      </w:r>
    </w:p>
    <w:p>
      <w:pPr>
        <w:spacing w:before="0" w:after="80" w:lineRule="auto" w:line="276"/>
      </w:pPr>
      <w:r>
        <w:rPr>
          <w:b/>
        </w:rPr>
        <w:t xml:space="preserve">摘要（ZH）: </w:t>
      </w:r>
      <w:r>
        <w:t>在这项研究中,我们结合了光谱学、快速动能学和计算机模拟,以调查氧气黄球素与外膜膜膜膜模型之间的相互作用,该模型由1:1 POPC:POPE 亲脂-影响氧的亲和性组成。紫外线光谱和Resonance Raman光谱学研究对米色球素、脱氧血球素和氧基球素进行观测和共振光谱分析,发现黑麦结合点的结构突扰,而氧黄球素与型膜膜相互作用。止流动测量显示,这些扭曲导致氧释放率常数增加2倍。此外,典型和多尺度的QM/MM模拟显示,O2的上升。</w:t>
      </w:r>
    </w:p>
    <w:p>
      <w:pPr>
        <w:spacing w:before="0" w:after="200" w:lineRule="auto" w:line="276"/>
      </w:pPr>
      <w:r>
        <w:rPr>
          <w:b/>
        </w:rPr>
        <w:t xml:space="preserve">Abstract (EN): </w:t>
      </w:r>
      <w:r>
        <w:t>Myoglobin, a heme protein abundant in striated muscle cells, plays a crucial role in oxygen delivery to mitochondria. In this study, we combined spectroscopy, rapid kinetics and computer simulations to investigate how the interaction between oxymyoglobin and an outer mitochondrial membrane model - composed of 1:1 POPC:POPE liposomes- impacts oxygen affinity. UV-visible and Resonance Raman spectroscopy studies of metmyoglobin, deoxymyoglobin and oxymyoglobin reveal subtle structural perturbations of the heme binding site, when oxymyoglobin interacts with the model membrane. Stopped-flow kinetic measurements show that these distortions lead to a 2-fold increase in the rate constant for oxygen release. Furthermore, classical and multiscale QM/MM simulations suggest that the increase in the O2 dissociation rate in the presence of the liposomes is mainly due to proximal effects and heme plane distortions produced by specific interactions between oxymyoglobin and the membrane. Altogether, these results point to a fine-tuning in the active site conformation that facilitates oxygen release from oxymyoglobin upon membrane association, potentially enhancing mitochondrial oxygen availability and energy production in cells.</w:t>
      </w:r>
    </w:p>
    <w:p>
      <w:pPr>
        <w:spacing w:before="120" w:after="120"/>
      </w:pPr>
      <w:r>
        <w:rPr>
          <w:sz w:val="18"/>
        </w:rPr>
        <w:t>——————————————————————————————————————————————————————————————————————</w:t>
      </w:r>
    </w:p>
    <w:p>
      <w:pPr>
        <w:spacing w:before="160" w:after="40" w:line="240" w:lineRule="auto"/>
      </w:pPr>
      <w:r>
        <w:rPr>
          <w:b/>
        </w:rPr>
        <w:t xml:space="preserve">[486] </w:t>
      </w:r>
      <w:hyperlink r:id="rId774">
        <w:r>
          <w:rPr>
            <w:color w:val="1155CC"/>
            <w:u w:val="single"/>
          </w:rPr>
          <w:t>[ASAP] 金属-有机框架膜通过生物矿物化 -- -- 受启发的高能效天体分离的诱导诱惑力的金属-有机框架膜的协同多尺度设计[ASAP]</w:t>
        </w:r>
      </w:hyperlink>
    </w:p>
    <w:p>
      <w:pPr>
        <w:spacing w:before="0" w:after="80"/>
      </w:pPr>
      <w:r>
        <w:rPr>
          <w:i/>
          <w:sz w:val="20"/>
        </w:rPr>
        <w:t>EN: [ASAP] Synergistic Multiscale Design of Metal–Organic Framework Membrane via Biomineralization-Inspired Templating for High-Efficiency Azeotrope Separation</w:t>
      </w:r>
    </w:p>
    <w:p>
      <w:pPr>
        <w:spacing w:before="0" w:after="120"/>
      </w:pPr>
      <w:r>
        <w:rPr>
          <w:b/>
        </w:rPr>
        <w:t xml:space="preserve">Source: </w:t>
      </w:r>
      <w:r>
        <w:t>Journal of the American Chemical Society: Latest Articles (ACS Publications)</w:t>
      </w:r>
      <w:r>
        <w:t xml:space="preserve">    </w:t>
      </w:r>
      <w:r>
        <w:rPr>
          <w:b/>
        </w:rPr>
        <w:t xml:space="preserve">Pub date: </w:t>
      </w:r>
      <w:r>
        <w:t>2026-02-04 14:48:14+00:00</w:t>
      </w:r>
      <w:r>
        <w:t xml:space="preserve">    </w:t>
      </w:r>
      <w:r>
        <w:rPr>
          <w:b/>
        </w:rPr>
        <w:t xml:space="preserve">DOI: </w:t>
      </w:r>
      <w:hyperlink r:id="rId775">
        <w:r>
          <w:rPr>
            <w:color w:val="1155CC"/>
            <w:u w:val="single"/>
          </w:rPr>
          <w:t>10.1021/jacs.5c21467</w:t>
        </w:r>
      </w:hyperlink>
    </w:p>
    <w:p>
      <w:pPr>
        <w:spacing w:before="0" w:after="120"/>
      </w:pPr>
      <w:r>
        <w:rPr>
          <w:b/>
        </w:rPr>
        <w:t xml:space="preserve">Notes: </w:t>
      </w:r>
      <w:r>
        <w:t>abstract_source=pubmed</w:t>
      </w:r>
    </w:p>
    <w:p>
      <w:pPr>
        <w:spacing w:before="0" w:after="80" w:lineRule="auto" w:line="276"/>
      </w:pPr>
      <w:r>
        <w:rPr>
          <w:b/>
        </w:rPr>
        <w:t xml:space="preserve">摘要（ZH）: </w:t>
      </w:r>
      <w:r>
        <w:t>以薄膜为基础的透视提供了一种节能的气旋分离途径,然而,将结构完整性与精确的分子切分结合起来的膜结构仍然具有挑战性。这项工作引入了一种生物矿物化激励战略,通过使用易于获取和可元化的 CABTC 模板模版膜膜,在微型、纳米和分子尺度上协同设计金属-机体框架MIL-100膜框架MIL-100膜和薄膜。模版-按点排列的点核核圆直接将MIL-100纳米晶体空间精确组装成密密密而无缺陷的膜。同时,模板“牺牲”与保护之间的动态竞争产生了一种等级“轮船-瓶”结构,在此结构中,封装的CABTC 纳米集束有效地将MIL-100光谱到模组。</w:t>
      </w:r>
    </w:p>
    <w:p>
      <w:pPr>
        <w:spacing w:before="0" w:after="200" w:lineRule="auto" w:line="276"/>
      </w:pPr>
      <w:r>
        <w:rPr>
          <w:b/>
        </w:rPr>
        <w:t xml:space="preserve">Abstract (EN): </w:t>
      </w:r>
      <w:r>
        <w:t>Membrane-based pervaporation offers an energy-efficient route for azeotrope separation, yet fabricating membranes that combine structural integrity with precise molecular sieving remains challenging. This work introduces a biomineralization-inspired strategy to synergistically engineer metal-organic framework MIL-100 membranes across micro-, nano-, and molecular scales by using a readily accessible and metastable CuBTC template membrane. The template-anchored point-by-point nucleation directs spatially precise assembly of MIL-100 nanocrystals into a dense, defect-free membrane. Concurrently, a dynamic competition between template "sacrifice" and preservation generates a hierarchical "ship-in-bottle" structure, where encapsulated CuBTC nanoclusters effectively narrow MIL-100 mesocages to molecular dimensions, enabling sharp water/organic discrimination. For a 90 wt % ethanol/water feed, it achieves a separation factor of 3200 with a flux of 2.58 kg m-2 h-1, outperforming state-of-the-art membranes. This bioinspired mineralization strategy provides a universal route for designing crystalline porous membranes with exceptional selectivity and stability for energy-efficient molecular separations.</w:t>
      </w:r>
    </w:p>
    <w:p>
      <w:pPr>
        <w:spacing w:before="120" w:after="120"/>
      </w:pPr>
      <w:r>
        <w:rPr>
          <w:sz w:val="18"/>
        </w:rPr>
        <w:t>——————————————————————————————————————————————————————————————————————</w:t>
      </w:r>
    </w:p>
    <w:p>
      <w:pPr>
        <w:spacing w:before="160" w:after="40" w:line="240" w:lineRule="auto"/>
      </w:pPr>
      <w:r>
        <w:rPr>
          <w:b/>
        </w:rPr>
        <w:t xml:space="preserve">[487] </w:t>
      </w:r>
      <w:hyperlink r:id="rId776">
        <w:r>
          <w:rPr>
            <w:color w:val="1155CC"/>
            <w:u w:val="single"/>
          </w:rPr>
          <w:t>[ASAP] 将聚氯丁二苯乙烯甲基转移酶共价堆积成三氯丁二烯死产综合体</w:t>
        </w:r>
      </w:hyperlink>
    </w:p>
    <w:p>
      <w:pPr>
        <w:spacing w:before="0" w:after="80"/>
      </w:pPr>
      <w:r>
        <w:rPr>
          <w:i/>
          <w:sz w:val="20"/>
        </w:rPr>
        <w:t>EN: [ASAP] Assembling Ternary Dead-End Complex for Covalent Trapping of Protein Lysine Methyltransferases</w:t>
      </w:r>
    </w:p>
    <w:p>
      <w:pPr>
        <w:spacing w:before="0" w:after="120"/>
      </w:pPr>
      <w:r>
        <w:rPr>
          <w:b/>
        </w:rPr>
        <w:t xml:space="preserve">Source: </w:t>
      </w:r>
      <w:r>
        <w:t>Journal of the American Chemical Society: Latest Articles (ACS Publications)</w:t>
      </w:r>
      <w:r>
        <w:t xml:space="preserve">    </w:t>
      </w:r>
      <w:r>
        <w:rPr>
          <w:b/>
        </w:rPr>
        <w:t xml:space="preserve">Pub date: </w:t>
      </w:r>
      <w:r>
        <w:t>2026-02-04 15:32:13+00:00</w:t>
      </w:r>
      <w:r>
        <w:t xml:space="preserve">    </w:t>
      </w:r>
      <w:r>
        <w:rPr>
          <w:b/>
        </w:rPr>
        <w:t xml:space="preserve">DOI: </w:t>
      </w:r>
      <w:hyperlink r:id="rId777">
        <w:r>
          <w:rPr>
            <w:color w:val="1155CC"/>
            <w:u w:val="single"/>
          </w:rPr>
          <w:t>10.1021/jacs.5c14571</w:t>
        </w:r>
      </w:hyperlink>
    </w:p>
    <w:p>
      <w:pPr>
        <w:spacing w:before="0" w:after="120"/>
      </w:pPr>
      <w:r>
        <w:rPr>
          <w:b/>
        </w:rPr>
        <w:t xml:space="preserve">Notes: </w:t>
      </w:r>
      <w:r>
        <w:t>abstract_source=pubmed</w:t>
      </w:r>
    </w:p>
    <w:p>
      <w:pPr>
        <w:spacing w:before="0" w:after="80" w:lineRule="auto" w:line="276"/>
      </w:pPr>
      <w:r>
        <w:rPr>
          <w:b/>
        </w:rPr>
        <w:t xml:space="preserve">摘要（ZH）: </w:t>
      </w:r>
      <w:r>
        <w:t>在细胞环境中,人类基因组编码了60多种蛋白碱甲基转移酶(PKMTs),以S-adonosyl-l-methionine(SAM)为甲基捐献者,以高度精心策划的方式对脊髓灰质和无硫目标上的数千个碱性场地进行改造。蛋白碱甲基化的生物作用越来越多地被卷入确定不同细胞命运的遗传调节中,它们的发育调节经常与发育异常和癌症恶性肿瘤的各个方面相关联。然而,在平行的折痕中,对多种上游甲基转移酶的注意一直具有挑战性。</w:t>
      </w:r>
    </w:p>
    <w:p>
      <w:pPr>
        <w:spacing w:before="0" w:after="200" w:lineRule="auto" w:line="276"/>
      </w:pPr>
      <w:r>
        <w:rPr>
          <w:b/>
        </w:rPr>
        <w:t xml:space="preserve">Abstract (EN): </w:t>
      </w:r>
      <w:r>
        <w:t>Protein lysine methylation is a distinct class of post-translational modifications because it minimally alters the size and positive charge of the lysine side chain. In cellular contexts, the human genome encodes over 60 protein lysine methyltransferases (PKMTs), with the S-adenosyl-l-methionine (SAM) cofactor as the methyl donor, to modify thousands of lysine sites on histones and nonhistone targets in a highly orchestrated manner. The biological roles of protein lysine methylation are increasingly implicated in epigenetic regulation to define diverse cell fates, and their dysregulation is frequently associated with developmental abnormalities and various aspects of cancerous malignancy. However, it has been challenging to annotate the multiple upstream methyltransferase(s) in parallel from known methyllysine marks in the context of over 60 PKMT candidates with redundant and cell-type-dependent activities. We therefore envisioned the technology of Covalent Trapping of Protein Lysine Methyltransferases (CTPM) by assembling the ternary dead-end complex of PKMTs with substrate-cofactor surrogates. With SET-domain-containing PKMTs, the norleucine(Nle)-SAM pair was shown to be a robust structural motif to form such dead-end complexes, likely via harnessing the common feature of the transition state of PKMT-catalyzed lysine methylation. Our CTPM peptidic probes contain the Nle warhead in the place of substrate lysine, the photo-cross-linking residue in proximity of Nle, and the terminal biotin anchor for target enrichment. These CTPM probes, upon pairing with the SAM cofactor, show high efficiency in trapping the upstream PKMTs of the cognate histone and nonhistone substrates.</w:t>
      </w:r>
    </w:p>
    <w:p>
      <w:pPr>
        <w:spacing w:before="120" w:after="120"/>
      </w:pPr>
      <w:r>
        <w:rPr>
          <w:sz w:val="18"/>
        </w:rPr>
        <w:t>——————————————————————————————————————————————————————————————————————</w:t>
      </w:r>
    </w:p>
    <w:p>
      <w:pPr>
        <w:spacing w:before="160" w:after="40" w:line="240" w:lineRule="auto"/>
      </w:pPr>
      <w:r>
        <w:rPr>
          <w:b/>
        </w:rPr>
        <w:t xml:space="preserve">[488] </w:t>
      </w:r>
      <w:hyperlink r:id="rId778">
        <w:r>
          <w:rPr>
            <w:color w:val="1155CC"/>
            <w:u w:val="single"/>
          </w:rPr>
          <w:t>[ASAP] 高压酸合成合成方法的进步及其翻译相关性</w:t>
        </w:r>
      </w:hyperlink>
    </w:p>
    <w:p>
      <w:pPr>
        <w:spacing w:before="0" w:after="80"/>
      </w:pPr>
      <w:r>
        <w:rPr>
          <w:i/>
          <w:sz w:val="20"/>
        </w:rPr>
        <w:t>EN: [ASAP] Advancements in Hyaluronic Acid Synthetic Methodologies and Their Translational Relevance</w:t>
      </w:r>
    </w:p>
    <w:p>
      <w:pPr>
        <w:spacing w:before="0" w:after="120"/>
      </w:pPr>
      <w:r>
        <w:rPr>
          <w:b/>
        </w:rPr>
        <w:t xml:space="preserve">Source: </w:t>
      </w:r>
      <w:r>
        <w:t>Chemical Reviews: Latest Articles (ACS Publications)</w:t>
      </w:r>
      <w:r>
        <w:t xml:space="preserve">    </w:t>
      </w:r>
      <w:r>
        <w:rPr>
          <w:b/>
        </w:rPr>
        <w:t xml:space="preserve">Pub date: </w:t>
      </w:r>
      <w:r>
        <w:t>2026-02-04 15:36:10+00:00</w:t>
      </w:r>
      <w:r>
        <w:t xml:space="preserve">    </w:t>
      </w:r>
      <w:r>
        <w:rPr>
          <w:b/>
        </w:rPr>
        <w:t xml:space="preserve">DOI: </w:t>
      </w:r>
      <w:hyperlink r:id="rId779">
        <w:r>
          <w:rPr>
            <w:color w:val="1155CC"/>
            <w:u w:val="single"/>
          </w:rPr>
          <w:t>10.1021/acs.chemrev.5c00790</w:t>
        </w:r>
      </w:hyperlink>
    </w:p>
    <w:p>
      <w:pPr>
        <w:spacing w:before="0" w:after="120"/>
      </w:pPr>
      <w:r>
        <w:rPr>
          <w:b/>
        </w:rPr>
        <w:t xml:space="preserve">Notes: </w:t>
      </w:r>
      <w:r>
        <w:t>abstract_source=pubmed</w:t>
      </w:r>
    </w:p>
    <w:p>
      <w:pPr>
        <w:spacing w:before="0" w:after="80" w:lineRule="auto" w:line="276"/>
      </w:pPr>
      <w:r>
        <w:rPr>
          <w:b/>
        </w:rPr>
        <w:t xml:space="preserve">摘要（ZH）: </w:t>
      </w:r>
      <w:r>
        <w:t>例如,HA的目标是CD44和RHAMM受体,这些受体在许多癌症细胞类型的表面表现过度,因此HA被广泛调查以提供强效抗癌剂;然而,含HA的治疗配方在临床上几乎没有什么成功;挑战在于生物源HA的异质性,导致批到批的变异和不一致的生物活动;因此,制定方法,以狭小分散的方式获得定义明确的HA是进步的关键。</w:t>
      </w:r>
    </w:p>
    <w:p>
      <w:pPr>
        <w:spacing w:before="0" w:after="200" w:lineRule="auto" w:line="276"/>
      </w:pPr>
      <w:r>
        <w:rPr>
          <w:b/>
        </w:rPr>
        <w:t xml:space="preserve">Abstract (EN): </w:t>
      </w:r>
      <w:r>
        <w:t>Hyaluronic acid (HA) is a linear and nonsulfated glycosaminoglycan of interest because of its complex biological activity and therapeutic potential. For example, HA targets CD44 and RHAMM receptors, which are overexpressed on the surface of numerous cancer cell types, and thus HA is widely investigated for delivery of potent anticancer agents. However, HA-containing formulations for therapeutics have had little clinical success. The challenge lies in the heterogeneity of biologically sourced HA, which results in batch-to-batch variation and inconsistent biological activity. Consequently, developing methodologies to access well-defined HA with narrow dispersity is the key to advancement. In this Review, we discuss the biological role of HA within cancer and cancer immune regulation and extend the discussion to the importance of HA in both osteoarthritis and rheumatoid arthritis. We then summarize both synthetic and enzymatic methodologies for accessing HA and its derivatives including HA oligosaccharides, HA polymeric derivatives, HA conjugates, and HA-based nanoparticles and hydrogels with an emphasis on biomaterial reports from the past decade (2015-2025). This Review highlights the biological relevance of HA and the critical need for successful methodologies and therapeutic designs to achieve clinical translation culminating in impactful patient outcomes.</w:t>
      </w:r>
    </w:p>
    <w:p>
      <w:pPr>
        <w:spacing w:before="120" w:after="120"/>
      </w:pPr>
      <w:r>
        <w:rPr>
          <w:sz w:val="18"/>
        </w:rPr>
        <w:t>——————————————————————————————————————————————————————————————————————</w:t>
      </w:r>
    </w:p>
    <w:p>
      <w:pPr>
        <w:spacing w:before="160" w:after="40" w:line="240" w:lineRule="auto"/>
      </w:pPr>
      <w:r>
        <w:rPr>
          <w:b/>
        </w:rPr>
        <w:t xml:space="preserve">[489] </w:t>
      </w:r>
      <w:hyperlink r:id="rId780">
        <w:r>
          <w:rPr>
            <w:color w:val="1155CC"/>
            <w:u w:val="single"/>
          </w:rPr>
          <w:t>[ASAP]利用差异性Ligand至Metal Expectfer Transfer Expent State 路径对阿克克氧基激进反应活动进行催化控制</w:t>
        </w:r>
      </w:hyperlink>
    </w:p>
    <w:p>
      <w:pPr>
        <w:spacing w:before="0" w:after="80"/>
      </w:pPr>
      <w:r>
        <w:rPr>
          <w:i/>
          <w:sz w:val="20"/>
        </w:rPr>
        <w:t>EN: [ASAP] Leveraging Divergent Ligand-to-Metal Charge-Transfer Excited State Pathways for Catalyst Control over Alkoxyl Radical Reactivity</w:t>
      </w:r>
    </w:p>
    <w:p>
      <w:pPr>
        <w:spacing w:before="0" w:after="120"/>
      </w:pPr>
      <w:r>
        <w:rPr>
          <w:b/>
        </w:rPr>
        <w:t xml:space="preserve">Source: </w:t>
      </w:r>
      <w:r>
        <w:t>Journal of the American Chemical Society: Latest Articles (ACS Publications)</w:t>
      </w:r>
      <w:r>
        <w:t xml:space="preserve">    </w:t>
      </w:r>
      <w:r>
        <w:rPr>
          <w:b/>
        </w:rPr>
        <w:t xml:space="preserve">Pub date: </w:t>
      </w:r>
      <w:r>
        <w:t>2026-02-04 16:45:00+00:00</w:t>
      </w:r>
      <w:r>
        <w:t xml:space="preserve">    </w:t>
      </w:r>
      <w:r>
        <w:rPr>
          <w:b/>
        </w:rPr>
        <w:t xml:space="preserve">DOI: </w:t>
      </w:r>
      <w:hyperlink r:id="rId781">
        <w:r>
          <w:rPr>
            <w:color w:val="1155CC"/>
            <w:u w:val="single"/>
          </w:rPr>
          <w:t>10.1021/jacs.5c22609</w:t>
        </w:r>
      </w:hyperlink>
    </w:p>
    <w:p>
      <w:pPr>
        <w:spacing w:before="0" w:after="120"/>
      </w:pPr>
      <w:r>
        <w:rPr>
          <w:b/>
        </w:rPr>
        <w:t xml:space="preserve">Notes: </w:t>
      </w:r>
      <w:r>
        <w:t>abstract_source=pubmed</w:t>
      </w:r>
    </w:p>
    <w:p>
      <w:pPr>
        <w:spacing w:before="0" w:after="80" w:lineRule="auto" w:line="276"/>
      </w:pPr>
      <w:r>
        <w:rPr>
          <w:b/>
        </w:rPr>
        <w:t xml:space="preserve">摘要（ZH）: </w:t>
      </w:r>
      <w:r>
        <w:t>近年来,Limotom-cent-recalcent 酒精在LMCT兴奋状态下通过正式的金属拉链和债券同解作用,作为有机合成的一种强大方式,即通过来自LMCT兴奋状态的正式金属拉链和债券同解生成异质-偏心基;然而,对LMCT兴奋状态替代工艺的利用极为有限。这里我们描述了一项调整LMCT兴奋状态对钛烷氧化物的反应过程的一般战略。这种反应模式被利用,用于在金属拉链和联结同和兴奋状态的不同反应途径下,通过明智地选择电子调控的提催化剂,将可消除和可消除的酒精与兴奋状态相调和解脱的酒精结合起来。通过分子内部反应。</w:t>
      </w:r>
    </w:p>
    <w:p>
      <w:pPr>
        <w:spacing w:before="0" w:after="200" w:lineRule="auto" w:line="276"/>
      </w:pPr>
      <w:r>
        <w:rPr>
          <w:b/>
        </w:rPr>
        <w:t xml:space="preserve">Abstract (EN): </w:t>
      </w:r>
      <w:r>
        <w:t>Ligand-to-metal charge-transfer (LMCT) excitation has emerged in recent years as a powerful modality in organic synthesis, namely for the generation of heteroatom-centered radicals through formal metal-ligand bond homolysis from the LMCT excited state. However, the exploitation of alternative LMCT excited state processes has been extremely limited. Here, we describe a general strategy for tuning the reaction course from LMCT excited states of titanium alkoxides. This reactivity paradigm has been exploited for tandem β-scission/Giese addition reactions of both scission-amenable and scission-recalcitrant alcohols under divergent reaction pathways of metal-ligand bond homolysis and excited state β-scission through judicious choice of electronically tuned Ti catalysts. Through intramolecular competition studies, catalyst-controlled scission is shown to facilitate a rate enhancement of up to 103-fold over the intrinsic scission of free alkoxyl radicals, highlighting the impact of accessing the excited state scission paradigm. Computations support the relevance of a scission-promoting LMCT excited state with stereoelectronically aligned alkoxyl radical cation character to enable direct, selective β-scission.</w:t>
      </w:r>
    </w:p>
    <w:p>
      <w:pPr>
        <w:spacing w:before="120" w:after="120"/>
      </w:pPr>
      <w:r>
        <w:rPr>
          <w:sz w:val="18"/>
        </w:rPr>
        <w:t>——————————————————————————————————————————————————————————————————————</w:t>
      </w:r>
    </w:p>
    <w:p>
      <w:pPr>
        <w:spacing w:before="160" w:after="40" w:line="240" w:lineRule="auto"/>
      </w:pPr>
      <w:r>
        <w:rPr>
          <w:b/>
        </w:rPr>
        <w:t xml:space="preserve">[490] </w:t>
      </w:r>
      <w:hyperlink r:id="rId782">
        <w:r>
          <w:rPr>
            <w:color w:val="1155CC"/>
            <w:u w:val="single"/>
          </w:rPr>
          <w:t>[ASAP]同时在“准-单二元抗推铁磁层MnSb2S4”中加强压力-增强磁性秩序和光导性</w:t>
        </w:r>
      </w:hyperlink>
    </w:p>
    <w:p>
      <w:pPr>
        <w:spacing w:before="0" w:after="80"/>
      </w:pPr>
      <w:r>
        <w:rPr>
          <w:i/>
          <w:sz w:val="20"/>
        </w:rPr>
        <w:t>EN: [ASAP] Concurrent Pressure-Enhanced Magnetic Order and Photoconductivity in Quasi-One-Dimensional Antiferromagnet MnSb2S4</w:t>
      </w:r>
    </w:p>
    <w:p>
      <w:pPr>
        <w:spacing w:before="0" w:after="120"/>
      </w:pPr>
      <w:r>
        <w:rPr>
          <w:b/>
        </w:rPr>
        <w:t xml:space="preserve">Source: </w:t>
      </w:r>
      <w:r>
        <w:t>Journal of the American Chemical Society: Latest Articles (ACS Publications)</w:t>
      </w:r>
      <w:r>
        <w:t xml:space="preserve">    </w:t>
      </w:r>
      <w:r>
        <w:rPr>
          <w:b/>
        </w:rPr>
        <w:t xml:space="preserve">Pub date: </w:t>
      </w:r>
      <w:r>
        <w:t>2026-02-04 17:33:06+00:00</w:t>
      </w:r>
      <w:r>
        <w:t xml:space="preserve">    </w:t>
      </w:r>
      <w:r>
        <w:rPr>
          <w:b/>
        </w:rPr>
        <w:t xml:space="preserve">DOI: </w:t>
      </w:r>
      <w:hyperlink r:id="rId783">
        <w:r>
          <w:rPr>
            <w:color w:val="1155CC"/>
            <w:u w:val="single"/>
          </w:rPr>
          <w:t>10.1021/jacs.5c21160</w:t>
        </w:r>
      </w:hyperlink>
    </w:p>
    <w:p>
      <w:pPr>
        <w:spacing w:before="0" w:after="120"/>
      </w:pPr>
      <w:r>
        <w:rPr>
          <w:b/>
        </w:rPr>
        <w:t xml:space="preserve">Notes: </w:t>
      </w:r>
      <w:r>
        <w:t>abstract_source=pubmed</w:t>
      </w:r>
    </w:p>
    <w:p>
      <w:pPr>
        <w:spacing w:before="0" w:after="80" w:lineRule="auto" w:line="276"/>
      </w:pPr>
      <w:r>
        <w:rPr>
          <w:b/>
        </w:rPr>
        <w:t xml:space="preserve">摘要（ZH）: </w:t>
      </w:r>
      <w:r>
        <w:t>低维范德华材料构成了探索相互交织的磁力、运输和光电子材料的肥沃土壤,然而,各种量子订单相互作用背后的结构来源仍然很少得到解释。在这里,我们报告了一个罕见的例子,即在加压的准单维抗倍形磁磁铁MnSb2S4中同时加强磁秩序和光导。 MnSb2S4与压力引发的隔热金属转换结合,显示磁顺序崩溃,在 +30 GPA 上出现了惊人的正对负光导转换。 值得注意的是,可能出现超导,进一步压缩。详细的结构分析和理论计算证实了这些反常行为,并打破了连续的压力驱动或连续的压力驱动。</w:t>
      </w:r>
    </w:p>
    <w:p>
      <w:pPr>
        <w:spacing w:before="0" w:after="200" w:lineRule="auto" w:line="276"/>
      </w:pPr>
      <w:r>
        <w:rPr>
          <w:b/>
        </w:rPr>
        <w:t xml:space="preserve">Abstract (EN): </w:t>
      </w:r>
      <w:r>
        <w:t>Low-dimensional van der Waals materials constitute fertile ground for exploring intertwined magnetism, transport, and optoelectronics, yet the structural provenance underlying the interplay among diverse quantum orders remains scarcely elucidated. Here, we report a rare case of simultaneous enhancement of magnetic order and photoconductivity in pressurized quasi-one-dimensional antiferromagnet MnSb2S4. Concomitant with a pressure-induced insulator-to-metal transition, MnSb2S4 exhibits a collapse of magnetic order and dramatic positive-to-negative photoconductivity switching at ∼30 GPa. Notably, possible superconductivity emerges with further compression. Detailed structural analyses and theoretical calculations corroborate these anomalous behaviors and unravel sequential pressure-driven orbital and spin crossover of Mn2+, accompanied by opposite evolutions of Jahn-Teller distortions in two inequivalent [MnS6] octahedra. The intriguing electronic and structural evolutions establish MnSb2S4 as a promising candidate for versatile device engineering and offer an ideal platform for deciphering intricate coupling among multiple degrees of freedom.</w:t>
      </w:r>
    </w:p>
    <w:p>
      <w:pPr>
        <w:spacing w:before="120" w:after="120"/>
      </w:pPr>
      <w:r>
        <w:rPr>
          <w:sz w:val="18"/>
        </w:rPr>
        <w:t>——————————————————————————————————————————————————————————————————————</w:t>
      </w:r>
    </w:p>
    <w:p>
      <w:pPr>
        <w:spacing w:before="160" w:after="40" w:line="240" w:lineRule="auto"/>
      </w:pPr>
      <w:r>
        <w:rPr>
          <w:b/>
        </w:rPr>
        <w:t xml:space="preserve">[491] </w:t>
      </w:r>
      <w:hyperlink r:id="rId784">
        <w:r>
          <w:rPr>
            <w:color w:val="1155CC"/>
            <w:u w:val="single"/>
          </w:rPr>
          <w:t>[ASAP]二氢苯并氨分子线的氧化</w:t>
        </w:r>
      </w:hyperlink>
    </w:p>
    <w:p>
      <w:pPr>
        <w:spacing w:before="0" w:after="80"/>
      </w:pPr>
      <w:r>
        <w:rPr>
          <w:i/>
          <w:sz w:val="20"/>
        </w:rPr>
        <w:t>EN: [ASAP] Oxidation of a Dihydrophenazine Molecular Wire Attenuates Molecular Conductance</w:t>
      </w:r>
    </w:p>
    <w:p>
      <w:pPr>
        <w:spacing w:before="0" w:after="120"/>
      </w:pPr>
      <w:r>
        <w:rPr>
          <w:b/>
        </w:rPr>
        <w:t xml:space="preserve">Source: </w:t>
      </w:r>
      <w:r>
        <w:t>Journal of the American Chemical Society: Latest Articles (ACS Publications)</w:t>
      </w:r>
      <w:r>
        <w:t xml:space="preserve">    </w:t>
      </w:r>
      <w:r>
        <w:rPr>
          <w:b/>
        </w:rPr>
        <w:t xml:space="preserve">Pub date: </w:t>
      </w:r>
      <w:r>
        <w:t>2026-02-04 17:34:13+00:00</w:t>
      </w:r>
      <w:r>
        <w:t xml:space="preserve">    </w:t>
      </w:r>
      <w:r>
        <w:rPr>
          <w:b/>
        </w:rPr>
        <w:t xml:space="preserve">DOI: </w:t>
      </w:r>
      <w:hyperlink r:id="rId785">
        <w:r>
          <w:rPr>
            <w:color w:val="1155CC"/>
            <w:u w:val="single"/>
          </w:rPr>
          <w:t>10.1021/jacs.5c18249</w:t>
        </w:r>
      </w:hyperlink>
    </w:p>
    <w:p>
      <w:pPr>
        <w:spacing w:before="0" w:after="120"/>
      </w:pPr>
      <w:r>
        <w:rPr>
          <w:b/>
        </w:rPr>
        <w:t xml:space="preserve">Notes: </w:t>
      </w:r>
      <w:r>
        <w:t>abstract_source=pubmed</w:t>
      </w:r>
    </w:p>
    <w:p>
      <w:pPr>
        <w:spacing w:before="0" w:after="80" w:lineRule="auto" w:line="276"/>
      </w:pPr>
      <w:r>
        <w:rPr>
          <w:b/>
        </w:rPr>
        <w:t xml:space="preserve">摘要（ZH）: </w:t>
      </w:r>
      <w:r>
        <w:t>芳香度概念是理解有机分子特性和反应特性的最根本原则之一。然而,在分子电子研究中,已经表明芳烃性不一定有利于电子通过电极-分子分子-电子交界点的电子传输。在这项工作中,我们正式引入了反芳烃性,然而,Plantar N,N替代的二氢苯并因子,作为探索超出古典芳烃分子范围以外的分子导感特性和比较固态组改进的二氢苯并因和结构上密切相关的蚂蚁的有力基石。我们发现,分子导力从芳烃色到其同族之间增加了1.5级。</w:t>
      </w:r>
    </w:p>
    <w:p>
      <w:pPr>
        <w:spacing w:before="0" w:after="200" w:lineRule="auto" w:line="276"/>
      </w:pPr>
      <w:r>
        <w:rPr>
          <w:b/>
        </w:rPr>
        <w:t xml:space="preserve">Abstract (EN): </w:t>
      </w:r>
      <w:r>
        <w:t>The concept of aromaticity is one of the most fundamental principles for understanding the properties and reactivities of organic molecules. However, in molecular electronics research, it has been shown that aromaticity is not necessarily advantageous for electron transmission across electrode-molecule-electrode junctions. In this work, we introduce formally antiaromatic, yet planar N,N'-disubstituted dihydrophenazines as a compelling building block for exploring molecular conductance properties beyond the scope of classical aromatic molecules and compare anchor group-modified dihydrophenazines and structurally closely related anthracenes. We find that molecular conductance increases by 1.5 orders of magnitude from aromatic anthracenes to their phenazine congeners, where the central ring attains partially antiaromatic character. Oxidation of the dihydrophenazine core results accordingly in conductance attenuation.</w:t>
      </w:r>
    </w:p>
    <w:p>
      <w:pPr>
        <w:spacing w:before="120" w:after="120"/>
      </w:pPr>
      <w:r>
        <w:rPr>
          <w:sz w:val="18"/>
        </w:rPr>
        <w:t>——————————————————————————————————————————————————————————————————————</w:t>
      </w:r>
    </w:p>
    <w:p>
      <w:pPr>
        <w:spacing w:before="160" w:after="40" w:line="240" w:lineRule="auto"/>
      </w:pPr>
      <w:r>
        <w:rPr>
          <w:b/>
        </w:rPr>
        <w:t xml:space="preserve">[492] </w:t>
      </w:r>
      <w:hyperlink r:id="rId786">
        <w:r>
          <w:rPr>
            <w:color w:val="1155CC"/>
            <w:u w:val="single"/>
          </w:rPr>
          <w:t>铀金属电池稳定运行过程中 弹性电解解解液态电解器的机械特性的影响(Adv. Energy Matter. 5/2026)</w:t>
        </w:r>
      </w:hyperlink>
    </w:p>
    <w:p>
      <w:pPr>
        <w:spacing w:before="0" w:after="80"/>
      </w:pPr>
      <w:r>
        <w:rPr>
          <w:i/>
          <w:sz w:val="20"/>
        </w:rPr>
        <w:t>EN: Effects of Mechanical Properties of Elastomeric Electrolytes for Stable Operation of Lithium Metal Batteries (Adv. Energy Mater. 5/2026)</w:t>
      </w:r>
    </w:p>
    <w:p>
      <w:pPr>
        <w:spacing w:before="0" w:after="120"/>
      </w:pPr>
      <w:r>
        <w:rPr>
          <w:b/>
        </w:rPr>
        <w:t xml:space="preserve">Source: </w:t>
      </w:r>
      <w:r>
        <w:t>Wiley: Advanced Energy Materials: Table of Contents</w:t>
      </w:r>
      <w:r>
        <w:t xml:space="preserve">    </w:t>
      </w:r>
      <w:r>
        <w:rPr>
          <w:b/>
        </w:rPr>
        <w:t xml:space="preserve">Pub date: </w:t>
      </w:r>
      <w:r>
        <w:t>2026-02-04 17:48:04+00:00</w:t>
      </w:r>
      <w:r>
        <w:t xml:space="preserve">    </w:t>
      </w:r>
      <w:r>
        <w:rPr>
          <w:b/>
        </w:rPr>
        <w:t xml:space="preserve">DOI: </w:t>
      </w:r>
      <w:hyperlink r:id="rId787">
        <w:r>
          <w:rPr>
            <w:color w:val="1155CC"/>
            <w:u w:val="single"/>
          </w:rPr>
          <w:t>10.1002/aenm.70512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[493] </w:t>
      </w:r>
      <w:hyperlink r:id="rId788">
        <w:r>
          <w:rPr>
            <w:color w:val="1155CC"/>
            <w:u w:val="single"/>
          </w:rPr>
          <w:t>[ASAP] 由动态核极化和2H-脱法产生的地表光核磁共振光谱</w:t>
        </w:r>
      </w:hyperlink>
    </w:p>
    <w:p>
      <w:pPr>
        <w:spacing w:before="0" w:after="80"/>
      </w:pPr>
      <w:r>
        <w:rPr>
          <w:i/>
          <w:sz w:val="20"/>
        </w:rPr>
        <w:t>EN: [ASAP] Surface-Only Nuclear Magnetic Resonance Spectroscopy by Dynamic Nuclear Polarization and 2H-Dephasing</w:t>
      </w:r>
    </w:p>
    <w:p>
      <w:pPr>
        <w:spacing w:before="0" w:after="120"/>
      </w:pPr>
      <w:r>
        <w:rPr>
          <w:b/>
        </w:rPr>
        <w:t xml:space="preserve">Source: </w:t>
      </w:r>
      <w:r>
        <w:t>Journal of the American Chemical Society: Latest Articles (ACS Publications)</w:t>
      </w:r>
      <w:r>
        <w:t xml:space="preserve">    </w:t>
      </w:r>
      <w:r>
        <w:rPr>
          <w:b/>
        </w:rPr>
        <w:t xml:space="preserve">Pub date: </w:t>
      </w:r>
      <w:r>
        <w:t>2026-02-04 18:00:22+00:00</w:t>
      </w:r>
      <w:r>
        <w:t xml:space="preserve">    </w:t>
      </w:r>
      <w:r>
        <w:rPr>
          <w:b/>
        </w:rPr>
        <w:t xml:space="preserve">DOI: </w:t>
      </w:r>
      <w:hyperlink r:id="rId789">
        <w:r>
          <w:rPr>
            <w:color w:val="1155CC"/>
            <w:u w:val="single"/>
          </w:rPr>
          <w:t>10.1021/jacs.5c21534</w:t>
        </w:r>
      </w:hyperlink>
    </w:p>
    <w:p>
      <w:pPr>
        <w:spacing w:before="0" w:after="120"/>
      </w:pPr>
      <w:r>
        <w:rPr>
          <w:b/>
        </w:rPr>
        <w:t xml:space="preserve">Notes: </w:t>
      </w:r>
      <w:r>
        <w:t>abstract_source=pubmed</w:t>
      </w:r>
    </w:p>
    <w:p>
      <w:pPr>
        <w:spacing w:before="0" w:after="80" w:lineRule="auto" w:line="276"/>
      </w:pPr>
      <w:r>
        <w:rPr>
          <w:b/>
        </w:rPr>
        <w:t xml:space="preserve">摘要（ZH）: </w:t>
      </w:r>
      <w:r>
        <w:t>原子规模的表面结构理解和控制在原子规模上对于功能材料至关重要,然而,这些系统中直接和有选择性地对表面进行直接和有选择性的表面定性仍是一项挑战。这里采用了一种广泛适用的战略,用于由动态核两极化(DNP)促成的地表唯一固态NMR(DNP),这种方法将部分离子化的电离体溶剂用作接近“probe”分子和基于2H的二极分极分解法,以过滤散装信号,从而明确探测出完全位于表面第一个或两个原子层(无1H-2H交换)的核核心。通过1H-X{2H} CP-REDOR计划实施,这种方法使X通过2H-X双极联动得到检测,而后者几乎是一个低于第1或两个原子层的级。</w:t>
      </w:r>
    </w:p>
    <w:p>
      <w:pPr>
        <w:spacing w:before="0" w:after="200" w:lineRule="auto" w:line="276"/>
      </w:pPr>
      <w:r>
        <w:rPr>
          <w:b/>
        </w:rPr>
        <w:t xml:space="preserve">Abstract (EN): </w:t>
      </w:r>
      <w:r>
        <w:t>Understanding and controlling surface structure at the atomic scale is essential in functional materials, yet direct and selective surface characterization in such systems remains a challenge. Here a broadly applicable strategy for surface-only solid-state NMR enabled by dynamic nuclear polarization (DNP) is introduced. The method exploits partially deuterated vitrified solvents as proximity "probe" molecules and 2H-based dipolar dephasing to filter out signals from the bulk, thereby providing clear detection of nuclei located exclusively in the first one or two atomic layers at the surface (without 1H-2H exchange). Implemented through a 1H-X{2H} CP-REDOR scheme, this approach allows the detection of X through the 2H-X dipolar couplings, which are almost an order of magnitude lower than their 1H-X counterparts, thus providing unprecedented surface selectivity. The applicability of the new method is demonstrated on several compounds including core-shell nanocrystalline hydroxyapatite, tin dioxide, silica, as well as a passivated hybrid perovskite, and surface sites are resolved that would otherwise have been obscured by the bulk signals. Quantitative analysis of the dephasing curves allows interfacial distance measurements to the solvent. This 2H-dephasing DNP approach establishes a versatile platform for the atomic-scale characterization of functional surfaces in both inorganic materials and proton-rich nanomaterials.</w:t>
      </w:r>
    </w:p>
    <w:p>
      <w:pPr>
        <w:spacing w:before="120" w:after="120"/>
      </w:pPr>
      <w:r>
        <w:rPr>
          <w:sz w:val="18"/>
        </w:rPr>
        <w:t>——————————————————————————————————————————————————————————————————————</w:t>
      </w:r>
    </w:p>
    <w:p>
      <w:pPr>
        <w:spacing w:before="160" w:after="40" w:line="240" w:lineRule="auto"/>
      </w:pPr>
      <w:r>
        <w:rPr>
          <w:b/>
        </w:rPr>
        <w:t xml:space="preserve">[494] </w:t>
      </w:r>
      <w:hyperlink r:id="rId790">
        <w:r>
          <w:rPr>
            <w:color w:val="1155CC"/>
            <w:u w:val="single"/>
          </w:rPr>
          <w:t>[ASAP] 使用微量增强的拉曼光谱分析仪对异异质催化器进行纳米化学分析</w:t>
        </w:r>
      </w:hyperlink>
    </w:p>
    <w:p>
      <w:pPr>
        <w:spacing w:before="0" w:after="80"/>
      </w:pPr>
      <w:r>
        <w:rPr>
          <w:i/>
          <w:sz w:val="20"/>
        </w:rPr>
        <w:t>EN: [ASAP] Nanoscale Chemical Analysis of Heterogeneous Catalysts Using Tip-Enhanced Raman Spectroscopy</w:t>
      </w:r>
    </w:p>
    <w:p>
      <w:pPr>
        <w:spacing w:before="0" w:after="120"/>
      </w:pPr>
      <w:r>
        <w:rPr>
          <w:b/>
        </w:rPr>
        <w:t xml:space="preserve">Source: </w:t>
      </w:r>
      <w:r>
        <w:t>Chemical Reviews: Latest Articles (ACS Publications)</w:t>
      </w:r>
      <w:r>
        <w:t xml:space="preserve">    </w:t>
      </w:r>
      <w:r>
        <w:rPr>
          <w:b/>
        </w:rPr>
        <w:t xml:space="preserve">Pub date: </w:t>
      </w:r>
      <w:r>
        <w:t>2026-02-04 18:41:25+00:00</w:t>
      </w:r>
      <w:r>
        <w:t xml:space="preserve">    </w:t>
      </w:r>
      <w:r>
        <w:rPr>
          <w:b/>
        </w:rPr>
        <w:t xml:space="preserve">DOI: </w:t>
      </w:r>
      <w:hyperlink r:id="rId791">
        <w:r>
          <w:rPr>
            <w:color w:val="1155CC"/>
            <w:u w:val="single"/>
          </w:rPr>
          <w:t>10.1021/acs.chemrev.5c00707</w:t>
        </w:r>
      </w:hyperlink>
    </w:p>
    <w:p>
      <w:pPr>
        <w:spacing w:before="0" w:after="120"/>
      </w:pPr>
      <w:r>
        <w:rPr>
          <w:b/>
        </w:rPr>
        <w:t xml:space="preserve">Notes: </w:t>
      </w:r>
      <w:r>
        <w:t>abstract_source=pubmed</w:t>
      </w:r>
    </w:p>
    <w:p>
      <w:pPr>
        <w:spacing w:before="0" w:after="80" w:lineRule="auto" w:line="276"/>
      </w:pPr>
      <w:r>
        <w:rPr>
          <w:b/>
        </w:rPr>
        <w:t xml:space="preserve">摘要（ZH）: </w:t>
      </w:r>
      <w:r>
        <w:t>现代化工行业的很大一部分基础是多种不同的催化剂,然而,由于催化表面的内在结构和化学差异性,这些催化剂对于增强活动、选择性和可持续性的合理设计仍是一项艰巨的挑战。 常规共同平均特征鉴定技术往往无法捕捉制约催化功能的纳米级复杂性。 在过去20年中,微小增强型拉曼光谱分析(TERS)作为一种强大的纳米分析技术出现,它提供了单分子灵敏度和空间分辨率,直至格斯特伦规模。在本审查中,我们提出TERS是一种多功能、非破坏性和无标签的方法,用于在空气中以纳米尺度化学特性进行多式催化反应。</w:t>
      </w:r>
    </w:p>
    <w:p>
      <w:pPr>
        <w:spacing w:before="0" w:after="200" w:lineRule="auto" w:line="276"/>
      </w:pPr>
      <w:r>
        <w:rPr>
          <w:b/>
        </w:rPr>
        <w:t xml:space="preserve">Abstract (EN): </w:t>
      </w:r>
      <w:r>
        <w:t>Heterogeneous catalysts underpin much of the modern chemical industry, yet their rational design for enhanced activity, selectivity, and sustainability remains a formidable challenge due to the intrinsic structural and chemical heterogeneity of catalytic surfaces. Conventional ensemble-averaged characterization techniques often fail to capture the nanoscale complexity that governs catalytic function. Over the past two decades, tip-enhanced Raman spectroscopy (TERS) has emerged as a powerful nanoanalytical technique, offering single-molecule sensitivity and spatial resolution down to the Ångström scale. In this Review, we present TERS as a versatile, nondestructive, and label-free approach for probing heterogeneous catalytic reactions with nanometer-scale chemical specificity in air, liquid, and electrochemical environments. We first introduce the fundamental principles and instrumental implementations that underpin reliable TERS measurements. We then provide a comprehensive and critical assessment of reported ex situ, in situ, and emerging operando TERS studies across a wide range of catalytic systems, highlighting key mechanistic insights uniquely accessible by this technique. Finally, we discuss the technical challenges and methodological requirements for advancing operando TERS toward realistic reaction conditions, and outline promising directions for future research. By integrating practical considerations with conceptual advances, this Review aims to serve as a comprehensive guide for researchers seeking to apply TERS to nanoscale chemical analysis in heterogeneous catalysis.</w:t>
      </w:r>
    </w:p>
    <w:p>
      <w:pPr>
        <w:spacing w:before="120" w:after="120"/>
      </w:pPr>
      <w:r>
        <w:rPr>
          <w:sz w:val="18"/>
        </w:rPr>
        <w:t>——————————————————————————————————————————————————————————————————————</w:t>
      </w:r>
    </w:p>
    <w:p>
      <w:pPr>
        <w:spacing w:before="160" w:after="40" w:line="240" w:lineRule="auto"/>
      </w:pPr>
      <w:r>
        <w:rPr>
          <w:b/>
        </w:rPr>
        <w:t xml:space="preserve">[495] </w:t>
      </w:r>
      <w:hyperlink r:id="rId792">
        <w:r>
          <w:rPr>
            <w:color w:val="1155CC"/>
            <w:u w:val="single"/>
          </w:rPr>
          <w:t>[ASAP] 中性盐类 -- -- 布里奇基 -- -- 超模分子聚合物:实验和理论</w:t>
        </w:r>
      </w:hyperlink>
    </w:p>
    <w:p>
      <w:pPr>
        <w:spacing w:before="0" w:after="80"/>
      </w:pPr>
      <w:r>
        <w:rPr>
          <w:i/>
          <w:sz w:val="20"/>
        </w:rPr>
        <w:t>EN: [ASAP] Transient Salt-Bridge-Based Supramolecular Polymers: Experiments and Theory</w:t>
      </w:r>
    </w:p>
    <w:p>
      <w:pPr>
        <w:spacing w:before="0" w:after="120"/>
      </w:pPr>
      <w:r>
        <w:rPr>
          <w:b/>
        </w:rPr>
        <w:t xml:space="preserve">Source: </w:t>
      </w:r>
      <w:r>
        <w:t>Journal of the American Chemical Society: Latest Articles (ACS Publications)</w:t>
      </w:r>
      <w:r>
        <w:t xml:space="preserve">    </w:t>
      </w:r>
      <w:r>
        <w:rPr>
          <w:b/>
        </w:rPr>
        <w:t xml:space="preserve">Pub date: </w:t>
      </w:r>
      <w:r>
        <w:t>2026-02-04 19:03:15+00:00</w:t>
      </w:r>
      <w:r>
        <w:t xml:space="preserve">    </w:t>
      </w:r>
      <w:r>
        <w:rPr>
          <w:b/>
        </w:rPr>
        <w:t xml:space="preserve">DOI: </w:t>
      </w:r>
      <w:hyperlink r:id="rId793">
        <w:r>
          <w:rPr>
            <w:color w:val="1155CC"/>
            <w:u w:val="single"/>
          </w:rPr>
          <w:t>10.1021/jacs.5c22087</w:t>
        </w:r>
      </w:hyperlink>
    </w:p>
    <w:p>
      <w:pPr>
        <w:spacing w:before="0" w:after="120"/>
      </w:pPr>
      <w:r>
        <w:rPr>
          <w:b/>
        </w:rPr>
        <w:t xml:space="preserve">Notes: </w:t>
      </w:r>
      <w:r>
        <w:t>abstract_source=pubmed</w:t>
      </w:r>
    </w:p>
    <w:p>
      <w:pPr>
        <w:spacing w:before="0" w:after="80" w:lineRule="auto" w:line="276"/>
      </w:pPr>
      <w:r>
        <w:rPr>
          <w:b/>
        </w:rPr>
        <w:t xml:space="preserve">摘要（ZH）: </w:t>
      </w:r>
      <w:r>
        <w:t>在活性箱状酸(ACAs)基本条件下,光滑解盒式酸(ACAs)的基本条件下,利用光解箱式酸(ACAs),在静电相互作用所强化的氢链基础上,实现一个瞬时超分子聚合物,特别是,事实证明,当脂体α、-二胺3,即1,8-二氨基-3,6-二氧氧乙烷,与1H2活性二碳基酸的等离子体量发生反应时,即添加材料的浓度越高,聚合度越高,氯仿溶液中的超分子聚合物为AB-B-AB-AB。</w:t>
      </w:r>
    </w:p>
    <w:p>
      <w:pPr>
        <w:spacing w:before="0" w:after="200" w:lineRule="auto" w:line="276"/>
      </w:pPr>
      <w:r>
        <w:rPr>
          <w:b/>
        </w:rPr>
        <w:t xml:space="preserve">Abstract (EN): </w:t>
      </w:r>
      <w:r>
        <w:t>The smooth decarboxylation under basic conditions of activated carboxylic acids (ACAs) is exploited to achieve a transient supramolecular polymer based on hydrogen bonds reinforced by electrostatic interactions. In particular, it is proved that when the aliphatic α,ω-diamine 3, namely, 1,8-diamino-3,6-dioxaoctane, reacts with an equimolar amount of the activated dicarboxylic acid 1H2, i.e., a difunctional derivative of 2-cyano-2-phenylpropanoic acid, a supramolecular polymer of the kind -AB─BA─AB- is immediately formed in chloroform solution. The A─A and B─B monomers are held together by salt bridges (hydrogen bonds reinforced by electrostatic interactions) between ammonium and carboxylate functions. The larger the concentration of the added materials, the higher the polymerization degree (DP) of the polymer. Under the given experimental protocol, such a polymer disaggregates over time due to decarboxylation, and at the end of the process, only diamine 3 and waste product 4, which cannot interact with one another anymore, remain in the solutions. DOSY spectra recorded at different reaction times definitely demonstrate the phenomenology described above. The trend of the degree of polymerization as a function of monomer concentration has been clarified in the light of the ring-chain equilibrium theory. The application of the theory enables the accurate evaluation of the distribution of linear and cyclic oligomers as well as the critical concentration, ccrit, above which polymerization rapidly becomes more extensive due to the saturation of macrocyclic species. Notably, the ACA is not used just as a stimulus for a dissipative system, but as one of its structural components.</w:t>
      </w:r>
    </w:p>
    <w:p>
      <w:pPr>
        <w:spacing w:before="120" w:after="120"/>
      </w:pPr>
      <w:r>
        <w:rPr>
          <w:sz w:val="18"/>
        </w:rPr>
        <w:t>——————————————————————————————————————————————————————————————————————</w:t>
      </w:r>
    </w:p>
    <w:p>
      <w:pPr>
        <w:spacing w:before="160" w:after="40" w:line="240" w:lineRule="auto"/>
      </w:pPr>
      <w:r>
        <w:rPr>
          <w:b/>
        </w:rPr>
        <w:t xml:space="preserve">[496] </w:t>
      </w:r>
      <w:hyperlink r:id="rId794">
        <w:r>
          <w:rPr>
            <w:color w:val="1155CC"/>
            <w:u w:val="single"/>
          </w:rPr>
          <w:t>[ASAP]新实验室C-N债券使动态共价化学和可逆生物成像具有活力</w:t>
        </w:r>
      </w:hyperlink>
    </w:p>
    <w:p>
      <w:pPr>
        <w:spacing w:before="0" w:after="80"/>
      </w:pPr>
      <w:r>
        <w:rPr>
          <w:i/>
          <w:sz w:val="20"/>
        </w:rPr>
        <w:t>EN: [ASAP] De Novo Labile C–N Bonds Enable Dynamic Covalent Chemistry and Reversible Bioimaging</w:t>
      </w:r>
    </w:p>
    <w:p>
      <w:pPr>
        <w:spacing w:before="0" w:after="120"/>
      </w:pPr>
      <w:r>
        <w:rPr>
          <w:b/>
        </w:rPr>
        <w:t xml:space="preserve">Source: </w:t>
      </w:r>
      <w:r>
        <w:t>Journal of the American Chemical Society: Latest Articles (ACS Publications)</w:t>
      </w:r>
      <w:r>
        <w:t xml:space="preserve">    </w:t>
      </w:r>
      <w:r>
        <w:rPr>
          <w:b/>
        </w:rPr>
        <w:t xml:space="preserve">Pub date: </w:t>
      </w:r>
      <w:r>
        <w:t>2026-02-04 19:03:24+00:00</w:t>
      </w:r>
      <w:r>
        <w:t xml:space="preserve">    </w:t>
      </w:r>
      <w:r>
        <w:rPr>
          <w:b/>
        </w:rPr>
        <w:t xml:space="preserve">DOI: </w:t>
      </w:r>
      <w:hyperlink r:id="rId795">
        <w:r>
          <w:rPr>
            <w:color w:val="1155CC"/>
            <w:u w:val="single"/>
          </w:rPr>
          <w:t>10.1021/jacs.5c16437</w:t>
        </w:r>
      </w:hyperlink>
    </w:p>
    <w:p>
      <w:pPr>
        <w:spacing w:before="0" w:after="120"/>
      </w:pPr>
      <w:r>
        <w:rPr>
          <w:b/>
        </w:rPr>
        <w:t xml:space="preserve">Notes: </w:t>
      </w:r>
      <w:r>
        <w:t>abstract_source=pubmed</w:t>
      </w:r>
    </w:p>
    <w:p>
      <w:pPr>
        <w:spacing w:before="0" w:after="80" w:lineRule="auto" w:line="276"/>
      </w:pPr>
      <w:r>
        <w:rPr>
          <w:b/>
        </w:rPr>
        <w:t xml:space="preserve">摘要（ZH）: </w:t>
      </w:r>
      <w:r>
        <w:t>动态共振共价债券(DCBs)能够进行可逆债券形成/裂变,为智能和适应性材料提供令人振奋的可能性,然而,缓慢动动能和反反反应所需的严格条件等挑战目前阻碍其更广泛的使用。我们展示了新型C-N --bon,具有特殊的可逆性和超快动性(t1/2=200ms),分布在各种初级液态地外矿基质下,在没有催化剂或外部能源投入的情况下自发在环境条件下发生,而启动屏障和近于平衡的能能都非常低。我们展示了DCB在可逆气固化、可编程式转换和为实时量化跟踪而建立的首个可逆化学探测器。</w:t>
      </w:r>
    </w:p>
    <w:p>
      <w:pPr>
        <w:spacing w:before="0" w:after="200" w:lineRule="auto" w:line="276"/>
      </w:pPr>
      <w:r>
        <w:rPr>
          <w:b/>
        </w:rPr>
        <w:t xml:space="preserve">Abstract (EN): </w:t>
      </w:r>
      <w:r>
        <w:t>Dynamic covalent bonds (DCBs) enable reversible bond formation/cleavage, offering exciting possibilities for smart and adaptive materials, yet challenges such as slow kinetics and stringent conditions required for the reverse reaction currently hinder their broader use. We present a novel C-N σ-bond with exceptional reversibility and ultrafast kinetics (t1/2 = 200 ms) across diverse primary aliphatic amine substrates, occurring spontaneously under ambient conditions without catalysts or external energy input, which is enabled by remarkably low activation barriers and near-equilibrium energetics. We showcase this transformative DCB's versatility in reversible gas-fixation, programmable transamination, and construct the first reversible chemical probes for real-time quantitative tracking of spatiotemporal histamine dynamics in live cells and in vivo within the brain under inflammatory pathology. This work redefines C-N σ-bonds as dynamic linkages, opening avenues for innovation in organic chemistry, adaptive materials, and dynamic biosystems.</w:t>
      </w:r>
    </w:p>
    <w:p>
      <w:pPr>
        <w:spacing w:before="120" w:after="120"/>
      </w:pPr>
      <w:r>
        <w:rPr>
          <w:sz w:val="18"/>
        </w:rPr>
        <w:t>——————————————————————————————————————————————————————————————————————</w:t>
      </w:r>
    </w:p>
    <w:p>
      <w:pPr>
        <w:spacing w:before="160" w:after="40" w:line="240" w:lineRule="auto"/>
      </w:pPr>
      <w:r>
        <w:rPr>
          <w:b/>
        </w:rPr>
        <w:t xml:space="preserve">[497] </w:t>
      </w:r>
      <w:hyperlink r:id="rId796">
        <w:r>
          <w:rPr>
            <w:color w:val="1155CC"/>
            <w:u w:val="single"/>
          </w:rPr>
          <w:t>[ASAP] Fungal Ortho-Metthoxyphenolass公司制造的Lignin 模型dimers氧化氧化和氧化</w:t>
        </w:r>
      </w:hyperlink>
    </w:p>
    <w:p>
      <w:pPr>
        <w:spacing w:before="0" w:after="80"/>
      </w:pPr>
      <w:r>
        <w:rPr>
          <w:i/>
          <w:sz w:val="20"/>
        </w:rPr>
        <w:t>EN: [ASAP] Oxygenation and Oxidation of Lignin Model Dimers by Fungal Ortho-Methoxyphenolases</w:t>
      </w:r>
    </w:p>
    <w:p>
      <w:pPr>
        <w:spacing w:before="0" w:after="120"/>
      </w:pPr>
      <w:r>
        <w:rPr>
          <w:b/>
        </w:rPr>
        <w:t xml:space="preserve">Source: </w:t>
      </w:r>
      <w:r>
        <w:t>Journal of the American Chemical Society: Latest Articles (ACS Publications)</w:t>
      </w:r>
      <w:r>
        <w:t xml:space="preserve">    </w:t>
      </w:r>
      <w:r>
        <w:rPr>
          <w:b/>
        </w:rPr>
        <w:t xml:space="preserve">Pub date: </w:t>
      </w:r>
      <w:r>
        <w:t>2026-02-04 19:04:32+00:00</w:t>
      </w:r>
      <w:r>
        <w:t xml:space="preserve">    </w:t>
      </w:r>
      <w:r>
        <w:rPr>
          <w:b/>
        </w:rPr>
        <w:t xml:space="preserve">DOI: </w:t>
      </w:r>
      <w:hyperlink r:id="rId797">
        <w:r>
          <w:rPr>
            <w:color w:val="1155CC"/>
            <w:u w:val="single"/>
          </w:rPr>
          <w:t>10.1021/jacs.5c22901</w:t>
        </w:r>
      </w:hyperlink>
    </w:p>
    <w:p>
      <w:pPr>
        <w:spacing w:before="0" w:after="120"/>
      </w:pPr>
      <w:r>
        <w:rPr>
          <w:b/>
        </w:rPr>
        <w:t xml:space="preserve">Notes: </w:t>
      </w:r>
      <w:r>
        <w:t>abstract_source=pubmed</w:t>
      </w:r>
    </w:p>
    <w:p>
      <w:pPr>
        <w:spacing w:before="0" w:after="80" w:lineRule="auto" w:line="276"/>
      </w:pPr>
      <w:r>
        <w:rPr>
          <w:b/>
        </w:rPr>
        <w:t xml:space="preserve">摘要（ZH）: </w:t>
      </w:r>
      <w:r>
        <w:t>Lignin是芳香剂中最大的可再生资源,而了解酶离心素修改的尝试从未比现在更加重要。最近承认的一组单体型3型铜酶,称为O-MPs, EC 1.14.18.13, 先前称为短聚苯酚氧化酶(PPOs)的单体型3型铜酶(O-MPs, EC 1.14.18.13),曾被称作短聚苯酚氧化酶(PPPOs),在纤维化的真菌中发现,可依次将奥氧基质顺序将guaicyl型苯酚氧化为甲氧基酮。这些酶中的一部分还针对的是Syringyl-tys型苯酚,并通过一个前所未有的氧化性O-demethoxycols联系机制,将这些酶卷入从guacyil型化合物中产生的同一种甲氧氧基-quinones。在这里,我们证明,在代表丰富的β-O-4联系子发球的细菌模型中,真藻类的氧酚也含有叶结。</w:t>
      </w:r>
    </w:p>
    <w:p>
      <w:pPr>
        <w:spacing w:before="0" w:after="200" w:lineRule="auto" w:line="276"/>
      </w:pPr>
      <w:r>
        <w:rPr>
          <w:b/>
        </w:rPr>
        <w:t xml:space="preserve">Abstract (EN): </w:t>
      </w:r>
      <w:r>
        <w:t>Lignin is the largest renewable resource for aromatics, and the quest to understand enzymatic lignin modification has never been more important. A recently recognized group of single-domain type-3 copper enzymes, named ortho-methoxyphenolases (o-MPs, EC 1.14.18.13) and previously referred to as short polyphenol oxidases (PPOs), found in filamentous fungi can sequentially o-hydroxylate and oxidize guaiacyl-type phenols into methoxy-o-quinones. A subset of these enzymes also targets syringyl-type phenols and, via an unprecedented oxidative o-demethoxylation mechanism, funnels these into the same methoxy-o-quinones generated from guaiacyl-type compounds. Here, we demonstrate that fungal o-methoxyphenolases also cleave bonds in lignin model dimers representing the abundant β-O-4'-linked substructures of lignin, having guaiacyl and, in some cases, syringyl terminal phenolic groups. Based on advanced liquid chromatography-mass spectrometry (LC-MS), nuclear magnetic resonance (NMR) analysis, and isotope labeling, we propose a mechanism in which the enzymatic formation of methoxy-o-quinone moieties in the model dimers triggers intramolecular rearrangements that lead to different types of bond cleavage, where C1-Cα cleavage predominates. Additionally, β-ether breakage and formation of Cα-ketone groups occur. We investigate the influence of pH and reductants on reaction pathways and identify strategies to steer the reaction toward either depolymerization or oxyfunctionalization of the dimers without interunit bond cleavage. The enzymes also target Cα-oxidized model dimers, albeit at lower rates. The findings of this study demonstrate the potential of using fungal o-methoxyphenolases for catalyzing selective ortho-hydroxylation and two-electron oxidation of lignin components and provide a new foundation for developing enzyme-based lignin valorization strategies.</w:t>
      </w:r>
    </w:p>
    <w:p>
      <w:pPr>
        <w:spacing w:before="120" w:after="120"/>
      </w:pPr>
      <w:r>
        <w:rPr>
          <w:sz w:val="18"/>
        </w:rPr>
        <w:t>——————————————————————————————————————————————————————————————————————</w:t>
      </w:r>
    </w:p>
    <w:p>
      <w:pPr>
        <w:spacing w:before="160" w:after="40" w:line="240" w:lineRule="auto"/>
      </w:pPr>
      <w:r>
        <w:rPr>
          <w:b/>
        </w:rPr>
        <w:t xml:space="preserve">[498] </w:t>
      </w:r>
      <w:hyperlink r:id="rId798">
        <w:r>
          <w:rPr>
            <w:color w:val="1155CC"/>
            <w:u w:val="single"/>
          </w:rPr>
          <w:t>[ASAP] 用于高热能和超超低温质质子储存的质子-裂变预隔化化器</w:t>
        </w:r>
      </w:hyperlink>
    </w:p>
    <w:p>
      <w:pPr>
        <w:spacing w:before="0" w:after="80"/>
      </w:pPr>
      <w:r>
        <w:rPr>
          <w:i/>
          <w:sz w:val="20"/>
        </w:rPr>
        <w:t>EN: [ASAP] Proton-Fluid Preintercalation Topochemistry for High-Rate Capacity and Ultralow-Temperature Proton Storage</w:t>
      </w:r>
    </w:p>
    <w:p>
      <w:pPr>
        <w:spacing w:before="0" w:after="120"/>
      </w:pPr>
      <w:r>
        <w:rPr>
          <w:b/>
        </w:rPr>
        <w:t xml:space="preserve">Source: </w:t>
      </w:r>
      <w:r>
        <w:t>Journal of the American Chemical Society: Latest Articles (ACS Publications)</w:t>
      </w:r>
      <w:r>
        <w:t xml:space="preserve">    </w:t>
      </w:r>
      <w:r>
        <w:rPr>
          <w:b/>
        </w:rPr>
        <w:t xml:space="preserve">Pub date: </w:t>
      </w:r>
      <w:r>
        <w:t>2026-02-04 19:05:32+00:00</w:t>
      </w:r>
      <w:r>
        <w:t xml:space="preserve">    </w:t>
      </w:r>
      <w:r>
        <w:rPr>
          <w:b/>
        </w:rPr>
        <w:t xml:space="preserve">DOI: </w:t>
      </w:r>
      <w:hyperlink r:id="rId799">
        <w:r>
          <w:rPr>
            <w:color w:val="1155CC"/>
            <w:u w:val="single"/>
          </w:rPr>
          <w:t>10.1021/jacs.5c21246</w:t>
        </w:r>
      </w:hyperlink>
    </w:p>
    <w:p>
      <w:pPr>
        <w:spacing w:before="0" w:after="120"/>
      </w:pPr>
      <w:r>
        <w:rPr>
          <w:b/>
        </w:rPr>
        <w:t xml:space="preserve">Notes: </w:t>
      </w:r>
      <w:r>
        <w:t>abstract_source=pubmed</w:t>
      </w:r>
    </w:p>
    <w:p>
      <w:pPr>
        <w:spacing w:before="0" w:after="80" w:lineRule="auto" w:line="276"/>
      </w:pPr>
      <w:r>
        <w:rPr>
          <w:b/>
        </w:rPr>
        <w:t xml:space="preserve">摘要（ZH）: </w:t>
      </w:r>
      <w:r>
        <w:t>虽然金属氧化物内在特性的合理设计为先进的质子储存提供了一条很有希望的道路,但同时实现高功率和低温可操作性仍是一项巨大的挑战。 我们显示,质子的多化学预交和封闭质子在水化分子聚苯乙烯溴化改变中受质子电池和电化学性能的封闭式水中,将质子重新组合成拉蒂斯重新组合,使超快质子相联电子转移成为可能。 液化共热介介介器电子化学反应途径进入非常规的三质插入机制,使407 mAh-1超高速度的先进具体能力达到407 mahgh-1。</w:t>
      </w:r>
    </w:p>
    <w:p>
      <w:pPr>
        <w:spacing w:before="0" w:after="200" w:lineRule="auto" w:line="276"/>
      </w:pPr>
      <w:r>
        <w:rPr>
          <w:b/>
        </w:rPr>
        <w:t xml:space="preserve">Abstract (EN): </w:t>
      </w:r>
      <w:r>
        <w:t>Fundamental limitations in structural reversibility and electrochemical performance have rendered anode materials a critical bottleneck for proton batteries and capacitors. While the rational design of intrinsic properties for metal oxides offers a promising route for advanced proton storage, the simultaneous realization of high-power and low-temperature operability remains a grand challenge. We show that topochemical preintercalation of protons and confined lattice water in hydrated molybdenum bronze modifies host lattice rearrangement and enables ultrafast proton-coupled electron transfer. Ion-fluid cointercalation mediates electrochemical reaction pathways to an unconventional three-proton insertion mechanism, enabling a state-of-the-art specific capacity of 407 mAh g-1, ultrahigh-rate capability exceeding 1000 C (500 A g-1), and ultralow-temperature adaptability (194.2 mAh g-1 at -80 °C). Comprehensive in situ crystal and interface evolution methods and theoretical calculations reveal a highly reversible and homogeneous protonation mechanism and enhanced interfacial transport, suppressing heterogeneous and unstable reaction kinetics of pristine MoO3. The hybrid proton capacitor with such a molybdenum bronze anode shows an unprecedented ultrahigh-power and ultralow-temperature performance, with excellent stability for over 2000 cycles at -80 °C. This work highlights physicochemical insights on preintercalation topochemistry in modulating charge carrier-host interactions and provides electrode design principles for high-rate and low-temperature nonmetallic ion storage.</w:t>
      </w:r>
    </w:p>
    <w:p>
      <w:pPr>
        <w:spacing w:before="120" w:after="120"/>
      </w:pPr>
      <w:r>
        <w:rPr>
          <w:sz w:val="18"/>
        </w:rPr>
        <w:t>——————————————————————————————————————————————————————————————————————</w:t>
      </w:r>
    </w:p>
    <w:p>
      <w:pPr>
        <w:spacing w:before="160" w:after="40" w:line="240" w:lineRule="auto"/>
      </w:pPr>
      <w:r>
        <w:rPr>
          <w:b/>
        </w:rPr>
        <w:t xml:space="preserve">[499] </w:t>
      </w:r>
      <w:hyperlink r:id="rId800">
        <w:r>
          <w:rPr>
            <w:color w:val="1155CC"/>
            <w:u w:val="single"/>
          </w:rPr>
          <w:t>[ASAP] 用于直接分离集中混合盐溶液的基于超分子的离离离离聚膜膜</w:t>
        </w:r>
      </w:hyperlink>
    </w:p>
    <w:p>
      <w:pPr>
        <w:spacing w:before="0" w:after="80"/>
      </w:pPr>
      <w:r>
        <w:rPr>
          <w:i/>
          <w:sz w:val="20"/>
        </w:rPr>
        <w:t>EN: [ASAP] Supramolecular-Based Ion Separation Membranes for Direct Separation of Concentrated Mixed-Salt Solutions</w:t>
      </w:r>
    </w:p>
    <w:p>
      <w:pPr>
        <w:spacing w:before="0" w:after="120"/>
      </w:pPr>
      <w:r>
        <w:rPr>
          <w:b/>
        </w:rPr>
        <w:t xml:space="preserve">Source: </w:t>
      </w:r>
      <w:r>
        <w:t>Journal of the American Chemical Society: Latest Articles (ACS Publications)</w:t>
      </w:r>
      <w:r>
        <w:t xml:space="preserve">    </w:t>
      </w:r>
      <w:r>
        <w:rPr>
          <w:b/>
        </w:rPr>
        <w:t xml:space="preserve">Pub date: </w:t>
      </w:r>
      <w:r>
        <w:t>2026-02-04 19:23:30+00:00</w:t>
      </w:r>
      <w:r>
        <w:t xml:space="preserve">    </w:t>
      </w:r>
      <w:r>
        <w:rPr>
          <w:b/>
        </w:rPr>
        <w:t xml:space="preserve">DOI: </w:t>
      </w:r>
      <w:hyperlink r:id="rId801">
        <w:r>
          <w:rPr>
            <w:color w:val="1155CC"/>
            <w:u w:val="single"/>
          </w:rPr>
          <w:t>10.1021/jacs.5c16874</w:t>
        </w:r>
      </w:hyperlink>
    </w:p>
    <w:p>
      <w:pPr>
        <w:spacing w:before="0" w:after="120"/>
      </w:pPr>
      <w:r>
        <w:rPr>
          <w:b/>
        </w:rPr>
        <w:t xml:space="preserve">Notes: </w:t>
      </w:r>
      <w:r>
        <w:t>abstract_source=pubmed</w:t>
      </w:r>
    </w:p>
    <w:p>
      <w:pPr>
        <w:spacing w:before="0" w:after="80" w:lineRule="auto" w:line="276"/>
      </w:pPr>
      <w:r>
        <w:rPr>
          <w:b/>
        </w:rPr>
        <w:t xml:space="preserve">摘要（ZH）: </w:t>
      </w:r>
      <w:r>
        <w:t>高效离子分离与集中的盐水分离对于水资源的可持续利用、零液体排放和战略性离子回收至关重要,但对常规的离子选择性膜(ISM)来说,这仍然是一项艰巨的挑战。 现有的IMS依靠脆弱的离子-卵相互作用,限制其适用于稀释解决方案,而较强的捆绑设计往往会设置高的阻塞通量的散射屏障。在这里,我们报告了一个超分子的IMM,其中18-crown-6(18C6)的宏观循环被纳入共价有机框架(COFs)的单维纳米通道,形成双通道的电道结构-分子路径,供电离子分离和大型循环分离的电离子流自由通道使用。这个设计将电离干扰最小化最小化,同时允许强大的单价。</w:t>
      </w:r>
    </w:p>
    <w:p>
      <w:pPr>
        <w:spacing w:before="0" w:after="200" w:lineRule="auto" w:line="276"/>
      </w:pPr>
      <w:r>
        <w:rPr>
          <w:b/>
        </w:rPr>
        <w:t xml:space="preserve">Abstract (EN): </w:t>
      </w:r>
      <w:r>
        <w:t>Efficient ion separation from concentrated brines is critical for sustainable water resource utilization, zero-liquid discharge, and strategic ion recovery, yet it remains a formidable challenge for conventional ion-selective membranes (ISMs). Existing ISMs rely on weak ion-pore interactions, limiting their applicability to dilute solutions, whereas stronger binding designs often impose high diffusion barriers that suppress flux. Here, we report a supramolecular ISM in which 18-crown-6 (18C6) macrocycles are integrated into the one-dimensional nanochannels of covalent organic frameworks (COFs), forming a dual-channel architecture─supramolecular pathways for cations and macrocycle-separated free channels for anions. This design minimizes ion interference while enabling strong monovalent-ion recognition and rapid transport. As a result, the 18C6-COF membrane operates effectively in concentrated solutions, achieving high selectivity (SK+/Mg2+ = 254.7) and fast permeation (PK+ = 2403 mmol m-2 h-1), outperforming state-of-the-art ISMs. Experimental and simulation results show that monovalent cations migrate rapidly through the aligned 1D 18C6 channels via a knock-on-like process, even under strong ion-pore interactions, overcoming the traditional trade-off between binding affinity and transport kinetics. This study lays the groundwork for developing membranes with strong ion-channel interactions for high-concentration mixed-salt separation.</w:t>
      </w:r>
    </w:p>
    <w:p>
      <w:pPr>
        <w:spacing w:before="120" w:after="120"/>
      </w:pPr>
      <w:r>
        <w:rPr>
          <w:sz w:val="18"/>
        </w:rPr>
        <w:t>——————————————————————————————————————————————————————————————————————</w:t>
      </w:r>
    </w:p>
    <w:p>
      <w:pPr>
        <w:spacing w:before="160" w:after="40" w:line="240" w:lineRule="auto"/>
      </w:pPr>
      <w:r>
        <w:rPr>
          <w:b/>
        </w:rPr>
        <w:t xml:space="preserve">[500] </w:t>
      </w:r>
      <w:hyperlink r:id="rId802">
        <w:r>
          <w:rPr>
            <w:color w:val="1155CC"/>
            <w:u w:val="single"/>
          </w:rPr>
          <w:t>[ASAP] 用于在固体调压器中导航NK 细胞免疫疗法的外膜DNA Nanochnanel-工程人工受体</w:t>
        </w:r>
      </w:hyperlink>
    </w:p>
    <w:p>
      <w:pPr>
        <w:spacing w:before="0" w:after="80"/>
      </w:pPr>
      <w:r>
        <w:rPr>
          <w:i/>
          <w:sz w:val="20"/>
        </w:rPr>
        <w:t>EN: [ASAP] Transmembrane DNA Nanochannel-Engineered Artificial Receptors for Navigating NK Cell Immunotherapy in Solid Tumors</w:t>
      </w:r>
    </w:p>
    <w:p>
      <w:pPr>
        <w:spacing w:before="0" w:after="120"/>
      </w:pPr>
      <w:r>
        <w:rPr>
          <w:b/>
        </w:rPr>
        <w:t xml:space="preserve">Source: </w:t>
      </w:r>
      <w:r>
        <w:t>Journal of the American Chemical Society: Latest Articles (ACS Publications)</w:t>
      </w:r>
      <w:r>
        <w:t xml:space="preserve">    </w:t>
      </w:r>
      <w:r>
        <w:rPr>
          <w:b/>
        </w:rPr>
        <w:t xml:space="preserve">Pub date: </w:t>
      </w:r>
      <w:r>
        <w:t>2026-02-04 19:52:39+00:00</w:t>
      </w:r>
      <w:r>
        <w:t xml:space="preserve">    </w:t>
      </w:r>
      <w:r>
        <w:rPr>
          <w:b/>
        </w:rPr>
        <w:t xml:space="preserve">DOI: </w:t>
      </w:r>
      <w:hyperlink r:id="rId803">
        <w:r>
          <w:rPr>
            <w:color w:val="1155CC"/>
            <w:u w:val="single"/>
          </w:rPr>
          <w:t>10.1021/jacs.5c16425</w:t>
        </w:r>
      </w:hyperlink>
    </w:p>
    <w:p>
      <w:pPr>
        <w:spacing w:before="0" w:after="120"/>
      </w:pPr>
      <w:r>
        <w:rPr>
          <w:b/>
        </w:rPr>
        <w:t xml:space="preserve">Notes: </w:t>
      </w:r>
      <w:r>
        <w:t>abstract_source=pubmed</w:t>
      </w:r>
    </w:p>
    <w:p>
      <w:pPr>
        <w:spacing w:before="0" w:after="80" w:lineRule="auto" w:line="276"/>
      </w:pPr>
      <w:r>
        <w:rPr>
          <w:b/>
        </w:rPr>
        <w:t xml:space="preserve">摘要（ZH）: </w:t>
      </w:r>
      <w:r>
        <w:t>固态肿瘤的吸收性自然杀手(NK)细胞疗法面临严峻的挑战,包括肿瘤抗原异质性、损伤的肿瘤渗透和免疫抑制性微环境造成的亚最佳活化。 我们在这里开发了一种工程纳米平台,其内含转基因DNA纳米气道工程人工受体(NCAR),通过两个协同机制引导NK细胞抗固态肿瘤:1) 肿瘤微生物环境(TME) 重新规划:利用胆固醇媒介插入,NCAR将肿瘤嵌入脑膜以干扰磷素双层,释放与损害有关的分子模式(DAMPs;例如HMGB1,CRT)导致免疫细胞死亡,该模式将免疫抑制TME和NK细胞招募/活化成。 2) Pecision Teati。</w:t>
      </w:r>
    </w:p>
    <w:p>
      <w:pPr>
        <w:spacing w:before="0" w:after="200" w:lineRule="auto" w:line="276"/>
      </w:pPr>
      <w:r>
        <w:rPr>
          <w:b/>
        </w:rPr>
        <w:t xml:space="preserve">Abstract (EN): </w:t>
      </w:r>
      <w:r>
        <w:t>Adoptive natural killer (NK) cell therapy for solid tumors faces critical challenges, including tumor antigen heterogeneity, impaired tumor infiltration, and suboptimal activation imposed by the immunosuppressive microenvironment. Here we developed an engineered nanoplatform featuring transmembrane DNA nanochannel-engineered artificial receptors (NCAR) to direct NK cells against solid tumors through two synergistic mechanisms: 1) Tumor Microenvironment (TME) Reprogramming: leveraging cholesterol-mediated insertion, NCAR incorporates into tumor membranes to disrupt phospholipid bilayers, inducing immunogenic cell death with the release of damage-associated molecular patterns (DAMPs; e.g., HMGB1, CRT), which remodels immunosuppression TME and recruits/activates NK cells. 2) Precision Targeting: NCAR forms programmable synthetic immune synapses with DNA nanoartificial ligands (NAL) engineered on NK cells via base-pairing. This antigen-independent assembly network establishes a universal membrane interface, enabling sustained tumor-targeted NK cell activation. The dual-component system enables sustained intratumoral accumulation of NK cells (&gt;96 h), with a 15.1-fold increase in activated NKP46+GZB+ NK cells compared to controls. By bridging DNA nanotechnology with cell immunotherapy, our nanoplatform provides a universal strategy for navigating tumor-immune interactions, addressing key limitations of adoptive NK cell immunotherapy in solid tumors.</w:t>
      </w:r>
    </w:p>
    <w:p>
      <w:pPr>
        <w:spacing w:before="120" w:after="120"/>
      </w:pPr>
      <w:r>
        <w:rPr>
          <w:sz w:val="18"/>
        </w:rPr>
        <w:t>——————————————————————————————————————————————————————————————————————</w:t>
      </w:r>
    </w:p>
    <w:p>
      <w:pPr>
        <w:spacing w:before="160" w:after="40" w:line="240" w:lineRule="auto"/>
      </w:pPr>
      <w:r>
        <w:rPr>
          <w:b/>
        </w:rPr>
        <w:t xml:space="preserve">[501] </w:t>
      </w:r>
      <w:hyperlink r:id="rId804">
        <w:r>
          <w:rPr>
            <w:color w:val="1155CC"/>
            <w:u w:val="single"/>
          </w:rPr>
          <w:t>[ASAP] 超导度为30.4K及其在FE1.11Se通过电离交换和调离反应合成的压力下再次出现</w:t>
        </w:r>
      </w:hyperlink>
    </w:p>
    <w:p>
      <w:pPr>
        <w:spacing w:before="0" w:after="80"/>
      </w:pPr>
      <w:r>
        <w:rPr>
          <w:i/>
          <w:sz w:val="20"/>
        </w:rPr>
        <w:t>EN: [ASAP] Superconductivity of 30.4 K and Its Reemergence under Pressure in Fe1.11Se Synthesized via Ion-Exchange and Deintercalation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2026-02-04 20:42:24+00:00</w:t>
      </w:r>
      <w:r>
        <w:t xml:space="preserve">    </w:t>
      </w:r>
      <w:r>
        <w:rPr>
          <w:b/>
        </w:rPr>
        <w:t xml:space="preserve">DOI: </w:t>
      </w:r>
      <w:hyperlink r:id="rId805">
        <w:r>
          <w:rPr>
            <w:color w:val="1155CC"/>
            <w:u w:val="single"/>
          </w:rPr>
          <w:t>10.1021/jacs.5c22761</w:t>
        </w:r>
      </w:hyperlink>
    </w:p>
    <w:p>
      <w:pPr>
        <w:spacing w:before="0" w:after="120"/>
      </w:pPr>
      <w:r>
        <w:rPr>
          <w:b/>
        </w:rPr>
        <w:t xml:space="preserve">Notes: </w:t>
      </w:r>
      <w:r>
        <w:t>abstract_source=pubmed</w:t>
      </w:r>
    </w:p>
    <w:p>
      <w:pPr>
        <w:spacing w:before="0" w:after="80" w:lineRule="auto" w:line="276"/>
      </w:pPr>
      <w:r>
        <w:rPr>
          <w:b/>
        </w:rPr>
        <w:t xml:space="preserve">摘要（ZH）: </w:t>
      </w:r>
      <w:r>
        <w:t>FeSe(s-FeSe)是高温非常规超导体的著名母体,因为其充电中性层、高金枪鱼结构和电子特性,以及多个电子阶段之间的丰富相互作用。然而,通过高温平衡反应合成的S-FeSe(通过高温平衡反应合成的S-FeSe)带有臭名昭著的间歇性菲,其中只有3%足以杀死超导性。在这里,我们成功地合成了一种新的非物理菲1.11Se单晶体,通过热液离子交换和脱热路径,形成30.4K的超导发热温度(Tconsetset)。11%的相向功率超过平衡阶段图的极限。奇怪的是,在物理压力下,Fe1Se1-xxx的Tconset展示了“V”形进化。</w:t>
      </w:r>
    </w:p>
    <w:p>
      <w:pPr>
        <w:spacing w:before="0" w:after="200" w:lineRule="auto" w:line="276"/>
      </w:pPr>
      <w:r>
        <w:rPr>
          <w:b/>
        </w:rPr>
        <w:t xml:space="preserve">Abstract (EN): </w:t>
      </w:r>
      <w:r>
        <w:t>Binary stoichiometry FeSe (s-FeSe) is a well-known parent of high-temperature unconventional superconductors owing to its charge-neutral layer, highly tunable structure and electronic properties, and rich interplay among multiple electronic phases. Yet, the s-FeSe synthesized via high-temperature equilibrium reactions bears the notorious interstitial Fe, where merely 3% of them is sufficient to kill the superconductivity. Here, we successfully synthesized a new nonstoichiometric Fe1.11Se single crystal with a superconducting onset temperature (Tconset) of 30.4 K through a hydrothermal ion-exchange and deintercalation route. 11% interstitial Fe ions exceed the equilibrium phase diagram limit. Intriguingly, under physical pressure, the Tconset of Fe1+δSe1-xSx exhibits a "V"-shaped evolution with a minimum at 2-2.6 GPa and then upturning into a second superconducting region, reminiscent of the behaviors in FeSe-intercalates. Furthermore, a pressure-induced possible magnetic order, previously observed only in pressurized s-FeSe, shows up. These results offer fresh insights into the role of interstitial Fe in governing superconducting and transport properties under nonequilibrium synthesis and tuning strategies.</w:t>
      </w:r>
    </w:p>
    <w:p>
      <w:pPr>
        <w:spacing w:before="120" w:after="120"/>
      </w:pPr>
      <w:r>
        <w:rPr>
          <w:sz w:val="18"/>
        </w:rPr>
        <w:t>——————————————————————————————————————————————————————————————————————</w:t>
      </w:r>
    </w:p>
    <w:p>
      <w:pPr>
        <w:spacing w:before="160" w:after="40" w:line="240" w:lineRule="auto"/>
      </w:pPr>
      <w:r>
        <w:rPr>
          <w:b/>
        </w:rPr>
        <w:t xml:space="preserve">[502] </w:t>
      </w:r>
      <w:hyperlink r:id="rId806">
        <w:r>
          <w:rPr>
            <w:color w:val="1155CC"/>
            <w:u w:val="single"/>
          </w:rPr>
          <w:t>Wza-Wzc 复合层薄膜聚沙焦化运输器 Wza-Wzc 复合体的分子洞察</w:t>
        </w:r>
      </w:hyperlink>
    </w:p>
    <w:p>
      <w:pPr>
        <w:spacing w:before="0" w:after="80"/>
      </w:pPr>
      <w:r>
        <w:rPr>
          <w:i/>
          <w:sz w:val="20"/>
        </w:rPr>
        <w:t>EN: Molecular insights into the capsular polysaccharide transporter Wza-Wzc complex</w:t>
      </w:r>
    </w:p>
    <w:p>
      <w:pPr>
        <w:spacing w:before="0" w:after="120"/>
      </w:pPr>
      <w:r>
        <w:rPr>
          <w:b/>
        </w:rPr>
        <w:t xml:space="preserve">Source: </w:t>
      </w:r>
      <w:r>
        <w:t>Nature Communications</w:t>
      </w:r>
      <w:r>
        <w:t xml:space="preserve">    </w:t>
      </w:r>
      <w:r>
        <w:rPr>
          <w:b/>
        </w:rPr>
        <w:t xml:space="preserve">Pub date: </w:t>
      </w:r>
      <w:r>
        <w:t>2026-02-05 00:00:00+00:00</w:t>
      </w:r>
    </w:p>
    <w:p>
      <w:pPr>
        <w:spacing w:before="0" w:after="120"/>
      </w:pPr>
      <w:r>
        <w:rPr>
          <w:b/>
        </w:rPr>
        <w:t xml:space="preserve">Notes: </w:t>
      </w:r>
      <w:r>
        <w:t>abstract_source=nature_html</w:t>
      </w:r>
    </w:p>
    <w:p>
      <w:pPr>
        <w:spacing w:before="0" w:after="80" w:lineRule="auto" w:line="276"/>
      </w:pPr>
      <w:r>
        <w:rPr>
          <w:b/>
        </w:rPr>
        <w:t xml:space="preserve">摘要（ZH）: </w:t>
      </w:r>
      <w:r>
        <w:t>Capsular 聚亚焦化物(CPS)是关键的毒理决定因素,构成细菌病原体周围的保护胶囊。在这里,我们展示了E.coli K12 Wza-Wzc综合体所形成的Gram-Negal CTPS分泌机械的完整冷冻-EM结构。该结构揭示出一个覆盖整个信封的长而连续的通道,为CPS的分解提供了便利。ADP-Wza-Wzc综合体的多层结构肖像,捕捉了双膜组装的中间成,突出显示了其显著的内在动态。对孤立的Wza Translocon 和 Wzc 共聚合酶的深入分析,揭示了复杂形成和 CPS 运输的机械性细节。我们进一步发现Wzc作为CPS结合模块的软体领域,很可能是 guid。</w:t>
      </w:r>
    </w:p>
    <w:p>
      <w:pPr>
        <w:spacing w:before="0" w:after="200" w:lineRule="auto" w:line="276"/>
      </w:pPr>
      <w:r>
        <w:rPr>
          <w:b/>
        </w:rPr>
        <w:t xml:space="preserve">Abstract (EN): </w:t>
      </w:r>
      <w:r>
        <w:t>Capsular polysaccharides (CPS) are key virulence determinants, constituting the protective capsule that surrounds bacterial pathogens. Here, we present the complete cryo-EM structure of Gram-negative bacterial CPS secretion machinery formed by the E. coli K12 Wza-Wzc complex. The structure reveals an elongated, continuous channel spanning the entire envelope that facilitates CPS secretion. Multiple structural snapshots of the ADP-bound Wza-Wzc complex capture intermediate conformations of the double membrane assembly, highlighting its remarkable intrinsic dynamics. In-depth analysis of the isolated Wza translocon and Wzc co-polymerase, reveals mechanistic details of both complex formation and CPS transport. We further uncover the jellyroll domain of Wzc as a CPS-binding module, likely guiding CPS repeat units into a proposed Wzc-Wzy polymerization platform. Collectively, this work provides structural and functional insights into CPS synthesis and transport, advancing our understanding of bacterial capsule formation and virulence mechanisms.</w:t>
      </w:r>
    </w:p>
    <w:p>
      <w:pPr>
        <w:spacing w:before="120" w:after="120"/>
      </w:pPr>
      <w:r>
        <w:rPr>
          <w:sz w:val="18"/>
        </w:rPr>
        <w:t>——————————————————————————————————————————————————————————————————————</w:t>
      </w:r>
    </w:p>
    <w:p>
      <w:pPr>
        <w:spacing w:before="160" w:after="40" w:line="240" w:lineRule="auto"/>
      </w:pPr>
      <w:r>
        <w:rPr>
          <w:b/>
        </w:rPr>
        <w:t xml:space="preserve">[503] </w:t>
      </w:r>
      <w:hyperlink r:id="rId807">
        <w:r>
          <w:rPr>
            <w:color w:val="1155CC"/>
            <w:u w:val="single"/>
          </w:rPr>
          <w:t>通过信号增强的横向流动免疫测量,早期诊断胰腺肺癌肾上腺癌: SELFI</w:t>
        </w:r>
      </w:hyperlink>
    </w:p>
    <w:p>
      <w:pPr>
        <w:spacing w:before="0" w:after="80"/>
      </w:pPr>
      <w:r>
        <w:rPr>
          <w:i/>
          <w:sz w:val="20"/>
        </w:rPr>
        <w:t>EN: Early diagnosis of pancreatic ductal adenocarcinoma by signal-enhanced lateral flow immunoassay: SELFI</w:t>
      </w:r>
    </w:p>
    <w:p>
      <w:pPr>
        <w:spacing w:before="0" w:after="120"/>
      </w:pPr>
      <w:r>
        <w:rPr>
          <w:b/>
        </w:rPr>
        <w:t xml:space="preserve">Source: </w:t>
      </w:r>
      <w:r>
        <w:t>Nature Communications</w:t>
      </w:r>
      <w:r>
        <w:t xml:space="preserve">    </w:t>
      </w:r>
      <w:r>
        <w:rPr>
          <w:b/>
        </w:rPr>
        <w:t xml:space="preserve">Pub date: </w:t>
      </w:r>
      <w:r>
        <w:t>2026-02-05 00:00:00+00:00</w:t>
      </w:r>
    </w:p>
    <w:p>
      <w:pPr>
        <w:spacing w:before="0" w:after="120"/>
      </w:pPr>
      <w:r>
        <w:rPr>
          <w:b/>
        </w:rPr>
        <w:t xml:space="preserve">Notes: </w:t>
      </w:r>
      <w:r>
        <w:t>abstract_source=nature_html</w:t>
      </w:r>
    </w:p>
    <w:p>
      <w:pPr>
        <w:spacing w:before="0" w:after="80" w:lineRule="auto" w:line="276"/>
      </w:pPr>
      <w:r>
        <w:rPr>
          <w:b/>
        </w:rPr>
        <w:t xml:space="preserve">摘要（ZH）: </w:t>
      </w:r>
      <w:r>
        <w:t>PDAC目前采用的最新诊断早期PDAC方法往往具有侵入性、耗时和不可靠性,主要原因是与早期检测胰腺癌有关的困难。我们在这里展示了一种快速和敏感的方法,用于早期诊断PDAC, 使用信号强化的横向流动免疫系统,称为SELFI。我们开发了SELFI,通过由硅纳米粒子粒子组装的微粒形成的多个热点,产生强烈的色度信号。我们SELFI的SELFI, 与传统的横向流动免疫系统相比,在检测限度上增加了10,123倍。</w:t>
      </w:r>
    </w:p>
    <w:p>
      <w:pPr>
        <w:spacing w:before="0" w:after="200" w:lineRule="auto" w:line="276"/>
      </w:pPr>
      <w:r>
        <w:rPr>
          <w:b/>
        </w:rPr>
        <w:t xml:space="preserve">Abstract (EN): </w:t>
      </w:r>
      <w:r>
        <w:t>Pancreatic ductal adenocarcinoma (PDAC) has a relatively low incidence but a high mortality rate, primarily due to difficulties in early detection. Current state-of-the-art methods for diagnosing early-stage PDAC tend to be invasive, time-consuming, and unreliable, primarily due to the difficulties associated with the early detection of pancreatic cancers. Here we show a quick and sensitive method for the early diagnosis of PDAC using a signal-enhanced lateral flow immunoassay called SELFI. We develop SELFI, which generates a strong colorimetric signal through multiple hotspots formed by plasmonic gold nanoparticles (AuNPs) assembled on a silica nanoparticle. Our SELFI assay achieves a 10,123-fold increase in the limit of detection compared to conventional lateral flow immunoassays using 20 nm AuNPs, providing results within 15 min. We demonstrate that SELFI enables early diagnosis of PDAC, as indicated by a receiver operating characteristic curve and a larger area under the curve compared to the enzyme-linked immunosorbent assay. SELFI’s effective diagnostic features can enhance the timely identification of PDAC and may also serve in the early diagnosis of a range of other diseases.</w:t>
      </w:r>
    </w:p>
    <w:p>
      <w:pPr>
        <w:spacing w:before="120" w:after="120"/>
      </w:pPr>
      <w:r>
        <w:rPr>
          <w:sz w:val="18"/>
        </w:rPr>
        <w:t>——————————————————————————————————————————————————————————————————————</w:t>
      </w:r>
    </w:p>
    <w:p>
      <w:pPr>
        <w:spacing w:before="160" w:after="40" w:line="240" w:lineRule="auto"/>
      </w:pPr>
      <w:r>
        <w:rPr>
          <w:b/>
        </w:rPr>
        <w:t xml:space="preserve">[504] </w:t>
      </w:r>
      <w:hyperlink r:id="rId808">
        <w:r>
          <w:rPr>
            <w:color w:val="1155CC"/>
            <w:u w:val="single"/>
          </w:rPr>
          <w:t>利用热建筑惰性,为具有灵活性的住户提供电价保障</w:t>
        </w:r>
      </w:hyperlink>
    </w:p>
    <w:p>
      <w:pPr>
        <w:spacing w:before="0" w:after="80"/>
      </w:pPr>
      <w:r>
        <w:rPr>
          <w:i/>
          <w:sz w:val="20"/>
        </w:rPr>
        <w:t>EN: Aggregator electricity price guarantees for households with flexibility potential utilizing thermal building inertia</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[505] </w:t>
      </w:r>
      <w:hyperlink r:id="rId809">
        <w:r>
          <w:rPr>
            <w:color w:val="1155CC"/>
            <w:u w:val="single"/>
          </w:rPr>
          <w:t>甲壳虫被锁在一个永恒的舞蹈中 与蚂蚁共舞</w:t>
        </w:r>
      </w:hyperlink>
    </w:p>
    <w:p>
      <w:pPr>
        <w:spacing w:before="0" w:after="80"/>
      </w:pPr>
      <w:r>
        <w:rPr>
          <w:i/>
          <w:sz w:val="20"/>
        </w:rPr>
        <w:t>EN: Beetle is locked in to an eternal dance ― with an ant</w:t>
      </w:r>
    </w:p>
    <w:p>
      <w:pPr>
        <w:spacing w:before="0" w:after="120"/>
      </w:pPr>
      <w:r>
        <w:rPr>
          <w:b/>
        </w:rPr>
        <w:t xml:space="preserve">Source: </w:t>
      </w:r>
      <w:r>
        <w:t>Nature</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[506] </w:t>
      </w:r>
      <w:hyperlink r:id="rId810">
        <w:r>
          <w:rPr>
            <w:color w:val="1155CC"/>
            <w:u w:val="single"/>
          </w:rPr>
          <w:t>作者更正:TRIM28 代导核核脑膜卡普西德蛋白同质杂交会增加SARS-COV-2毒性</w:t>
        </w:r>
      </w:hyperlink>
    </w:p>
    <w:p>
      <w:pPr>
        <w:spacing w:before="0" w:after="80"/>
      </w:pPr>
      <w:r>
        <w:rPr>
          <w:i/>
          <w:sz w:val="20"/>
        </w:rPr>
        <w:t>EN: Author Correction: TRIM28-mediated nucleocapsid protein SUMOylation enhances SARS-CoV-2 virulence</w:t>
      </w:r>
    </w:p>
    <w:p>
      <w:pPr>
        <w:spacing w:before="0" w:after="120"/>
      </w:pPr>
      <w:r>
        <w:rPr>
          <w:b/>
        </w:rPr>
        <w:t xml:space="preserve">Source: </w:t>
      </w:r>
      <w:r>
        <w:t>Nature Communications</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[507] </w:t>
      </w:r>
      <w:hyperlink r:id="rId811">
        <w:r>
          <w:rPr>
            <w:color w:val="1155CC"/>
            <w:u w:val="single"/>
          </w:rPr>
          <w:t>人体KV7.4频道的两步电压传感器激活和与耳聋有关的突变的影响</w:t>
        </w:r>
      </w:hyperlink>
    </w:p>
    <w:p>
      <w:pPr>
        <w:spacing w:before="0" w:after="80"/>
      </w:pPr>
      <w:r>
        <w:rPr>
          <w:i/>
          <w:sz w:val="20"/>
        </w:rPr>
        <w:t>EN: Two-step voltage-sensor activation of the human KV7.4 channel and effect of a deafness-associated mutation</w:t>
      </w:r>
    </w:p>
    <w:p>
      <w:pPr>
        <w:spacing w:before="0" w:after="120"/>
      </w:pPr>
      <w:r>
        <w:rPr>
          <w:b/>
        </w:rPr>
        <w:t xml:space="preserve">Source: </w:t>
      </w:r>
      <w:r>
        <w:t>Nature Communications</w:t>
      </w:r>
      <w:r>
        <w:t xml:space="preserve">    </w:t>
      </w:r>
      <w:r>
        <w:rPr>
          <w:b/>
        </w:rPr>
        <w:t xml:space="preserve">Pub date: </w:t>
      </w:r>
      <w:r>
        <w:t>2026-02-05 00:00:00+00:00</w:t>
      </w:r>
    </w:p>
    <w:p>
      <w:pPr>
        <w:spacing w:before="0" w:after="120"/>
      </w:pPr>
      <w:r>
        <w:rPr>
          <w:b/>
        </w:rPr>
        <w:t xml:space="preserve">Notes: </w:t>
      </w:r>
      <w:r>
        <w:t>abstract_source=nature_html</w:t>
      </w:r>
    </w:p>
    <w:p>
      <w:pPr>
        <w:spacing w:before="0" w:after="80" w:lineRule="auto" w:line="276"/>
      </w:pPr>
      <w:r>
        <w:rPr>
          <w:b/>
        </w:rPr>
        <w:t xml:space="preserve">摘要（ZH）: </w:t>
      </w:r>
      <w:r>
        <w:t>KCNQ4中的功能变异物导致非同步渐进听力损失(DFNA2)。 KV7.4孔孔开口需要电压-传感器域(VSDs)依赖电压的相容变化(激活);然而,目前尚不清楚VSD激活期间的电荷移位速度如何与频道开通速度相伴而来。在这里,我们光学追踪到以电压-电宽含氟测量法的KV7.4VSD激活,利用两个氟磷和脉冲振动,发现VSD启动包括几个依赖电压的过渡,其中一些与频道开通和关闭的电压和电压依赖性过渡。R216H突变会损害VSD的移动和频道开通。</w:t>
      </w:r>
    </w:p>
    <w:p>
      <w:pPr>
        <w:spacing w:before="0" w:after="200" w:lineRule="auto" w:line="276"/>
      </w:pPr>
      <w:r>
        <w:rPr>
          <w:b/>
        </w:rPr>
        <w:t xml:space="preserve">Abstract (EN): </w:t>
      </w:r>
      <w:r>
        <w:t>KCNQ4-encoded KV7.4 voltage-gated potassium channels are expressed in hair-cells of the inner ear. Loss-of-function variants in KCNQ4 cause non-syndromic progressive hearing loss (DFNA2). KV7.4 pore opening requires voltage-dependent conformational changes (activation) of the voltage-sensor domains (VSDs); however, how fast charge displacement during VSD activation is coupled to slow channel opening is currently unclear. Here, we optically tracked KV7.4 VSD activation with voltage-clamp fluorometry, leveraging two fluorophores and pulsed excitation, and found that VSD activation comprises several voltage-dependent transitions, some with kinetics and voltage-dependence matching those of channel opening and closing. The DFNA2-causing R216H mutation impairs VSD movement and channel opening by destabilizing the active VSD configuration, a result confirmed by molecular dynamics simulations. We propose that the KV7.4 VSD activates in two steps: a fast movement representing a first transition to an intermediate activation state, followed by slower component(s) that fully activate the VSD and drive channel opening.</w:t>
      </w:r>
    </w:p>
    <w:p>
      <w:pPr>
        <w:spacing w:before="120" w:after="120"/>
      </w:pPr>
      <w:r>
        <w:rPr>
          <w:sz w:val="18"/>
        </w:rPr>
        <w:t>——————————————————————————————————————————————————————————————————————</w:t>
      </w:r>
    </w:p>
    <w:p>
      <w:pPr>
        <w:spacing w:before="160" w:after="40" w:line="240" w:lineRule="auto"/>
      </w:pPr>
      <w:r>
        <w:rPr>
          <w:b/>
        </w:rPr>
        <w:t xml:space="preserve">[508] </w:t>
      </w:r>
      <w:hyperlink r:id="rId812">
        <w:r>
          <w:rPr>
            <w:color w:val="1155CC"/>
            <w:u w:val="single"/>
          </w:rPr>
          <w:t>第二代生物能源生产业务路线规划第二代生物能源生产,将多个价值链纳入横向合作</w:t>
        </w:r>
      </w:hyperlink>
    </w:p>
    <w:p>
      <w:pPr>
        <w:spacing w:before="0" w:after="80"/>
      </w:pPr>
      <w:r>
        <w:rPr>
          <w:i/>
          <w:sz w:val="20"/>
        </w:rPr>
        <w:t>EN: Operational route planning for second-generation bioenergy production integrating multiple value chains in horizontal collaboration</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[509] </w:t>
      </w:r>
      <w:hyperlink r:id="rId813">
        <w:r>
          <w:rPr>
            <w:color w:val="1155CC"/>
            <w:u w:val="single"/>
          </w:rPr>
          <w:t>利用城市5G基站特大型集群群促进电网灵活性:协调优化框架</w:t>
        </w:r>
      </w:hyperlink>
    </w:p>
    <w:p>
      <w:pPr>
        <w:spacing w:before="0" w:after="80"/>
      </w:pPr>
      <w:r>
        <w:rPr>
          <w:i/>
          <w:sz w:val="20"/>
        </w:rPr>
        <w:t>EN: Harnessing urban 5G base station mega-clusters for grid flexibility: A coordinated optimization framework</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[510] </w:t>
      </w:r>
      <w:hyperlink r:id="rId814">
        <w:r>
          <w:rPr>
            <w:color w:val="1155CC"/>
            <w:u w:val="single"/>
          </w:rPr>
          <w:t>这些神秘的海脊 可能是年轻皮肤的秘密</w:t>
        </w:r>
      </w:hyperlink>
    </w:p>
    <w:p>
      <w:pPr>
        <w:spacing w:before="0" w:after="80"/>
      </w:pPr>
      <w:r>
        <w:rPr>
          <w:i/>
          <w:sz w:val="20"/>
        </w:rPr>
        <w:t>EN: These mysterious ridges could be the secret to younger skin</w:t>
      </w:r>
    </w:p>
    <w:p>
      <w:pPr>
        <w:spacing w:before="0" w:after="120"/>
      </w:pPr>
      <w:r>
        <w:rPr>
          <w:b/>
        </w:rPr>
        <w:t xml:space="preserve">Source: </w:t>
      </w:r>
      <w:r>
        <w:t>Nature</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[511] </w:t>
      </w:r>
      <w:hyperlink r:id="rId815">
        <w:r>
          <w:rPr>
            <w:color w:val="1155CC"/>
            <w:u w:val="single"/>
          </w:rPr>
          <w:t>表示相信不只是为了人类,</w:t>
        </w:r>
      </w:hyperlink>
    </w:p>
    <w:p>
      <w:pPr>
        <w:spacing w:before="0" w:after="80"/>
      </w:pPr>
      <w:r>
        <w:rPr>
          <w:i/>
          <w:sz w:val="20"/>
        </w:rPr>
        <w:t>EN: This bonobo had a pretend tea party — showing make believe isn’t just for humans</w:t>
      </w:r>
    </w:p>
    <w:p>
      <w:pPr>
        <w:spacing w:before="0" w:after="120"/>
      </w:pPr>
      <w:r>
        <w:rPr>
          <w:b/>
        </w:rPr>
        <w:t xml:space="preserve">Source: </w:t>
      </w:r>
      <w:r>
        <w:t>Nature</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[512] </w:t>
      </w:r>
      <w:hyperlink r:id="rId816">
        <w:r>
          <w:rPr>
            <w:color w:val="1155CC"/>
            <w:u w:val="single"/>
          </w:rPr>
          <w:t>在中国颁发第一批`实用博士学位'——针对产品而不是论文</w:t>
        </w:r>
      </w:hyperlink>
    </w:p>
    <w:p>
      <w:pPr>
        <w:spacing w:before="0" w:after="80"/>
      </w:pPr>
      <w:r>
        <w:rPr>
          <w:i/>
          <w:sz w:val="20"/>
        </w:rPr>
        <w:t>EN: First ‘practical PhDs’ awarded in China — for products rather than papers</w:t>
      </w:r>
    </w:p>
    <w:p>
      <w:pPr>
        <w:spacing w:before="0" w:after="120"/>
      </w:pPr>
      <w:r>
        <w:rPr>
          <w:b/>
        </w:rPr>
        <w:t xml:space="preserve">Source: </w:t>
      </w:r>
      <w:r>
        <w:t>Nature</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[513] </w:t>
      </w:r>
      <w:hyperlink r:id="rId817">
        <w:r>
          <w:rPr>
            <w:color w:val="1155CC"/>
            <w:u w:val="single"/>
          </w:rPr>
          <w:t>联合王国的科学是否处于危险之中? 巨额资金改革引发混乱和焦虑。</w:t>
        </w:r>
      </w:hyperlink>
    </w:p>
    <w:p>
      <w:pPr>
        <w:spacing w:before="0" w:after="80"/>
      </w:pPr>
      <w:r>
        <w:rPr>
          <w:i/>
          <w:sz w:val="20"/>
        </w:rPr>
        <w:t>EN: Is UK science in jeopardy? Huge funding reforms spark chaos and anxiety</w:t>
      </w:r>
    </w:p>
    <w:p>
      <w:pPr>
        <w:spacing w:before="0" w:after="120"/>
      </w:pPr>
      <w:r>
        <w:rPr>
          <w:b/>
        </w:rPr>
        <w:t xml:space="preserve">Source: </w:t>
      </w:r>
      <w:r>
        <w:t>Nature</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[514] </w:t>
      </w:r>
      <w:hyperlink r:id="rId818">
        <w:r>
          <w:rPr>
            <w:color w:val="1155CC"/>
            <w:u w:val="single"/>
          </w:rPr>
          <w:t>纳米粒子暴露出奇异的特质</w:t>
        </w:r>
      </w:hyperlink>
    </w:p>
    <w:p>
      <w:pPr>
        <w:spacing w:before="0" w:after="80"/>
      </w:pPr>
      <w:r>
        <w:rPr>
          <w:i/>
          <w:sz w:val="20"/>
        </w:rPr>
        <w:t>EN: Not just a chip off the old block: nanoparticles reveal odd traits</w:t>
      </w:r>
    </w:p>
    <w:p>
      <w:pPr>
        <w:spacing w:before="0" w:after="120"/>
      </w:pPr>
      <w:r>
        <w:rPr>
          <w:b/>
        </w:rPr>
        <w:t xml:space="preserve">Source: </w:t>
      </w:r>
      <w:r>
        <w:t>Nature</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[515] </w:t>
      </w:r>
      <w:hyperlink r:id="rId819">
        <w:r>
          <w:rPr>
            <w:color w:val="1155CC"/>
            <w:u w:val="single"/>
          </w:rPr>
          <w:t>能源缺口打开,热流只能以一种方式</w:t>
        </w:r>
      </w:hyperlink>
    </w:p>
    <w:p>
      <w:pPr>
        <w:spacing w:before="0" w:after="80"/>
      </w:pPr>
      <w:r>
        <w:rPr>
          <w:i/>
          <w:sz w:val="20"/>
        </w:rPr>
        <w:t>EN: An energy gap opens and heat flows one way only</w:t>
      </w:r>
    </w:p>
    <w:p>
      <w:pPr>
        <w:spacing w:before="0" w:after="120"/>
      </w:pPr>
      <w:r>
        <w:rPr>
          <w:b/>
        </w:rPr>
        <w:t xml:space="preserve">Source: </w:t>
      </w:r>
      <w:r>
        <w:t>Nature Nanotechnology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[516] </w:t>
      </w:r>
      <w:hyperlink r:id="rId820">
        <w:r>
          <w:rPr>
            <w:color w:val="1155CC"/>
            <w:u w:val="single"/>
          </w:rPr>
          <w:t>处理中低收入国家的具体环境能源建模风险和动态</w:t>
        </w:r>
      </w:hyperlink>
    </w:p>
    <w:p>
      <w:pPr>
        <w:spacing w:before="0" w:after="80"/>
      </w:pPr>
      <w:r>
        <w:rPr>
          <w:i/>
          <w:sz w:val="20"/>
        </w:rPr>
        <w:t>EN: Addressing context-specific energy modelling risks and dynamics in low- and middle-income countries</w:t>
      </w:r>
    </w:p>
    <w:p>
      <w:pPr>
        <w:spacing w:before="0" w:after="120"/>
      </w:pPr>
      <w:r>
        <w:rPr>
          <w:b/>
        </w:rPr>
        <w:t xml:space="preserve">Source: </w:t>
      </w:r>
      <w:r>
        <w:t>Nature Energy</w:t>
      </w:r>
      <w:r>
        <w:t xml:space="preserve">    </w:t>
      </w:r>
      <w:r>
        <w:rPr>
          <w:b/>
        </w:rPr>
        <w:t xml:space="preserve">Pub date: </w:t>
      </w:r>
      <w:r>
        <w:t>2026-02-05 00:00:00+00:00</w:t>
      </w:r>
    </w:p>
    <w:p>
      <w:pPr>
        <w:spacing w:before="0" w:after="120"/>
      </w:pPr>
      <w:r>
        <w:rPr>
          <w:b/>
        </w:rPr>
        <w:t xml:space="preserve">Notes: </w:t>
      </w:r>
      <w:r>
        <w:t>abstract_source=nature_html</w:t>
      </w:r>
    </w:p>
    <w:p>
      <w:pPr>
        <w:spacing w:before="0" w:after="80" w:lineRule="auto" w:line="276"/>
      </w:pPr>
      <w:r>
        <w:rPr>
          <w:b/>
        </w:rPr>
        <w:t xml:space="preserve">摘要（ZH）: </w:t>
      </w:r>
      <w:r>
        <w:t>能源建模工具指导能源过渡规划,但在中低收入国家应用能源过渡规划方面仍然存在关键问题,这些国家面临着复杂的挑战,即以负担得起、可持续和具有复原力的方式满足日益增长的能源需求,同时在不确定的金融、地缘政治和气候背景下推进更广泛、长期的发展目标。这里我们强调,建模做法需要创新,以便充分分析目前的规划挑战,避免政策咨询意见不一致的风险。我们通过建模做法的三个特点——模式的选择、建模进程和专门知识的多元化——确定方法进展的优先领域。这意味着整个能源规划中的创新。</w:t>
      </w:r>
    </w:p>
    <w:p>
      <w:pPr>
        <w:spacing w:before="0" w:after="200" w:lineRule="auto" w:line="276"/>
      </w:pPr>
      <w:r>
        <w:rPr>
          <w:b/>
        </w:rPr>
        <w:t xml:space="preserve">Abstract (EN): </w:t>
      </w:r>
      <w:r>
        <w:t>Energy modelling tools guide energy transition planning, yet critical questions persist regarding their application in low- and middle-income countries (LMICs). These countries face the complex challenge of meeting growing energy needs in ways that are affordable, sustainable and resilient, while also advancing broader, long-term development goals in uncertain financial, geopolitical and climatic contexts. Here we highlight that innovation in modelling practice is required to adequately analyse current planning challenges and avoid the risks of misaligned policy advice. Framed through three features of modelling practice—choice of paradigm, modelling process and pluralism of expertise—we identify priority areas for methodological advancement. This means innovation across energy planning related to context-specificity, system dynamics and uncertainties, as well as integration with connected systems. To mainstream innovation, we propose a focus on ensuring data and modelling availability, prioritizing support for modelling in low-planning-capacity contexts, and expanding networks of practice that support LMIC modelling.</w:t>
      </w:r>
    </w:p>
    <w:p>
      <w:pPr>
        <w:spacing w:before="120" w:after="120"/>
      </w:pPr>
      <w:r>
        <w:rPr>
          <w:sz w:val="18"/>
        </w:rPr>
        <w:t>——————————————————————————————————————————————————————————————————————</w:t>
      </w:r>
    </w:p>
    <w:p>
      <w:pPr>
        <w:spacing w:before="160" w:after="40" w:line="240" w:lineRule="auto"/>
      </w:pPr>
      <w:r>
        <w:rPr>
          <w:b/>
        </w:rPr>
        <w:t xml:space="preserve">[517] </w:t>
      </w:r>
      <w:hyperlink r:id="rId821">
        <w:r>
          <w:rPr>
            <w:color w:val="1155CC"/>
            <w:u w:val="single"/>
          </w:rPr>
          <w:t>美国电动车辆采用和使用可再生能源的情况:电费和排放定价的敏感性分析</w:t>
        </w:r>
      </w:hyperlink>
    </w:p>
    <w:p>
      <w:pPr>
        <w:spacing w:before="0" w:after="80"/>
      </w:pPr>
      <w:r>
        <w:rPr>
          <w:i/>
          <w:sz w:val="20"/>
        </w:rPr>
        <w:t>EN: Electric vehicle adoption and utilization of renewable energy in U.S.: Sensitivity analysis of electricity tariffs and emission pricing</w:t>
      </w:r>
    </w:p>
    <w:p>
      <w:pPr>
        <w:spacing w:before="0" w:after="120"/>
      </w:pPr>
      <w:r>
        <w:rPr>
          <w:b/>
        </w:rPr>
        <w:t xml:space="preserve">Source: </w:t>
      </w:r>
      <w:r>
        <w:t>ScienceDirect Publication: Energy Policy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[518] </w:t>
      </w:r>
      <w:hyperlink r:id="rId822">
        <w:r>
          <w:rPr>
            <w:color w:val="1155CC"/>
            <w:u w:val="single"/>
          </w:rPr>
          <w:t>考虑到时间安排成本和可控制负荷的不确定性,在多市场对虚拟发电厂进行风险-逆风险共同优化</w:t>
        </w:r>
      </w:hyperlink>
    </w:p>
    <w:p>
      <w:pPr>
        <w:spacing w:before="0" w:after="80"/>
      </w:pPr>
      <w:r>
        <w:rPr>
          <w:i/>
          <w:sz w:val="20"/>
        </w:rPr>
        <w:t>EN: Risk-averse co-optimization of virtual power plants in multi-markets considering scheduling costs and uncertainties of controllable loads</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[519] </w:t>
      </w:r>
      <w:hyperlink r:id="rId823">
        <w:r>
          <w:rPr>
            <w:color w:val="1155CC"/>
            <w:u w:val="single"/>
          </w:rPr>
          <w:t>Perovskite/Organic Tandem太阳能电池和光电阴极的自组装分子作为硬性洞状选择层的自组装分子</w:t>
        </w:r>
      </w:hyperlink>
    </w:p>
    <w:p>
      <w:pPr>
        <w:spacing w:before="0" w:after="80"/>
      </w:pPr>
      <w:r>
        <w:rPr>
          <w:i/>
          <w:sz w:val="20"/>
        </w:rPr>
        <w:t>EN: Deprotonated Self-Assembled Molecules as Robust Hole-Selective Layers for Perovskite/Organic Tandem Solar Cells and Photocathodes</w:t>
      </w:r>
    </w:p>
    <w:p>
      <w:pPr>
        <w:spacing w:before="0" w:after="120"/>
      </w:pPr>
      <w:r>
        <w:rPr>
          <w:b/>
        </w:rPr>
        <w:t xml:space="preserve">Source: </w:t>
      </w:r>
      <w:r>
        <w:t>RSC - Energy Environ. Sci. latest articles</w:t>
      </w:r>
      <w:r>
        <w:t xml:space="preserve">    </w:t>
      </w:r>
      <w:r>
        <w:rPr>
          <w:b/>
        </w:rPr>
        <w:t xml:space="preserve">Pub date: </w:t>
      </w:r>
      <w:r>
        <w:t>2026-02-05 00:00:00+00:00</w:t>
      </w:r>
    </w:p>
    <w:p>
      <w:pPr>
        <w:spacing w:before="0" w:after="120"/>
      </w:pPr>
      <w:r>
        <w:rPr>
          <w:b/>
        </w:rPr>
        <w:t xml:space="preserve">Notes: </w:t>
      </w:r>
      <w:r>
        <w:t>abstract_source=rsc_html</w:t>
      </w:r>
    </w:p>
    <w:p>
      <w:pPr>
        <w:spacing w:before="0" w:after="80" w:lineRule="auto" w:line="276"/>
      </w:pPr>
      <w:r>
        <w:rPr>
          <w:b/>
        </w:rPr>
        <w:t xml:space="preserve">摘要（ZH）: </w:t>
      </w:r>
      <w:r>
        <w:t>以自组装单层(SAM)为基础的自组单层(HSLs)提供了一条通向百草枯有机协同太阳能电池(POTSCs)脱节和节能界面的有希望的道路,然而,由于对透明的导导氧化物(TCOs)的固定作用薄弱,导致在极地溶剂接触极地溶剂时在无氧沉降过程中解吸,以及低干扰耐久性,因此,在化学内部稳定战略中,碳酸钾(K2CO3)对[2-(9H-carbazol-9-yl)乙基]磷酸(2PACz)的受控脱溴化(2PACz)进行介介,形成与氧化锡(ITO)紧密结合的混合型单体和二分解种(2PACz-K),因此SAM的溶剂抗力较强,能量水平有所提高。</w:t>
      </w:r>
    </w:p>
    <w:p>
      <w:pPr>
        <w:spacing w:before="0" w:after="200" w:lineRule="auto" w:line="276"/>
      </w:pPr>
      <w:r>
        <w:rPr>
          <w:b/>
        </w:rPr>
        <w:t xml:space="preserve">Abstract (EN): </w:t>
      </w:r>
      <w:r>
        <w:t>Self-assembled monolayer (SAM)-based hole-selective layers (HSLs) offer a promising route to defect-passivated and energy-aligned interfaces in perovskite organic tandem solar cells (POTSCs). However, their practical implementation remains hindered by weak anchoring to transparent conductive oxides (TCOs), leading to desorption during perovskite deposition and poor interfacial durability under polar solvent exposure. Here, we present a chemical interfacial stabilization strategy in which potassium carbonate (K2CO3) mediates the controlled deprotonation of [2-(9H-carbazol-9-yl)ethyl]phosphonic acid (2PACz), forming mixed mono- and di-deprotonated species (2PACz-K) that bind strongly to indium tin oxide (ITO). The resulting SAM exhibits superior solvent resistance, improved energy-level alignment, and enhanced buried interface quality. POTSCs incorporating 2PACz-K achieve 25.10% power conversion efficiency (PCE) with a high open-circuit voltage (VOC) of 2.230 V, while retaining 80% of their initial PCE after 220 h of maximum power point (MPP) tracking under simulated 1-sun illumination. Beyond photovoltaics, the robust 2PACz-K interface is further integrated into a perovskite/organic tandem photocathode (POT-PEC), representing the first transparent, metal-free tandem PEC architecture capable of stable operation in aqueous electrolyte, delivering a photovoltage (Vph) of 2.16 V and achieving solar-to-hydrogen (STH) conversion efficiency of 7.7%. This work establishes a versatile interfacial design paradigm that bridges photovoltaic and photoelectrochemical energy conversion.</w:t>
      </w:r>
    </w:p>
    <w:p>
      <w:pPr>
        <w:spacing w:before="120" w:after="120"/>
      </w:pPr>
      <w:r>
        <w:rPr>
          <w:sz w:val="18"/>
        </w:rPr>
        <w:t>——————————————————————————————————————————————————————————————————————</w:t>
      </w:r>
    </w:p>
    <w:p>
      <w:pPr>
        <w:spacing w:before="160" w:after="40" w:line="240" w:lineRule="auto"/>
      </w:pPr>
      <w:r>
        <w:rPr>
          <w:b/>
        </w:rPr>
        <w:t xml:space="preserve">[520] </w:t>
      </w:r>
      <w:hyperlink r:id="rId824">
        <w:r>
          <w:rPr>
            <w:color w:val="1155CC"/>
            <w:u w:val="single"/>
          </w:rPr>
          <w:t>跟踪基于电池动态的锂电镀引起的健康退化</w:t>
        </w:r>
      </w:hyperlink>
    </w:p>
    <w:p>
      <w:pPr>
        <w:spacing w:before="0" w:after="80"/>
      </w:pPr>
      <w:r>
        <w:rPr>
          <w:i/>
          <w:sz w:val="20"/>
        </w:rPr>
        <w:t>EN: Tracking lithium plating-induced health degradation based on battery dynamics</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[521] </w:t>
      </w:r>
      <w:hyperlink r:id="rId825">
        <w:r>
          <w:rPr>
            <w:color w:val="1155CC"/>
            <w:u w:val="single"/>
          </w:rPr>
          <w:t>用于稳定性能和内存导导解码的由灯光启发电极驱动的横向通风式脑-计算机界面系统</w:t>
        </w:r>
      </w:hyperlink>
    </w:p>
    <w:p>
      <w:pPr>
        <w:spacing w:before="0" w:after="80"/>
      </w:pPr>
      <w:r>
        <w:rPr>
          <w:i/>
          <w:sz w:val="20"/>
        </w:rPr>
        <w:t>EN: Lateral Ventricular Brain-Computer Interface System with Lantern-Inspired Electrode for Stable Performance and Memory-Guided Decoding</w:t>
      </w:r>
    </w:p>
    <w:p>
      <w:pPr>
        <w:spacing w:before="0" w:after="120"/>
      </w:pPr>
      <w:r>
        <w:rPr>
          <w:b/>
        </w:rPr>
        <w:t xml:space="preserve">Source: </w:t>
      </w:r>
      <w:r>
        <w:t>National Science Review Advance Access</w:t>
      </w:r>
      <w:r>
        <w:t xml:space="preserve">    </w:t>
      </w:r>
      <w:r>
        <w:rPr>
          <w:b/>
        </w:rPr>
        <w:t xml:space="preserve">Pub date: </w:t>
      </w:r>
      <w:r>
        <w:t>2026-02-05 00:00:00+00:00</w:t>
      </w:r>
      <w:r>
        <w:t xml:space="preserve">    </w:t>
      </w:r>
      <w:r>
        <w:rPr>
          <w:b/>
        </w:rPr>
        <w:t xml:space="preserve">DOI: </w:t>
      </w:r>
      <w:hyperlink r:id="rId826">
        <w:r>
          <w:rPr>
            <w:color w:val="1155CC"/>
            <w:u w:val="single"/>
          </w:rPr>
          <w:t>10.1093/nsr/nwag081/8465389</w:t>
        </w:r>
      </w:hyperlink>
    </w:p>
    <w:p>
      <w:pPr>
        <w:spacing w:before="0" w:after="120"/>
      </w:pPr>
      <w:r>
        <w:rPr>
          <w:b/>
        </w:rPr>
        <w:t xml:space="preserve">Notes: </w:t>
      </w:r>
      <w:r>
        <w:t>abstract_source=rss_oup</w:t>
      </w:r>
    </w:p>
    <w:p>
      <w:pPr>
        <w:spacing w:before="0" w:after="80" w:lineRule="auto" w:line="276"/>
      </w:pPr>
      <w:r>
        <w:rPr>
          <w:b/>
        </w:rPr>
        <w:t xml:space="preserve">摘要（ZH）: </w:t>
      </w:r>
      <w:r>
        <w:t>我们展示了横向通风脑计算机界面(LV-BCI),通过一个最小侵入性外部通风排入通道,将一个可扩展的灵活电极安放在横向通风室中,受中国传统灯笼框架的启发,电极在通风室内均匀扩张,符合脑壁。与常规的次声室ECOG电极相比,LV-BCI显示的信号稳定性和免疫兼容性较高。恢复状态光谱分析显示的带宽最大有效,可与次声室ECoG相比。在潜在测试中,LV-BCI在112天的时间里保持了一贯较高的信号-噪音比率,没有通常与疤痕或其他免疫反应有关的下降。</w:t>
      </w:r>
    </w:p>
    <w:p>
      <w:pPr>
        <w:spacing w:before="0" w:after="200" w:lineRule="auto" w:line="276"/>
      </w:pPr>
      <w:r>
        <w:rPr>
          <w:b/>
        </w:rPr>
        <w:t xml:space="preserve">Abstract (EN): </w:t>
      </w:r>
      <w:r>
        <w:t>We present a lateral ventricular brain-computer interface (LV-BCI) that deploys an expandable, flexible electrode into the lateral ventricle through a minimally invasive external ventricular drainage pathway. Inspired by the framework of traditional Chinese lanterns, the electrode expands uniformly within the ventricle and conforms to the ependymal wall. Compared with conventional subdural ECoG electrodes, the LV-BCI shows superior signal stability and immunocompatibility. Resting-state spectral analyses revealed a maximum effective bandwidth comparable to subdural ECoG. In evoked potential tests, the LV-BCI maintained a consistently higher signal-to-noise ratio over 112 days without the decline typically associated with scarring or other immune responses. Immunohistochemistry showed only a transient, early microglial activation after implantation, returning to control levels and remaining stable through 168 days. We further designed an “action-memory T-maze” task and developed a microstate sequence classifier (MSSC) to predict rats’ left/right turn decisions. The LV-BCI achieved prediction accuracy up to 98%, significantly outperforming subdural ECoG, indicating enhanced access to decision-related information from deep structures such as the hippocampus. These results establish the lateral ventricle as a viable route for neural signal acquisition. Using a lantern-inspired flexible electrode, we achieve long-term stable recordings and robust memory-guide decision decoding from within the ventricular system, opening new directions for BCI technology and systems neuroscience.</w:t>
      </w:r>
    </w:p>
    <w:p>
      <w:pPr>
        <w:spacing w:before="120" w:after="120"/>
      </w:pPr>
      <w:r>
        <w:rPr>
          <w:sz w:val="18"/>
        </w:rPr>
        <w:t>——————————————————————————————————————————————————————————————————————</w:t>
      </w:r>
    </w:p>
    <w:p>
      <w:pPr>
        <w:spacing w:before="160" w:after="40" w:line="240" w:lineRule="auto"/>
      </w:pPr>
      <w:r>
        <w:rPr>
          <w:b/>
        </w:rPr>
        <w:t xml:space="preserve">[522] </w:t>
      </w:r>
      <w:hyperlink r:id="rId827">
        <w:r>
          <w:rPr>
            <w:color w:val="1155CC"/>
            <w:u w:val="single"/>
          </w:rPr>
          <w:t>对波浪能源转换器(点吸收器、线性吸收器和混合系统)的比较最新比较审查</w:t>
        </w:r>
      </w:hyperlink>
    </w:p>
    <w:p>
      <w:pPr>
        <w:spacing w:before="0" w:after="80"/>
      </w:pPr>
      <w:r>
        <w:rPr>
          <w:i/>
          <w:sz w:val="20"/>
        </w:rPr>
        <w:t>EN: A comparative state-of-the-art review of wave energy converters: point absorbers, linear absorbers, and hybrid systems</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[523] </w:t>
      </w:r>
      <w:hyperlink r:id="rId828">
        <w:r>
          <w:rPr>
            <w:color w:val="1155CC"/>
            <w:u w:val="single"/>
          </w:rPr>
          <w:t>功能性适应性智能型外表窗,与Weber Beams用于车辆舱内障碍避免通信的Weber Beams</w:t>
        </w:r>
      </w:hyperlink>
    </w:p>
    <w:p>
      <w:pPr>
        <w:spacing w:before="0" w:after="80"/>
      </w:pPr>
      <w:r>
        <w:rPr>
          <w:i/>
          <w:sz w:val="20"/>
        </w:rPr>
        <w:t>EN: Functionally Adaptive Smart Metasurface Window with Weber Beams for Obstacle-Avoiding Communications in Vehicle Cabin</w:t>
      </w:r>
    </w:p>
    <w:p>
      <w:pPr>
        <w:spacing w:before="0" w:after="120"/>
      </w:pPr>
      <w:r>
        <w:rPr>
          <w:b/>
        </w:rPr>
        <w:t xml:space="preserve">Source: </w:t>
      </w:r>
      <w:r>
        <w:t>National Science Review Advance Access</w:t>
      </w:r>
      <w:r>
        <w:t xml:space="preserve">    </w:t>
      </w:r>
      <w:r>
        <w:rPr>
          <w:b/>
        </w:rPr>
        <w:t xml:space="preserve">Pub date: </w:t>
      </w:r>
      <w:r>
        <w:t>2026-02-05 00:00:00+00:00</w:t>
      </w:r>
      <w:r>
        <w:t xml:space="preserve">    </w:t>
      </w:r>
      <w:r>
        <w:rPr>
          <w:b/>
        </w:rPr>
        <w:t xml:space="preserve">DOI: </w:t>
      </w:r>
      <w:hyperlink r:id="rId829">
        <w:r>
          <w:rPr>
            <w:color w:val="1155CC"/>
            <w:u w:val="single"/>
          </w:rPr>
          <w:t>10.1093/nsr/nwag083/8465370</w:t>
        </w:r>
      </w:hyperlink>
    </w:p>
    <w:p>
      <w:pPr>
        <w:spacing w:before="0" w:after="120"/>
      </w:pPr>
      <w:r>
        <w:rPr>
          <w:b/>
        </w:rPr>
        <w:t xml:space="preserve">Notes: </w:t>
      </w:r>
      <w:r>
        <w:t>abstract_source=rss_oup</w:t>
      </w:r>
    </w:p>
    <w:p>
      <w:pPr>
        <w:spacing w:before="0" w:after="80" w:lineRule="auto" w:line="276"/>
      </w:pPr>
      <w:r>
        <w:rPr>
          <w:b/>
        </w:rPr>
        <w:t xml:space="preserve">摘要（ZH）: </w:t>
      </w:r>
      <w:r>
        <w:t>将非干扰光束与表面表面结合为先进的波浪控制提供了特殊潜力,然而,在通信系统中,特别是在需要光学透明度的通信系统中实际部署这些光束,基本上仍未实现。在这里,我们提出一个透明的元表面作为智能窗口,通过生成自我加速 Weber光束来弥合这一差距,从而为机动车辆内稳健无线通信产生自加速Weber光束。通过一个低成本的多聚苯乙烯乙烯乙烯乙烯(PET)基质的印刷电路板(PCB)程序,智能窗口实现了73.5%的光传输和高效的微波跨极化转换。两种光束类型,即矫形和半自动定向Weber光束,都是为横向和后侧挡风玻璃集成而设计的,两者都展示了自我。</w:t>
      </w:r>
    </w:p>
    <w:p>
      <w:pPr>
        <w:spacing w:before="0" w:after="200" w:lineRule="auto" w:line="276"/>
      </w:pPr>
      <w:r>
        <w:rPr>
          <w:b/>
        </w:rPr>
        <w:t xml:space="preserve">Abstract (EN): </w:t>
      </w:r>
      <w:r>
        <w:t>The integration of non-diffracting beams with metasurfaces offers exceptional potential for advanced wave control, yet their practical deployment in communication systems, especially those requiring optical transparency, has remained largely unrealized. Here, we propose a transparent metasurface as smart window that bridges this gap by generating self-accelerating Weber beams for robust in-vehicle wireless communications. Fabricated via a low-cost printed circuit board (PCB) process on flexible polyethylene terephthalate (PET) substrates, the smart window achieves 73.5% optical transmittance and efficient microwave cross-polarization conversion. Two beam types, i.e. orthogonal and semi-auto-focusing Weber beams, are tailored for lateral and rear windshield integration, both exhibiting self-bending and self-healing capabilities. In real-world vehicle cabin tests, the metasurface-enhanced system significantly improves the link reliability under physical obstruction, yielding an average enhanced power of 8.37 dB and reduced bit error rate below 1% with successful high-fidelity RGB image reconstruction. This work establishes a practical framework for transparent electromagnetic interfaces that dynamically reroute the wireless signals, with promising applications in smart vehicles, building-integrated communications, biomedical devices, and industrial Internet of Things.</w:t>
      </w:r>
    </w:p>
    <w:p>
      <w:pPr>
        <w:spacing w:before="120" w:after="120"/>
      </w:pPr>
      <w:r>
        <w:rPr>
          <w:sz w:val="18"/>
        </w:rPr>
        <w:t>——————————————————————————————————————————————————————————————————————</w:t>
      </w:r>
    </w:p>
    <w:p>
      <w:pPr>
        <w:spacing w:before="160" w:after="40" w:line="240" w:lineRule="auto"/>
      </w:pPr>
      <w:r>
        <w:rPr>
          <w:b/>
        </w:rPr>
        <w:t xml:space="preserve">[524] </w:t>
      </w:r>
      <w:hyperlink r:id="rId830">
        <w:r>
          <w:rPr>
            <w:color w:val="1155CC"/>
            <w:u w:val="single"/>
          </w:rPr>
          <w:t>低碳热:材料、可靠性和工业、建筑和数据中心采用AI驱动的系统整合</w:t>
        </w:r>
      </w:hyperlink>
    </w:p>
    <w:p>
      <w:pPr>
        <w:spacing w:before="0" w:after="80"/>
      </w:pPr>
      <w:r>
        <w:rPr>
          <w:i/>
          <w:sz w:val="20"/>
        </w:rPr>
        <w:t>EN: Advanced phase change material-thermal energy storage for low-carbon heat: materials, reliability, and AI-driven system integration for industry, buildings, and data centers</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[525] </w:t>
      </w:r>
      <w:hyperlink r:id="rId831">
        <w:r>
          <w:rPr>
            <w:color w:val="1155CC"/>
            <w:u w:val="single"/>
          </w:rPr>
          <w:t>考虑到极端情况下分配式能源储存的不确定性,对虚拟发电厂实行两阶段优化安排战略</w:t>
        </w:r>
      </w:hyperlink>
    </w:p>
    <w:p>
      <w:pPr>
        <w:spacing w:before="0" w:after="80"/>
      </w:pPr>
      <w:r>
        <w:rPr>
          <w:i/>
          <w:sz w:val="20"/>
        </w:rPr>
        <w:t>EN: Two-stage optimization scheduling strategy for virtual power plants considering the correlated uncertainty of distributed energy storage in extreme scenarios</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[526] </w:t>
      </w:r>
      <w:hyperlink r:id="rId832">
        <w:r>
          <w:rPr>
            <w:color w:val="1155CC"/>
            <w:u w:val="single"/>
          </w:rPr>
          <w:t>争取实现能源中枢的公平和低碳运作:一个多目标优化框架,其中含有能源-碳双向双向结合和多种不确定因素</w:t>
        </w:r>
      </w:hyperlink>
    </w:p>
    <w:p>
      <w:pPr>
        <w:spacing w:before="0" w:after="80"/>
      </w:pPr>
      <w:r>
        <w:rPr>
          <w:i/>
          <w:sz w:val="20"/>
        </w:rPr>
        <w:t>EN: Towards fairness and low-carbon operation of energy hub: A multi-objective optimization framework with energy–carbon bidirectional coupling and heterogeneous uncertainties</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[527] </w:t>
      </w:r>
      <w:hyperlink r:id="rId833">
        <w:r>
          <w:rPr>
            <w:color w:val="1155CC"/>
            <w:u w:val="single"/>
          </w:rPr>
          <w:t>防止中高C速率下锂离电池循环降解的新机制</w:t>
        </w:r>
      </w:hyperlink>
    </w:p>
    <w:p>
      <w:pPr>
        <w:spacing w:before="0" w:after="80"/>
      </w:pPr>
      <w:r>
        <w:rPr>
          <w:i/>
          <w:sz w:val="20"/>
        </w:rPr>
        <w:t>EN: A novel mechanism for suppressing cycling degradation of lithium-ion batteries under medium-to-high C-rates</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[528] </w:t>
      </w:r>
      <w:hyperlink r:id="rId834">
        <w:r>
          <w:rPr>
            <w:color w:val="1155CC"/>
            <w:u w:val="single"/>
          </w:rPr>
          <w:t>通过基于XGBost的分配系数预测改善集体自消费的能源分配</w:t>
        </w:r>
      </w:hyperlink>
    </w:p>
    <w:p>
      <w:pPr>
        <w:spacing w:before="0" w:after="80"/>
      </w:pPr>
      <w:r>
        <w:rPr>
          <w:i/>
          <w:sz w:val="20"/>
        </w:rPr>
        <w:t>EN: Improving energy distribution in collective self-consumption via XGBoost-based allocation coefficients prediction</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[529] </w:t>
      </w:r>
      <w:hyperlink r:id="rId835">
        <w:r>
          <w:rPr>
            <w:color w:val="1155CC"/>
            <w:u w:val="single"/>
          </w:rPr>
          <w:t>作者更正: 敏感检测血液肿瘤突变及其在免疫疗法预测中的应用</w:t>
        </w:r>
      </w:hyperlink>
    </w:p>
    <w:p>
      <w:pPr>
        <w:spacing w:before="0" w:after="80"/>
      </w:pPr>
      <w:r>
        <w:rPr>
          <w:i/>
          <w:sz w:val="20"/>
        </w:rPr>
        <w:t>EN: Author Correction: Sensitive detection of tumor mutations from blood and its application to immunotherapy prognosis</w:t>
      </w:r>
    </w:p>
    <w:p>
      <w:pPr>
        <w:spacing w:before="0" w:after="120"/>
      </w:pPr>
      <w:r>
        <w:rPr>
          <w:b/>
        </w:rPr>
        <w:t xml:space="preserve">Source: </w:t>
      </w:r>
      <w:r>
        <w:t>Nature Communications</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[530] </w:t>
      </w:r>
      <w:hyperlink r:id="rId836">
        <w:r>
          <w:rPr>
            <w:color w:val="1155CC"/>
            <w:u w:val="single"/>
          </w:rPr>
          <w:t>潜在热储存技术复合材料的有限要素分析:全面审查</w:t>
        </w:r>
      </w:hyperlink>
    </w:p>
    <w:p>
      <w:pPr>
        <w:spacing w:before="0" w:after="80"/>
      </w:pPr>
      <w:r>
        <w:rPr>
          <w:i/>
          <w:sz w:val="20"/>
        </w:rPr>
        <w:t>EN: Finite element analysis of composites for latent heat storage technology: a comprehensive review</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[531] </w:t>
      </w:r>
      <w:hyperlink r:id="rId837">
        <w:r>
          <w:rPr>
            <w:color w:val="1155CC"/>
            <w:u w:val="single"/>
          </w:rPr>
          <w:t>以量子点为基础的光子反向转换所促成的低能日光光驱动光电加速解析</w:t>
        </w:r>
      </w:hyperlink>
    </w:p>
    <w:p>
      <w:pPr>
        <w:spacing w:before="0" w:after="80"/>
      </w:pPr>
      <w:r>
        <w:rPr>
          <w:i/>
          <w:sz w:val="20"/>
        </w:rPr>
        <w:t>EN: Beyond 1000 nm low-energy sunlight-driven photocatalysis enabled by quantum dot-based photon upconversion</w:t>
      </w:r>
    </w:p>
    <w:p>
      <w:pPr>
        <w:spacing w:before="0" w:after="120"/>
      </w:pPr>
      <w:r>
        <w:rPr>
          <w:b/>
        </w:rPr>
        <w:t xml:space="preserve">Source: </w:t>
      </w:r>
      <w:r>
        <w:t>National Science Review Advance Access</w:t>
      </w:r>
      <w:r>
        <w:t xml:space="preserve">    </w:t>
      </w:r>
      <w:r>
        <w:rPr>
          <w:b/>
        </w:rPr>
        <w:t xml:space="preserve">Pub date: </w:t>
      </w:r>
      <w:r>
        <w:t>2026-02-05 00:00:00+00:00</w:t>
      </w:r>
      <w:r>
        <w:t xml:space="preserve">    </w:t>
      </w:r>
      <w:r>
        <w:rPr>
          <w:b/>
        </w:rPr>
        <w:t xml:space="preserve">DOI: </w:t>
      </w:r>
      <w:hyperlink r:id="rId838">
        <w:r>
          <w:rPr>
            <w:color w:val="1155CC"/>
            <w:u w:val="single"/>
          </w:rPr>
          <w:t>10.1093/nsr/nwag078/8465378</w:t>
        </w:r>
      </w:hyperlink>
    </w:p>
    <w:p>
      <w:pPr>
        <w:spacing w:before="0" w:after="120"/>
      </w:pPr>
      <w:r>
        <w:rPr>
          <w:b/>
        </w:rPr>
        <w:t xml:space="preserve">Notes: </w:t>
      </w:r>
      <w:r>
        <w:t>abstract_source=rss_oup</w:t>
      </w:r>
    </w:p>
    <w:p>
      <w:pPr>
        <w:spacing w:before="0" w:after="80" w:lineRule="auto" w:line="276"/>
      </w:pPr>
      <w:r>
        <w:rPr>
          <w:b/>
        </w:rPr>
        <w:t xml:space="preserve">摘要（ZH）: </w:t>
      </w:r>
      <w:r>
        <w:t>太阳能收获和转换是可持续化学和绿色化学的关键,但根本的瓶颈依然存在。 一个重要的未决问题是低能日光驱动的化学转化,特别是超过1000纳米的低能日光驱动的化学转化,这受到吸收不足和光子能量低的限制。在这里,我们使用PbS量点作为近红外二(NIR-II)吸收器,并精确地调整CdS壳,以平衡三重异质转移效率与表面悬浮层三重寿命之间的平衡,从而增强混合光敏化剂的总体宣传性能。 与Rubrene作为麻醉剂相结合,在1064纳米引力下实现了3.9%的创记录的和解效率。 此外,高效的转化材料使得未预知的光敏化作用得以实现。</w:t>
      </w:r>
    </w:p>
    <w:p>
      <w:pPr>
        <w:spacing w:before="0" w:after="200" w:lineRule="auto" w:line="276"/>
      </w:pPr>
      <w:r>
        <w:rPr>
          <w:b/>
        </w:rPr>
        <w:t xml:space="preserve">Abstract (EN): </w:t>
      </w:r>
      <w:r>
        <w:t>Solar energy harvesting and conversion are pivotal to sustainable chemistry and green chemistry, yet fundamental bottlenecks persist. A key unresolved challenge is chemical transformations driven by low-energy sunlight, especially beyond 1000 nm, which is limited by insufficient absorption and low photon energy. Here, we employ PbS quantum dots (QDs) as near-infrared-II (NIR-II) absorbers and precisely modulate the CdS shell to balance the triplet exciton transfer efficiency with the triplet lifetime of the surface ligands, thereby enhancing the overall sensitization performance of the hybrid photosensitizer. Coupled with rubrene as the annihilator, a record upconversion efficiency of 3.9% was achieved under 1064 nm excitation. Furthermore, the efficient upconversion material enables unprecedented beyond 1000 nm low-energy sunlight-driven large-volume photocatalysis, applicable to both free radical polymerization and atom transfer radical polymerization. This work establishes a foundation for advanced solar energy technologies with broad implications for photocatalysis and next-generation photovoltaics.</w:t>
      </w:r>
    </w:p>
    <w:p>
      <w:pPr>
        <w:spacing w:before="120" w:after="120"/>
      </w:pPr>
      <w:r>
        <w:rPr>
          <w:sz w:val="18"/>
        </w:rPr>
        <w:t>——————————————————————————————————————————————————————————————————————</w:t>
      </w:r>
    </w:p>
    <w:p>
      <w:pPr>
        <w:spacing w:before="160" w:after="40" w:line="240" w:lineRule="auto"/>
      </w:pPr>
      <w:r>
        <w:rPr>
          <w:b/>
        </w:rPr>
        <w:t xml:space="preserve">[532] </w:t>
      </w:r>
      <w:hyperlink r:id="rId839">
        <w:r>
          <w:rPr>
            <w:color w:val="1155CC"/>
            <w:u w:val="single"/>
          </w:rPr>
          <w:t>作者更正: 电荷阻力如何导致离子命令和表面微相分离</w:t>
        </w:r>
      </w:hyperlink>
    </w:p>
    <w:p>
      <w:pPr>
        <w:spacing w:before="0" w:after="80"/>
      </w:pPr>
      <w:r>
        <w:rPr>
          <w:i/>
          <w:sz w:val="20"/>
        </w:rPr>
        <w:t>EN: Author Correction: How charge frustration causes ion ordering and microphase separation at surfaces</w:t>
      </w:r>
    </w:p>
    <w:p>
      <w:pPr>
        <w:spacing w:before="0" w:after="120"/>
      </w:pPr>
      <w:r>
        <w:rPr>
          <w:b/>
        </w:rPr>
        <w:t xml:space="preserve">Source: </w:t>
      </w:r>
      <w:r>
        <w:t>Nature Materials</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[533] </w:t>
      </w:r>
      <w:hyperlink r:id="rId840">
        <w:r>
          <w:rPr>
            <w:color w:val="1155CC"/>
            <w:u w:val="single"/>
          </w:rPr>
          <w:t>相互连接的分销系统快速发送和惠益分配办法</w:t>
        </w:r>
      </w:hyperlink>
    </w:p>
    <w:p>
      <w:pPr>
        <w:spacing w:before="0" w:after="80"/>
      </w:pPr>
      <w:r>
        <w:rPr>
          <w:i/>
          <w:sz w:val="20"/>
        </w:rPr>
        <w:t>EN: Collaborative risk-resistant distributionally robust dispatch and benefit allocation scheme for interconnected distribution systems</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[534] </w:t>
      </w:r>
      <w:hyperlink r:id="rId841">
        <w:r>
          <w:rPr>
            <w:color w:val="1155CC"/>
            <w:u w:val="single"/>
          </w:rPr>
          <w:t>校正:双重目标的 SiRubicon 交付策略触发肝细胞亲脂性肝细胞 以降低肝脏血胃病</w:t>
        </w:r>
      </w:hyperlink>
    </w:p>
    <w:p>
      <w:pPr>
        <w:spacing w:before="0" w:after="80"/>
      </w:pPr>
      <w:r>
        <w:rPr>
          <w:i/>
          <w:sz w:val="20"/>
        </w:rPr>
        <w:t>EN: Author Correction: Dual-targeted siRubicon delivery strategy triggers hepatocellular lipophagy for mitigating liver steatosis</w:t>
      </w:r>
    </w:p>
    <w:p>
      <w:pPr>
        <w:spacing w:before="0" w:after="120"/>
      </w:pPr>
      <w:r>
        <w:rPr>
          <w:b/>
        </w:rPr>
        <w:t xml:space="preserve">Source: </w:t>
      </w:r>
      <w:r>
        <w:t>Nature Communications</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[535] </w:t>
      </w:r>
      <w:hyperlink r:id="rId842">
        <w:r>
          <w:rPr>
            <w:color w:val="1155CC"/>
            <w:u w:val="single"/>
          </w:rPr>
          <w:t>作者更正:人类脑脊髓液净流量在清醒状态下通过呼吸增强</w:t>
        </w:r>
      </w:hyperlink>
    </w:p>
    <w:p>
      <w:pPr>
        <w:spacing w:before="0" w:after="80"/>
      </w:pPr>
      <w:r>
        <w:rPr>
          <w:i/>
          <w:sz w:val="20"/>
        </w:rPr>
        <w:t>EN: Author Correction: Human cerebrospinal fluid net flow enhanced by respiration during the awake state</w:t>
      </w:r>
    </w:p>
    <w:p>
      <w:pPr>
        <w:spacing w:before="0" w:after="120"/>
      </w:pPr>
      <w:r>
        <w:rPr>
          <w:b/>
        </w:rPr>
        <w:t xml:space="preserve">Source: </w:t>
      </w:r>
      <w:r>
        <w:t>Nature Communications</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[536] </w:t>
      </w:r>
      <w:hyperlink r:id="rId843">
        <w:r>
          <w:rPr>
            <w:color w:val="1155CC"/>
            <w:u w:val="single"/>
          </w:rPr>
          <w:t>可水处理的N型聚合墨水,其导体超过1,000S厘米-1</w:t>
        </w:r>
      </w:hyperlink>
    </w:p>
    <w:p>
      <w:pPr>
        <w:spacing w:before="0" w:after="80"/>
      </w:pPr>
      <w:r>
        <w:rPr>
          <w:i/>
          <w:sz w:val="20"/>
        </w:rPr>
        <w:t>EN: A water-processable n-type polymeric ink with conductivities exceeding 1,000 S cm−1</w:t>
      </w:r>
    </w:p>
    <w:p>
      <w:pPr>
        <w:spacing w:before="0" w:after="120"/>
      </w:pPr>
      <w:r>
        <w:rPr>
          <w:b/>
        </w:rPr>
        <w:t xml:space="preserve">Source: </w:t>
      </w:r>
      <w:r>
        <w:t>Matter</w:t>
      </w:r>
      <w:r>
        <w:t xml:space="preserve">    </w:t>
      </w:r>
      <w:r>
        <w:rPr>
          <w:b/>
        </w:rPr>
        <w:t xml:space="preserve">Pub date: </w:t>
      </w:r>
      <w:r>
        <w:t>2026-02-05 00:00:00+00:00</w:t>
      </w:r>
    </w:p>
    <w:p>
      <w:pPr>
        <w:spacing w:before="0" w:after="120"/>
      </w:pPr>
      <w:r>
        <w:rPr>
          <w:b/>
        </w:rPr>
        <w:t xml:space="preserve">Notes: </w:t>
      </w:r>
      <w:r>
        <w:t>abstract_source=rss_cell</w:t>
      </w:r>
    </w:p>
    <w:p>
      <w:pPr>
        <w:spacing w:before="0" w:after="80" w:lineRule="auto" w:line="276"/>
      </w:pPr>
      <w:r>
        <w:rPr>
          <w:b/>
        </w:rPr>
        <w:t xml:space="preserve">摘要（ZH）: </w:t>
      </w:r>
      <w:r>
        <w:t>通过简单的透析过程开发了稳定、以水为基础的PBFDO墨,将zwitter-表面活性剂有效稳定了n型PBFDO,使油墨具有长期稳定性,由此制作的影片显示,高电导率为1 400 Scm-1,超过了以前报告的可水处理的N型聚合物的所有含水处理值。</w:t>
      </w:r>
    </w:p>
    <w:p>
      <w:pPr>
        <w:spacing w:before="0" w:after="200" w:lineRule="auto" w:line="276"/>
      </w:pPr>
      <w:r>
        <w:rPr>
          <w:b/>
        </w:rPr>
        <w:t xml:space="preserve">Abstract (EN): </w:t>
      </w:r>
      <w:r>
        <w:t>A stable, water-based PBFDO ink was developed through a simple dialysis process. Incorporating zwitterionic surfactants effectively stabilizes n-type PBFDO, enabling long-term ink stability. The resulting films exhibit a high electrical conductivity of ∼1,400 S cm−1, exceeding all previously reported values for water-processable n-type conducting polymers.</w:t>
      </w:r>
    </w:p>
    <w:p>
      <w:pPr>
        <w:spacing w:before="120" w:after="120"/>
      </w:pPr>
      <w:r>
        <w:rPr>
          <w:sz w:val="18"/>
        </w:rPr>
        <w:t>——————————————————————————————————————————————————————————————————————</w:t>
      </w:r>
    </w:p>
    <w:p>
      <w:pPr>
        <w:spacing w:before="160" w:after="40" w:line="240" w:lineRule="auto"/>
      </w:pPr>
      <w:r>
        <w:rPr>
          <w:b/>
        </w:rPr>
        <w:t xml:space="preserve">[537] </w:t>
      </w:r>
      <w:hyperlink r:id="rId844">
        <w:r>
          <w:rPr>
            <w:color w:val="1155CC"/>
            <w:u w:val="single"/>
          </w:rPr>
          <w:t>不同的碳政策对氢供应链和动力系统综合规划的影响</w:t>
        </w:r>
      </w:hyperlink>
    </w:p>
    <w:p>
      <w:pPr>
        <w:spacing w:before="0" w:after="80"/>
      </w:pPr>
      <w:r>
        <w:rPr>
          <w:i/>
          <w:sz w:val="20"/>
        </w:rPr>
        <w:t>EN: Impact of different carbon policies on integrated planning of hydrogen supply chain and power system</w:t>
      </w:r>
    </w:p>
    <w:p>
      <w:pPr>
        <w:spacing w:before="0" w:after="120"/>
      </w:pPr>
      <w:r>
        <w:rPr>
          <w:b/>
        </w:rPr>
        <w:t xml:space="preserve">Source: </w:t>
      </w:r>
      <w:r>
        <w:t>ScienceDirect Publication: Applied Energy</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[538] </w:t>
      </w:r>
      <w:hyperlink r:id="rId845">
        <w:r>
          <w:rPr>
            <w:color w:val="1155CC"/>
            <w:u w:val="single"/>
          </w:rPr>
          <w:t>出版商校正:Collibactin驱动的结肠癌需要由adhesin 中介的上皮捆绑</w:t>
        </w:r>
      </w:hyperlink>
    </w:p>
    <w:p>
      <w:pPr>
        <w:spacing w:before="0" w:after="80"/>
      </w:pPr>
      <w:r>
        <w:rPr>
          <w:i/>
          <w:sz w:val="20"/>
        </w:rPr>
        <w:t>EN: Publisher Correction: Colibactin-driven colon cancer requires adhesin-mediated epithelial binding</w:t>
      </w:r>
    </w:p>
    <w:p>
      <w:pPr>
        <w:spacing w:before="0" w:after="120"/>
      </w:pPr>
      <w:r>
        <w:rPr>
          <w:b/>
        </w:rPr>
        <w:t xml:space="preserve">Source: </w:t>
      </w:r>
      <w:r>
        <w:t>Nature</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[539] </w:t>
      </w:r>
      <w:hyperlink r:id="rId846">
        <w:r>
          <w:rPr>
            <w:color w:val="1155CC"/>
            <w:u w:val="single"/>
          </w:rPr>
          <w:t>校正:PHGDH异质性强力致癌细胞传播和转移</w:t>
        </w:r>
      </w:hyperlink>
    </w:p>
    <w:p>
      <w:pPr>
        <w:spacing w:before="0" w:after="80"/>
      </w:pPr>
      <w:r>
        <w:rPr>
          <w:i/>
          <w:sz w:val="20"/>
        </w:rPr>
        <w:t>EN: Author Correction: PHGDH heterogeneity potentiates cancer cell dissemination and metastasis</w:t>
      </w:r>
    </w:p>
    <w:p>
      <w:pPr>
        <w:spacing w:before="0" w:after="120"/>
      </w:pPr>
      <w:r>
        <w:rPr>
          <w:b/>
        </w:rPr>
        <w:t xml:space="preserve">Source: </w:t>
      </w:r>
      <w:r>
        <w:t>Nature</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[540] </w:t>
      </w:r>
      <w:hyperlink r:id="rId847">
        <w:r>
          <w:rPr>
            <w:color w:val="1155CC"/>
            <w:u w:val="single"/>
          </w:rPr>
          <w:t>美国航天局最新的望远镜是早期职业领导才能的杰出成就。</w:t>
        </w:r>
      </w:hyperlink>
    </w:p>
    <w:p>
      <w:pPr>
        <w:spacing w:before="0" w:after="80"/>
      </w:pPr>
      <w:r>
        <w:rPr>
          <w:i/>
          <w:sz w:val="20"/>
        </w:rPr>
        <w:t>EN: NASA’s latest telescope is a feat of early-career leadership</w:t>
      </w:r>
    </w:p>
    <w:p>
      <w:pPr>
        <w:spacing w:before="0" w:after="120"/>
      </w:pPr>
      <w:r>
        <w:rPr>
          <w:b/>
        </w:rPr>
        <w:t xml:space="preserve">Source: </w:t>
      </w:r>
      <w:r>
        <w:t>Nature</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[541] </w:t>
      </w:r>
      <w:hyperlink r:id="rId848">
        <w:r>
          <w:rPr>
            <w:color w:val="1155CC"/>
            <w:u w:val="single"/>
          </w:rPr>
          <w:t>作者更正: 低强度聚焦超声波神经调制所揭示的Telamus在人类意识感知中的作用</w:t>
        </w:r>
      </w:hyperlink>
    </w:p>
    <w:p>
      <w:pPr>
        <w:spacing w:before="0" w:after="80"/>
      </w:pPr>
      <w:r>
        <w:rPr>
          <w:i/>
          <w:sz w:val="20"/>
        </w:rPr>
        <w:t>EN: Author Correction: Role of thalamus in human conscious perception revealed by low-intensity focused ultrasound neuromodulation</w:t>
      </w:r>
    </w:p>
    <w:p>
      <w:pPr>
        <w:spacing w:before="0" w:after="120"/>
      </w:pPr>
      <w:r>
        <w:rPr>
          <w:b/>
        </w:rPr>
        <w:t xml:space="preserve">Source: </w:t>
      </w:r>
      <w:r>
        <w:t>Nature Communications</w:t>
      </w:r>
      <w:r>
        <w:t xml:space="preserve">    </w:t>
      </w:r>
      <w:r>
        <w:rPr>
          <w:b/>
        </w:rPr>
        <w:t xml:space="preserve">Pub date: </w:t>
      </w:r>
      <w:r>
        <w:t>2026-02-05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[542] </w:t>
      </w:r>
      <w:hyperlink r:id="rId849">
        <w:r>
          <w:rPr>
            <w:color w:val="1155CC"/>
            <w:u w:val="single"/>
          </w:rPr>
          <w:t>通过在对称Pt基电平面上应用周期极极反转法,在低压下维持甲醇氧化和氢气进化</w:t>
        </w:r>
      </w:hyperlink>
    </w:p>
    <w:p>
      <w:pPr>
        <w:spacing w:before="0" w:after="80"/>
      </w:pPr>
      <w:r>
        <w:rPr>
          <w:i/>
          <w:sz w:val="20"/>
        </w:rPr>
        <w:t>EN: Sustaining Methanol‐Oxidation and Hydrogen Evolution at Low Voltage by Applying Periodic Polarity Reversal on a Symmetric Pt‐Based Electrode Pair</w:t>
      </w:r>
    </w:p>
    <w:p>
      <w:pPr>
        <w:spacing w:before="0" w:after="120"/>
      </w:pPr>
      <w:r>
        <w:rPr>
          <w:b/>
        </w:rPr>
        <w:t xml:space="preserve">Source: </w:t>
      </w:r>
      <w:r>
        <w:t>Wiley: Angewandte Chemie International Edition: Table of Contents</w:t>
      </w:r>
      <w:r>
        <w:t xml:space="preserve">    </w:t>
      </w:r>
      <w:r>
        <w:rPr>
          <w:b/>
        </w:rPr>
        <w:t xml:space="preserve">Pub date: </w:t>
      </w:r>
      <w:r>
        <w:t>2026-02-05 05:20:08+00:00</w:t>
      </w:r>
      <w:r>
        <w:t xml:space="preserve">    </w:t>
      </w:r>
      <w:r>
        <w:rPr>
          <w:b/>
        </w:rPr>
        <w:t xml:space="preserve">DOI: </w:t>
      </w:r>
      <w:hyperlink r:id="rId850">
        <w:r>
          <w:rPr>
            <w:color w:val="1155CC"/>
            <w:u w:val="single"/>
          </w:rPr>
          <w:t>10.1002/anie.202525802</w:t>
        </w:r>
      </w:hyperlink>
    </w:p>
    <w:p>
      <w:pPr>
        <w:spacing w:before="0" w:after="120"/>
      </w:pPr>
      <w:r>
        <w:rPr>
          <w:b/>
        </w:rPr>
        <w:t xml:space="preserve">Notes: </w:t>
      </w:r>
      <w:r>
        <w:t>abstract_source=crossref</w:t>
      </w:r>
    </w:p>
    <w:p>
      <w:pPr>
        <w:spacing w:before="0" w:after="80" w:lineRule="auto" w:line="276"/>
      </w:pPr>
      <w:r>
        <w:rPr>
          <w:b/>
        </w:rPr>
        <w:t xml:space="preserve">摘要（ZH）: </w:t>
      </w:r>
      <w:r>
        <w:t>ABSTACT 已经确定,基于Pt的电极分子能够使甲醇氧化反应(MOR)产生超低潜能值的加值,但是,由于急性CO中毒,特别是高时密度的急性二氧化碳中毒,其可持续性受到严重限制。为了应对这一挑战,我们开发了Pt@NiMLDH 电极分析器(M = Co, Mn, Cu, Fe),将Pt点固定在NiM 层双氢氧化物(LDH)上,通过Pt-ONi联结来减少CO中毒。关键地是,我们发现对对对对称的Pt@NiCoLDHPt@NiCoLDH 电极化电极化电极化器(NiCoOCOLDH)定期采用极化法,使氢和电极化电极化电极化器的同步生产能够至少120小时。</w:t>
      </w:r>
    </w:p>
    <w:p>
      <w:pPr>
        <w:spacing w:before="0" w:after="200" w:lineRule="auto" w:line="276"/>
      </w:pPr>
      <w:r>
        <w:rPr>
          <w:b/>
        </w:rPr>
        <w:t xml:space="preserve">Abstract (EN): </w:t>
      </w:r>
      <w:r>
        <w:t>It has been established that Pt‐based electrocatalysts can enable the methanol oxidation reaction (MOR) to produce value‐added formate at ultralow potentials. However, their sustainability is severely limited due to acute CO poisoning, particularly at high current densities. To address this challenge, we develop Pt@NiM‐LDH electrocatalysts (M = Co, Mn, Cu, Fe) by anchoring Pt sites onto NiM layered double hydroxide (LDH) support via Pt─O─Ni bonding, which mitigates CO poisoning. Critically, it is found that applying periodic current polarity reversal to a symmetric Pt@NiCo‐LDH‖Pt@NiCo‐LDH electrode pair drastically attenuates CO‐poisoning. This system thereby enables concurrent productions of hydrogen and formate for at least 120 h at an industrial‐level current density (300 mA cm</w:t>
      </w:r>
      <w:r>
        <w:t xml:space="preserve"> </w:t>
      </w:r>
      <w:r>
        <w:t>−2</w:t>
      </w:r>
      <w:r>
        <w:t xml:space="preserve"> </w:t>
      </w:r>
      <w:r>
        <w:t>) and a low cell voltage of 1.02 V, yielding a combined Faradaic efficiency of nearly 200%. Comprehensive experimental and theoretical studies reveal that the NiCo‐LDH support electronically modulates the Pt sites, suppressing both CO formation and adsorption. Furthermore, it is verified that the polarity reversal strategy weakens CO adsorption strength by inducing structural reconstruction of the electrical double layer (EDL). These synergistic mechanisms significantly enhance the sustainability of Pt‐based electrodes for coupled MOR‖HER electrolysis. This work thus provides a promising strategy for designing highly efficient and CO‐tolerant Pt‐based electrocatalytic systems.</w:t>
      </w:r>
    </w:p>
    <w:p>
      <w:pPr>
        <w:spacing w:before="120" w:after="120"/>
      </w:pPr>
      <w:r>
        <w:rPr>
          <w:sz w:val="18"/>
        </w:rPr>
        <w:t>——————————————————————————————————————————————————————————————————————</w:t>
      </w:r>
    </w:p>
    <w:p>
      <w:pPr>
        <w:spacing w:before="160" w:after="40" w:line="240" w:lineRule="auto"/>
      </w:pPr>
      <w:r>
        <w:rPr>
          <w:b/>
        </w:rPr>
        <w:t xml:space="preserve">[543] </w:t>
      </w:r>
      <w:hyperlink r:id="rId851">
        <w:r>
          <w:rPr>
            <w:color w:val="1155CC"/>
            <w:u w:val="single"/>
          </w:rPr>
          <w:t>在Situ 重建MgCu2O/Cu Hetero界面,将CO2减到C2+中和酸介质中的酒精</w:t>
        </w:r>
      </w:hyperlink>
    </w:p>
    <w:p>
      <w:pPr>
        <w:spacing w:before="0" w:after="80"/>
      </w:pPr>
      <w:r>
        <w:rPr>
          <w:i/>
          <w:sz w:val="20"/>
        </w:rPr>
        <w:t>EN: Solid Solution In Situ‐Reconstructed Mg‐Cu2O/Cu Heterointerface for CO2 Reduction to C2+ Alcohols in Neutral and Acidic Media</w:t>
      </w:r>
    </w:p>
    <w:p>
      <w:pPr>
        <w:spacing w:before="0" w:after="120"/>
      </w:pPr>
      <w:r>
        <w:rPr>
          <w:b/>
        </w:rPr>
        <w:t xml:space="preserve">Source: </w:t>
      </w:r>
      <w:r>
        <w:t>Wiley: Angewandte Chemie International Edition: Table of Contents</w:t>
      </w:r>
      <w:r>
        <w:t xml:space="preserve">    </w:t>
      </w:r>
      <w:r>
        <w:rPr>
          <w:b/>
        </w:rPr>
        <w:t xml:space="preserve">Pub date: </w:t>
      </w:r>
      <w:r>
        <w:t>2026-02-05 05:20:45+00:00</w:t>
      </w:r>
      <w:r>
        <w:t xml:space="preserve">    </w:t>
      </w:r>
      <w:r>
        <w:rPr>
          <w:b/>
        </w:rPr>
        <w:t xml:space="preserve">DOI: </w:t>
      </w:r>
      <w:hyperlink r:id="rId852">
        <w:r>
          <w:rPr>
            <w:color w:val="1155CC"/>
            <w:u w:val="single"/>
          </w:rPr>
          <w:t>10.1002/anie.8293761</w:t>
        </w:r>
      </w:hyperlink>
    </w:p>
    <w:p>
      <w:pPr>
        <w:spacing w:before="0" w:after="120"/>
      </w:pPr>
      <w:r>
        <w:rPr>
          <w:b/>
        </w:rPr>
        <w:t xml:space="preserve">Notes: </w:t>
      </w:r>
      <w:r>
        <w:t>abstract_source=crossref</w:t>
      </w:r>
    </w:p>
    <w:p>
      <w:pPr>
        <w:spacing w:before="0" w:after="80" w:lineRule="auto" w:line="276"/>
      </w:pPr>
      <w:r>
        <w:rPr>
          <w:b/>
        </w:rPr>
        <w:t xml:space="preserve">摘要（ZH）: </w:t>
      </w:r>
      <w:r>
        <w:t>ABSTACT 电化学CO 2 减少是生产增值液体C2+酒精的可持续途径。 使用中性和酸性介质可以高使用CO22,但是由于C2+酒精联动的高能量屏障以及常规铜催化剂的C2H4路径相互竞争,C2+酒精选择性和生产率较低。 我们在此报告Mg-稳定化铜2 O/金属库(MgCu 2 O/Cu)的漏斗(MgCu 2 O/Cu)外壳,在座。</w:t>
      </w:r>
    </w:p>
    <w:p>
      <w:pPr>
        <w:spacing w:before="0" w:after="200" w:lineRule="auto" w:line="276"/>
      </w:pPr>
      <w:r>
        <w:rPr>
          <w:b/>
        </w:rPr>
        <w:t xml:space="preserve">Abstract (EN): </w:t>
      </w:r>
      <w:r>
        <w:t>Electrochemical CO</w:t>
      </w:r>
      <w:r>
        <w:rPr>
          <w:vertAlign w:val="subscript"/>
        </w:rPr>
        <w:t>2</w:t>
      </w:r>
      <w:r>
        <w:t>reduction presents a sustainable route for producing value‐added liquid C</w:t>
      </w:r>
      <w:r>
        <w:t xml:space="preserve"> </w:t>
      </w:r>
      <w:r>
        <w:t>2+</w:t>
      </w:r>
      <w:r>
        <w:t xml:space="preserve"> </w:t>
      </w:r>
      <w:r>
        <w:t>alcohols. Using neutral and acidic media enables high CO</w:t>
      </w:r>
      <w:r>
        <w:rPr>
          <w:vertAlign w:val="subscript"/>
        </w:rPr>
        <w:t>2</w:t>
      </w:r>
      <w:r>
        <w:t>utilization, but suffers low C</w:t>
      </w:r>
      <w:r>
        <w:t xml:space="preserve"> </w:t>
      </w:r>
      <w:r>
        <w:t>2+</w:t>
      </w:r>
      <w:r>
        <w:t xml:space="preserve"> </w:t>
      </w:r>
      <w:r>
        <w:t>alcohols selectivity and production rate, due to high energy barrier of C─C coupling and competing C</w:t>
      </w:r>
      <w:r>
        <w:rPr>
          <w:vertAlign w:val="subscript"/>
        </w:rPr>
        <w:t>2</w:t>
      </w:r>
      <w:r>
        <w:t>H</w:t>
      </w:r>
      <w:r>
        <w:rPr>
          <w:vertAlign w:val="subscript"/>
        </w:rPr>
        <w:t>4</w:t>
      </w:r>
      <w:r>
        <w:t>pathway on conventional Cu catalysts. Herein, we report porous Mg‐stabilized Cu</w:t>
      </w:r>
      <w:r>
        <w:rPr>
          <w:vertAlign w:val="subscript"/>
        </w:rPr>
        <w:t>2</w:t>
      </w:r>
      <w:r>
        <w:t>O/metallic Cu (Mg‐Cu</w:t>
      </w:r>
      <w:r>
        <w:rPr>
          <w:vertAlign w:val="subscript"/>
        </w:rPr>
        <w:t>2</w:t>
      </w:r>
      <w:r>
        <w:t>O/Cu) heterointerface, in situ reconstructed from block copolymer‐derived mesoporous MgCuO solid solution under operating CO</w:t>
      </w:r>
      <w:r>
        <w:rPr>
          <w:vertAlign w:val="subscript"/>
        </w:rPr>
        <w:t>2</w:t>
      </w:r>
      <w:r>
        <w:t>reduction conditions, that realizes extraordinary neutral and acidic CO</w:t>
      </w:r>
      <w:r>
        <w:rPr>
          <w:vertAlign w:val="subscript"/>
        </w:rPr>
        <w:t>2</w:t>
      </w:r>
      <w:r>
        <w:t>‐to‐C</w:t>
      </w:r>
      <w:r>
        <w:t xml:space="preserve"> </w:t>
      </w:r>
      <w:r>
        <w:t>2+</w:t>
      </w:r>
      <w:r>
        <w:t xml:space="preserve"> </w:t>
      </w:r>
      <w:r>
        <w:t>alcohols performance. In situ spectroscopic and computational investigations disclose that Mg‐Cu</w:t>
      </w:r>
      <w:r>
        <w:rPr>
          <w:vertAlign w:val="subscript"/>
        </w:rPr>
        <w:t>2</w:t>
      </w:r>
      <w:r>
        <w:t>O/Cu heterointerface facilitates *CO hydrogenation and triggers energy‐favorable asymmetric *CO─CHO coupling, distinctive to energy‐intensive symmetric *CO─CO dimerization catalyzed by bare CuO‐derived Cu surface. More importantly, the heterostructure modulates bonding strength of key C</w:t>
      </w:r>
      <w:r>
        <w:t xml:space="preserve"> </w:t>
      </w:r>
      <w:r>
        <w:t>2+</w:t>
      </w:r>
      <w:r>
        <w:t xml:space="preserve"> </w:t>
      </w:r>
      <w:r>
        <w:t>intermediate with enhanced O─C yet weakened Cu─O bonds, switching selectivity from C</w:t>
      </w:r>
      <w:r>
        <w:rPr>
          <w:vertAlign w:val="subscript"/>
        </w:rPr>
        <w:t>2</w:t>
      </w:r>
      <w:r>
        <w:t>H</w:t>
      </w:r>
      <w:r>
        <w:rPr>
          <w:vertAlign w:val="subscript"/>
        </w:rPr>
        <w:t>4</w:t>
      </w:r>
      <w:r>
        <w:t>on Cu to C</w:t>
      </w:r>
      <w:r>
        <w:t xml:space="preserve"> </w:t>
      </w:r>
      <w:r>
        <w:t>2+</w:t>
      </w:r>
      <w:r>
        <w:t xml:space="preserve"> </w:t>
      </w:r>
      <w:r>
        <w:t>alcohols on Mg‐Cu</w:t>
      </w:r>
      <w:r>
        <w:rPr>
          <w:vertAlign w:val="subscript"/>
        </w:rPr>
        <w:t>2</w:t>
      </w:r>
      <w:r>
        <w:t>O/Cu. Along with porous architecture affording abundant accessible sites, we achieve remarkable Faradaic efficiencies of 70.4% at an industrial current density of 448.7 mA cm</w:t>
      </w:r>
      <w:r>
        <w:t xml:space="preserve"> </w:t>
      </w:r>
      <w:r>
        <w:t>−2</w:t>
      </w:r>
      <w:r>
        <w:t xml:space="preserve"> </w:t>
      </w:r>
      <w:r>
        <w:t>in neutral electrolyte and 61.4% at 316.1 mA cm</w:t>
      </w:r>
      <w:r>
        <w:t xml:space="preserve"> </w:t>
      </w:r>
      <w:r>
        <w:t>−2</w:t>
      </w:r>
      <w:r>
        <w:t xml:space="preserve"> </w:t>
      </w:r>
      <w:r>
        <w:t>in acid for C</w:t>
      </w:r>
      <w:r>
        <w:t xml:space="preserve"> </w:t>
      </w:r>
      <w:r>
        <w:t>2+</w:t>
      </w:r>
      <w:r>
        <w:t xml:space="preserve"> </w:t>
      </w:r>
      <w:r>
        <w:t>alcohols, placing among the highest levels reported hitherto. This work provides a general catalyst design framework for steering reaction pathways in practical CO</w:t>
      </w:r>
      <w:r>
        <w:rPr>
          <w:vertAlign w:val="subscript"/>
        </w:rPr>
        <w:t>2</w:t>
      </w:r>
      <w:r>
        <w:t>electrolysis.</w:t>
      </w:r>
    </w:p>
    <w:p>
      <w:pPr>
        <w:spacing w:before="120" w:after="120"/>
      </w:pPr>
      <w:r>
        <w:rPr>
          <w:sz w:val="18"/>
        </w:rPr>
        <w:t>——————————————————————————————————————————————————————————————————————</w:t>
      </w:r>
    </w:p>
    <w:p>
      <w:pPr>
        <w:spacing w:before="160" w:after="40" w:line="240" w:lineRule="auto"/>
      </w:pPr>
      <w:r>
        <w:rPr>
          <w:b/>
        </w:rPr>
        <w:t xml:space="preserve">[544] </w:t>
      </w:r>
      <w:hyperlink r:id="rId853">
        <w:r>
          <w:rPr>
            <w:color w:val="1155CC"/>
            <w:u w:val="single"/>
          </w:rPr>
          <w:t>将硝酸减少至氢氧胺:通过设计师双功能金属有机框架打破活动选择交易</w:t>
        </w:r>
      </w:hyperlink>
    </w:p>
    <w:p>
      <w:pPr>
        <w:spacing w:before="0" w:after="80"/>
      </w:pPr>
      <w:r>
        <w:rPr>
          <w:i/>
          <w:sz w:val="20"/>
        </w:rPr>
        <w:t>EN: Electrocatalytic Nitrate Reduction to Hydroxylamine: Breaking the Activity‐Selectivity Trade‐Off by Designer Bifunctional Metal‐Organic Frameworks</w:t>
      </w:r>
    </w:p>
    <w:p>
      <w:pPr>
        <w:spacing w:before="0" w:after="120"/>
      </w:pPr>
      <w:r>
        <w:rPr>
          <w:b/>
        </w:rPr>
        <w:t xml:space="preserve">Source: </w:t>
      </w:r>
      <w:r>
        <w:t>Wiley: Angewandte Chemie International Edition: Table of Contents</w:t>
      </w:r>
      <w:r>
        <w:t xml:space="preserve">    </w:t>
      </w:r>
      <w:r>
        <w:rPr>
          <w:b/>
        </w:rPr>
        <w:t xml:space="preserve">Pub date: </w:t>
      </w:r>
      <w:r>
        <w:t>2026-02-05 05:22:30+00:00</w:t>
      </w:r>
      <w:r>
        <w:t xml:space="preserve">    </w:t>
      </w:r>
      <w:r>
        <w:rPr>
          <w:b/>
        </w:rPr>
        <w:t xml:space="preserve">DOI: </w:t>
      </w:r>
      <w:hyperlink r:id="rId854">
        <w:r>
          <w:rPr>
            <w:color w:val="1155CC"/>
            <w:u w:val="single"/>
          </w:rPr>
          <w:t>10.1002/anie.202518171</w:t>
        </w:r>
      </w:hyperlink>
    </w:p>
    <w:p>
      <w:pPr>
        <w:spacing w:before="0" w:after="120"/>
      </w:pPr>
      <w:r>
        <w:rPr>
          <w:b/>
        </w:rPr>
        <w:t xml:space="preserve">Notes: </w:t>
      </w:r>
      <w:r>
        <w:t>abstract_source=crossref</w:t>
      </w:r>
    </w:p>
    <w:p>
      <w:pPr>
        <w:spacing w:before="0" w:after="80" w:lineRule="auto" w:line="276"/>
      </w:pPr>
      <w:r>
        <w:rPr>
          <w:b/>
        </w:rPr>
        <w:t xml:space="preserve">摘要（ZH）: </w:t>
      </w:r>
      <w:r>
        <w:t>ABSTACT电催化硝酸减少反应(NitRR)为在环境条件下合成氢氧化胺(NH2 OH)提供了一条充满希望的道路,然而,固有的活动(选择性权衡)限制了总体性能;为克服这一挑战,设计了一种双金属NimgMOF74电催化剂,通过NitRR高性能,生产NH2 OH。实验和理论调查打破了双重活跃场地在促进NO3-NH2 OH转换方面的协同作用。</w:t>
      </w:r>
    </w:p>
    <w:p>
      <w:pPr>
        <w:spacing w:before="0" w:after="200" w:lineRule="auto" w:line="276"/>
      </w:pPr>
      <w:r>
        <w:rPr>
          <w:b/>
        </w:rPr>
        <w:t xml:space="preserve">Abstract (EN): </w:t>
      </w:r>
      <w:r>
        <w:t>Electrocatalytic nitrate reduction reaction (NitRR) offers a promising route for hydroxylamine (NH</w:t>
      </w:r>
      <w:r>
        <w:rPr>
          <w:vertAlign w:val="subscript"/>
        </w:rPr>
        <w:t>2</w:t>
      </w:r>
      <w:r>
        <w:t>OH) synthesis under ambient conditions. However, the inherent activity‐selectivity trade‐off limits the overall performance. To overcome this challenge, a bimetallic NiMg‐MOF‐74 electrocatalyst is designed for NH</w:t>
      </w:r>
      <w:r>
        <w:rPr>
          <w:vertAlign w:val="subscript"/>
        </w:rPr>
        <w:t>2</w:t>
      </w:r>
      <w:r>
        <w:t>OH production via NitRR with high performance. Experimental and theoretical investigations have unraveled the synergy of dual active sites in promoting NO</w:t>
      </w:r>
      <w:r>
        <w:rPr>
          <w:vertAlign w:val="subscript"/>
        </w:rPr>
        <w:t>3</w:t>
      </w:r>
      <w:r>
        <w:t>−</w:t>
      </w:r>
      <w:r>
        <w:t>to NH</w:t>
      </w:r>
      <w:r>
        <w:rPr>
          <w:vertAlign w:val="subscript"/>
        </w:rPr>
        <w:t>2</w:t>
      </w:r>
      <w:r>
        <w:t>OH conversion. The electron‐sufficient Ni</w:t>
      </w:r>
      <w:r>
        <w:t xml:space="preserve"> </w:t>
      </w:r>
      <w:r>
        <w:t>(2‐δ)+</w:t>
      </w:r>
      <w:r>
        <w:t xml:space="preserve"> </w:t>
      </w:r>
      <w:r>
        <w:t>site weakens the binding of *NH</w:t>
      </w:r>
      <w:r>
        <w:rPr>
          <w:vertAlign w:val="subscript"/>
        </w:rPr>
        <w:t>2</w:t>
      </w:r>
      <w:r>
        <w:t>OH intermediate and minimizes its excessive reduction to undesired NH</w:t>
      </w:r>
      <w:r>
        <w:rPr>
          <w:vertAlign w:val="subscript"/>
        </w:rPr>
        <w:t>3</w:t>
      </w:r>
      <w:r>
        <w:t>byproduct. Moreover, the electron‐deficient Mg</w:t>
      </w:r>
      <w:r>
        <w:t xml:space="preserve"> </w:t>
      </w:r>
      <w:r>
        <w:t>(2+δ)+</w:t>
      </w:r>
      <w:r>
        <w:t xml:space="preserve"> </w:t>
      </w:r>
      <w:r>
        <w:t>site with higher charge density than Ni</w:t>
      </w:r>
      <w:r>
        <w:t xml:space="preserve"> </w:t>
      </w:r>
      <w:r>
        <w:t>(2‐δ)+</w:t>
      </w:r>
      <w:r>
        <w:t xml:space="preserve"> </w:t>
      </w:r>
      <w:r>
        <w:t>facilitates hydration and hydrogenation steps of N─O species over proximal Ni</w:t>
      </w:r>
      <w:r>
        <w:t xml:space="preserve"> </w:t>
      </w:r>
      <w:r>
        <w:t>(2‐δ)+</w:t>
      </w:r>
      <w:r>
        <w:t xml:space="preserve"> </w:t>
      </w:r>
      <w:r>
        <w:t>site, thus the overall activity for NH</w:t>
      </w:r>
      <w:r>
        <w:rPr>
          <w:vertAlign w:val="subscript"/>
        </w:rPr>
        <w:t>2</w:t>
      </w:r>
      <w:r>
        <w:t>OH formation is increased. The concurrently enhanced selectivity and activity result in a high Faradaic efficiency of 92.3% and an unprecedented NH</w:t>
      </w:r>
      <w:r>
        <w:rPr>
          <w:vertAlign w:val="subscript"/>
        </w:rPr>
        <w:t>2</w:t>
      </w:r>
      <w:r>
        <w:t>OH yield rate of 55.1 mg h</w:t>
      </w:r>
      <w:r>
        <w:t xml:space="preserve"> </w:t>
      </w:r>
      <w:r>
        <w:t>−1</w:t>
      </w:r>
      <w:r>
        <w:t xml:space="preserve"> </w:t>
      </w:r>
      <w:r>
        <w:t>cm</w:t>
      </w:r>
      <w:r>
        <w:t xml:space="preserve"> </w:t>
      </w:r>
      <w:r>
        <w:t>−2</w:t>
      </w:r>
      <w:r>
        <w:t xml:space="preserve"> </w:t>
      </w:r>
      <w:r>
        <w:t>in a flow reactor, which can be directly utilized for the preparation of value‐added oxime compounds. Further, the coupling of NitRR with photovoltaics in one system enables bias‐free NH</w:t>
      </w:r>
      <w:r>
        <w:rPr>
          <w:vertAlign w:val="subscript"/>
        </w:rPr>
        <w:t>2</w:t>
      </w:r>
      <w:r>
        <w:t>OH production with a high solar‐to‐NH</w:t>
      </w:r>
      <w:r>
        <w:rPr>
          <w:vertAlign w:val="subscript"/>
        </w:rPr>
        <w:t>2</w:t>
      </w:r>
      <w:r>
        <w:t>OH efficiency of 17.74%. Our work offers advanced electrocatalysts and new insights for sustainable NH</w:t>
      </w:r>
      <w:r>
        <w:rPr>
          <w:vertAlign w:val="subscript"/>
        </w:rPr>
        <w:t>2</w:t>
      </w:r>
      <w:r>
        <w:t>OH electrosynthesis.</w:t>
      </w:r>
    </w:p>
    <w:p>
      <w:pPr>
        <w:spacing w:before="120" w:after="120"/>
      </w:pPr>
      <w:r>
        <w:rPr>
          <w:sz w:val="18"/>
        </w:rPr>
        <w:t>——————————————————————————————————————————————————————————————————————</w:t>
      </w:r>
    </w:p>
    <w:p>
      <w:pPr>
        <w:spacing w:before="160" w:after="40" w:line="240" w:lineRule="auto"/>
      </w:pPr>
      <w:r>
        <w:rPr>
          <w:b/>
        </w:rPr>
        <w:t xml:space="preserve">[545] </w:t>
      </w:r>
      <w:hyperlink r:id="rId855">
        <w:r>
          <w:rPr>
            <w:color w:val="1155CC"/>
            <w:u w:val="single"/>
          </w:rPr>
          <w:t>在非生物条件下Gas-Liquid界面使有选择性的氮-沙焦化协会进行无氨培养的催化器</w:t>
        </w:r>
      </w:hyperlink>
    </w:p>
    <w:p>
      <w:pPr>
        <w:spacing w:before="0" w:after="80"/>
      </w:pPr>
      <w:r>
        <w:rPr>
          <w:i/>
          <w:sz w:val="20"/>
        </w:rPr>
        <w:t>EN: Catalyst‐Free Ammonia Formation at the Gas‐Liquid Interface Enables Selective Nitrogen‐Saccharide Association Under Abiotic Conditions</w:t>
      </w:r>
    </w:p>
    <w:p>
      <w:pPr>
        <w:spacing w:before="0" w:after="120"/>
      </w:pPr>
      <w:r>
        <w:rPr>
          <w:b/>
        </w:rPr>
        <w:t xml:space="preserve">Source: </w:t>
      </w:r>
      <w:r>
        <w:t>Wiley: Angewandte Chemie International Edition: Table of Contents</w:t>
      </w:r>
      <w:r>
        <w:t xml:space="preserve">    </w:t>
      </w:r>
      <w:r>
        <w:rPr>
          <w:b/>
        </w:rPr>
        <w:t xml:space="preserve">Pub date: </w:t>
      </w:r>
      <w:r>
        <w:t>2026-02-05 05:23:09+00:00</w:t>
      </w:r>
      <w:r>
        <w:t xml:space="preserve">    </w:t>
      </w:r>
      <w:r>
        <w:rPr>
          <w:b/>
        </w:rPr>
        <w:t xml:space="preserve">DOI: </w:t>
      </w:r>
      <w:hyperlink r:id="rId856">
        <w:r>
          <w:rPr>
            <w:color w:val="1155CC"/>
            <w:u w:val="single"/>
          </w:rPr>
          <w:t>10.1002/anie.202524389</w:t>
        </w:r>
      </w:hyperlink>
    </w:p>
    <w:p>
      <w:pPr>
        <w:spacing w:before="0" w:after="120"/>
      </w:pPr>
      <w:r>
        <w:rPr>
          <w:b/>
        </w:rPr>
        <w:t xml:space="preserve">Notes: </w:t>
      </w:r>
      <w:r>
        <w:t>abstract_source=crossref</w:t>
      </w:r>
    </w:p>
    <w:p>
      <w:pPr>
        <w:spacing w:before="0" w:after="80" w:lineRule="auto" w:line="276"/>
      </w:pPr>
      <w:r>
        <w:rPr>
          <w:b/>
        </w:rPr>
        <w:t xml:space="preserve">摘要（ZH）: </w:t>
      </w:r>
      <w:r>
        <w:t>ABSTACT 氨(NH 3)是已知氮循环的典型构件之一,它维持生命活动。证明氨的非生物形成对于了解生物前氮集成和探索其合成获取的新机会都至关重要。在这里,我们报告在水微粒气体液化界面现场氨形成无催化剂过程。具体地说,通过二氮净化的分子蛋白溶液通过二氮循环溶液生成的二氮基-氨溶液[M+NH 4]+在快速控制下未见的大规模光谱检测中生成的合成氮[M+NH4]+。</w:t>
      </w:r>
    </w:p>
    <w:p>
      <w:pPr>
        <w:spacing w:before="0" w:after="200" w:lineRule="auto" w:line="276"/>
      </w:pPr>
      <w:r>
        <w:rPr>
          <w:b/>
        </w:rPr>
        <w:t xml:space="preserve">Abstract (EN): </w:t>
      </w:r>
      <w:r>
        <w:t>Ammonia (NH</w:t>
      </w:r>
      <w:r>
        <w:rPr>
          <w:vertAlign w:val="subscript"/>
        </w:rPr>
        <w:t>3</w:t>
      </w:r>
      <w:r>
        <w:t>) is one of the quintessential building blocks in the renowned nitrogen cycle, which sustains life activities. Probing the abiotic formation of ammonia is vital to both understanding the prebiotic nitrogen incorporation, and exploring novel opportunities in its synthetic acquisition. Here, we report a catalyst‐free process for in situ ammonia formation at the gas‐liquid interface of aqueous microdroplets. Specifically, saccharide molecular‐probe solution through dinitrogen nebulization generated saccharide‐ammonium adducts [M+NH</w:t>
      </w:r>
      <w:r>
        <w:rPr>
          <w:vertAlign w:val="subscript"/>
        </w:rPr>
        <w:t>4</w:t>
      </w:r>
      <w:r>
        <w:t>]</w:t>
      </w:r>
      <w:r>
        <w:t xml:space="preserve"> </w:t>
      </w:r>
      <w:r>
        <w:t>+</w:t>
      </w:r>
      <w:r>
        <w:t xml:space="preserve"> </w:t>
      </w:r>
      <w:r>
        <w:t>in mass spectrometry detection that were absent under argon‐mediated control experiments, while ion chromatography and UV–Vis spectroscopy independently verified ammonia generation exclusively in aqueous microdroplet. Quantitative isotope‐dilution mass spectrometry determined an overall NH</w:t>
      </w:r>
      <w:r>
        <w:rPr>
          <w:vertAlign w:val="subscript"/>
        </w:rPr>
        <w:t>3</w:t>
      </w:r>
      <w:r>
        <w:t>formation rate of 8.35 × 10</w:t>
      </w:r>
      <w:r>
        <w:t xml:space="preserve"> </w:t>
      </w:r>
      <w:r>
        <w:t>−4</w:t>
      </w:r>
      <w:r>
        <w:t xml:space="preserve"> </w:t>
      </w:r>
      <w:r>
        <w:t>mg·h</w:t>
      </w:r>
      <w:r>
        <w:t xml:space="preserve"> </w:t>
      </w:r>
      <w:r>
        <w:t>−1</w:t>
      </w:r>
      <w:r>
        <w:t xml:space="preserve"> </w:t>
      </w:r>
      <w:r>
        <w:t>in the microdroplet spray region. Spin‐trapping, electron paramagnetic resonance, radical‐scavenging, and intermediate‐derivatization experiments, supported by electric‐field‐assisted theoretical calculations, further indicate a hydrogen‐radical‐mediated, stepwise nitrogen hydrogenation pathway involving N</w:t>
      </w:r>
      <w:r>
        <w:rPr>
          <w:vertAlign w:val="subscript"/>
        </w:rPr>
        <w:t>2</w:t>
      </w:r>
      <w:r>
        <w:t>H</w:t>
      </w:r>
      <w:r>
        <w:rPr>
          <w:vertAlign w:val="subscript"/>
        </w:rPr>
        <w:t>4</w:t>
      </w:r>
      <w:r>
        <w:t>. Additionally, saccharides, decreasing microdroplet size enhances ammonium adduct formation while suppressing alkali‐metal adducts, a trend rationalized by electric‐field‐dependent stabilization of [M+NH</w:t>
      </w:r>
      <w:r>
        <w:rPr>
          <w:vertAlign w:val="subscript"/>
        </w:rPr>
        <w:t>4</w:t>
      </w:r>
      <w:r>
        <w:t>]</w:t>
      </w:r>
      <w:r>
        <w:t xml:space="preserve"> </w:t>
      </w:r>
      <w:r>
        <w:t>+</w:t>
      </w:r>
      <w:r>
        <w:t xml:space="preserve"> </w:t>
      </w:r>
      <w:r>
        <w:t>over [M+Na]</w:t>
      </w:r>
      <w:r>
        <w:t xml:space="preserve"> </w:t>
      </w:r>
      <w:r>
        <w:t>+</w:t>
      </w:r>
      <w:r>
        <w:t xml:space="preserve"> </w:t>
      </w:r>
      <w:r>
        <w:t>and [M+K]</w:t>
      </w:r>
      <w:r>
        <w:t xml:space="preserve"> </w:t>
      </w:r>
      <w:r>
        <w:t>+</w:t>
      </w:r>
      <w:r>
        <w:t xml:space="preserve"> </w:t>
      </w:r>
      <w:r>
        <w:t>, as supported by density functional theory calculations. These findings support a microdroplet‐electric‐field‐driven ambient ammonia formation at the gas‐liquid interfaces, and provide mechanistic insights into prebiotic nitrogen‐saccharide association under abiotic conditions.</w:t>
      </w:r>
    </w:p>
    <w:p>
      <w:pPr>
        <w:spacing w:before="120" w:after="120"/>
      </w:pPr>
      <w:r>
        <w:rPr>
          <w:sz w:val="18"/>
        </w:rPr>
        <w:t>——————————————————————————————————————————————————————————————————————</w:t>
      </w:r>
    </w:p>
    <w:p>
      <w:pPr>
        <w:spacing w:before="160" w:after="40" w:line="240" w:lineRule="auto"/>
      </w:pPr>
      <w:r>
        <w:rPr>
          <w:b/>
        </w:rPr>
        <w:t xml:space="preserve">[546] </w:t>
      </w:r>
      <w:hyperlink r:id="rId857">
        <w:r>
          <w:rPr>
            <w:color w:val="1155CC"/>
            <w:u w:val="single"/>
          </w:rPr>
          <w:t>稳定使用碘红化调解人使水锌-硫电池高性能</w:t>
        </w:r>
      </w:hyperlink>
    </w:p>
    <w:p>
      <w:pPr>
        <w:spacing w:before="0" w:after="80"/>
      </w:pPr>
      <w:r>
        <w:rPr>
          <w:i/>
          <w:sz w:val="20"/>
        </w:rPr>
        <w:t>EN: Stabilizing Iodine Redox Mediator Enables High‐Performance Aqueous Zinc–Sulfur Batteries</w:t>
      </w:r>
    </w:p>
    <w:p>
      <w:pPr>
        <w:spacing w:before="0" w:after="120"/>
      </w:pPr>
      <w:r>
        <w:rPr>
          <w:b/>
        </w:rPr>
        <w:t xml:space="preserve">Source: </w:t>
      </w:r>
      <w:r>
        <w:t>Wiley: Advanced Materials: Table of Contents</w:t>
      </w:r>
      <w:r>
        <w:t xml:space="preserve">    </w:t>
      </w:r>
      <w:r>
        <w:rPr>
          <w:b/>
        </w:rPr>
        <w:t xml:space="preserve">Pub date: </w:t>
      </w:r>
      <w:r>
        <w:t>2026-02-05 05:26:58+00:00</w:t>
      </w:r>
      <w:r>
        <w:t xml:space="preserve">    </w:t>
      </w:r>
      <w:r>
        <w:rPr>
          <w:b/>
        </w:rPr>
        <w:t xml:space="preserve">DOI: </w:t>
      </w:r>
      <w:hyperlink r:id="rId858">
        <w:r>
          <w:rPr>
            <w:color w:val="1155CC"/>
            <w:u w:val="single"/>
          </w:rPr>
          <w:t>10.1002/adma.72455</w:t>
        </w:r>
      </w:hyperlink>
    </w:p>
    <w:p>
      <w:pPr>
        <w:spacing w:before="0" w:after="120"/>
      </w:pPr>
      <w:r>
        <w:rPr>
          <w:b/>
        </w:rPr>
        <w:t xml:space="preserve">Notes: </w:t>
      </w:r>
      <w:r>
        <w:t>abstract_source=crossref</w:t>
      </w:r>
    </w:p>
    <w:p>
      <w:pPr>
        <w:spacing w:before="0" w:after="80" w:lineRule="auto" w:line="276"/>
      </w:pPr>
      <w:r>
        <w:rPr>
          <w:b/>
        </w:rPr>
        <w:t xml:space="preserve">摘要（ZH）: </w:t>
      </w:r>
      <w:r>
        <w:t>ASTRACT水锌-硫电池(AZSBs)被认为是高能密度和低成本能源储存装置的有希望的候选高能密度和低成本能源贮存装置,然而,在水电解解液中,硫的装载阴极和臭名昭著的碘红氧化碘的聚碘聚碘合金在水氧化电解液中反应迟缓,严重阻碍了ASBs的发展。 这里,氨氧化离子(AOL)被引入电解添加剂,以稳定ZNI 2的再氧化调剂功能,这有效地促进了可逆硫转化反应(S 8 nS )。</w:t>
      </w:r>
    </w:p>
    <w:p>
      <w:pPr>
        <w:spacing w:before="0" w:after="200" w:lineRule="auto" w:line="276"/>
      </w:pPr>
      <w:r>
        <w:rPr>
          <w:b/>
        </w:rPr>
        <w:t xml:space="preserve">Abstract (EN): </w:t>
      </w:r>
      <w:r>
        <w:t>Aqueous zinc–sulfur batteries (AZSBs) are regarded as promising candidates for high‐energy‐density and low‐cost energy storage devices. However, sluggish conversion reaction of sulfur‐loading cathode and notorious polyiodide shuttle of iodine redox mediator in aqueous electrolytes severely hinder the development of AZSBs. Herein, ammonia‐oxidized lignin (AOL) is introduced as electrolyte additive to stabilize the redox mediator function of ZnI</w:t>
      </w:r>
      <w:r>
        <w:rPr>
          <w:vertAlign w:val="subscript"/>
        </w:rPr>
        <w:t>2</w:t>
      </w:r>
      <w:r>
        <w:t>, which effectively facilitates the reversible sulfur conversion reaction (S</w:t>
      </w:r>
      <w:r>
        <w:rPr>
          <w:vertAlign w:val="subscript"/>
        </w:rPr>
        <w:t>8</w:t>
      </w:r>
      <w:r>
        <w:t>↔ZnS). As demonstrated, AOL monomer is rich in active hydroxyl/amide moieties, and exhibits strong chemisorption capability for polyiodides as well as remarkable thermodynamic condition for iodine conversion reaction (I</w:t>
      </w:r>
      <w:r>
        <w:rPr>
          <w:vertAlign w:val="subscript"/>
        </w:rPr>
        <w:t>3</w:t>
      </w:r>
      <w:r>
        <w:t>−</w:t>
      </w:r>
      <w:r>
        <w:t>↔I</w:t>
      </w:r>
      <w:r>
        <w:t xml:space="preserve"> </w:t>
      </w:r>
      <w:r>
        <w:t>−</w:t>
      </w:r>
      <w:r>
        <w:t>), which significantly blocks the ZnI</w:t>
      </w:r>
      <w:r>
        <w:rPr>
          <w:vertAlign w:val="subscript"/>
        </w:rPr>
        <w:t>2</w:t>
      </w:r>
      <w:r>
        <w:t>mediator loss and I</w:t>
      </w:r>
      <w:r>
        <w:rPr>
          <w:vertAlign w:val="subscript"/>
        </w:rPr>
        <w:t>3</w:t>
      </w:r>
      <w:r>
        <w:t>−</w:t>
      </w:r>
      <w:r>
        <w:t>/I</w:t>
      </w:r>
      <w:r>
        <w:rPr>
          <w:vertAlign w:val="subscript"/>
        </w:rPr>
        <w:t>5</w:t>
      </w:r>
      <w:r>
        <w:t>−</w:t>
      </w:r>
      <w:r>
        <w:t>shuttle behavior during cycling, thereby maximizing the catalytic effect of ZnI</w:t>
      </w:r>
      <w:r>
        <w:rPr>
          <w:vertAlign w:val="subscript"/>
        </w:rPr>
        <w:t>2</w:t>
      </w:r>
      <w:r>
        <w:t>for S</w:t>
      </w:r>
      <w:r>
        <w:rPr>
          <w:vertAlign w:val="subscript"/>
        </w:rPr>
        <w:t>8</w:t>
      </w:r>
      <w:r>
        <w:t>↔ZnS reaction and high‐performance AZSBs. Consequently, the optimized AZSBs deliver high specific capacity of 1532 mAh g</w:t>
      </w:r>
      <w:r>
        <w:t xml:space="preserve"> </w:t>
      </w:r>
      <w:r>
        <w:t>−1</w:t>
      </w:r>
      <w:r>
        <w:t xml:space="preserve"> </w:t>
      </w:r>
      <w:r>
        <w:t>at 0.5 A g</w:t>
      </w:r>
      <w:r>
        <w:t xml:space="preserve"> </w:t>
      </w:r>
      <w:r>
        <w:t>−1</w:t>
      </w:r>
      <w:r>
        <w:t xml:space="preserve"> </w:t>
      </w:r>
      <w:r>
        <w:t>, and high reversible capacity of 326.2 mAh g</w:t>
      </w:r>
      <w:r>
        <w:t xml:space="preserve"> </w:t>
      </w:r>
      <w:r>
        <w:t>−1</w:t>
      </w:r>
      <w:r>
        <w:t xml:space="preserve"> </w:t>
      </w:r>
      <w:r>
        <w:t>after 320 cycles at 2 A g</w:t>
      </w:r>
      <w:r>
        <w:t xml:space="preserve"> </w:t>
      </w:r>
      <w:r>
        <w:t>−1</w:t>
      </w:r>
      <w:r>
        <w:t xml:space="preserve"> </w:t>
      </w:r>
      <w:r>
        <w:t>. Even if assembled into pouch batteries with high sulfur loading of 10 mg cm</w:t>
      </w:r>
      <w:r>
        <w:t xml:space="preserve"> </w:t>
      </w:r>
      <w:r>
        <w:t>−2</w:t>
      </w:r>
      <w:r>
        <w:t xml:space="preserve"> </w:t>
      </w:r>
      <w:r>
        <w:t>, high capacity of 514.5 mAh g</w:t>
      </w:r>
      <w:r>
        <w:t xml:space="preserve"> </w:t>
      </w:r>
      <w:r>
        <w:t>−1</w:t>
      </w:r>
      <w:r>
        <w:t xml:space="preserve"> </w:t>
      </w:r>
      <w:r>
        <w:t>is still maintained after 134 cycles at 0.5 A g</w:t>
      </w:r>
      <w:r>
        <w:t xml:space="preserve"> </w:t>
      </w:r>
      <w:r>
        <w:t>−1</w:t>
      </w:r>
      <w:r>
        <w:t xml:space="preserve"> </w:t>
      </w:r>
      <w:r>
        <w:t>. This work provides novel insights to accelerate sulfur conversion reaction kinetics through stabilizing the redox mediators of AZSBs.</w:t>
      </w:r>
    </w:p>
    <w:p>
      <w:pPr>
        <w:spacing w:before="120" w:after="120"/>
      </w:pPr>
      <w:r>
        <w:rPr>
          <w:sz w:val="18"/>
        </w:rPr>
        <w:t>——————————————————————————————————————————————————————————————————————</w:t>
      </w:r>
    </w:p>
    <w:p>
      <w:pPr>
        <w:spacing w:before="160" w:after="40" w:line="240" w:lineRule="auto"/>
      </w:pPr>
      <w:r>
        <w:rPr>
          <w:b/>
        </w:rPr>
        <w:t xml:space="preserve">[547] </w:t>
      </w:r>
      <w:hyperlink r:id="rId859">
        <w:r>
          <w:rPr>
            <w:color w:val="1155CC"/>
            <w:u w:val="single"/>
          </w:rPr>
          <w:t>共值有机框架定型选择性合成系统表面辅助 Wurtz</w:t>
        </w:r>
      </w:hyperlink>
    </w:p>
    <w:p>
      <w:pPr>
        <w:spacing w:before="0" w:after="80"/>
      </w:pPr>
      <w:r>
        <w:rPr>
          <w:i/>
          <w:sz w:val="20"/>
        </w:rPr>
        <w:t>EN: Surface‐Assisted Wurtz Coupling for the Stereoselective Synthesis of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2026-02-05 05:27:52+00:00</w:t>
      </w:r>
      <w:r>
        <w:t xml:space="preserve">    </w:t>
      </w:r>
      <w:r>
        <w:rPr>
          <w:b/>
        </w:rPr>
        <w:t xml:space="preserve">DOI: </w:t>
      </w:r>
      <w:hyperlink r:id="rId860">
        <w:r>
          <w:rPr>
            <w:color w:val="1155CC"/>
            <w:u w:val="single"/>
          </w:rPr>
          <w:t>10.1002/anie.5815461</w:t>
        </w:r>
      </w:hyperlink>
    </w:p>
    <w:p>
      <w:pPr>
        <w:spacing w:before="0" w:after="120"/>
      </w:pPr>
      <w:r>
        <w:rPr>
          <w:b/>
        </w:rPr>
        <w:t xml:space="preserve">Notes: </w:t>
      </w:r>
      <w:r>
        <w:t>abstract_source=crossref</w:t>
      </w:r>
    </w:p>
    <w:p>
      <w:pPr>
        <w:spacing w:before="0" w:after="80" w:lineRule="auto" w:line="276"/>
      </w:pPr>
      <w:r>
        <w:rPr>
          <w:b/>
        </w:rPr>
        <w:t xml:space="preserve">摘要（ZH）: </w:t>
      </w:r>
      <w:r>
        <w:t>地表精密合成 2D 共价有机框架(COFs) 是连接分子设计与宏观物质特性的关键桥梁。 在这项工作中,我们通过Wurtz 结合实现了第一次单层COF 表面封闭合成,通过温度调制显示了显著的立体选择性。在降低温度(78K)时,反应优于沿反交错路径进行,使由于表面封闭而在热处理期间保持结构完整性的元式COF得以成功合成。相反,在高温下沉积(298K)可促进热力稳定的晶体。</w:t>
      </w:r>
    </w:p>
    <w:p>
      <w:pPr>
        <w:spacing w:before="0" w:after="200" w:lineRule="auto" w:line="276"/>
      </w:pPr>
      <w:r>
        <w:rPr>
          <w:b/>
        </w:rPr>
        <w:t xml:space="preserve">Abstract (EN): </w:t>
      </w:r>
      <w:r>
        <w:t>Surface‐confined precision synthesis of 2D covalent organic frameworks (COFs) represents a crucial bridge connecting molecular design with macroscopic material properties. In this work, we achieve the first surface‐confined synthesis of monolayer COF via Wurtz coupling, demonstrating prominent stereoselectivity through temperature modulation. At reduced temperature (78 K), the reaction preferentially follows a</w:t>
      </w:r>
      <w:r>
        <w:t xml:space="preserve"> </w:t>
      </w:r>
      <w:r>
        <w:t>trans</w:t>
      </w:r>
      <w:r>
        <w:t xml:space="preserve"> </w:t>
      </w:r>
      <w:r>
        <w:t>‐coupling pathway, enabling the successful synthesis of metastable COF that maintains structural integrity during thermal treatment due to surface confinement. Conversely, deposition at elevated temperature (298 K) promotes thermodynamically stable</w:t>
      </w:r>
      <w:r>
        <w:t xml:space="preserve"> </w:t>
      </w:r>
      <w:r>
        <w:t>cis</w:t>
      </w:r>
      <w:r>
        <w:t xml:space="preserve"> </w:t>
      </w:r>
      <w:r>
        <w:t>‐coupling porous nanoribbons. Combined ultrahigh‐vacuum scanning tunneling microscopy (UHV‐STM) and density functional theory (DFT) calculations elucidate the fundamental thermodynamic‐kinetic competition mechanism governing the C‐C coupling reactions at the molecular level: while the</w:t>
      </w:r>
      <w:r>
        <w:t xml:space="preserve"> </w:t>
      </w:r>
      <w:r>
        <w:t>trans</w:t>
      </w:r>
      <w:r>
        <w:t xml:space="preserve"> </w:t>
      </w:r>
      <w:r>
        <w:t>‐coupling pathway benefits from a lower activation barrier, the</w:t>
      </w:r>
      <w:r>
        <w:t xml:space="preserve"> </w:t>
      </w:r>
      <w:r>
        <w:t>cis</w:t>
      </w:r>
      <w:r>
        <w:t xml:space="preserve"> </w:t>
      </w:r>
      <w:r>
        <w:t>‐coupling configuration represents the thermodynamic minimum. Notably, this synthetic approach demonstrates pronounced generality, as confirmed by its successful implementation with another triphenylbenzyl bromide precursor to yield monolayer COF. This work deepens the understanding of irreversible bond formation in on‐surface synthesis and establishes kinetic trapping as a powerful strategy for achieving precise stereoselective control in Wurtz coupling.</w:t>
      </w:r>
    </w:p>
    <w:p>
      <w:pPr>
        <w:spacing w:before="120" w:after="120"/>
      </w:pPr>
      <w:r>
        <w:rPr>
          <w:sz w:val="18"/>
        </w:rPr>
        <w:t>——————————————————————————————————————————————————————————————————————</w:t>
      </w:r>
    </w:p>
    <w:p>
      <w:pPr>
        <w:spacing w:before="160" w:after="40" w:line="240" w:lineRule="auto"/>
      </w:pPr>
      <w:r>
        <w:rPr>
          <w:b/>
        </w:rPr>
        <w:t xml:space="preserve">[548] </w:t>
      </w:r>
      <w:hyperlink r:id="rId861">
        <w:r>
          <w:rPr>
            <w:color w:val="1155CC"/>
            <w:u w:val="single"/>
          </w:rPr>
          <w:t>通过热可热离子液体实现的高浓度抗体制剂</w:t>
        </w:r>
      </w:hyperlink>
    </w:p>
    <w:p>
      <w:pPr>
        <w:spacing w:before="0" w:after="80"/>
      </w:pPr>
      <w:r>
        <w:rPr>
          <w:i/>
          <w:sz w:val="20"/>
        </w:rPr>
        <w:t>EN: High Concentration Antibody Formulations Enabled via Thermostable Ionic Liquids</w:t>
      </w:r>
    </w:p>
    <w:p>
      <w:pPr>
        <w:spacing w:before="0" w:after="120"/>
      </w:pPr>
      <w:r>
        <w:rPr>
          <w:b/>
        </w:rPr>
        <w:t xml:space="preserve">Source: </w:t>
      </w:r>
      <w:r>
        <w:t>Wiley: Advanced Materials: Table of Contents</w:t>
      </w:r>
      <w:r>
        <w:t xml:space="preserve">    </w:t>
      </w:r>
      <w:r>
        <w:rPr>
          <w:b/>
        </w:rPr>
        <w:t xml:space="preserve">Pub date: </w:t>
      </w:r>
      <w:r>
        <w:t>2026-02-05 05:28:13+00:00</w:t>
      </w:r>
      <w:r>
        <w:t xml:space="preserve">    </w:t>
      </w:r>
      <w:r>
        <w:rPr>
          <w:b/>
        </w:rPr>
        <w:t xml:space="preserve">DOI: </w:t>
      </w:r>
      <w:hyperlink r:id="rId862">
        <w:r>
          <w:rPr>
            <w:color w:val="1155CC"/>
            <w:u w:val="single"/>
          </w:rPr>
          <w:t>10.1002/adma.202511918</w:t>
        </w:r>
      </w:hyperlink>
    </w:p>
    <w:p>
      <w:pPr>
        <w:spacing w:before="0" w:after="120"/>
      </w:pPr>
      <w:r>
        <w:rPr>
          <w:b/>
        </w:rPr>
        <w:t xml:space="preserve">Notes: </w:t>
      </w:r>
      <w:r>
        <w:t>abstract_source=crossref</w:t>
      </w:r>
    </w:p>
    <w:p>
      <w:pPr>
        <w:spacing w:before="0" w:after="80" w:lineRule="auto" w:line="276"/>
      </w:pPr>
      <w:r>
        <w:rPr>
          <w:b/>
        </w:rPr>
        <w:t xml:space="preserve">摘要（ZH）: </w:t>
      </w:r>
      <w:r>
        <w:t>集中蛋白质配方在商业和研究领域都受到极大关注,因为它们与耐心和亚皮层管理相关,但是,这些配方面临着高粘度和更大的集成潜力等挑战,主要受分子间静电和缺水蛋白蛋白相互作用的驱动。 实现可接受的注射特征( &amp; lt;20 cP)往往需要纳入通过屏蔽效应减少PPPI的初始体( &amp; lt;20 cP) 。目前的临床配方展示了一个狭窄的椰子稳定窗口,主要由于在物理和热应力下分子变化,同时也受到低于最佳生物利用率(5085%)的影响。</w:t>
      </w:r>
    </w:p>
    <w:p>
      <w:pPr>
        <w:spacing w:before="0" w:after="200" w:lineRule="auto" w:line="276"/>
      </w:pPr>
      <w:r>
        <w:rPr>
          <w:b/>
        </w:rPr>
        <w:t xml:space="preserve">Abstract (EN): </w:t>
      </w:r>
      <w:r>
        <w:t>Concentrated protein formulations have garnered significant attention in both commercial and research domains due to their relevance in patient‐favored, subcutaneous administration. However, these formulations face challenges such as high viscosity and elevated potential for aggregation, primarily driven by intermolecular electrostatic and hydrophobic protein‐protein interactions (PPIs). Achieving an acceptable injectability profile (&amp;lt;20 cP) often necessitates the incorporation of excipients that mitigate PPIs through shielding effects. Current clinical formulations exhibit a narrow colloidal stability window, largely due to molecular changes under physical and thermal stress, whilst also suffering from suboptimal bioavailability (50%–85%). To address these limitations, we harness the utility of ionic liquids (ILs) that offer tunable charge and amphiphilicity profiles as a means to simplify and stabilize protein formulations. Herein, we synthesized biocompatible choline and organic acid‐based ILs and assessed their viscosity profiles with IgG antibody at both high (90 mg/mL) and ultra‐high (230 mg/mL) concentrations. Functional and structural stability assays conducted over 4 months at room temperature identified promising IL candidates for in vivo studies at both IgG concentrations. Through a multi‐tiered screening strategy, we generated thermally stable, ultra‐high concentration antibody solutions that achieved a five fold improvement in serum absorption of polyclonal IgG compared to their saline solutions.</w:t>
      </w:r>
    </w:p>
    <w:p>
      <w:pPr>
        <w:spacing w:before="120" w:after="120"/>
      </w:pPr>
      <w:r>
        <w:rPr>
          <w:sz w:val="18"/>
        </w:rPr>
        <w:t>——————————————————————————————————————————————————————————————————————</w:t>
      </w:r>
    </w:p>
    <w:p>
      <w:pPr>
        <w:spacing w:before="160" w:after="40" w:line="240" w:lineRule="auto"/>
      </w:pPr>
      <w:r>
        <w:rPr>
          <w:b/>
        </w:rPr>
        <w:t xml:space="preserve">[549] </w:t>
      </w:r>
      <w:hyperlink r:id="rId863">
        <w:r>
          <w:rPr>
            <w:color w:val="1155CC"/>
            <w:u w:val="single"/>
          </w:rPr>
          <w:t>实验细胞活动 抗电反应 敏感量量子纳米蛋白</w:t>
        </w:r>
      </w:hyperlink>
    </w:p>
    <w:p>
      <w:pPr>
        <w:spacing w:before="0" w:after="80"/>
      </w:pPr>
      <w:r>
        <w:rPr>
          <w:i/>
          <w:sz w:val="20"/>
        </w:rPr>
        <w:t>EN: Probing Cellular Activity Via Charge‐Sensitive Quantum Nanoprobes</w:t>
      </w:r>
    </w:p>
    <w:p>
      <w:pPr>
        <w:spacing w:before="0" w:after="120"/>
      </w:pPr>
      <w:r>
        <w:rPr>
          <w:b/>
        </w:rPr>
        <w:t xml:space="preserve">Source: </w:t>
      </w:r>
      <w:r>
        <w:t>Wiley: Advanced Materials: Table of Contents</w:t>
      </w:r>
      <w:r>
        <w:t xml:space="preserve">    </w:t>
      </w:r>
      <w:r>
        <w:rPr>
          <w:b/>
        </w:rPr>
        <w:t xml:space="preserve">Pub date: </w:t>
      </w:r>
      <w:r>
        <w:t>2026-02-05 05:29:29+00:00</w:t>
      </w:r>
      <w:r>
        <w:t xml:space="preserve">    </w:t>
      </w:r>
      <w:r>
        <w:rPr>
          <w:b/>
        </w:rPr>
        <w:t xml:space="preserve">DOI: </w:t>
      </w:r>
      <w:hyperlink r:id="rId864">
        <w:r>
          <w:rPr>
            <w:color w:val="1155CC"/>
            <w:u w:val="single"/>
          </w:rPr>
          <w:t>10.1002/adma.202505107</w:t>
        </w:r>
      </w:hyperlink>
    </w:p>
    <w:p>
      <w:pPr>
        <w:spacing w:before="0" w:after="120"/>
      </w:pPr>
      <w:r>
        <w:rPr>
          <w:b/>
        </w:rPr>
        <w:t xml:space="preserve">Notes: </w:t>
      </w:r>
      <w:r>
        <w:t>abstract_source=crossref</w:t>
      </w:r>
    </w:p>
    <w:p>
      <w:pPr>
        <w:spacing w:before="0" w:after="80" w:lineRule="auto" w:line="276"/>
      </w:pPr>
      <w:r>
        <w:rPr>
          <w:b/>
        </w:rPr>
        <w:t xml:space="preserve">摘要（ZH）: </w:t>
      </w:r>
      <w:r>
        <w:t>ABSTACT 氮蒸气(NV) 基量传感器具有巨大的实时单细胞感测潜力,在基本生物学和医学诊断中具有深远的应用意义。虽然高度敏感,但将量量测量绘图到细胞生理状态仍是一个特殊的挑战。在这里,我们采用了一种新的量子感测模式,能够检测细胞活动的变化。我们的方法是以检测单个粒子中环境引起的电荷耗竭为基础的,该粒子由于先前未找到的反向底极术语,导致零战区分裂系统转移。重要的是,这些电荷诱发的转移是亲脂细胞(LPS)中间炎症的可靠指标。</w:t>
      </w:r>
    </w:p>
    <w:p>
      <w:pPr>
        <w:spacing w:before="0" w:after="200" w:lineRule="auto" w:line="276"/>
      </w:pPr>
      <w:r>
        <w:rPr>
          <w:b/>
        </w:rPr>
        <w:t xml:space="preserve">Abstract (EN): </w:t>
      </w:r>
      <w:r>
        <w:t>Nitrogen‐vacancy (NV) based quantum sensors hold great potential for real‐time single‐cell sensing with far‐reaching applications in fundamental biology and medical diagnostics. Although highly sensitive, the mapping of quantum measurements onto cellular physiological states has remained an exceptional challenge. Here, we introduce a novel quantum sensing modality capable of detecting changes in cellular activity. Our approach is based on the detection of environment‐induced charge depletion within an individual particle that, owing to a previously unaccounted transverse dipole term, induces systematic shifts in the zero‐field splitting (ZFS). Importantly, these charge‐induced shifts serve as a reliable indicator for lipopolysaccharide (LPS)‐mediated inflammatory response in macrophages. Furthermore, we demonstrate that surface modification of our diamond nanoprobes effectively suppresses these environment‐induced ZFS shifts, providing an important tool for differentiating electrostatic shifts caused by the environment from other unrelated effects, such as temperature variations. Notably, this surface modification also leads to significant reductions in particle‐induced toxicity and inflammation. Our findings shed light on systematic drifts and sensitivity limits of NV spectroscopy in a biological environment with ramifications for the critical discussion surrounding single‐cell thermogenesis. Notably, this work establishes the foundation for a novel sensing modality capable of probing complex cellular processes through straightforward physical measurements.</w:t>
      </w:r>
    </w:p>
    <w:p>
      <w:pPr>
        <w:spacing w:before="120" w:after="120"/>
      </w:pPr>
      <w:r>
        <w:rPr>
          <w:sz w:val="18"/>
        </w:rPr>
        <w:t>——————————————————————————————————————————————————————————————————————</w:t>
      </w:r>
    </w:p>
    <w:p>
      <w:pPr>
        <w:spacing w:before="160" w:after="40" w:line="240" w:lineRule="auto"/>
      </w:pPr>
      <w:r>
        <w:rPr>
          <w:b/>
        </w:rPr>
        <w:t xml:space="preserve">[550] </w:t>
      </w:r>
      <w:hyperlink r:id="rId865">
        <w:r>
          <w:rPr>
            <w:color w:val="1155CC"/>
            <w:u w:val="single"/>
          </w:rPr>
          <w:t>像四面接受者一样,以特殊稳定和机械强力实现20%以上效率</w:t>
        </w:r>
      </w:hyperlink>
    </w:p>
    <w:p>
      <w:pPr>
        <w:spacing w:before="0" w:after="80"/>
      </w:pPr>
      <w:r>
        <w:rPr>
          <w:i/>
          <w:sz w:val="20"/>
        </w:rPr>
        <w:t>EN: Brush‐Like Tetrameric Acceptors Achieving over 20% Efficiency With Exceptional Stability and Mechanical Robustness</w:t>
      </w:r>
    </w:p>
    <w:p>
      <w:pPr>
        <w:spacing w:before="0" w:after="120"/>
      </w:pPr>
      <w:r>
        <w:rPr>
          <w:b/>
        </w:rPr>
        <w:t xml:space="preserve">Source: </w:t>
      </w:r>
      <w:r>
        <w:t>Wiley: Angewandte Chemie International Edition: Table of Contents</w:t>
      </w:r>
      <w:r>
        <w:t xml:space="preserve">    </w:t>
      </w:r>
      <w:r>
        <w:rPr>
          <w:b/>
        </w:rPr>
        <w:t xml:space="preserve">Pub date: </w:t>
      </w:r>
      <w:r>
        <w:t>2026-02-05 05:31:55+00:00</w:t>
      </w:r>
      <w:r>
        <w:t xml:space="preserve">    </w:t>
      </w:r>
      <w:r>
        <w:rPr>
          <w:b/>
        </w:rPr>
        <w:t xml:space="preserve">DOI: </w:t>
      </w:r>
      <w:hyperlink r:id="rId866">
        <w:r>
          <w:rPr>
            <w:color w:val="1155CC"/>
            <w:u w:val="single"/>
          </w:rPr>
          <w:t>10.1002/anie.4369405</w:t>
        </w:r>
      </w:hyperlink>
    </w:p>
    <w:p>
      <w:pPr>
        <w:spacing w:before="0" w:after="120"/>
      </w:pPr>
      <w:r>
        <w:rPr>
          <w:b/>
        </w:rPr>
        <w:t xml:space="preserve">Notes: </w:t>
      </w:r>
      <w:r>
        <w:t>abstract_source=crossref</w:t>
      </w:r>
    </w:p>
    <w:p>
      <w:pPr>
        <w:spacing w:before="0" w:after="80" w:lineRule="auto" w:line="276"/>
      </w:pPr>
      <w:r>
        <w:rPr>
          <w:b/>
        </w:rPr>
        <w:t xml:space="preserve">摘要（ZH）: </w:t>
      </w:r>
      <w:r>
        <w:t>定义明确的高分子重量接收器最近成为有机太阳能电池(OSCs)有希望的材料,提供了高功率转换效率、长期稳定性和内在伸缩性。然而,这些材料的有限合成可及性妨碍了它们的大规模应用。在这里,我们提出了一个高效的“类似”合成战略,用精确控制的分子结构构建高分子重量接受器(diYCl、teYCl和pYCl)。我们的结果表明,明确界定的分子结构和扩大的分子规模有效地抑制了分子扩散,从而改善了热力稳定性。其中,TeYCl实现了效率之间的最佳平衡。</w:t>
      </w:r>
    </w:p>
    <w:p>
      <w:pPr>
        <w:spacing w:before="0" w:after="200" w:lineRule="auto" w:line="276"/>
      </w:pPr>
      <w:r>
        <w:rPr>
          <w:b/>
        </w:rPr>
        <w:t xml:space="preserve">Abstract (EN): </w:t>
      </w:r>
      <w:r>
        <w:t>Well‐defined high‐molecular‐weight acceptors have recently emerged as promising materials for organic solar cells (OSCs), offering high power conversion efficiency (PCE), long‐term stability, and intrinsic stretchability. However, the limited synthetic accessibility of these materials hampers their large‐scale application. Herein, we propose an efficient “brush‐like” synthetic strategy to construct high‐molecular‐weight acceptors (diYCl, teYCl, and pYCl) with precisely controlled molecular structures. Our results reveal that the well‐defined molecular architecture and enlarged molecular sizes effectively suppress molecular diffusion, thereby improving thermodynamic stability. Among them, teYCl achieves the optimal balance between efficiency and stability, affording a PCE of 18.02% in D18/teYCl‐based quasiplanar heterojunction (Q‐PHJ) OSCs. The device also exhibits remarkable operational durability, with T</w:t>
      </w:r>
      <w:r>
        <w:rPr>
          <w:vertAlign w:val="subscript"/>
        </w:rPr>
        <w:t>80</w:t>
      </w:r>
      <w:r>
        <w:t>lifetimes of 5000 h at 65°C and 61 600 h under dark storage. Moreover, when teYCl is employed as a coacceptor in Q‐PHJ architectures, the PCE further rises to 20.19%, representing the highest efficiency reported for such bilayer‐dominated Q‐PHJ devices. The enlarged molecular size also endows the OSCs with enhanced mechanical robustness, with teYCl‐ and pYCl‐based stretchable devices maintaining 80% of their initial PCEs at 31% and 40% strain, respectively. This study offers a practical molecular design strategy for developing high‐efficiency, stable, and intrinsically stretchable acceptors toward next‐generation OSCs.</w:t>
      </w:r>
    </w:p>
    <w:p>
      <w:pPr>
        <w:spacing w:before="120" w:after="120"/>
      </w:pPr>
      <w:r>
        <w:rPr>
          <w:sz w:val="18"/>
        </w:rPr>
        <w:t>——————————————————————————————————————————————————————————————————————</w:t>
      </w:r>
    </w:p>
    <w:p>
      <w:pPr>
        <w:spacing w:before="160" w:after="40" w:line="240" w:lineRule="auto"/>
      </w:pPr>
      <w:r>
        <w:rPr>
          <w:b/>
        </w:rPr>
        <w:t xml:space="preserve">[551] </w:t>
      </w:r>
      <w:hyperlink r:id="rId867">
        <w:r>
          <w:rPr>
            <w:color w:val="1155CC"/>
            <w:u w:val="single"/>
          </w:rPr>
          <w:t>铜(I)卤化物中的邦德Mode工程:从刺激依赖性液体到高分辨率X射成像屏幕</w:t>
        </w:r>
      </w:hyperlink>
    </w:p>
    <w:p>
      <w:pPr>
        <w:spacing w:before="0" w:after="80"/>
      </w:pPr>
      <w:r>
        <w:rPr>
          <w:i/>
          <w:sz w:val="20"/>
        </w:rPr>
        <w:t>EN: Bond‐Mode Engineering in Copper(I) Halides: From Excitation‐Dependent Luminescence to High‐Resolution X‐Ray Imaging Screens</w:t>
      </w:r>
    </w:p>
    <w:p>
      <w:pPr>
        <w:spacing w:before="0" w:after="120"/>
      </w:pPr>
      <w:r>
        <w:rPr>
          <w:b/>
        </w:rPr>
        <w:t xml:space="preserve">Source: </w:t>
      </w:r>
      <w:r>
        <w:t>Wiley: Advanced Materials: Table of Contents</w:t>
      </w:r>
      <w:r>
        <w:t xml:space="preserve">    </w:t>
      </w:r>
      <w:r>
        <w:rPr>
          <w:b/>
        </w:rPr>
        <w:t xml:space="preserve">Pub date: </w:t>
      </w:r>
      <w:r>
        <w:t>2026-02-05 05:37:33+00:00</w:t>
      </w:r>
      <w:r>
        <w:t xml:space="preserve">    </w:t>
      </w:r>
      <w:r>
        <w:rPr>
          <w:b/>
        </w:rPr>
        <w:t xml:space="preserve">DOI: </w:t>
      </w:r>
      <w:hyperlink r:id="rId868">
        <w:r>
          <w:rPr>
            <w:color w:val="1155CC"/>
            <w:u w:val="single"/>
          </w:rPr>
          <w:t>10.1002/adma.202520967</w:t>
        </w:r>
      </w:hyperlink>
    </w:p>
    <w:p>
      <w:pPr>
        <w:spacing w:before="0" w:after="120"/>
      </w:pPr>
      <w:r>
        <w:rPr>
          <w:b/>
        </w:rPr>
        <w:t xml:space="preserve">Notes: </w:t>
      </w:r>
      <w:r>
        <w:t>abstract_source=crossref</w:t>
      </w:r>
    </w:p>
    <w:p>
      <w:pPr>
        <w:spacing w:before="0" w:after="80" w:lineRule="auto" w:line="276"/>
      </w:pPr>
      <w:r>
        <w:rPr>
          <w:b/>
        </w:rPr>
        <w:t xml:space="preserve">摘要（ZH）: </w:t>
      </w:r>
      <w:r>
        <w:t>铜铜(I)基卤化物由于其极好的闪光效率和溶液处理能力,对X-射线探测很有希望。然而,结构-财产关系仍然难以找到,它们对于X-射线成像的实际可行性在很大程度上没有被验证。 在这项工作中,我们采用了一种粘合物控制战略来合成同一地雷前体的两种化合物:ionic (4QATHP) 2 CuI 3 和 Codicive (4QATHP) 4 Cu 4 I 4 (4ATHP = 4Aminotetra hypypran),提供了研究其光物理和基本机制的示范系统。</w:t>
      </w:r>
    </w:p>
    <w:p>
      <w:pPr>
        <w:spacing w:before="0" w:after="200" w:lineRule="auto" w:line="276"/>
      </w:pPr>
      <w:r>
        <w:rPr>
          <w:b/>
        </w:rPr>
        <w:t xml:space="preserve">Abstract (EN): </w:t>
      </w:r>
      <w:r>
        <w:t>Copper(I)‐based halides are promising for X‐ray detection due to their excellent scintillation efficiency and solution processability. However, the structure–property relationship remains elusive, and their practical viability for X‐ray imaging is largely unverified. In this work, we employ a bond‑mode control strategy to synthesize two compounds from the same amine precursor: ionic (4‑ATHP)</w:t>
      </w:r>
      <w:r>
        <w:rPr>
          <w:vertAlign w:val="subscript"/>
        </w:rPr>
        <w:t>2</w:t>
      </w:r>
      <w:r>
        <w:t>CuI</w:t>
      </w:r>
      <w:r>
        <w:rPr>
          <w:vertAlign w:val="subscript"/>
        </w:rPr>
        <w:t>3</w:t>
      </w:r>
      <w:r>
        <w:t>and coordinative (4‑ATHP)</w:t>
      </w:r>
      <w:r>
        <w:rPr>
          <w:vertAlign w:val="subscript"/>
        </w:rPr>
        <w:t>4</w:t>
      </w:r>
      <w:r>
        <w:t>Cu</w:t>
      </w:r>
      <w:r>
        <w:rPr>
          <w:vertAlign w:val="subscript"/>
        </w:rPr>
        <w:t>4</w:t>
      </w:r>
      <w:r>
        <w:t>I</w:t>
      </w:r>
      <w:r>
        <w:rPr>
          <w:vertAlign w:val="subscript"/>
        </w:rPr>
        <w:t>4</w:t>
      </w:r>
      <w:r>
        <w:t>(4‐ATHP = 4‐Aminotetrahydropyran), providing a model system to study their photophysics and underlying mechanism. (4‑ATHP)</w:t>
      </w:r>
      <w:r>
        <w:rPr>
          <w:vertAlign w:val="subscript"/>
        </w:rPr>
        <w:t>2</w:t>
      </w:r>
      <w:r>
        <w:t>CuI</w:t>
      </w:r>
      <w:r>
        <w:rPr>
          <w:vertAlign w:val="subscript"/>
        </w:rPr>
        <w:t>3</w:t>
      </w:r>
      <w:r>
        <w:t>adopts a unique 1D crystal structure with alternating arrangement of Cu</w:t>
      </w:r>
      <w:r>
        <w:rPr>
          <w:vertAlign w:val="subscript"/>
        </w:rPr>
        <w:t>2</w:t>
      </w:r>
      <w:r>
        <w:t>I</w:t>
      </w:r>
      <w:r>
        <w:rPr>
          <w:vertAlign w:val="subscript"/>
        </w:rPr>
        <w:t>6</w:t>
      </w:r>
      <w:r>
        <w:t>dimers, which shows excitation‑dependent dual emissions. Experimental and calculation results indicate that the dual emissions originate from the Cu</w:t>
      </w:r>
      <w:r>
        <w:rPr>
          <w:vertAlign w:val="subscript"/>
        </w:rPr>
        <w:t>2</w:t>
      </w:r>
      <w:r>
        <w:t>I</w:t>
      </w:r>
      <w:r>
        <w:rPr>
          <w:vertAlign w:val="subscript"/>
        </w:rPr>
        <w:t>6</w:t>
      </w:r>
      <w:r>
        <w:t>dimer with a different Cu─Cu bond length. In contrast, the (4‑ATHP)</w:t>
      </w:r>
      <w:r>
        <w:rPr>
          <w:vertAlign w:val="subscript"/>
        </w:rPr>
        <w:t>4</w:t>
      </w:r>
      <w:r>
        <w:t>Cu</w:t>
      </w:r>
      <w:r>
        <w:rPr>
          <w:vertAlign w:val="subscript"/>
        </w:rPr>
        <w:t>4</w:t>
      </w:r>
      <w:r>
        <w:t>I</w:t>
      </w:r>
      <w:r>
        <w:rPr>
          <w:vertAlign w:val="subscript"/>
        </w:rPr>
        <w:t>4</w:t>
      </w:r>
      <w:r>
        <w:t>shows single emission centered at 635 nm, in which the organic component contributes to the excited state. The ionic (4‑ATHP)</w:t>
      </w:r>
      <w:r>
        <w:rPr>
          <w:vertAlign w:val="subscript"/>
        </w:rPr>
        <w:t>2</w:t>
      </w:r>
      <w:r>
        <w:t>CuI</w:t>
      </w:r>
      <w:r>
        <w:rPr>
          <w:vertAlign w:val="subscript"/>
        </w:rPr>
        <w:t>3</w:t>
      </w:r>
      <w:r>
        <w:t>achieves a much higher light yield (55 923 photons/MeV) than that of the coordinative counterpart (31 866 photons/MeV). Furthermore, a large‑area flexible film (15 × 20 cm</w:t>
      </w:r>
      <w:r>
        <w:rPr>
          <w:vertAlign w:val="subscript"/>
        </w:rPr>
        <w:t>2</w:t>
      </w:r>
      <w:r>
        <w:t>) based on (4‑ATHP)</w:t>
      </w:r>
      <w:r>
        <w:rPr>
          <w:vertAlign w:val="subscript"/>
        </w:rPr>
        <w:t>2</w:t>
      </w:r>
      <w:r>
        <w:t>CuI</w:t>
      </w:r>
      <w:r>
        <w:rPr>
          <w:vertAlign w:val="subscript"/>
        </w:rPr>
        <w:t>3</w:t>
      </w:r>
      <w:r>
        <w:t>delivers a spatial resolution of 20 lp/mm. Critically, integrating this film into a CMOS imager demonstrates superior dynamic imaging without afterglow, outperforming the commercialized CsI: Tl screen. This study not only deciphers the bond‑mode‑dependent photophysics but also validates a commercial‑grade scintillator, paving the way for high‑performance X‑ray imaging materials.</w:t>
      </w:r>
    </w:p>
    <w:p>
      <w:pPr>
        <w:spacing w:before="120" w:after="120"/>
      </w:pPr>
      <w:r>
        <w:rPr>
          <w:sz w:val="18"/>
        </w:rPr>
        <w:t>——————————————————————————————————————————————————————————————————————</w:t>
      </w:r>
    </w:p>
    <w:p>
      <w:pPr>
        <w:spacing w:before="160" w:after="40" w:line="240" w:lineRule="auto"/>
      </w:pPr>
      <w:r>
        <w:rPr>
          <w:b/>
        </w:rPr>
        <w:t xml:space="preserve">[552] </w:t>
      </w:r>
      <w:hyperlink r:id="rId869">
        <w:r>
          <w:rPr>
            <w:color w:val="1155CC"/>
            <w:u w:val="single"/>
          </w:rPr>
          <w:t>Cable Triaryl-Metrict 激进体的光分分解机制机制</w:t>
        </w:r>
      </w:hyperlink>
    </w:p>
    <w:p>
      <w:pPr>
        <w:spacing w:before="0" w:after="80"/>
      </w:pPr>
      <w:r>
        <w:rPr>
          <w:i/>
          <w:sz w:val="20"/>
        </w:rPr>
        <w:t>EN: Mechanism of the Photodecomposition of Stable Triarylmethyl Radicals</w:t>
      </w:r>
    </w:p>
    <w:p>
      <w:pPr>
        <w:spacing w:before="0" w:after="120"/>
      </w:pPr>
      <w:r>
        <w:rPr>
          <w:b/>
        </w:rPr>
        <w:t xml:space="preserve">Source: </w:t>
      </w:r>
      <w:r>
        <w:t>Wiley: Angewandte Chemie International Edition: Table of Contents</w:t>
      </w:r>
      <w:r>
        <w:t xml:space="preserve">    </w:t>
      </w:r>
      <w:r>
        <w:rPr>
          <w:b/>
        </w:rPr>
        <w:t xml:space="preserve">Pub date: </w:t>
      </w:r>
      <w:r>
        <w:t>2026-02-05 05:38:08+00:00</w:t>
      </w:r>
      <w:r>
        <w:t xml:space="preserve">    </w:t>
      </w:r>
      <w:r>
        <w:rPr>
          <w:b/>
        </w:rPr>
        <w:t xml:space="preserve">DOI: </w:t>
      </w:r>
      <w:hyperlink r:id="rId870">
        <w:r>
          <w:rPr>
            <w:color w:val="1155CC"/>
            <w:u w:val="single"/>
          </w:rPr>
          <w:t>10.1002/anie.202526004</w:t>
        </w:r>
      </w:hyperlink>
    </w:p>
    <w:p>
      <w:pPr>
        <w:spacing w:before="0" w:after="120"/>
      </w:pPr>
      <w:r>
        <w:rPr>
          <w:b/>
        </w:rPr>
        <w:t xml:space="preserve">Notes: </w:t>
      </w:r>
      <w:r>
        <w:t>abstract_source=crossref</w:t>
      </w:r>
    </w:p>
    <w:p>
      <w:pPr>
        <w:spacing w:before="0" w:after="80" w:lineRule="auto" w:line="276"/>
      </w:pPr>
      <w:r>
        <w:rPr>
          <w:b/>
        </w:rPr>
        <w:t xml:space="preserve">摘要（ZH）: </w:t>
      </w:r>
      <w:r>
        <w:t>ABSTACT 日光基( ABSTRACT) 光谱基( 绝大多数是三( 三氯苯) 甲基( TTM) 的衍生物), 由于其两极兴奋状态独特的光物理特性, 近来引起了重大的兴趣。 虽然它们显示出高化学稳定性, 但大多数三丁基基基都显示极低光谱性, 这妨碍了它们作为磁、光学和量子相关材料的应用。 在这项工作中, 我们使用密度功能理论来研究TTM 的光降解机制。 我们分离光分解产品, 并通过质量光谱学、 NMR、 EPR、 UVVV 吸收光谱学、 循环电解和 XPR 晶学来定性这些产品。 我们显示, 5 电子循环, 以异常的1,8°sig 进行反射过程。</w:t>
      </w:r>
    </w:p>
    <w:p>
      <w:pPr>
        <w:spacing w:before="0" w:after="200" w:lineRule="auto" w:line="276"/>
      </w:pPr>
      <w:r>
        <w:rPr>
          <w:b/>
        </w:rPr>
        <w:t xml:space="preserve">Abstract (EN): </w:t>
      </w:r>
      <w:r>
        <w:t>Luminescent radicals, the vast majority of which are derivatives of tris(trichlorophenyl)methyl (TTM), are of significant recent interest because of the unique photophysical properties of the doublet excited state. Though they show high chemical stability, most trityl radicals show very poor photostability, which hinders their application as magnetic, optical and quantum‐related materials. In this work, we use density functional theory to study the mechanism of photodegradation of TTM. We isolate the photodecomposition products and characterize them via mass spectrometry, NMR, EPR, UV‐Vis absorption spectroscopy, cyclic voltammetry (CV), and X‐ray crystallography. We show that the reaction proceeds by a 5‐electron electrocyclization followed by an unusual 1,8‐sigmatropic chloride shift, affording two fluorenyl radicals, which slowly oxidize and hydrolyze to form semiquinone products. We carefully examine the reported photostability of &amp;gt;80 substituted triarylmethyl radicals and demonstrate that other common triarylmethyl radicals, including benchmark luminescent derivatives with the highest photostability, the carbazole‐appended TTMs, photodecompose through the same cyclization mechanism, and thus the DFT‐calculated activation energy of cyclization can be used to guide the design of photostability in new luminescent triarylmethyl radicals.</w:t>
      </w:r>
    </w:p>
    <w:p>
      <w:pPr>
        <w:spacing w:before="120" w:after="120"/>
      </w:pPr>
      <w:r>
        <w:rPr>
          <w:sz w:val="18"/>
        </w:rPr>
        <w:t>——————————————————————————————————————————————————————————————————————</w:t>
      </w:r>
    </w:p>
    <w:p>
      <w:pPr>
        <w:spacing w:before="160" w:after="40" w:line="240" w:lineRule="auto"/>
      </w:pPr>
      <w:r>
        <w:rPr>
          <w:b/>
        </w:rPr>
        <w:t xml:space="preserve">[553] </w:t>
      </w:r>
      <w:hyperlink r:id="rId871">
        <w:r>
          <w:rPr>
            <w:color w:val="1155CC"/>
            <w:u w:val="single"/>
          </w:rPr>
          <w:t>与聚苯乙烯(Heptazine Imides)光粉粉粉碎结合的三度美洲胺的光化N代谢</w:t>
        </w:r>
      </w:hyperlink>
    </w:p>
    <w:p>
      <w:pPr>
        <w:spacing w:before="0" w:after="80"/>
      </w:pPr>
      <w:r>
        <w:rPr>
          <w:i/>
          <w:sz w:val="20"/>
        </w:rPr>
        <w:t>EN: Photochemical N‐dealkylation of Tertiary Amines Coupled With Photocharging of Poly(Heptazine Imides)</w:t>
      </w:r>
    </w:p>
    <w:p>
      <w:pPr>
        <w:spacing w:before="0" w:after="120"/>
      </w:pPr>
      <w:r>
        <w:rPr>
          <w:b/>
        </w:rPr>
        <w:t xml:space="preserve">Source: </w:t>
      </w:r>
      <w:r>
        <w:t>Wiley: Angewandte Chemie International Edition: Table of Contents</w:t>
      </w:r>
      <w:r>
        <w:t xml:space="preserve">    </w:t>
      </w:r>
      <w:r>
        <w:rPr>
          <w:b/>
        </w:rPr>
        <w:t xml:space="preserve">Pub date: </w:t>
      </w:r>
      <w:r>
        <w:t>2026-02-05 05:40:54+00:00</w:t>
      </w:r>
      <w:r>
        <w:t xml:space="preserve">    </w:t>
      </w:r>
      <w:r>
        <w:rPr>
          <w:b/>
        </w:rPr>
        <w:t xml:space="preserve">DOI: </w:t>
      </w:r>
      <w:hyperlink r:id="rId872">
        <w:r>
          <w:rPr>
            <w:color w:val="1155CC"/>
            <w:u w:val="single"/>
          </w:rPr>
          <w:t>10.1002/anie.202522677</w:t>
        </w:r>
      </w:hyperlink>
    </w:p>
    <w:p>
      <w:pPr>
        <w:spacing w:before="0" w:after="120"/>
      </w:pPr>
      <w:r>
        <w:rPr>
          <w:b/>
        </w:rPr>
        <w:t xml:space="preserve">Notes: </w:t>
      </w:r>
      <w:r>
        <w:t>abstract_source=crossref</w:t>
      </w:r>
    </w:p>
    <w:p>
      <w:pPr>
        <w:spacing w:before="0" w:after="80" w:lineRule="auto" w:line="276"/>
      </w:pPr>
      <w:r>
        <w:rPr>
          <w:b/>
        </w:rPr>
        <w:t xml:space="preserve">摘要（ZH）: </w:t>
      </w:r>
      <w:r>
        <w:t>碳硝酸盐材料的摄影粉刷正在成为轻度驱动能源储存的一个很有希望的途径,然而,储存点的性质及其机制仍然难以捉摸。 在这里,我们调查聚(七氯硝酸)(PHI)的摄影粉刷形式,重点是其质子(HPHI)和钠(NaPHI)形式。 我们利用三乙胺的光化学交易,量化了储存在这些材料中的电子-质(e-/H+)对的密度,并定义了一种描述词(N e:N hept ), 以追踪分子层面的摄影粉刷。</w:t>
      </w:r>
    </w:p>
    <w:p>
      <w:pPr>
        <w:spacing w:before="0" w:after="200" w:lineRule="auto" w:line="276"/>
      </w:pPr>
      <w:r>
        <w:rPr>
          <w:b/>
        </w:rPr>
        <w:t xml:space="preserve">Abstract (EN): </w:t>
      </w:r>
      <w:r>
        <w:t>Photocharging in carbon nitride materials is emerging as a promising route for light‐driven energy storage, yet the nature of the storage sites and their mechanisms remain elusive. Here, we investigate photocharging in poly(heptazine imide) (PHI), focusing on its protonated (H‐PHI) and sodium (Na‐PHI) forms. Using the photochemical dealkylation of triethylamine, we quantify the density of electron–proton (e</w:t>
      </w:r>
      <w:r>
        <w:t xml:space="preserve"> </w:t>
      </w:r>
      <w:r>
        <w:t>−</w:t>
      </w:r>
      <w:r>
        <w:t>/H</w:t>
      </w:r>
      <w:r>
        <w:t xml:space="preserve"> </w:t>
      </w:r>
      <w:r>
        <w:t>+</w:t>
      </w:r>
      <w:r>
        <w:t xml:space="preserve"> </w:t>
      </w:r>
      <w:r>
        <w:t>) pairs stored in these materials and define a descriptor,</w:t>
      </w:r>
      <w:r>
        <w:t xml:space="preserve"> </w:t>
      </w:r>
      <w:r>
        <w:t>N</w:t>
      </w:r>
      <w:r>
        <w:t xml:space="preserve"> </w:t>
      </w:r>
      <w:r>
        <w:t>e</w:t>
      </w:r>
      <w:r>
        <w:t xml:space="preserve"> </w:t>
      </w:r>
      <w:r>
        <w:t>:</w:t>
      </w:r>
      <w:r>
        <w:t xml:space="preserve"> </w:t>
      </w:r>
      <w:r>
        <w:t>N</w:t>
      </w:r>
      <w:r>
        <w:t xml:space="preserve"> </w:t>
      </w:r>
      <w:r>
        <w:t>hept</w:t>
      </w:r>
      <w:r>
        <w:t xml:space="preserve"> </w:t>
      </w:r>
      <w:r>
        <w:t>, to track photocharging at the molecular level. H‐PHI demonstrates superior electron storage and reactivity, attributed to its microporous 2D structure and favorable energetics. Theoretical modeling, combined with spectroscopic analysis, reveals the nature of the active heptazine sites and their transformation during charging. The material retains its structural and functional integrity across multiple cycles, underscoring its stability and recyclability. These insights open new avenues for the rational design of carbon nitride‐based semiconductors for light‐induced redox applications.</w:t>
      </w:r>
    </w:p>
    <w:p>
      <w:pPr>
        <w:spacing w:before="120" w:after="120"/>
      </w:pPr>
      <w:r>
        <w:rPr>
          <w:sz w:val="18"/>
        </w:rPr>
        <w:t>——————————————————————————————————————————————————————————————————————</w:t>
      </w:r>
    </w:p>
    <w:p>
      <w:pPr>
        <w:spacing w:before="160" w:after="40" w:line="240" w:lineRule="auto"/>
      </w:pPr>
      <w:r>
        <w:rPr>
          <w:b/>
        </w:rPr>
        <w:t xml:space="preserve">[554] </w:t>
      </w:r>
      <w:hyperlink r:id="rId873">
        <w:r>
          <w:rPr>
            <w:color w:val="1155CC"/>
            <w:u w:val="single"/>
          </w:rPr>
          <w:t>Ultrathin金属 - 有机框架,作为糖尿病感染专有反应疗法的 Alloster 调节器</w:t>
        </w:r>
      </w:hyperlink>
    </w:p>
    <w:p>
      <w:pPr>
        <w:spacing w:before="0" w:after="80"/>
      </w:pPr>
      <w:r>
        <w:rPr>
          <w:i/>
          <w:sz w:val="20"/>
        </w:rPr>
        <w:t>EN: Ultrathin Metal–Organic Framework as an Allosteric Regulator for Albumin‐Responsive Therapy of Diabetic Infections</w:t>
      </w:r>
    </w:p>
    <w:p>
      <w:pPr>
        <w:spacing w:before="0" w:after="120"/>
      </w:pPr>
      <w:r>
        <w:rPr>
          <w:b/>
        </w:rPr>
        <w:t xml:space="preserve">Source: </w:t>
      </w:r>
      <w:r>
        <w:t>Wiley: Advanced Materials: Table of Contents</w:t>
      </w:r>
      <w:r>
        <w:t xml:space="preserve">    </w:t>
      </w:r>
      <w:r>
        <w:rPr>
          <w:b/>
        </w:rPr>
        <w:t xml:space="preserve">Pub date: </w:t>
      </w:r>
      <w:r>
        <w:t>2026-02-05 05:41:30+00:00</w:t>
      </w:r>
      <w:r>
        <w:t xml:space="preserve">    </w:t>
      </w:r>
      <w:r>
        <w:rPr>
          <w:b/>
        </w:rPr>
        <w:t xml:space="preserve">DOI: </w:t>
      </w:r>
      <w:hyperlink r:id="rId874">
        <w:r>
          <w:rPr>
            <w:color w:val="1155CC"/>
            <w:u w:val="single"/>
          </w:rPr>
          <w:t>10.1002/adma.202519828</w:t>
        </w:r>
      </w:hyperlink>
    </w:p>
    <w:p>
      <w:pPr>
        <w:spacing w:before="0" w:after="120"/>
      </w:pPr>
      <w:r>
        <w:rPr>
          <w:b/>
        </w:rPr>
        <w:t xml:space="preserve">Notes: </w:t>
      </w:r>
      <w:r>
        <w:t>abstract_source=crossref</w:t>
      </w:r>
    </w:p>
    <w:p>
      <w:pPr>
        <w:spacing w:before="0" w:after="80" w:lineRule="auto" w:line="276"/>
      </w:pPr>
      <w:r>
        <w:rPr>
          <w:b/>
        </w:rPr>
        <w:t xml:space="preserve">摘要（ZH）: </w:t>
      </w:r>
      <w:r>
        <w:t>ABSTACT 定制自定义感官和响应程序,将自然作用与用户定义的提示连接起来,这已成为调节生命过程的一个很有希望的战略。 此处介绍了一个基于金属-有机框架(MOF)的合成受体系统,用于使用写作信号门实现定制生物功能。 实现这一点的途径是将葡萄糖氧化酶纳入一系列工程改造的ZrMOF纳米表。 值得注意的是,超硫MOF结构作为合成过敏调节器发挥作用,重组酶-二聚界面的互动网络,从而在催化过程中降低电子转移效率。 利用这一机制,将内生但功能不相关的蛋白血清相册转化为一种合成蛋白,从而实现活动调节。</w:t>
      </w:r>
    </w:p>
    <w:p>
      <w:pPr>
        <w:spacing w:before="0" w:after="200" w:lineRule="auto" w:line="276"/>
      </w:pPr>
      <w:r>
        <w:rPr>
          <w:b/>
        </w:rPr>
        <w:t xml:space="preserve">Abstract (EN): </w:t>
      </w:r>
      <w:r>
        <w:t>Customizing sense‐and‐respond programs that link natural actuations with user‐defined cues has emerged as a promising strategy for modulating life processes. Herein, a metal–organic framework (MOF)‐based synthetic receptor system is presented for realizing customized biological functions using write‐in signaling gates. This is achieved by integrating glucose oxidase into a series of engineered Zr‐MOF nanosheets. Notably, ultrathin MOF architectures act as synthetic allosteric regulators by reshaping the interaction network at the enzyme–dimer interface, thus compromising electron‐transfer efficiency during catalysis. Leveraging this mechanism, activity modulation is achieved by converting an endogenous yet functionally irrelevant protein, serum albumin, into an activating cue for enzymatic catalysis. This MOF–enzyme system with an albumin/glucose dual‐gated output behavior exhibits effective antibacterial activity through kinetically controlled oxidative stress. The therapeutic efficacy is demonstrated in a diabetic wound‐healing model. These findings establish MOFs as versatile modules for constructing synthetic receptor systems to advance their use in precision biomedicine.</w:t>
      </w:r>
    </w:p>
    <w:p>
      <w:pPr>
        <w:spacing w:before="120" w:after="120"/>
      </w:pPr>
      <w:r>
        <w:rPr>
          <w:sz w:val="18"/>
        </w:rPr>
        <w:t>——————————————————————————————————————————————————————————————————————</w:t>
      </w:r>
    </w:p>
    <w:p>
      <w:pPr>
        <w:spacing w:before="160" w:after="40" w:line="240" w:lineRule="auto"/>
      </w:pPr>
      <w:r>
        <w:rPr>
          <w:b/>
        </w:rPr>
        <w:t xml:space="preserve">[555] </w:t>
      </w:r>
      <w:hyperlink r:id="rId875">
        <w:r>
          <w:rPr>
            <w:color w:val="1155CC"/>
            <w:u w:val="single"/>
          </w:rPr>
          <w:t>利用All-Solid国有电池中天体中子分解法,调查利尼0.6Mn0.2CO0.2O2号里尼0.6Mn.2Coo.2O2号里提提炼机制</w:t>
        </w:r>
      </w:hyperlink>
    </w:p>
    <w:p>
      <w:pPr>
        <w:spacing w:before="0" w:after="80"/>
      </w:pPr>
      <w:r>
        <w:rPr>
          <w:i/>
          <w:sz w:val="20"/>
        </w:rPr>
        <w:t>EN: Investigation of the Lithium Extraction Mechanism from LiNi0.6Mn0.2Co0.2O2 by Using Operando Neutron Diffraction in an All‐Solid‐State Battery</w:t>
      </w:r>
    </w:p>
    <w:p>
      <w:pPr>
        <w:spacing w:before="0" w:after="120"/>
      </w:pPr>
      <w:r>
        <w:rPr>
          <w:b/>
        </w:rPr>
        <w:t xml:space="preserve">Source: </w:t>
      </w:r>
      <w:r>
        <w:t>Wiley: Advanced Energy Materials: Table of Contents</w:t>
      </w:r>
      <w:r>
        <w:t xml:space="preserve">    </w:t>
      </w:r>
      <w:r>
        <w:rPr>
          <w:b/>
        </w:rPr>
        <w:t xml:space="preserve">Pub date: </w:t>
      </w:r>
      <w:r>
        <w:t>2026-02-05 05:53:08+00:00</w:t>
      </w:r>
      <w:r>
        <w:t xml:space="preserve">    </w:t>
      </w:r>
      <w:r>
        <w:rPr>
          <w:b/>
        </w:rPr>
        <w:t xml:space="preserve">DOI: </w:t>
      </w:r>
      <w:hyperlink r:id="rId876">
        <w:r>
          <w:rPr>
            <w:color w:val="1155CC"/>
            <w:u w:val="single"/>
          </w:rPr>
          <w:t>10.1002/aenm.202506600</w:t>
        </w:r>
      </w:hyperlink>
    </w:p>
    <w:p>
      <w:pPr>
        <w:spacing w:before="0" w:after="120"/>
      </w:pPr>
      <w:r>
        <w:rPr>
          <w:b/>
        </w:rPr>
        <w:t xml:space="preserve">Notes: </w:t>
      </w:r>
      <w:r>
        <w:t>abstract_source=crossref</w:t>
      </w:r>
    </w:p>
    <w:p>
      <w:pPr>
        <w:spacing w:before="0" w:after="80" w:lineRule="auto" w:line="276"/>
      </w:pPr>
      <w:r>
        <w:rPr>
          <w:b/>
        </w:rPr>
        <w:t xml:space="preserve">摘要（ZH）: </w:t>
      </w:r>
      <w:r>
        <w:t>ASBACT ABSTACT ABSTACT AL ASDACT ASTRACT ASTRACT ASTRAST ALL SISD 国家电池(ASSBs) 有望在新兴装置中满足高能需求,深入了解操作过程中产生的反应机制将有助于设计更好的性能,在这方面,中子由于渗透深度高,对锂等光元素敏感,因此为调查散装ASSB的结构机制提供了强有力的工具,而大型电池(中子分解所需)的电化学操作仍是一项挑战。</w:t>
      </w:r>
    </w:p>
    <w:p>
      <w:pPr>
        <w:spacing w:before="0" w:after="200" w:lineRule="auto" w:line="276"/>
      </w:pPr>
      <w:r>
        <w:rPr>
          <w:b/>
        </w:rPr>
        <w:t xml:space="preserve">Abstract (EN): </w:t>
      </w:r>
      <w:r>
        <w:t>All‐Solid‐State Batteries (ASSBs) are promising emerging devices for meeting high‐energy demands and an in‐depth understanding of the reaction mechanisms occuring during their operation will help in their design for better performance. In this context, neutrons, with their high penetration depth and sensitivity to light elements such as lithium, provide a powerful tool for investigating the structural mechanisms occurring in bulk ASSBs, while the electrochemical operation of large batteries (required for neutron diffraction) remains a challenge. In this study, we demonstrate the reversible electrochemical Li</w:t>
      </w:r>
      <w:r>
        <w:t xml:space="preserve"> </w:t>
      </w:r>
      <w:r>
        <w:t>+</w:t>
      </w:r>
      <w:r>
        <w:t xml:space="preserve"> </w:t>
      </w:r>
      <w:r>
        <w:t>extraction/insertion within a 2.5 mm thick ASSB system comprising 140 mg of LiNi</w:t>
      </w:r>
      <w:r>
        <w:t xml:space="preserve"> </w:t>
      </w:r>
      <w:r>
        <w:t>0.6</w:t>
      </w:r>
      <w:r>
        <w:t xml:space="preserve"> </w:t>
      </w:r>
      <w:r>
        <w:t>Mn</w:t>
      </w:r>
      <w:r>
        <w:t xml:space="preserve"> </w:t>
      </w:r>
      <w:r>
        <w:t>0.2</w:t>
      </w:r>
      <w:r>
        <w:t xml:space="preserve"> </w:t>
      </w:r>
      <w:r>
        <w:t>Co</w:t>
      </w:r>
      <w:r>
        <w:t xml:space="preserve"> </w:t>
      </w:r>
      <w:r>
        <w:t>0.2</w:t>
      </w:r>
      <w:r>
        <w:t xml:space="preserve"> </w:t>
      </w:r>
      <w:r>
        <w:t>O</w:t>
      </w:r>
      <w:r>
        <w:rPr>
          <w:vertAlign w:val="subscript"/>
        </w:rPr>
        <w:t>2</w:t>
      </w:r>
      <w:r>
        <w:t>(NMC622) as the positive electrode material (238 mWh energy density), Li</w:t>
      </w:r>
      <w:r>
        <w:t xml:space="preserve"> </w:t>
      </w:r>
      <w:r>
        <w:t>5.4</w:t>
      </w:r>
      <w:r>
        <w:t xml:space="preserve"> </w:t>
      </w:r>
      <w:r>
        <w:t>PS</w:t>
      </w:r>
      <w:r>
        <w:t xml:space="preserve"> </w:t>
      </w:r>
      <w:r>
        <w:t>4.4</w:t>
      </w:r>
      <w:r>
        <w:t xml:space="preserve"> </w:t>
      </w:r>
      <w:r>
        <w:t>BrCl</w:t>
      </w:r>
      <w:r>
        <w:t xml:space="preserve"> </w:t>
      </w:r>
      <w:r>
        <w:t>0.6</w:t>
      </w:r>
      <w:r>
        <w:t xml:space="preserve"> </w:t>
      </w:r>
      <w:r>
        <w:t>(LPSClBr) as the solid electrolyte and Li</w:t>
      </w:r>
      <w:r>
        <w:t xml:space="preserve"> </w:t>
      </w:r>
      <w:r>
        <w:t>0.5</w:t>
      </w:r>
      <w:r>
        <w:t xml:space="preserve"> </w:t>
      </w:r>
      <w:r>
        <w:t>In as the negative electrode. Thanks to the use of the newly‐designed ILLBAT#5 electrochemical cell, we were able to perform</w:t>
      </w:r>
      <w:r>
        <w:t xml:space="preserve"> </w:t>
      </w:r>
      <w:r>
        <w:t>operando</w:t>
      </w:r>
      <w:r>
        <w:t xml:space="preserve"> </w:t>
      </w:r>
      <w:r>
        <w:t>neutron powder diffraction (NPD) of the system, which coupled with ex situ diffraction, allowed us to gain valuable insights into the structural evolution of NMC622 within the ASSB as well as to probe the structural stability of the Argyrodite solid electrolyte throughout the initial cycle. Herein, we report on the formation and the co‐existence of H1‐H2 phases in NMC622, attributed to system inhomogeneity.</w:t>
      </w:r>
    </w:p>
    <w:p>
      <w:pPr>
        <w:spacing w:before="120" w:after="120"/>
      </w:pPr>
      <w:r>
        <w:rPr>
          <w:sz w:val="18"/>
        </w:rPr>
        <w:t>——————————————————————————————————————————————————————————————————————</w:t>
      </w:r>
    </w:p>
    <w:p>
      <w:pPr>
        <w:spacing w:before="160" w:after="40" w:line="240" w:lineRule="auto"/>
      </w:pPr>
      <w:r>
        <w:rPr>
          <w:b/>
        </w:rPr>
        <w:t xml:space="preserve">[556] </w:t>
      </w:r>
      <w:hyperlink r:id="rId877">
        <w:r>
          <w:rPr>
            <w:color w:val="1155CC"/>
            <w:u w:val="single"/>
          </w:rPr>
          <w:t>高挥动液态金属电池的分子工程</w:t>
        </w:r>
      </w:hyperlink>
    </w:p>
    <w:p>
      <w:pPr>
        <w:spacing w:before="0" w:after="80"/>
      </w:pPr>
      <w:r>
        <w:rPr>
          <w:i/>
          <w:sz w:val="20"/>
        </w:rPr>
        <w:t>EN: Molecular Engineering of Fluorinated Hybrid Gel Polymer Electrolytes Enables Ultra‐Wide‐Temperature Operation of High‐Voltage Lithium Metal Batteries</w:t>
      </w:r>
    </w:p>
    <w:p>
      <w:pPr>
        <w:spacing w:before="0" w:after="120"/>
      </w:pPr>
      <w:r>
        <w:rPr>
          <w:b/>
        </w:rPr>
        <w:t xml:space="preserve">Source: </w:t>
      </w:r>
      <w:r>
        <w:t>Wiley: Advanced Energy Materials: Table of Contents</w:t>
      </w:r>
      <w:r>
        <w:t xml:space="preserve">    </w:t>
      </w:r>
      <w:r>
        <w:rPr>
          <w:b/>
        </w:rPr>
        <w:t xml:space="preserve">Pub date: </w:t>
      </w:r>
      <w:r>
        <w:t>2026-02-05 05:53:40+00:00</w:t>
      </w:r>
      <w:r>
        <w:t xml:space="preserve">    </w:t>
      </w:r>
      <w:r>
        <w:rPr>
          <w:b/>
        </w:rPr>
        <w:t xml:space="preserve">DOI: </w:t>
      </w:r>
      <w:hyperlink r:id="rId878">
        <w:r>
          <w:rPr>
            <w:color w:val="1155CC"/>
            <w:u w:val="single"/>
          </w:rPr>
          <w:t>10.1002/aenm.202506074</w:t>
        </w:r>
      </w:hyperlink>
    </w:p>
    <w:p>
      <w:pPr>
        <w:spacing w:before="0" w:after="120"/>
      </w:pPr>
      <w:r>
        <w:rPr>
          <w:b/>
        </w:rPr>
        <w:t xml:space="preserve">Notes: </w:t>
      </w:r>
      <w:r>
        <w:t>abstract_source=crossref</w:t>
      </w:r>
    </w:p>
    <w:p>
      <w:pPr>
        <w:spacing w:before="0" w:after="80" w:lineRule="auto" w:line="276"/>
      </w:pPr>
      <w:r>
        <w:rPr>
          <w:b/>
        </w:rPr>
        <w:t xml:space="preserve">摘要（ZH）: </w:t>
      </w:r>
      <w:r>
        <w:t>开发宽度凝胶聚合聚合电解液(GPE)是加强锂金属电池(LMB)极端环境耐受性的一个大有希望的战略,需要同时优化低温的李+运输动能,保持热和机械稳定性,这项工作采用分子工程战略,实现有机和无机单位的分子规模混合,解决常规GPE的内在局限性,具体而言,通过三氟乙基丙烯酸(TFEA)和丙氧丙丙基聚氨酯(Acyroxypropyl Plhedal oligoeri)的现场交叉聚合,形成氟混合凝胶聚合物电解液(FHPE)。</w:t>
      </w:r>
    </w:p>
    <w:p>
      <w:pPr>
        <w:spacing w:before="0" w:after="200" w:lineRule="auto" w:line="276"/>
      </w:pPr>
      <w:r>
        <w:rPr>
          <w:b/>
        </w:rPr>
        <w:t xml:space="preserve">Abstract (EN): </w:t>
      </w:r>
      <w:r>
        <w:t>The development of wide‐temperature gel polymer electrolytes (GPEs) represents a promising strategy for enhancing the extreme environment tolerance of lithium‐metal batteries (LMBs), which requires simultaneously optimizing Li</w:t>
      </w:r>
      <w:r>
        <w:t xml:space="preserve"> </w:t>
      </w:r>
      <w:r>
        <w:t>+</w:t>
      </w:r>
      <w:r>
        <w:t xml:space="preserve"> </w:t>
      </w:r>
      <w:r>
        <w:t>transport kinetics at low temperatures and maintaining the thermal and mechanical stability. This work addresses the intrinsic limitations of conventional GPEs by employing a molecular engineering strategy that achieves molecular‐scale hybridization of organic and inorganic units. Specifically, a fluorinated hybrid gel polymer electrolyte (FHPE) is fabricated through the in situ crosslinking polymerization of trifluoroethyl acrylate (TFEA) and acryloxypropyl polyhedral oligomeric silsesquioxane (Acry‐POSS) within 2,2‐difluoroethyl acetate (DFEA). The FHPE displays high Li</w:t>
      </w:r>
      <w:r>
        <w:t xml:space="preserve"> </w:t>
      </w:r>
      <w:r>
        <w:t>+</w:t>
      </w:r>
      <w:r>
        <w:t xml:space="preserve"> </w:t>
      </w:r>
      <w:r>
        <w:t>conductivity (3.54 × 10</w:t>
      </w:r>
      <w:r>
        <w:t xml:space="preserve"> </w:t>
      </w:r>
      <w:r>
        <w:t>−4</w:t>
      </w:r>
      <w:r>
        <w:t xml:space="preserve"> </w:t>
      </w:r>
      <w:r>
        <w:t>S cm</w:t>
      </w:r>
      <w:r>
        <w:t xml:space="preserve"> </w:t>
      </w:r>
      <w:r>
        <w:t>−1</w:t>
      </w:r>
      <w:r>
        <w:t xml:space="preserve"> </w:t>
      </w:r>
      <w:r>
        <w:t>at −30°C), broad electrochemical stability window (&amp;gt;4.7 V), and remarkable mechanical strength (58.7 MPa). Moreover, the FHPE promotes the formation of LiF‐rich interphases on the LiCoO</w:t>
      </w:r>
      <w:r>
        <w:rPr>
          <w:vertAlign w:val="subscript"/>
        </w:rPr>
        <w:t>2</w:t>
      </w:r>
      <w:r>
        <w:t>cathode and lithium metal anode, thereby effectively mitigating dendrite growth and interfacial side reactions. Consequently, FHPE‐based Li/Li coin cells stably cycle for 1500 h at 0.3 mA cm</w:t>
      </w:r>
      <w:r>
        <w:t xml:space="preserve"> </w:t>
      </w:r>
      <w:r>
        <w:t>−2</w:t>
      </w:r>
      <w:r>
        <w:t xml:space="preserve"> </w:t>
      </w:r>
      <w:r>
        <w:t>and −30°C, while Li/LiCoO</w:t>
      </w:r>
      <w:r>
        <w:rPr>
          <w:vertAlign w:val="subscript"/>
        </w:rPr>
        <w:t>2</w:t>
      </w:r>
      <w:r>
        <w:t>coin cells exhibit 86.7% capacity retention after 200 cycles at −30°C and 77.9% after 400 cycles at 60°C. Furthermore, Li/FHPE/LiCoO</w:t>
      </w:r>
      <w:r>
        <w:rPr>
          <w:vertAlign w:val="subscript"/>
        </w:rPr>
        <w:t>2</w:t>
      </w:r>
      <w:r>
        <w:t>pouch cells exhibit stable operation during nail penetration tests, thereby confirming their exceptional safety.</w:t>
      </w:r>
    </w:p>
    <w:p>
      <w:pPr>
        <w:spacing w:before="120" w:after="120"/>
      </w:pPr>
      <w:r>
        <w:rPr>
          <w:sz w:val="18"/>
        </w:rPr>
        <w:t>——————————————————————————————————————————————————————————————————————</w:t>
      </w:r>
    </w:p>
    <w:p>
      <w:pPr>
        <w:spacing w:before="160" w:after="40" w:line="240" w:lineRule="auto"/>
      </w:pPr>
      <w:r>
        <w:rPr>
          <w:b/>
        </w:rPr>
        <w:t xml:space="preserve">[557] </w:t>
      </w:r>
      <w:hyperlink r:id="rId879">
        <w:r>
          <w:rPr>
            <w:color w:val="1155CC"/>
            <w:u w:val="single"/>
          </w:rPr>
          <w:t>用于在Chemiresistive传感器中独立探测VOC气体的轨道级化学编码</w:t>
        </w:r>
      </w:hyperlink>
    </w:p>
    <w:p>
      <w:pPr>
        <w:spacing w:before="0" w:after="80"/>
      </w:pPr>
      <w:r>
        <w:rPr>
          <w:i/>
          <w:sz w:val="20"/>
        </w:rPr>
        <w:t>EN: Orbital‐Level Chemical Coding for Exclusive Detection of VOCs Gases in Chemiresistive Sensors</w:t>
      </w:r>
    </w:p>
    <w:p>
      <w:pPr>
        <w:spacing w:before="0" w:after="120"/>
      </w:pPr>
      <w:r>
        <w:rPr>
          <w:b/>
        </w:rPr>
        <w:t xml:space="preserve">Source: </w:t>
      </w:r>
      <w:r>
        <w:t>Wiley: Angewandte Chemie International Edition: Table of Contents</w:t>
      </w:r>
      <w:r>
        <w:t xml:space="preserve">    </w:t>
      </w:r>
      <w:r>
        <w:rPr>
          <w:b/>
        </w:rPr>
        <w:t xml:space="preserve">Pub date: </w:t>
      </w:r>
      <w:r>
        <w:t>2026-02-05 05:54:47+00:00</w:t>
      </w:r>
      <w:r>
        <w:t xml:space="preserve">    </w:t>
      </w:r>
      <w:r>
        <w:rPr>
          <w:b/>
        </w:rPr>
        <w:t xml:space="preserve">DOI: </w:t>
      </w:r>
      <w:hyperlink r:id="rId880">
        <w:r>
          <w:rPr>
            <w:color w:val="1155CC"/>
            <w:u w:val="single"/>
          </w:rPr>
          <w:t>10.1002/anie.202525408</w:t>
        </w:r>
      </w:hyperlink>
    </w:p>
    <w:p>
      <w:pPr>
        <w:spacing w:before="0" w:after="120"/>
      </w:pPr>
      <w:r>
        <w:rPr>
          <w:b/>
        </w:rPr>
        <w:t xml:space="preserve">Notes: </w:t>
      </w:r>
      <w:r>
        <w:t>abstract_source=crossref</w:t>
      </w:r>
    </w:p>
    <w:p>
      <w:pPr>
        <w:spacing w:before="0" w:after="80" w:lineRule="auto" w:line="276"/>
      </w:pPr>
      <w:r>
        <w:rPr>
          <w:b/>
        </w:rPr>
        <w:t xml:space="preserve">摘要（ZH）: </w:t>
      </w:r>
      <w:r>
        <w:t>在对挥发性有机化合物(VOCs)的商业探测中,具有成本效益高的化学气体传感器被广泛使用,但是,在化学性质相似的混合物中,对目标VOC的选择性很低,这在质量和数量上都妨碍了准确性,这是因为在设计选择性遥感系统时缺乏内在的化学标准。这项研究强调轨道工程对于在化学材料中实现选择性的重要性。我们为SnO 2模型材料的O 2 p band central ( O2 p ) 定制了SnO 2 模型材料的O 2, 实现ne。</w:t>
      </w:r>
    </w:p>
    <w:p>
      <w:pPr>
        <w:spacing w:before="0" w:after="200" w:lineRule="auto" w:line="276"/>
      </w:pPr>
      <w:r>
        <w:rPr>
          <w:b/>
        </w:rPr>
        <w:t xml:space="preserve">Abstract (EN): </w:t>
      </w:r>
      <w:r>
        <w:t>Cost‐effective chemiresistive gas sensors are widely applicated in the commercial detection of volatile organic compounds (VOCs). However, their poor selectivity towards a target VOC within chemically similar mixtures impedes both qualitative and quantitative accuracy. This arises from the absence of intrinsic chemical criteria for designing selective sensing systems. This research emphasizes the importance of orbital engineering to achieve selectivity in chemiresistive materials. We tailor O 2</w:t>
      </w:r>
      <w:r>
        <w:t xml:space="preserve"> </w:t>
      </w:r>
      <w:r>
        <w:t>p</w:t>
      </w:r>
      <w:r>
        <w:t xml:space="preserve"> </w:t>
      </w:r>
      <w:r>
        <w:t>‐band center (ε</w:t>
      </w:r>
      <w:r>
        <w:t xml:space="preserve"> </w:t>
      </w:r>
      <w:r>
        <w:t>O‑2</w:t>
      </w:r>
      <w:r>
        <w:t xml:space="preserve"> </w:t>
      </w:r>
      <w:r>
        <w:t>p</w:t>
      </w:r>
      <w:r>
        <w:t xml:space="preserve"> </w:t>
      </w:r>
      <w:r>
        <w:t>) of the model material SnO</w:t>
      </w:r>
      <w:r>
        <w:rPr>
          <w:vertAlign w:val="subscript"/>
        </w:rPr>
        <w:t>2</w:t>
      </w:r>
      <w:r>
        <w:t>, achieving near 100% selectivity towards triethylamine (C</w:t>
      </w:r>
      <w:r>
        <w:rPr>
          <w:vertAlign w:val="subscript"/>
        </w:rPr>
        <w:t>6</w:t>
      </w:r>
      <w:r>
        <w:t>H</w:t>
      </w:r>
      <w:r>
        <w:rPr>
          <w:vertAlign w:val="subscript"/>
        </w:rPr>
        <w:t>15</w:t>
      </w:r>
      <w:r>
        <w:t>N) and exceptional selectivity towards formaldehyde (CH</w:t>
      </w:r>
      <w:r>
        <w:rPr>
          <w:vertAlign w:val="subscript"/>
        </w:rPr>
        <w:t>2</w:t>
      </w:r>
      <w:r>
        <w:t>O), respectively, and maintaining these selectivity performances in gas mixtures. Specifically, tailoring the ε</w:t>
      </w:r>
      <w:r>
        <w:t xml:space="preserve"> </w:t>
      </w:r>
      <w:r>
        <w:t>O‑2</w:t>
      </w:r>
      <w:r>
        <w:t xml:space="preserve"> </w:t>
      </w:r>
      <w:r>
        <w:t>p</w:t>
      </w:r>
      <w:r>
        <w:t xml:space="preserve"> </w:t>
      </w:r>
      <w:r>
        <w:t>enables energy‐level matching between O 2</w:t>
      </w:r>
      <w:r>
        <w:t xml:space="preserve"> </w:t>
      </w:r>
      <w:r>
        <w:t>p</w:t>
      </w:r>
      <w:r>
        <w:t xml:space="preserve"> </w:t>
      </w:r>
      <w:r>
        <w:t>orbitals and frontier molecular orbitals (FMOs) of distinct VOCs gases, thereby inducing selective orbital hybridizations. Such hybridization drives specific adsorption‐reaction processes and provides the electron‐transfer channel, ultimately triggering the exclusive electrical response. These findings not only unveil the origin of sensing selectivity but also establish a chemical coding strategy for the rational design of exclusive gas sensors based on an orbital‐energy‐matching framework.</w:t>
      </w:r>
    </w:p>
    <w:p>
      <w:pPr>
        <w:spacing w:before="120" w:after="120"/>
      </w:pPr>
      <w:r>
        <w:rPr>
          <w:sz w:val="18"/>
        </w:rPr>
        <w:t>——————————————————————————————————————————————————————————————————————</w:t>
      </w:r>
    </w:p>
    <w:p>
      <w:pPr>
        <w:spacing w:before="160" w:after="40" w:line="240" w:lineRule="auto"/>
      </w:pPr>
      <w:r>
        <w:rPr>
          <w:b/>
        </w:rPr>
        <w:t xml:space="preserve">[558] </w:t>
      </w:r>
      <w:hyperlink r:id="rId881">
        <w:r>
          <w:rPr>
            <w:color w:val="1155CC"/>
            <w:u w:val="single"/>
          </w:rPr>
          <w:t>超高亮光极光极光光化有机胶囊XQ射线扫瞄器</w:t>
        </w:r>
      </w:hyperlink>
    </w:p>
    <w:p>
      <w:pPr>
        <w:spacing w:before="0" w:after="80"/>
      </w:pPr>
      <w:r>
        <w:rPr>
          <w:i/>
          <w:sz w:val="20"/>
        </w:rPr>
        <w:t>EN: Aggregation‐Induced Upconversion Luminescence of Ultra‐High‐Brightness Lanthanide Organic Cages X‐ray Scintillators</w:t>
      </w:r>
    </w:p>
    <w:p>
      <w:pPr>
        <w:spacing w:before="0" w:after="120"/>
      </w:pPr>
      <w:r>
        <w:rPr>
          <w:b/>
        </w:rPr>
        <w:t xml:space="preserve">Source: </w:t>
      </w:r>
      <w:r>
        <w:t>Wiley: Angewandte Chemie International Edition: Table of Contents</w:t>
      </w:r>
      <w:r>
        <w:t xml:space="preserve">    </w:t>
      </w:r>
      <w:r>
        <w:rPr>
          <w:b/>
        </w:rPr>
        <w:t xml:space="preserve">Pub date: </w:t>
      </w:r>
      <w:r>
        <w:t>2026-02-05 05:55:16+00:00</w:t>
      </w:r>
      <w:r>
        <w:t xml:space="preserve">    </w:t>
      </w:r>
      <w:r>
        <w:rPr>
          <w:b/>
        </w:rPr>
        <w:t xml:space="preserve">DOI: </w:t>
      </w:r>
      <w:hyperlink r:id="rId882">
        <w:r>
          <w:rPr>
            <w:color w:val="1155CC"/>
            <w:u w:val="single"/>
          </w:rPr>
          <w:t>10.1002/anie.202525234</w:t>
        </w:r>
      </w:hyperlink>
    </w:p>
    <w:p>
      <w:pPr>
        <w:spacing w:before="0" w:after="120"/>
      </w:pPr>
      <w:r>
        <w:rPr>
          <w:b/>
        </w:rPr>
        <w:t xml:space="preserve">Notes: </w:t>
      </w:r>
      <w:r>
        <w:t>abstract_source=crossref</w:t>
      </w:r>
    </w:p>
    <w:p>
      <w:pPr>
        <w:spacing w:before="0" w:after="80" w:lineRule="auto" w:line="276"/>
      </w:pPr>
      <w:r>
        <w:rPr>
          <w:b/>
        </w:rPr>
        <w:t xml:space="preserve">摘要（ZH）: </w:t>
      </w:r>
      <w:r>
        <w:t>在这项工作中,集聚-诱导排放光生素(AIEgen)被用作实现第一种集成-强化的离子和三重导导导合作社(UCL)敏化转化发光敏度(UCL)的目标的工具,大大加强了无硝化溶剂系统和水溶液中一系列lanthanide有机笼子的UCL(UCL)值。</w:t>
      </w:r>
    </w:p>
    <w:p>
      <w:pPr>
        <w:spacing w:before="0" w:after="200" w:lineRule="auto" w:line="276"/>
      </w:pPr>
      <w:r>
        <w:rPr>
          <w:b/>
        </w:rPr>
        <w:t xml:space="preserve">Abstract (EN): </w:t>
      </w:r>
      <w:r>
        <w:t>In this work, aggregation‐induced emission luminogen (AIEgen) were used as ligand to achieve the first aggregation‐enhanced ligand triplet‐mediated cooperative sensitized upconversion luminescence (UCL), which greatly enhanced the UCL of a series of lanthanide organic cages in non‐deuterated solvent systems and aqueous solutions. The UCL intensities of the</w:t>
      </w:r>
      <w:r>
        <w:t xml:space="preserve"> </w:t>
      </w:r>
      <w:r>
        <w:t>Yb</w:t>
      </w:r>
      <w:r>
        <w:rPr>
          <w:vertAlign w:val="subscript"/>
        </w:rPr>
        <w:t>2</w:t>
      </w:r>
      <w:r>
        <w:t>Eu</w:t>
      </w:r>
      <w:r>
        <w:rPr>
          <w:vertAlign w:val="subscript"/>
        </w:rPr>
        <w:t>2</w:t>
      </w:r>
      <w:r>
        <w:t>(L)</w:t>
      </w:r>
      <w:r>
        <w:rPr>
          <w:vertAlign w:val="subscript"/>
        </w:rPr>
        <w:t>4</w:t>
      </w:r>
      <w:r>
        <w:t>(Phen)</w:t>
      </w:r>
      <w:r>
        <w:rPr>
          <w:vertAlign w:val="subscript"/>
        </w:rPr>
        <w:t>4</w:t>
      </w:r>
      <w:r>
        <w:t xml:space="preserve"> </w:t>
      </w:r>
      <w:r>
        <w:t>and</w:t>
      </w:r>
      <w:r>
        <w:t xml:space="preserve"> </w:t>
      </w:r>
      <w:r>
        <w:t>Yb</w:t>
      </w:r>
      <w:r>
        <w:rPr>
          <w:vertAlign w:val="subscript"/>
        </w:rPr>
        <w:t>2</w:t>
      </w:r>
      <w:r>
        <w:t>Eu</w:t>
      </w:r>
      <w:r>
        <w:rPr>
          <w:vertAlign w:val="subscript"/>
        </w:rPr>
        <w:t>2</w:t>
      </w:r>
      <w:r>
        <w:t>(L)</w:t>
      </w:r>
      <w:r>
        <w:rPr>
          <w:vertAlign w:val="subscript"/>
        </w:rPr>
        <w:t>4</w:t>
      </w:r>
      <w:r>
        <w:t>(</w:t>
      </w:r>
      <w:r>
        <w:t xml:space="preserve"> </w:t>
      </w:r>
      <w:r>
        <w:t>S</w:t>
      </w:r>
      <w:r>
        <w:t xml:space="preserve"> </w:t>
      </w:r>
      <w:r>
        <w:t>‐BI)</w:t>
      </w:r>
      <w:r>
        <w:rPr>
          <w:vertAlign w:val="subscript"/>
        </w:rPr>
        <w:t>4</w:t>
      </w:r>
      <w:r>
        <w:t xml:space="preserve"> </w:t>
      </w:r>
      <w:r>
        <w:t>increased by up to 3.6 and 14.3 times, respectively, compared with those of the molecular states, and their quantum yields increased by up to 3.8 and 19.2 times, respectively. To our knowledge, this is the first time that molecular UCL of lanthanide organic cages with precise structures in aqueous solutions has been achieved. The aggregation‐enhanced antenna effect of AIEgen in aqueous solution significantly enhances the luminescence of lanthanide organic cages and promotes their specific targeting to lipid droplets optical imaging. The synergistic effect of coordination‐induced emission and antenna effect, the</w:t>
      </w:r>
      <w:r>
        <w:t xml:space="preserve"> </w:t>
      </w:r>
      <w:r>
        <w:t>Eu</w:t>
      </w:r>
      <w:r>
        <w:rPr>
          <w:vertAlign w:val="subscript"/>
        </w:rPr>
        <w:t>4</w:t>
      </w:r>
      <w:r>
        <w:t>(L)</w:t>
      </w:r>
      <w:r>
        <w:rPr>
          <w:vertAlign w:val="subscript"/>
        </w:rPr>
        <w:t>4</w:t>
      </w:r>
      <w:r>
        <w:t>(</w:t>
      </w:r>
      <w:r>
        <w:t xml:space="preserve"> </w:t>
      </w:r>
      <w:r>
        <w:t>S</w:t>
      </w:r>
      <w:r>
        <w:t xml:space="preserve"> </w:t>
      </w:r>
      <w:r>
        <w:t>‐BI)</w:t>
      </w:r>
      <w:r>
        <w:rPr>
          <w:vertAlign w:val="subscript"/>
        </w:rPr>
        <w:t>4</w:t>
      </w:r>
      <w:r>
        <w:t xml:space="preserve"> </w:t>
      </w:r>
      <w:r>
        <w:t>scintillator exhibits a high light yield of up to 20241 photo/MeV, an ultra‐low detection limit of 27.2 nGy/s, which is 202 times lower than the clinical standard (5.5 µGy/s), and a radiation stability cycle of 96.8%, achieving low‐dose X‐ray imaging. To our knowledge, this is the first time that the lanthanide organic cage has been extended to targeted imaging of lipid droplets and X‐ray scintillator imaging, opening a new era for the application of lanthanide complex emitters in high‐resolution imaging.</w:t>
      </w:r>
    </w:p>
    <w:p>
      <w:pPr>
        <w:spacing w:before="120" w:after="120"/>
      </w:pPr>
      <w:r>
        <w:rPr>
          <w:sz w:val="18"/>
        </w:rPr>
        <w:t>——————————————————————————————————————————————————————————————————————</w:t>
      </w:r>
    </w:p>
    <w:p>
      <w:pPr>
        <w:spacing w:before="160" w:after="40" w:line="240" w:lineRule="auto"/>
      </w:pPr>
      <w:r>
        <w:rPr>
          <w:b/>
        </w:rPr>
        <w:t xml:space="preserve">[559] </w:t>
      </w:r>
      <w:hyperlink r:id="rId883">
        <w:r>
          <w:rPr>
            <w:color w:val="1155CC"/>
            <w:u w:val="single"/>
          </w:rPr>
          <w:t>稀土元素高纯度分离的碳氢素持续演变</w:t>
        </w:r>
      </w:hyperlink>
    </w:p>
    <w:p>
      <w:pPr>
        <w:spacing w:before="0" w:after="80"/>
      </w:pPr>
      <w:r>
        <w:rPr>
          <w:i/>
          <w:sz w:val="20"/>
        </w:rPr>
        <w:t>EN: Continuous Evolution of Calmodulin for High‐Purity Separation of Rare Earth Elements</w:t>
      </w:r>
    </w:p>
    <w:p>
      <w:pPr>
        <w:spacing w:before="0" w:after="120"/>
      </w:pPr>
      <w:r>
        <w:rPr>
          <w:b/>
        </w:rPr>
        <w:t xml:space="preserve">Source: </w:t>
      </w:r>
      <w:r>
        <w:t>Wiley: Angewandte Chemie International Edition: Table of Contents</w:t>
      </w:r>
      <w:r>
        <w:t xml:space="preserve">    </w:t>
      </w:r>
      <w:r>
        <w:rPr>
          <w:b/>
        </w:rPr>
        <w:t xml:space="preserve">Pub date: </w:t>
      </w:r>
      <w:r>
        <w:t>2026-02-05 06:08:18+00:00</w:t>
      </w:r>
      <w:r>
        <w:t xml:space="preserve">    </w:t>
      </w:r>
      <w:r>
        <w:rPr>
          <w:b/>
        </w:rPr>
        <w:t xml:space="preserve">DOI: </w:t>
      </w:r>
      <w:hyperlink r:id="rId884">
        <w:r>
          <w:rPr>
            <w:color w:val="1155CC"/>
            <w:u w:val="single"/>
          </w:rPr>
          <w:t>10.1002/anie.202514785</w:t>
        </w:r>
      </w:hyperlink>
    </w:p>
    <w:p>
      <w:pPr>
        <w:spacing w:before="0" w:after="120"/>
      </w:pPr>
      <w:r>
        <w:rPr>
          <w:b/>
        </w:rPr>
        <w:t xml:space="preserve">Notes: </w:t>
      </w:r>
      <w:r>
        <w:t>abstract_source=crossref</w:t>
      </w:r>
    </w:p>
    <w:p>
      <w:pPr>
        <w:spacing w:before="0" w:after="80" w:lineRule="auto" w:line="276"/>
      </w:pPr>
      <w:r>
        <w:rPr>
          <w:b/>
        </w:rPr>
        <w:t xml:space="preserve">摘要（ZH）: </w:t>
      </w:r>
      <w:r>
        <w:t>分离关键稀土元素(REE)的重大挑战源于其类似的物理化学特性,需要复杂的流程流程表才能实现高纯度产品。基于蛋白质的战略为常规分离过程提供了选择性和可持续的替代物。虽然已经确定了用于REE处理的本地蛋白质,但强化REE混合物分离的蛋白质工程仍然受到低通量方法的限制,这些方法限制了在金属协调领域之外对氨基酸的勘探。在这里,我们开发了一种选择电路,其基础是蓝太离子的蛋白质-蛋白质相互作用,以进行phage-辅助的连续演进(PACE ) 。这个系统迅速选择了正在演进的慢温多丁基苯丙二烯二烯二苯并呋喃自由(PACE) 。</w:t>
      </w:r>
    </w:p>
    <w:p>
      <w:pPr>
        <w:spacing w:before="0" w:after="200" w:lineRule="auto" w:line="276"/>
      </w:pPr>
      <w:r>
        <w:rPr>
          <w:b/>
        </w:rPr>
        <w:t xml:space="preserve">Abstract (EN): </w:t>
      </w:r>
      <w:r>
        <w:t>The grand challenge of separating critical rare earth elements (REEs) stems from their similar physicochemical properties, requiring complex process flow‐sheets to achieve high‐purity products. Protein‐based strategies offer selective and sustainable alternatives to conventional separation processes. While native proteins have been identified for REE processing, protein engineering to enhance the separation of REE mixtures remains constrained by low‐throughput methods that limit the exploration of amino acids beyond the metal coordination sphere. Here, we developed a selection circuit based on a lanthanide‐mediated protein‐protein interaction for phage‐assisted continuous evolution (PACE). This system rapidly selected an evolving calmodulin‐derived peptide library, yielding a dominant sequence within days. Molecular dynamics simulations of the evolved protein suggest a restructured hydrogen‐bond network, which enhances second‐shell ion coordination and protein packing. These changes improved binding affinity and thermal stability, enabling single‐stage, chelator‐free, high‐purity separations of individual REEs. This high‐throughput approach can be readily extended to evolve other critical metal‐binding proteins.</w:t>
      </w:r>
    </w:p>
    <w:p>
      <w:pPr>
        <w:spacing w:before="120" w:after="120"/>
      </w:pPr>
      <w:r>
        <w:rPr>
          <w:sz w:val="18"/>
        </w:rPr>
        <w:t>——————————————————————————————————————————————————————————————————————</w:t>
      </w:r>
    </w:p>
    <w:p>
      <w:pPr>
        <w:spacing w:before="160" w:after="40" w:line="240" w:lineRule="auto"/>
      </w:pPr>
      <w:r>
        <w:rPr>
          <w:b/>
        </w:rPr>
        <w:t xml:space="preserve">[560] </w:t>
      </w:r>
      <w:hyperlink r:id="rId885">
        <w:r>
          <w:rPr>
            <w:color w:val="1155CC"/>
            <w:u w:val="single"/>
          </w:rPr>
          <w:t>Ethylene 电子合成,通过控制间水方向</w:t>
        </w:r>
      </w:hyperlink>
    </w:p>
    <w:p>
      <w:pPr>
        <w:spacing w:before="0" w:after="80"/>
      </w:pPr>
      <w:r>
        <w:rPr>
          <w:i/>
          <w:sz w:val="20"/>
        </w:rPr>
        <w:t>EN: Steering Ethylene Electrosynthesis by Controlling Interfacial Water Orientation</w:t>
      </w:r>
    </w:p>
    <w:p>
      <w:pPr>
        <w:spacing w:before="0" w:after="120"/>
      </w:pPr>
      <w:r>
        <w:rPr>
          <w:b/>
        </w:rPr>
        <w:t xml:space="preserve">Source: </w:t>
      </w:r>
      <w:r>
        <w:t>Wiley: Angewandte Chemie International Edition: Table of Contents</w:t>
      </w:r>
      <w:r>
        <w:t xml:space="preserve">    </w:t>
      </w:r>
      <w:r>
        <w:rPr>
          <w:b/>
        </w:rPr>
        <w:t xml:space="preserve">Pub date: </w:t>
      </w:r>
      <w:r>
        <w:t>2026-02-05 06:10:34+00:00</w:t>
      </w:r>
      <w:r>
        <w:t xml:space="preserve">    </w:t>
      </w:r>
      <w:r>
        <w:rPr>
          <w:b/>
        </w:rPr>
        <w:t xml:space="preserve">DOI: </w:t>
      </w:r>
      <w:hyperlink r:id="rId886">
        <w:r>
          <w:rPr>
            <w:color w:val="1155CC"/>
            <w:u w:val="single"/>
          </w:rPr>
          <w:t>10.1002/anie.202520546</w:t>
        </w:r>
      </w:hyperlink>
    </w:p>
    <w:p>
      <w:pPr>
        <w:spacing w:before="0" w:after="120"/>
      </w:pPr>
      <w:r>
        <w:rPr>
          <w:b/>
        </w:rPr>
        <w:t xml:space="preserve">Notes: </w:t>
      </w:r>
      <w:r>
        <w:t>abstract_source=crossref</w:t>
      </w:r>
    </w:p>
    <w:p>
      <w:pPr>
        <w:spacing w:before="0" w:after="80" w:lineRule="auto" w:line="276"/>
      </w:pPr>
      <w:r>
        <w:rPr>
          <w:b/>
        </w:rPr>
        <w:t xml:space="preserve">摘要（ZH）: </w:t>
      </w:r>
      <w:r>
        <w:t>通过溶剂极化动力学,ABSTACT通过溶剂极化动力学控制反应路径,在催化方面仍是一项重大挑战,原因是难以找到的跨动动能调节机制。在这里,我们通过建立以反应路径两侧直接结合H2O两极化和反应路径两极化的跨轴水方向来解决这一两难困境。 我们用电催化剂CO2减少作为典型平台,我们证明,通过Gadoped Cu催化剂的适应性次表层调控战略,通过动态调节质子转移方向和中间稳定,精确地设计了氢下水对齐。 优化的Ga/Cu催化剂实现了法拉达效率。</w:t>
      </w:r>
    </w:p>
    <w:p>
      <w:pPr>
        <w:spacing w:before="0" w:after="200" w:lineRule="auto" w:line="276"/>
      </w:pPr>
      <w:r>
        <w:rPr>
          <w:b/>
        </w:rPr>
        <w:t xml:space="preserve">Abstract (EN): </w:t>
      </w:r>
      <w:r>
        <w:t>Controlling reaction pathway via solvent polarization dynamics remains a grand challenge in catalysis due to elusive interfacial kinetic regulation mechanisms. Here, we resolve this dilemma by establishing interfacial water orientation that directly couples H</w:t>
      </w:r>
      <w:r>
        <w:rPr>
          <w:vertAlign w:val="subscript"/>
        </w:rPr>
        <w:t>2</w:t>
      </w:r>
      <w:r>
        <w:t>O polarization with reaction pathway bifurcation. Using electrocatalytic CO</w:t>
      </w:r>
      <w:r>
        <w:rPr>
          <w:vertAlign w:val="subscript"/>
        </w:rPr>
        <w:t>2</w:t>
      </w:r>
      <w:r>
        <w:t>reduction as a typical platform, we demonstrate that precisely engineered H‐down water alignment, achieved via adaptive subsurface tuning (AST) strategy of Ga‐doped Cu catalysts, dynamically regulates proton transfer directionality and intermediate stabilization. The optimized Ga/Cu catalyst achieved a Faradaic efficiency (FE) of 68.8% for ethylene at 800 mA cm</w:t>
      </w:r>
      <w:r>
        <w:t xml:space="preserve"> </w:t>
      </w:r>
      <w:r>
        <w:t>−2</w:t>
      </w:r>
      <w:r>
        <w:t xml:space="preserve"> </w:t>
      </w:r>
      <w:r>
        <w:t>, surpassing ethanol production by 8.2‐fold, and the current density was among the highest reported for catalysts with high ethylene FE. Detailed experimental studies and theoretical calculations corroborate that H‐down alignment enhanced *H availability, directing protons to selectively cleave the C─O bond of *CHCOH intermediates over hydrogenation pathways, yielding high ethylene FE and current density. These findings establish interfacial water orientation as a pivotal descriptor for steering C─C coupling selectivity in electrocatalysis, offering a rational design principle for efficient electroreduction systems.</w:t>
      </w:r>
    </w:p>
    <w:p>
      <w:pPr>
        <w:spacing w:before="120" w:after="120"/>
      </w:pPr>
      <w:r>
        <w:rPr>
          <w:sz w:val="18"/>
        </w:rPr>
        <w:t>——————————————————————————————————————————————————————————————————————</w:t>
      </w:r>
    </w:p>
    <w:p>
      <w:pPr>
        <w:spacing w:before="160" w:after="40" w:line="240" w:lineRule="auto"/>
      </w:pPr>
      <w:r>
        <w:rPr>
          <w:b/>
        </w:rPr>
        <w:t xml:space="preserve">[561] </w:t>
      </w:r>
      <w:hyperlink r:id="rId887">
        <w:r>
          <w:rPr>
            <w:color w:val="1155CC"/>
            <w:u w:val="single"/>
          </w:rPr>
          <w:t>具有非平面 6芳香S5环的环戊二二烯化硅环</w:t>
        </w:r>
      </w:hyperlink>
    </w:p>
    <w:p>
      <w:pPr>
        <w:spacing w:before="0" w:after="80"/>
      </w:pPr>
      <w:r>
        <w:rPr>
          <w:i/>
          <w:sz w:val="20"/>
        </w:rPr>
        <w:t>EN: Silicon cyclopentadienides featuring a nonplanar 6π aromatic Si5 ring</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888">
        <w:r>
          <w:rPr>
            <w:color w:val="1155CC"/>
            <w:u w:val="single"/>
          </w:rPr>
          <w:t>10.1126/science.aed0168</w:t>
        </w:r>
      </w:hyperlink>
    </w:p>
    <w:p>
      <w:pPr>
        <w:spacing w:before="0" w:after="120"/>
      </w:pPr>
      <w:r>
        <w:rPr>
          <w:b/>
        </w:rPr>
        <w:t xml:space="preserve">Notes: </w:t>
      </w:r>
      <w:r>
        <w:t>abstract_source=pubmed</w:t>
      </w:r>
    </w:p>
    <w:p>
      <w:pPr>
        <w:spacing w:before="0" w:after="80" w:lineRule="auto" w:line="276"/>
      </w:pPr>
      <w:r>
        <w:rPr>
          <w:b/>
        </w:rPr>
        <w:t xml:space="preserve">摘要（ZH）: </w:t>
      </w:r>
      <w:r>
        <w:t>与关于碳-电子化合物的各种报告相比,硅对等物仍然稀少,因为硅的内在偏好是形成的化合物;特别是,将-电子迁移到5个或5个以上硅原子的硅化合物一直难以找到;我们报告了环戊二氮化物(penttasiilancyclopentadiides)的五硅类物合成情况;这些化合物含有非平面的五人硅环,带有一些金字塔化硅原子和不平衡的硅-硅距离。高屏蔽的五氟环开源二氮化氢的7升核磁共振信号证实了五人环中存在一种地磁环,这至少表明某种程度的芳香性。</w:t>
      </w:r>
    </w:p>
    <w:p>
      <w:pPr>
        <w:spacing w:before="0" w:after="200" w:lineRule="auto" w:line="276"/>
      </w:pPr>
      <w:r>
        <w:rPr>
          <w:b/>
        </w:rPr>
        <w:t xml:space="preserve">Abstract (EN): </w:t>
      </w:r>
      <w:r>
        <w:t>Compared with the wide variety of reports on carbon π-electron compounds, the silicon counterparts remain scarce because of the intrinsic preference of silicon to form σ-bonded compounds. In particular, silicon compounds in which π-electrons are delocalized over five or more silicon atoms have been elusive. We report the synthesis of pentasilicon analogs of cyclopentadienides (pentasilacyclopentadienides). These compounds contain nonplanar five-membered silicon rings with some pyramidalized silicon atoms and uneven silicon-silicon distances. The highly shielded 7Li nuclear magnetic resonance signal of a lithium pentasilacyclopentadienide corroborates the presence of a diamagnetic ring current in the five-membered ring, which is indicative of at least some degree of aromaticity. Furthermore, a computational study revealed that bulky substituents and the delocalization of π-electrons stabilize the pentasilacyclopentadienide structure.</w:t>
      </w:r>
    </w:p>
    <w:p>
      <w:pPr>
        <w:spacing w:before="120" w:after="120"/>
      </w:pPr>
      <w:r>
        <w:rPr>
          <w:sz w:val="18"/>
        </w:rPr>
        <w:t>——————————————————————————————————————————————————————————————————————</w:t>
      </w:r>
    </w:p>
    <w:p>
      <w:pPr>
        <w:spacing w:before="160" w:after="40" w:line="240" w:lineRule="auto"/>
      </w:pPr>
      <w:r>
        <w:rPr>
          <w:b/>
        </w:rPr>
        <w:t xml:space="preserve">[562] </w:t>
      </w:r>
      <w:hyperlink r:id="rId889">
        <w:r>
          <w:rPr>
            <w:color w:val="1155CC"/>
            <w:u w:val="single"/>
          </w:rPr>
          <w:t>具有单原子的100公里以上独立设备量子键分布</w:t>
        </w:r>
      </w:hyperlink>
    </w:p>
    <w:p>
      <w:pPr>
        <w:spacing w:before="0" w:after="80"/>
      </w:pPr>
      <w:r>
        <w:rPr>
          <w:i/>
          <w:sz w:val="20"/>
        </w:rPr>
        <w:t>EN: Device-independent quantum key distribution over 100 km with single atoms</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890">
        <w:r>
          <w:rPr>
            <w:color w:val="1155CC"/>
            <w:u w:val="single"/>
          </w:rPr>
          <w:t>10.1126/science.aec6243</w:t>
        </w:r>
      </w:hyperlink>
    </w:p>
    <w:p>
      <w:pPr>
        <w:spacing w:before="0" w:after="120"/>
      </w:pPr>
      <w:r>
        <w:rPr>
          <w:b/>
        </w:rPr>
        <w:t xml:space="preserve">Notes: </w:t>
      </w:r>
      <w:r>
        <w:t>abstract_source=pubmed</w:t>
      </w:r>
    </w:p>
    <w:p>
      <w:pPr>
        <w:spacing w:before="0" w:after="80" w:lineRule="auto" w:line="276"/>
      </w:pPr>
      <w:r>
        <w:rPr>
          <w:b/>
        </w:rPr>
        <w:t xml:space="preserve">摘要（ZH）: </w:t>
      </w:r>
      <w:r>
        <w:t>设备独立的量子键分布( DI- QKD) 是量子互联网的关键应用。 我们报告在以100公里纤维连接的两个单原子节点之间实现了 DI- QKD。 为了提高聚合速率, 利用单磷干扰进行缠绕预示, 并使用量子频率转换来减少纤维流失。 量子频率转换是定制的 Rydberg 排放计划在不引入噪音的情况下抑制光子对原子的后坐力效应。 我们实现了高纤维性原子缠绕和积极性活性活性键率, 纤维长度高达100公里。 在11公里处, 有120万对预言的贝尔配对在624小时以上, 产生针对一般攻击事件每例0. 112比特的估计可提取的定型安全键速率。 我们的结果接近了这个目标。</w:t>
      </w:r>
    </w:p>
    <w:p>
      <w:pPr>
        <w:spacing w:before="0" w:after="200" w:lineRule="auto" w:line="276"/>
      </w:pPr>
      <w:r>
        <w:rPr>
          <w:b/>
        </w:rPr>
        <w:t xml:space="preserve">Abstract (EN): </w:t>
      </w:r>
      <w:r>
        <w:t>Device-independent quantum key distribution (DI-QKD) is a key application of the quantum internet. We report the realization of DI-QKD between two single-atom nodes linked by 100-kilometer (km) fibers. To improve the entangling rate, single-photon interference is leveraged for entanglement heralding, and quantum frequency conversion is used to reduce fiber loss. A tailored Rydberg-based emission scheme suppresses the photon recoil effect on the atom without introducing noise. We achieved high-fidelity atom-atom entanglement and positive asymptotic key rates for fiber lengths up to 100 km. At 11 km, 1.2 million heralded Bell pairs were prepared over 624 hours, yielding an estimated extractable finite-size secure key rate of 0.112 bits per event against general attacks. Our results close the gap between proof-of-principle quantum network experiments and real-world applications.</w:t>
      </w:r>
    </w:p>
    <w:p>
      <w:pPr>
        <w:spacing w:before="120" w:after="120"/>
      </w:pPr>
      <w:r>
        <w:rPr>
          <w:sz w:val="18"/>
        </w:rPr>
        <w:t>——————————————————————————————————————————————————————————————————————</w:t>
      </w:r>
    </w:p>
    <w:p>
      <w:pPr>
        <w:spacing w:before="160" w:after="40" w:line="240" w:lineRule="auto"/>
      </w:pPr>
      <w:r>
        <w:rPr>
          <w:b/>
        </w:rPr>
        <w:t xml:space="preserve">[563] </w:t>
      </w:r>
      <w:hyperlink r:id="rId891">
        <w:r>
          <w:rPr>
            <w:color w:val="1155CC"/>
            <w:u w:val="single"/>
          </w:rPr>
          <w:t>独立时代的生物数据治理</w:t>
        </w:r>
      </w:hyperlink>
    </w:p>
    <w:p>
      <w:pPr>
        <w:spacing w:before="0" w:after="80"/>
      </w:pPr>
      <w:r>
        <w:rPr>
          <w:i/>
          <w:sz w:val="20"/>
        </w:rPr>
        <w:t>EN: Biological data governance in an age of AI</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892">
        <w:r>
          <w:rPr>
            <w:color w:val="1155CC"/>
            <w:u w:val="single"/>
          </w:rPr>
          <w:t>10.1126/science.aeb2689</w:t>
        </w:r>
      </w:hyperlink>
    </w:p>
    <w:p>
      <w:pPr>
        <w:spacing w:before="0" w:after="120"/>
      </w:pPr>
      <w:r>
        <w:rPr>
          <w:b/>
        </w:rPr>
        <w:t xml:space="preserve">Notes: </w:t>
      </w:r>
      <w:r>
        <w:t>abstract_source=pubmed</w:t>
      </w:r>
    </w:p>
    <w:p>
      <w:pPr>
        <w:spacing w:before="0" w:after="80" w:lineRule="auto" w:line="276"/>
      </w:pPr>
      <w:r>
        <w:rPr>
          <w:b/>
        </w:rPr>
        <w:t xml:space="preserve">摘要（ZH）: </w:t>
      </w:r>
      <w:r>
        <w:t>对新的病毒数据进行量身定做的访问控制将减少滥用风险。</w:t>
      </w:r>
    </w:p>
    <w:p>
      <w:pPr>
        <w:spacing w:before="0" w:after="200" w:lineRule="auto" w:line="276"/>
      </w:pPr>
      <w:r>
        <w:rPr>
          <w:b/>
        </w:rPr>
        <w:t xml:space="preserve">Abstract (EN): </w:t>
      </w:r>
      <w:r>
        <w:t>Tailored access controls on new viral data would reduce misuse risks.</w:t>
      </w:r>
    </w:p>
    <w:p>
      <w:pPr>
        <w:spacing w:before="120" w:after="120"/>
      </w:pPr>
      <w:r>
        <w:rPr>
          <w:sz w:val="18"/>
        </w:rPr>
        <w:t>——————————————————————————————————————————————————————————————————————</w:t>
      </w:r>
    </w:p>
    <w:p>
      <w:pPr>
        <w:spacing w:before="160" w:after="40" w:line="240" w:lineRule="auto"/>
      </w:pPr>
      <w:r>
        <w:rPr>
          <w:b/>
        </w:rPr>
        <w:t xml:space="preserve">[564] </w:t>
      </w:r>
      <w:hyperlink r:id="rId893">
        <w:r>
          <w:rPr>
            <w:color w:val="1155CC"/>
            <w:u w:val="single"/>
          </w:rPr>
          <w:t>应用农药毒性趋势的增加抵消了保护生物多样性的全球减排目标</w:t>
        </w:r>
      </w:hyperlink>
    </w:p>
    <w:p>
      <w:pPr>
        <w:spacing w:before="0" w:after="80"/>
      </w:pPr>
      <w:r>
        <w:rPr>
          <w:i/>
          <w:sz w:val="20"/>
        </w:rPr>
        <w:t>EN: Increasing applied pesticide toxicity trends counteract the global reduction target to safeguard biodiversity</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894">
        <w:r>
          <w:rPr>
            <w:color w:val="1155CC"/>
            <w:u w:val="single"/>
          </w:rPr>
          <w:t>10.1126/science.aea8602</w:t>
        </w:r>
      </w:hyperlink>
    </w:p>
    <w:p>
      <w:pPr>
        <w:spacing w:before="0" w:after="120"/>
      </w:pPr>
      <w:r>
        <w:rPr>
          <w:b/>
        </w:rPr>
        <w:t xml:space="preserve">Notes: </w:t>
      </w:r>
      <w:r>
        <w:t>abstract_source=pubmed</w:t>
      </w:r>
    </w:p>
    <w:p>
      <w:pPr>
        <w:spacing w:before="0" w:after="80" w:lineRule="auto" w:line="276"/>
      </w:pPr>
      <w:r>
        <w:rPr>
          <w:b/>
        </w:rPr>
        <w:t xml:space="preserve">摘要（ZH）: </w:t>
      </w:r>
      <w:r>
        <w:t>第十五届联合国生物多样性会议(COP15)责成所有国家到2030年将农药风险降低50%。 在这项研究中,我们得出了2013年至2019年全球总应用毒性(TAT)趋势(TAT)全球趋势(TAT),按生态毒性加权施用总量为8个物种组625种农药,以评估实现这一减少目标的途径。 我们发现,大多数物种组的TAT增加了;每个物种组只有20+14种农药(TAT)占全国TAT的90%以上;水果、蔬菜、玉米、大豆、大米和其他谷物占全球TAT的76-83%;中国、巴西、美国和印度占全球TAT的53%至68%。</w:t>
      </w:r>
    </w:p>
    <w:p>
      <w:pPr>
        <w:spacing w:before="0" w:after="200" w:lineRule="auto" w:line="276"/>
      </w:pPr>
      <w:r>
        <w:rPr>
          <w:b/>
        </w:rPr>
        <w:t xml:space="preserve">Abstract (EN): </w:t>
      </w:r>
      <w:r>
        <w:t>The 15th United Nations Biodiversity Conference (COP15) obligates all countries to reduce pesticide risks by 50% by 2030. In this study, we derived the trends of total applied toxicity (TAT) globally between 2013 and 2019, weighting applied masses by ecotoxicity, of 625 pesticides for eight species groups to assess pathways toward this reduction goal. We found that the TAT of most species groups has increased; that only 20 ± 14 pesticides per group define &gt;90% of the TAT nationally; that fruits, vegetables, maize, soybean, rice, and other cereals contribute 76 to 83% of the global TAT; and that China, Brazil, the United States, and India contribute 53 to 68% of the global TAT. Our target achievement categorization shows that substantial actions, combining shifts to less-toxic pesticides, increased adoption of organic agriculture, and also provision of national pesticide use data, will be required globally to approach the United Nations' target.</w:t>
      </w:r>
    </w:p>
    <w:p>
      <w:pPr>
        <w:spacing w:before="120" w:after="120"/>
      </w:pPr>
      <w:r>
        <w:rPr>
          <w:sz w:val="18"/>
        </w:rPr>
        <w:t>——————————————————————————————————————————————————————————————————————</w:t>
      </w:r>
    </w:p>
    <w:p>
      <w:pPr>
        <w:spacing w:before="160" w:after="40" w:line="240" w:lineRule="auto"/>
      </w:pPr>
      <w:r>
        <w:rPr>
          <w:b/>
        </w:rPr>
        <w:t xml:space="preserve">[565] </w:t>
      </w:r>
      <w:hyperlink r:id="rId895">
        <w:r>
          <w:rPr>
            <w:color w:val="1155CC"/>
            <w:u w:val="single"/>
          </w:rPr>
          <w:t>科学杂志</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896">
        <w:r>
          <w:rPr>
            <w:color w:val="1155CC"/>
            <w:u w:val="single"/>
          </w:rPr>
          <w:t>10.1126/science.aeg0767</w:t>
        </w:r>
      </w:hyperlink>
    </w:p>
    <w:p>
      <w:pPr>
        <w:spacing w:before="0" w:after="120"/>
      </w:pPr>
      <w:r>
        <w:rPr>
          <w:b/>
        </w:rPr>
        <w:t xml:space="preserve">Notes: </w:t>
      </w:r>
      <w:r>
        <w:t>abstract_source=pubmed</w:t>
      </w:r>
    </w:p>
    <w:p>
      <w:pPr>
        <w:spacing w:before="0" w:after="80" w:lineRule="auto" w:line="276"/>
      </w:pPr>
      <w:r>
        <w:rPr>
          <w:b/>
        </w:rPr>
        <w:t xml:space="preserve">摘要（ZH）: </w:t>
      </w:r>
      <w:r>
        <w:t>" 科学 " 杂志系列的要点。</w:t>
      </w:r>
    </w:p>
    <w:p>
      <w:pPr>
        <w:spacing w:before="0" w:after="200" w:lineRule="auto" w:line="276"/>
      </w:pPr>
      <w:r>
        <w:rPr>
          <w:b/>
        </w:rPr>
        <w:t xml:space="preserve">Abstract (EN): </w:t>
      </w:r>
      <w:r>
        <w:t>Highlights from the Science family of journals.</w:t>
      </w:r>
    </w:p>
    <w:p>
      <w:pPr>
        <w:spacing w:before="120" w:after="120"/>
      </w:pPr>
      <w:r>
        <w:rPr>
          <w:sz w:val="18"/>
        </w:rPr>
        <w:t>——————————————————————————————————————————————————————————————————————</w:t>
      </w:r>
    </w:p>
    <w:p>
      <w:pPr>
        <w:spacing w:before="160" w:after="40" w:line="240" w:lineRule="auto"/>
      </w:pPr>
      <w:r>
        <w:rPr>
          <w:b/>
        </w:rPr>
        <w:t xml:space="preserve">[566] </w:t>
      </w:r>
      <w:hyperlink r:id="rId897">
        <w:r>
          <w:rPr>
            <w:color w:val="1155CC"/>
            <w:u w:val="single"/>
          </w:rPr>
          <w:t>用于克服化学蛋白合成中浓度屏障的 Zwitterionic 有机有机体复合体</w:t>
        </w:r>
      </w:hyperlink>
    </w:p>
    <w:p>
      <w:pPr>
        <w:spacing w:before="0" w:after="80"/>
      </w:pPr>
      <w:r>
        <w:rPr>
          <w:i/>
          <w:sz w:val="20"/>
        </w:rPr>
        <w:t>EN: Zwitterionic organoboron complexes for overcoming the concentration barrier in chemical protein synthesis</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898">
        <w:r>
          <w:rPr>
            <w:color w:val="1155CC"/>
            <w:u w:val="single"/>
          </w:rPr>
          <w:t>10.1126/science.aea7511</w:t>
        </w:r>
      </w:hyperlink>
    </w:p>
    <w:p>
      <w:pPr>
        <w:spacing w:before="0" w:after="120"/>
      </w:pPr>
      <w:r>
        <w:rPr>
          <w:b/>
        </w:rPr>
        <w:t xml:space="preserve">Notes: </w:t>
      </w:r>
      <w:r>
        <w:t>abstract_source=pubmed</w:t>
      </w:r>
    </w:p>
    <w:p>
      <w:pPr>
        <w:spacing w:before="0" w:after="80" w:lineRule="auto" w:line="276"/>
      </w:pPr>
      <w:r>
        <w:rPr>
          <w:b/>
        </w:rPr>
        <w:t xml:space="preserve">摘要（ZH）: </w:t>
      </w:r>
      <w:r>
        <w:t>化学蛋白质合成有助于构建具体的蛋白质结构,但仅限于毫摩反应浓度,限制了获得低溶性蛋白的渠道。 丙基氟丙烯酸酯(KATs)通过快速和化学选择性氨化物债券形成,提供了一个有希望的替代物,但由于缺乏遮罩策略,无法将其应用于蛋白合成。 我们报告了掩盖氨基酸衍生KATs的手性、zwitteronition有机体复合体。这些分子表现出出乎意料的氮-碳-boron连接性,与固相阶段丙酸合成和立体加速脱保完全兼容。我们合成了C-TAT聚苯并演示了KAT对微摩尔浓度的绑定,以合成聚合聚合聚合聚合物。我们合成了C-terminal KATpeptides,并演示了KAT在微摩尔浓度上的绑定。</w:t>
      </w:r>
    </w:p>
    <w:p>
      <w:pPr>
        <w:spacing w:before="0" w:after="200" w:lineRule="auto" w:line="276"/>
      </w:pPr>
      <w:r>
        <w:rPr>
          <w:b/>
        </w:rPr>
        <w:t xml:space="preserve">Abstract (EN): </w:t>
      </w:r>
      <w:r>
        <w:t>Chemical protein synthesis enables the construction of specific protein architectures but is limited to millimolar reaction concentrations, restricting access to poorly soluble proteins. Potassium acyltrifluoroboronates (KATs) offer a promising alternative through fast and chemoselective amide bond formation, but their application to protein synthesis has been precluded by the lack of a masking strategy. We report chiral, zwitterionic organoboron complexes that mask amino acid-derived KATs. These molecules exhibit unexpected nitrogen-carbon-boron connectivity and are fully compatible with solid-phase peptide synthesis and stereoretentive deprotection. We synthesized C-terminal KAT peptides and demonstrated KAT ligation at micromolar concentrations for the convergent synthesis of the aggregation-prone programmed death ligand 2 (PD-L2) immunoglobulin V domain. This work establishes organoboron chemistry as an enabling strategy for chemical protein synthesis at low concentrations far more suitable for handling large, aggregation-prone biomolecules.</w:t>
      </w:r>
    </w:p>
    <w:p>
      <w:pPr>
        <w:spacing w:before="120" w:after="120"/>
      </w:pPr>
      <w:r>
        <w:rPr>
          <w:sz w:val="18"/>
        </w:rPr>
        <w:t>——————————————————————————————————————————————————————————————————————</w:t>
      </w:r>
    </w:p>
    <w:p>
      <w:pPr>
        <w:spacing w:before="160" w:after="40" w:line="240" w:lineRule="auto"/>
      </w:pPr>
      <w:r>
        <w:rPr>
          <w:b/>
        </w:rPr>
        <w:t xml:space="preserve">[567] </w:t>
      </w:r>
      <w:hyperlink r:id="rId899">
        <w:r>
          <w:rPr>
            <w:color w:val="1155CC"/>
            <w:u w:val="single"/>
          </w:rPr>
          <w:t>MOS2化学蒸气沉降期间形成的二维无定形核心原子溶解</w:t>
        </w:r>
      </w:hyperlink>
    </w:p>
    <w:p>
      <w:pPr>
        <w:spacing w:before="0" w:after="80"/>
      </w:pPr>
      <w:r>
        <w:rPr>
          <w:i/>
          <w:sz w:val="20"/>
        </w:rPr>
        <w:t>EN: Atomically resolved two-dimensional amorphous nuclei formed during MoS2 chemical vapor deposition</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00">
        <w:r>
          <w:rPr>
            <w:color w:val="1155CC"/>
            <w:u w:val="single"/>
          </w:rPr>
          <w:t>10.1126/science.adz8243</w:t>
        </w:r>
      </w:hyperlink>
    </w:p>
    <w:p>
      <w:pPr>
        <w:spacing w:before="0" w:after="120"/>
      </w:pPr>
      <w:r>
        <w:rPr>
          <w:b/>
        </w:rPr>
        <w:t xml:space="preserve">Notes: </w:t>
      </w:r>
      <w:r>
        <w:t>abstract_source=pubmed</w:t>
      </w:r>
    </w:p>
    <w:p>
      <w:pPr>
        <w:spacing w:before="0" w:after="80" w:lineRule="auto" w:line="276"/>
      </w:pPr>
      <w:r>
        <w:rPr>
          <w:b/>
        </w:rPr>
        <w:t xml:space="preserve">摘要（ZH）: </w:t>
      </w:r>
      <w:r>
        <w:t>对二维(2D)材料的核分离和生长进行控制是其可缩放制造的关键。我们报告利用环境传导电子显微镜进行化学蒸发沉降(CVD)的核分离和生长。与分子动态模拟结合,我们的观察显示在最初的核循环阶段形成2D不固定的结构,在达到临界尺寸后,机内结构将命令向晶体核过渡。我们进一步捕捉了早期生长阶段的核核融合和定向附加过程,这可能有助于2D单晶体制造。这些发现揭示了MoS2核的原子结构演变。</w:t>
      </w:r>
    </w:p>
    <w:p>
      <w:pPr>
        <w:spacing w:before="0" w:after="200" w:lineRule="auto" w:line="276"/>
      </w:pPr>
      <w:r>
        <w:rPr>
          <w:b/>
        </w:rPr>
        <w:t xml:space="preserve">Abstract (EN): </w:t>
      </w:r>
      <w:r>
        <w:t>Control over the nucleation and growth of two-dimensional (2D) materials is essential for their scalable manufacturing. We report in situ atomic-scale observations of molybdenum disulfide (MoS2) nucleation and growth through chemical vapor deposition (CVD) using environmental transmission electron microscopy. Coupled with molecular dynamics simulations, our observations reveal the formation of a 2D amorphous structure at the initial nucleation stage, which undergoes an in-plane structural ordering transition into a crystalline nucleus once a critical size is reached. We further captured nuclei merging and oriented attachment processes in the early growth stage, which likely contributed to 2D single-crystal fabrication. These findings unveil the atomistic structural evolution in MoS2 nucleation and growth under CVD condition, providing mechanistic insight for the controlled synthesis of high-quality 2D crystals and informing broader strategies for covalently bonded material systems.</w:t>
      </w:r>
    </w:p>
    <w:p>
      <w:pPr>
        <w:spacing w:before="120" w:after="120"/>
      </w:pPr>
      <w:r>
        <w:rPr>
          <w:sz w:val="18"/>
        </w:rPr>
        <w:t>——————————————————————————————————————————————————————————————————————</w:t>
      </w:r>
    </w:p>
    <w:p>
      <w:pPr>
        <w:spacing w:before="160" w:after="40" w:line="240" w:lineRule="auto"/>
      </w:pPr>
      <w:r>
        <w:rPr>
          <w:b/>
        </w:rPr>
        <w:t xml:space="preserve">[568] </w:t>
      </w:r>
      <w:hyperlink r:id="rId901">
        <w:r>
          <w:rPr>
            <w:color w:val="1155CC"/>
            <w:u w:val="single"/>
          </w:rPr>
          <w:t>PH反应组装成液体晶体或顶层时用于pH反应的微粒微粒</w:t>
        </w:r>
      </w:hyperlink>
    </w:p>
    <w:p>
      <w:pPr>
        <w:spacing w:before="0" w:after="80"/>
      </w:pPr>
      <w:r>
        <w:rPr>
          <w:i/>
          <w:sz w:val="20"/>
        </w:rPr>
        <w:t>EN: Patchy peptide particles for pH-responsive assembly into liquid crystals or lattices</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02">
        <w:r>
          <w:rPr>
            <w:color w:val="1155CC"/>
            <w:u w:val="single"/>
          </w:rPr>
          <w:t>10.1126/science.adz6812</w:t>
        </w:r>
      </w:hyperlink>
    </w:p>
    <w:p>
      <w:pPr>
        <w:spacing w:before="0" w:after="120"/>
      </w:pPr>
      <w:r>
        <w:rPr>
          <w:b/>
        </w:rPr>
        <w:t xml:space="preserve">Notes: </w:t>
      </w:r>
      <w:r>
        <w:t>abstract_source=pubmed</w:t>
      </w:r>
    </w:p>
    <w:p>
      <w:pPr>
        <w:spacing w:before="0" w:after="80" w:lineRule="auto" w:line="276"/>
      </w:pPr>
      <w:r>
        <w:rPr>
          <w:b/>
        </w:rPr>
        <w:t xml:space="preserve">摘要（ZH）: </w:t>
      </w:r>
      <w:r>
        <w:t>对蛋白质或凝聚纳米粒子进行程序化控制,使之自动聚集到目标纳米结构中,同时在极端的pH条件下保持稳定,这仍然是一项重大挑战。我们设计了由定序、跨异常宽的pH范围(1、7和14)的分级材料,这些材料的等级范围不同寻常,取决于散状表面充电器的显示。在pH 1和pH 14, 神经液晶体形成时浓度较低(~0.5至4重量百分比),而pH 1的较高浓度则产生六角形柱状阶段。在中性pH,通过电静态复合将同样的折叠式纳米粒子聚集到定序的拉托层中。分子动态模拟揭示了所有阶段的尾端至端粒子堆叠。</w:t>
      </w:r>
    </w:p>
    <w:p>
      <w:pPr>
        <w:spacing w:before="0" w:after="200" w:lineRule="auto" w:line="276"/>
      </w:pPr>
      <w:r>
        <w:rPr>
          <w:b/>
        </w:rPr>
        <w:t xml:space="preserve">Abstract (EN): </w:t>
      </w:r>
      <w:r>
        <w:t>Programmable control of protein or colloidal nanoparticle self-assembly into targeted nanostructures, while maintaining stability across extreme pH conditions, remains a major challenge. We designed coiled-coil bundlemer peptide nanoparticles that form ordered, hierarchical materials across an unusually broad pH range (1, 7, and 14) dependent on patchy surface charge display. Nematic liquid crystal formation was observed at low concentration (~0.5 to 4 weight %) at pH 1 and pH 14, whereas higher concentration at pH 1 yielded hexagonal columnar phases. At neutral pH, the same patchy nanoparticles assembled into ordered lattices through electrostatic complexation. Molecular dynamics simulations revealed end-to-end particle stacking underlying all phases. Coiled coils with identical amino acid composition but lacking designed charge patches displayed no ordered assembly, demonstrating the importance of programmable electrostatic interactions with protein-like specificity of spatial display.</w:t>
      </w:r>
    </w:p>
    <w:p>
      <w:pPr>
        <w:spacing w:before="120" w:after="120"/>
      </w:pPr>
      <w:r>
        <w:rPr>
          <w:sz w:val="18"/>
        </w:rPr>
        <w:t>——————————————————————————————————————————————————————————————————————</w:t>
      </w:r>
    </w:p>
    <w:p>
      <w:pPr>
        <w:spacing w:before="160" w:after="40" w:line="240" w:lineRule="auto"/>
      </w:pPr>
      <w:r>
        <w:rPr>
          <w:b/>
        </w:rPr>
        <w:t xml:space="preserve">[569] </w:t>
      </w:r>
      <w:hyperlink r:id="rId903">
        <w:r>
          <w:rPr>
            <w:color w:val="1155CC"/>
            <w:u w:val="single"/>
          </w:rPr>
          <w:t>Penttasilarcyclomptadienide:在共振和平衡边界的Hückel芳香芳香物种</w:t>
        </w:r>
      </w:hyperlink>
    </w:p>
    <w:p>
      <w:pPr>
        <w:spacing w:before="0" w:after="80"/>
      </w:pPr>
      <w:r>
        <w:rPr>
          <w:i/>
          <w:sz w:val="20"/>
        </w:rPr>
        <w:t>EN: Pentasilacyclopentadienide: A Hückel aromatic species at the border of resonance and equilibrium</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04">
        <w:r>
          <w:rPr>
            <w:color w:val="1155CC"/>
            <w:u w:val="single"/>
          </w:rPr>
          <w:t>10.1126/science.aed1802</w:t>
        </w:r>
      </w:hyperlink>
    </w:p>
    <w:p>
      <w:pPr>
        <w:spacing w:before="0" w:after="120"/>
      </w:pPr>
      <w:r>
        <w:rPr>
          <w:b/>
        </w:rPr>
        <w:t xml:space="preserve">Notes: </w:t>
      </w:r>
      <w:r>
        <w:t>abstract_source=pubmed</w:t>
      </w:r>
    </w:p>
    <w:p>
      <w:pPr>
        <w:spacing w:before="0" w:after="80" w:lineRule="auto" w:line="276"/>
      </w:pPr>
      <w:r>
        <w:rPr>
          <w:b/>
        </w:rPr>
        <w:t xml:space="preserve">摘要（ZH）: </w:t>
      </w:r>
      <w:r>
        <w:t>自1981年稳定Si-Si -bonds 以来,所有硅芳烃都成为目标,但只有由三名成员组成的环丙氨基类似物(Si3R3+;R,Silyll)已经实验实现。我们报告说,一种稳定的全氟辛烷基(Si5R5-;R,Aryl),基本上是平滑的和有决定的芳香的,尽管实验和计算数据表明非行星异构体之间的超纯平衡。使用三甲基氯甲烷,Si5R5将Si5核心重新排列为三环异构体,确认锂凝固对于稳定的关键作用。双环二硝基二硝基甲二苯基保证一种丰富的化学化学与碳基循环。</w:t>
      </w:r>
    </w:p>
    <w:p>
      <w:pPr>
        <w:spacing w:before="0" w:after="200" w:lineRule="auto" w:line="276"/>
      </w:pPr>
      <w:r>
        <w:rPr>
          <w:b/>
        </w:rPr>
        <w:t xml:space="preserve">Abstract (EN): </w:t>
      </w:r>
      <w:r>
        <w:t>Aromatic rings such as the ubiquitous π-ligand cyclopentadienide (C5H5-) adhere to the famous Hückel rule with their 4n+2 π cyclically delocalized electrons. Since the advent of stable Si-Si π-bonds in 1981, all-silicon aromatics have been targeted, yet only a three-membered cyclopropenium analog (Si3R3+; R, silyl) has been experimentally realized. We report a stable persilacyclopentadienide (Si5R5-; R, aryl), which is essentially planar and decidedly aromatic, although experimental and computational data suggest an ultrarapid equilibrium between nonplanar isomers. With trimethylchlorostannane, Si5R5- rearranges the Si5 core to a tricyclic isomer confirming the pivotal role of the lithium cation for stability. The persilacyclopentadienide promises a rich chemistry akin to carbon-based cyclopentadienides. Its structural flexibility questions the paradigm of a clear-cut distinction between resonance and equilibrium.</w:t>
      </w:r>
    </w:p>
    <w:p>
      <w:pPr>
        <w:spacing w:before="120" w:after="120"/>
      </w:pPr>
      <w:r>
        <w:rPr>
          <w:sz w:val="18"/>
        </w:rPr>
        <w:t>——————————————————————————————————————————————————————————————————————</w:t>
      </w:r>
    </w:p>
    <w:p>
      <w:pPr>
        <w:spacing w:before="160" w:after="40" w:line="240" w:lineRule="auto"/>
      </w:pPr>
      <w:r>
        <w:rPr>
          <w:b/>
        </w:rPr>
        <w:t xml:space="preserve">[570] </w:t>
      </w:r>
      <w:hyperlink r:id="rId905">
        <w:r>
          <w:rPr>
            <w:color w:val="1155CC"/>
            <w:u w:val="single"/>
          </w:rPr>
          <w:t>世界大陆地洞地震</w:t>
        </w:r>
      </w:hyperlink>
    </w:p>
    <w:p>
      <w:pPr>
        <w:spacing w:before="0" w:after="80"/>
      </w:pPr>
      <w:r>
        <w:rPr>
          <w:i/>
          <w:sz w:val="20"/>
        </w:rPr>
        <w:t>EN: Continental mantle earthquakes of the world</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06">
        <w:r>
          <w:rPr>
            <w:color w:val="1155CC"/>
            <w:u w:val="single"/>
          </w:rPr>
          <w:t>10.1126/science.adz4367</w:t>
        </w:r>
      </w:hyperlink>
    </w:p>
    <w:p>
      <w:pPr>
        <w:spacing w:before="0" w:after="120"/>
      </w:pPr>
      <w:r>
        <w:rPr>
          <w:b/>
        </w:rPr>
        <w:t xml:space="preserve">Notes: </w:t>
      </w:r>
      <w:r>
        <w:t>abstract_source=pubmed</w:t>
      </w:r>
    </w:p>
    <w:p>
      <w:pPr>
        <w:spacing w:before="0" w:after="80" w:lineRule="auto" w:line="276"/>
      </w:pPr>
      <w:r>
        <w:rPr>
          <w:b/>
        </w:rPr>
        <w:t xml:space="preserve">摘要（ZH）: </w:t>
      </w:r>
      <w:r>
        <w:t>半个多世纪以来,大陆地表地震及其对大陆风学结构的影响一直吸引着地球物理学家。这些地震的存在不再辩论,但在全球各地仍然很少确认。将地震的Sn和Lg地震震波振幅比率(Sn/Lg)与附近地震的震幅比率(Sn/Lg)相比,CME(Sn/Lg)不同于以往的方法,可以在全球范围内应用。我们呈现出CME的全球分布,远远超出以往的个别探测和投机领域。CME的发生是全球范围广泛分布的,但区域模式反映了局部的岩层结构和构造历史。我们的结果凸显了CME对了解大陆和全球构造的价值。</w:t>
      </w:r>
    </w:p>
    <w:p>
      <w:pPr>
        <w:spacing w:before="0" w:after="200" w:lineRule="auto" w:line="276"/>
      </w:pPr>
      <w:r>
        <w:rPr>
          <w:b/>
        </w:rPr>
        <w:t xml:space="preserve">Abstract (EN): </w:t>
      </w:r>
      <w:r>
        <w:t>Continental mantle earthquakes (CMEs) and their implications for the rheological structure of continents have fascinated geophysicists for more than half a century. Existence of these earthquakes is no longer debated, but their identification remains sparse across the globe. Comparing the Sn and Lg seismic wave amplitude ratio (Sn/Lg) of an earthquake with that of nearby earthquakes distinguishes CMEs and, unlike previous methods, can be applied globally. We present a global distribution of CMEs that extends well beyond previous individual detections and areas of speculation. CME occurrence is widespread globally yet patterned regionally, reflecting local lithospheric structure and tectonic history. Our results highlight the value of CMEs for understanding continents and global tectonics.</w:t>
      </w:r>
    </w:p>
    <w:p>
      <w:pPr>
        <w:spacing w:before="120" w:after="120"/>
      </w:pPr>
      <w:r>
        <w:rPr>
          <w:sz w:val="18"/>
        </w:rPr>
        <w:t>——————————————————————————————————————————————————————————————————————</w:t>
      </w:r>
    </w:p>
    <w:p>
      <w:pPr>
        <w:spacing w:before="160" w:after="40" w:line="240" w:lineRule="auto"/>
      </w:pPr>
      <w:r>
        <w:rPr>
          <w:b/>
        </w:rPr>
        <w:t xml:space="preserve">[571] </w:t>
      </w:r>
      <w:hyperlink r:id="rId907">
        <w:r>
          <w:rPr>
            <w:color w:val="1155CC"/>
            <w:u w:val="single"/>
          </w:rPr>
          <w:t>Kanzi是受过语言训练的公益会员,他代表假物的证据</w:t>
        </w:r>
      </w:hyperlink>
    </w:p>
    <w:p>
      <w:pPr>
        <w:spacing w:before="0" w:after="80"/>
      </w:pPr>
      <w:r>
        <w:rPr>
          <w:i/>
          <w:sz w:val="20"/>
        </w:rPr>
        <w:t>EN: Evidence for representation of pretend objects by Kanzi, a language-trained bonobo</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08">
        <w:r>
          <w:rPr>
            <w:color w:val="1155CC"/>
            <w:u w:val="single"/>
          </w:rPr>
          <w:t>10.1126/science.adz0743</w:t>
        </w:r>
      </w:hyperlink>
    </w:p>
    <w:p>
      <w:pPr>
        <w:spacing w:before="0" w:after="120"/>
      </w:pPr>
      <w:r>
        <w:rPr>
          <w:b/>
        </w:rPr>
        <w:t xml:space="preserve">Notes: </w:t>
      </w:r>
      <w:r>
        <w:t>abstract_source=pubmed</w:t>
      </w:r>
    </w:p>
    <w:p>
      <w:pPr>
        <w:spacing w:before="0" w:after="80" w:lineRule="auto" w:line="276"/>
      </w:pPr>
      <w:r>
        <w:rPr>
          <w:b/>
        </w:rPr>
        <w:t xml:space="preserve">摘要（ZH）: </w:t>
      </w:r>
      <w:r>
        <w:t>二次陈述使我们的思想能够脱离现在和现在的事物,产生假想、假设或替代的可能性,与现实脱钩,支持我们许多最丰富的认知能力,例如精神状态归属、模拟可能的未来和伪说。 我们提出实验性证据,证明非人类灵长类动物可以代表假物体。 Kanzi, 受过法律培训的普罗博人, 正确地确定了假物体的位置( 例如, 在空容器之间倾注的“ juice ” ), 以回应在视觉假容器互动中的口头提示。 在三个实验中,我们从概念上复制了这一发现,并排除了关键的替代解释。 我们的研究结果表明,对假物体进行二次陈述的能力是:</w:t>
      </w:r>
    </w:p>
    <w:p>
      <w:pPr>
        <w:spacing w:before="0" w:after="200" w:lineRule="auto" w:line="276"/>
      </w:pPr>
      <w:r>
        <w:rPr>
          <w:b/>
        </w:rPr>
        <w:t xml:space="preserve">Abstract (EN): </w:t>
      </w:r>
      <w:r>
        <w:t>Secondary representations enable our minds to depart from the here-and-now and generate imaginary, hypothetical, or alternate possibilities that are decoupled from reality, supporting many of our richest cognitive capacities such as mental-state attribution, simulation of possible futures, and pretense. We present experimental evidence that a nonhuman primate can represent pretend objects. Kanzi, a lexigram-trained bonobo, correctly identified the location of pretend objects (e.g., "juice" poured between empty containers), in response to verbal prompts in scaffolded pretense interactions. Across three experiments, we conceptually replicated this finding and excluded key alternative explanations. Our findings suggest that the capacity to form secondary representations of pretend objects is within the cognitive potential of, at least, an enculturated ape and likely dates back 6 to 9 million years, to our common evolutionary ancestors.</w:t>
      </w:r>
    </w:p>
    <w:p>
      <w:pPr>
        <w:spacing w:before="120" w:after="120"/>
      </w:pPr>
      <w:r>
        <w:rPr>
          <w:sz w:val="18"/>
        </w:rPr>
        <w:t>——————————————————————————————————————————————————————————————————————</w:t>
      </w:r>
    </w:p>
    <w:p>
      <w:pPr>
        <w:spacing w:before="160" w:after="40" w:line="240" w:lineRule="auto"/>
      </w:pPr>
      <w:r>
        <w:rPr>
          <w:b/>
        </w:rPr>
        <w:t xml:space="preserve">[572] </w:t>
      </w:r>
      <w:hyperlink r:id="rId909">
        <w:r>
          <w:rPr>
            <w:color w:val="1155CC"/>
            <w:u w:val="single"/>
          </w:rPr>
          <w:t>学习休回籍假</w:t>
        </w:r>
      </w:hyperlink>
    </w:p>
    <w:p>
      <w:pPr>
        <w:spacing w:before="0" w:after="80"/>
      </w:pPr>
      <w:r>
        <w:rPr>
          <w:i/>
          <w:sz w:val="20"/>
        </w:rPr>
        <w:t>EN: Learning to leave home</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10">
        <w:r>
          <w:rPr>
            <w:color w:val="1155CC"/>
            <w:u w:val="single"/>
          </w:rPr>
          <w:t>10.1126/science.aef9995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[573] </w:t>
      </w:r>
      <w:hyperlink r:id="rId911">
        <w:r>
          <w:rPr>
            <w:color w:val="1155CC"/>
            <w:u w:val="single"/>
          </w:rPr>
          <w:t>爱情,连接,幸福快乐,从此以后</w:t>
        </w:r>
      </w:hyperlink>
    </w:p>
    <w:p>
      <w:pPr>
        <w:spacing w:before="0" w:after="80"/>
      </w:pPr>
      <w:r>
        <w:rPr>
          <w:i/>
          <w:sz w:val="20"/>
        </w:rPr>
        <w:t>EN: Love, connection, and happily ever after</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12">
        <w:r>
          <w:rPr>
            <w:color w:val="1155CC"/>
            <w:u w:val="single"/>
          </w:rPr>
          <w:t>10.1126/science.aed5189</w:t>
        </w:r>
      </w:hyperlink>
    </w:p>
    <w:p>
      <w:pPr>
        <w:spacing w:before="0" w:after="120"/>
      </w:pPr>
      <w:r>
        <w:rPr>
          <w:b/>
        </w:rPr>
        <w:t xml:space="preserve">Notes: </w:t>
      </w:r>
      <w:r>
        <w:t>abstract_source=pubmed</w:t>
      </w:r>
    </w:p>
    <w:p>
      <w:pPr>
        <w:spacing w:before="0" w:after="80" w:lineRule="auto" w:line="276"/>
      </w:pPr>
      <w:r>
        <w:rPr>
          <w:b/>
        </w:rPr>
        <w:t xml:space="preserve">摘要（ZH）: </w:t>
      </w:r>
      <w:r>
        <w:t>一对作者认为,只要有一点点科学和一些幻想思维,令人满意的关系是可以实现的。</w:t>
      </w:r>
    </w:p>
    <w:p>
      <w:pPr>
        <w:spacing w:before="0" w:after="200" w:lineRule="auto" w:line="276"/>
      </w:pPr>
      <w:r>
        <w:rPr>
          <w:b/>
        </w:rPr>
        <w:t xml:space="preserve">Abstract (EN): </w:t>
      </w:r>
      <w:r>
        <w:t>A pair of authors see satisfying relationships as achievable with a little science and some wishful thinking.</w:t>
      </w:r>
    </w:p>
    <w:p>
      <w:pPr>
        <w:spacing w:before="120" w:after="120"/>
      </w:pPr>
      <w:r>
        <w:rPr>
          <w:sz w:val="18"/>
        </w:rPr>
        <w:t>——————————————————————————————————————————————————————————————————————</w:t>
      </w:r>
    </w:p>
    <w:p>
      <w:pPr>
        <w:spacing w:before="160" w:after="40" w:line="240" w:lineRule="auto"/>
      </w:pPr>
      <w:r>
        <w:rPr>
          <w:b/>
        </w:rPr>
        <w:t xml:space="preserve">[574] </w:t>
      </w:r>
      <w:hyperlink r:id="rId913">
        <w:r>
          <w:rPr>
            <w:color w:val="1155CC"/>
            <w:u w:val="single"/>
          </w:rPr>
          <w:t>量子加密预示着一个防黑的互联网</w:t>
        </w:r>
      </w:hyperlink>
    </w:p>
    <w:p>
      <w:pPr>
        <w:spacing w:before="0" w:after="80"/>
      </w:pPr>
      <w:r>
        <w:rPr>
          <w:i/>
          <w:sz w:val="20"/>
        </w:rPr>
        <w:t>EN: Quantum encryption heralds a hack-proof internet</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14">
        <w:r>
          <w:rPr>
            <w:color w:val="1155CC"/>
            <w:u w:val="single"/>
          </w:rPr>
          <w:t>10.1126/science.aeg1221</w:t>
        </w:r>
      </w:hyperlink>
    </w:p>
    <w:p>
      <w:pPr>
        <w:spacing w:before="0" w:after="120"/>
      </w:pPr>
      <w:r>
        <w:rPr>
          <w:b/>
        </w:rPr>
        <w:t xml:space="preserve">Notes: </w:t>
      </w:r>
      <w:r>
        <w:t>abstract_source=pubmed</w:t>
      </w:r>
    </w:p>
    <w:p>
      <w:pPr>
        <w:spacing w:before="0" w:after="80" w:lineRule="auto" w:line="276"/>
      </w:pPr>
      <w:r>
        <w:rPr>
          <w:b/>
        </w:rPr>
        <w:t xml:space="preserve">摘要（ZH）: </w:t>
      </w:r>
      <w:r>
        <w:t>被缠绕的原子发送数据 安全地消除后门硬件威胁</w:t>
      </w:r>
    </w:p>
    <w:p>
      <w:pPr>
        <w:spacing w:before="0" w:after="200" w:lineRule="auto" w:line="276"/>
      </w:pPr>
      <w:r>
        <w:rPr>
          <w:b/>
        </w:rPr>
        <w:t xml:space="preserve">Abstract (EN): </w:t>
      </w:r>
      <w:r>
        <w:t>Entangled atoms send data securely-neutralizing backdoor hardware threat.</w:t>
      </w:r>
    </w:p>
    <w:p>
      <w:pPr>
        <w:spacing w:before="120" w:after="120"/>
      </w:pPr>
      <w:r>
        <w:rPr>
          <w:sz w:val="18"/>
        </w:rPr>
        <w:t>——————————————————————————————————————————————————————————————————————</w:t>
      </w:r>
    </w:p>
    <w:p>
      <w:pPr>
        <w:spacing w:before="160" w:after="40" w:line="240" w:lineRule="auto"/>
      </w:pPr>
      <w:r>
        <w:rPr>
          <w:b/>
        </w:rPr>
        <w:t xml:space="preserve">[575] </w:t>
      </w:r>
      <w:hyperlink r:id="rId915">
        <w:r>
          <w:rPr>
            <w:color w:val="1155CC"/>
            <w:u w:val="single"/>
          </w:rPr>
          <w:t>诗人与灭亡斗争</w:t>
        </w:r>
      </w:hyperlink>
    </w:p>
    <w:p>
      <w:pPr>
        <w:spacing w:before="0" w:after="80"/>
      </w:pPr>
      <w:r>
        <w:rPr>
          <w:i/>
          <w:sz w:val="20"/>
        </w:rPr>
        <w:t>EN: A poet grapples with extinction</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16">
        <w:r>
          <w:rPr>
            <w:color w:val="1155CC"/>
            <w:u w:val="single"/>
          </w:rPr>
          <w:t>10.1126/science.aed5484</w:t>
        </w:r>
      </w:hyperlink>
    </w:p>
    <w:p>
      <w:pPr>
        <w:spacing w:before="0" w:after="120"/>
      </w:pPr>
      <w:r>
        <w:rPr>
          <w:b/>
        </w:rPr>
        <w:t xml:space="preserve">Notes: </w:t>
      </w:r>
      <w:r>
        <w:t>abstract_source=pubmed</w:t>
      </w:r>
    </w:p>
    <w:p>
      <w:pPr>
        <w:spacing w:before="0" w:after="80" w:lineRule="auto" w:line="276"/>
      </w:pPr>
      <w:r>
        <w:rPr>
          <w:b/>
        </w:rPr>
        <w:t xml:space="preserve">摘要（ZH）: </w:t>
      </w:r>
      <w:r>
        <w:t>Tennyson向维多利亚州科学家展示了如何在不放弃信仰的情况下接受经验主义,</w:t>
      </w:r>
    </w:p>
    <w:p>
      <w:pPr>
        <w:spacing w:before="0" w:after="200" w:lineRule="auto" w:line="276"/>
      </w:pPr>
      <w:r>
        <w:rPr>
          <w:b/>
        </w:rPr>
        <w:t xml:space="preserve">Abstract (EN): </w:t>
      </w:r>
      <w:r>
        <w:t>Tennyson showed Victorian scientists how to embrace empiricism without abandoning faith, argues a biographer.</w:t>
      </w:r>
    </w:p>
    <w:p>
      <w:pPr>
        <w:spacing w:before="120" w:after="120"/>
      </w:pPr>
      <w:r>
        <w:rPr>
          <w:sz w:val="18"/>
        </w:rPr>
        <w:t>——————————————————————————————————————————————————————————————————————</w:t>
      </w:r>
    </w:p>
    <w:p>
      <w:pPr>
        <w:spacing w:before="160" w:after="40" w:line="240" w:lineRule="auto"/>
      </w:pPr>
      <w:r>
        <w:rPr>
          <w:b/>
        </w:rPr>
        <w:t xml:space="preserve">[576] </w:t>
      </w:r>
      <w:hyperlink r:id="rId917">
        <w:r>
          <w:rPr>
            <w:color w:val="1155CC"/>
            <w:u w:val="single"/>
          </w:rPr>
          <w:t>立法者在家庭国家科学项目上花费巨资</w:t>
        </w:r>
      </w:hyperlink>
    </w:p>
    <w:p>
      <w:pPr>
        <w:spacing w:before="0" w:after="80"/>
      </w:pPr>
      <w:r>
        <w:rPr>
          <w:i/>
          <w:sz w:val="20"/>
        </w:rPr>
        <w:t>EN: Lawmakers spend big on home state science projects</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18">
        <w:r>
          <w:rPr>
            <w:color w:val="1155CC"/>
            <w:u w:val="single"/>
          </w:rPr>
          <w:t>10.1126/science.aeg1219</w:t>
        </w:r>
      </w:hyperlink>
    </w:p>
    <w:p>
      <w:pPr>
        <w:spacing w:before="0" w:after="120"/>
      </w:pPr>
      <w:r>
        <w:rPr>
          <w:b/>
        </w:rPr>
        <w:t xml:space="preserve">Notes: </w:t>
      </w:r>
      <w:r>
        <w:t>abstract_source=pubmed</w:t>
      </w:r>
    </w:p>
    <w:p>
      <w:pPr>
        <w:spacing w:before="0" w:after="80" w:lineRule="auto" w:line="276"/>
      </w:pPr>
      <w:r>
        <w:rPr>
          <w:b/>
        </w:rPr>
        <w:t xml:space="preserve">摘要（ZH）: </w:t>
      </w:r>
      <w:r>
        <w:t>肯塔基参议员米奇·麦康奈尔 国会国王的专款 将1.65亿给他的长辈</w:t>
      </w:r>
    </w:p>
    <w:p>
      <w:pPr>
        <w:spacing w:before="0" w:after="200" w:lineRule="auto" w:line="276"/>
      </w:pPr>
      <w:r>
        <w:rPr>
          <w:b/>
        </w:rPr>
        <w:t xml:space="preserve">Abstract (EN): </w:t>
      </w:r>
      <w:r>
        <w:t>Kentucky Senator Mitch McConnell, king of congressional earmarks, steers $165 million to his alma maters.</w:t>
      </w:r>
    </w:p>
    <w:p>
      <w:pPr>
        <w:spacing w:before="120" w:after="120"/>
      </w:pPr>
      <w:r>
        <w:rPr>
          <w:sz w:val="18"/>
        </w:rPr>
        <w:t>——————————————————————————————————————————————————————————————————————</w:t>
      </w:r>
    </w:p>
    <w:p>
      <w:pPr>
        <w:spacing w:before="160" w:after="40" w:line="240" w:lineRule="auto"/>
      </w:pPr>
      <w:r>
        <w:rPr>
          <w:b/>
        </w:rPr>
        <w:t xml:space="preserve">[577] </w:t>
      </w:r>
      <w:hyperlink r:id="rId919">
        <w:r>
          <w:rPr>
            <w:color w:val="1155CC"/>
            <w:u w:val="single"/>
          </w:rPr>
          <w:t>随着世界暖和 寒冷的雨向美国南部转移</w:t>
        </w:r>
      </w:hyperlink>
    </w:p>
    <w:p>
      <w:pPr>
        <w:spacing w:before="0" w:after="80"/>
      </w:pPr>
      <w:r>
        <w:rPr>
          <w:i/>
          <w:sz w:val="20"/>
        </w:rPr>
        <w:t>EN: As the world warms, freezing rain shifts to U.S. South</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20">
        <w:r>
          <w:rPr>
            <w:color w:val="1155CC"/>
            <w:u w:val="single"/>
          </w:rPr>
          <w:t>10.1126/science.aeg1220</w:t>
        </w:r>
      </w:hyperlink>
    </w:p>
    <w:p>
      <w:pPr>
        <w:spacing w:before="0" w:after="120"/>
      </w:pPr>
      <w:r>
        <w:rPr>
          <w:b/>
        </w:rPr>
        <w:t xml:space="preserve">Notes: </w:t>
      </w:r>
      <w:r>
        <w:t>abstract_source=pubmed</w:t>
      </w:r>
    </w:p>
    <w:p>
      <w:pPr>
        <w:spacing w:before="0" w:after="80" w:lineRule="auto" w:line="276"/>
      </w:pPr>
      <w:r>
        <w:rPr>
          <w:b/>
        </w:rPr>
        <w:t xml:space="preserve">摘要（ZH）: </w:t>
      </w:r>
      <w:r>
        <w:t>最近的冬季暴风雨追踪了正在兴起的冰河走廊的道路。</w:t>
      </w:r>
    </w:p>
    <w:p>
      <w:pPr>
        <w:spacing w:before="0" w:after="200" w:lineRule="auto" w:line="276"/>
      </w:pPr>
      <w:r>
        <w:rPr>
          <w:b/>
        </w:rPr>
        <w:t xml:space="preserve">Abstract (EN): </w:t>
      </w:r>
      <w:r>
        <w:t>Recent winter storm traced the path of an emerging ice corridor.</w:t>
      </w:r>
    </w:p>
    <w:p>
      <w:pPr>
        <w:spacing w:before="120" w:after="120"/>
      </w:pPr>
      <w:r>
        <w:rPr>
          <w:sz w:val="18"/>
        </w:rPr>
        <w:t>——————————————————————————————————————————————————————————————————————</w:t>
      </w:r>
    </w:p>
    <w:p>
      <w:pPr>
        <w:spacing w:before="160" w:after="40" w:line="240" w:lineRule="auto"/>
      </w:pPr>
      <w:r>
        <w:rPr>
          <w:b/>
        </w:rPr>
        <w:t xml:space="preserve">[578] </w:t>
      </w:r>
      <w:hyperlink r:id="rId921">
        <w:r>
          <w:rPr>
            <w:color w:val="1155CC"/>
            <w:u w:val="single"/>
          </w:rPr>
          <w:t>传说中,许多两个的故事</w:t>
        </w:r>
      </w:hyperlink>
    </w:p>
    <w:p>
      <w:pPr>
        <w:spacing w:before="0" w:after="80"/>
      </w:pPr>
      <w:r>
        <w:rPr>
          <w:i/>
          <w:sz w:val="20"/>
        </w:rPr>
        <w:t>EN: A tale of many twos</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22">
        <w:r>
          <w:rPr>
            <w:color w:val="1155CC"/>
            <w:u w:val="single"/>
          </w:rPr>
          <w:t>10.1126/science.aef9543</w:t>
        </w:r>
      </w:hyperlink>
    </w:p>
    <w:p>
      <w:pPr>
        <w:spacing w:before="0" w:after="120"/>
      </w:pPr>
      <w:r>
        <w:rPr>
          <w:b/>
        </w:rPr>
        <w:t xml:space="preserve">Notes: </w:t>
      </w:r>
      <w:r>
        <w:t>abstract_source=pubmed</w:t>
      </w:r>
    </w:p>
    <w:p>
      <w:pPr>
        <w:spacing w:before="0" w:after="80" w:lineRule="auto" w:line="276"/>
      </w:pPr>
      <w:r>
        <w:rPr>
          <w:b/>
        </w:rPr>
        <w:t xml:space="preserve">摘要（ZH）: </w:t>
      </w:r>
      <w:r>
        <w:t>对美国科研企业来说,过去的一年似乎自相矛盾。 一方面,它给美国科研造成了巨大的动荡和损失。 许多大学在研究方面经历了某种程度的联邦资金削减;公共、政府和私人建设科研劳动力队伍的方案被削减或取消;政府研究赠款(间接成本)中的间接费用的偿还受到威胁;国际学生的移民减少。 然而,尽管如此,事情现在比一年前预期的要好。 就在上个月,国会科学预算法案的资金从特朗普政府最初的戏剧性削减中恢复;试图改变间接费用监管的法律挑战。</w:t>
      </w:r>
    </w:p>
    <w:p>
      <w:pPr>
        <w:spacing w:before="0" w:after="200" w:lineRule="auto" w:line="276"/>
      </w:pPr>
      <w:r>
        <w:rPr>
          <w:b/>
        </w:rPr>
        <w:t xml:space="preserve">Abstract (EN): </w:t>
      </w:r>
      <w:r>
        <w:t>For the American scientific enterprise, the past year has seemed awash in contradiction. On the one hand, it has produced great upheavals and losses for US science. Many universities experienced some degree of federal funding cuts for research; public, government, and private programs for building the scientific workforce were slashed or eliminated; the reimbursement of overhead costs in government grants for research (indirect costs) was threatened; and immigration for international students was curtailed. Yet for all of that, things now are better than might have been expected a year ago. Just last month, congressional budget bills for science had their funding restored from the Trump administration's original draconian cuts; legal challenges attempting to change indirect cost regulations were unsuccessful; and the National Institutes of Health (NIH) and the National Science Foundation disbursed all the funds they had appropriated in 2025 to universities and research institutions before the money expired. Both sides of this paradox are true, and it's difficult to understand the current moment of negative actions coexisting with positive headway without considering them both together.</w:t>
      </w:r>
    </w:p>
    <w:p>
      <w:pPr>
        <w:spacing w:before="120" w:after="120"/>
      </w:pPr>
      <w:r>
        <w:rPr>
          <w:sz w:val="18"/>
        </w:rPr>
        <w:t>——————————————————————————————————————————————————————————————————————</w:t>
      </w:r>
    </w:p>
    <w:p>
      <w:pPr>
        <w:spacing w:before="160" w:after="40" w:line="240" w:lineRule="auto"/>
      </w:pPr>
      <w:r>
        <w:rPr>
          <w:b/>
        </w:rPr>
        <w:t xml:space="preserve">[579] </w:t>
      </w:r>
      <w:hyperlink r:id="rId923">
        <w:r>
          <w:rPr>
            <w:color w:val="1155CC"/>
            <w:u w:val="single"/>
          </w:rPr>
          <w:t>副副作用 暗淡了对第一支奇孔贡亚疫苗的希望</w:t>
        </w:r>
      </w:hyperlink>
    </w:p>
    <w:p>
      <w:pPr>
        <w:spacing w:before="0" w:after="80"/>
      </w:pPr>
      <w:r>
        <w:rPr>
          <w:i/>
          <w:sz w:val="20"/>
        </w:rPr>
        <w:t>EN: Side effects dim hopes for first chikungunya vaccine</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24">
        <w:r>
          <w:rPr>
            <w:color w:val="1155CC"/>
            <w:u w:val="single"/>
          </w:rPr>
          <w:t>10.1126/science.aeg1217</w:t>
        </w:r>
      </w:hyperlink>
    </w:p>
    <w:p>
      <w:pPr>
        <w:spacing w:before="0" w:after="120"/>
      </w:pPr>
      <w:r>
        <w:rPr>
          <w:b/>
        </w:rPr>
        <w:t xml:space="preserve">Notes: </w:t>
      </w:r>
      <w:r>
        <w:t>abstract_source=pubmed</w:t>
      </w:r>
    </w:p>
    <w:p>
      <w:pPr>
        <w:spacing w:before="0" w:after="80" w:lineRule="auto" w:line="276"/>
      </w:pPr>
      <w:r>
        <w:rPr>
          <w:b/>
        </w:rPr>
        <w:t xml:space="preserve">摘要（ZH）: </w:t>
      </w:r>
      <w:r>
        <w:t>去年在留尼汪岛爆发的一场疫情中,老年人的疫苗接种被中止,新疫苗可能更安全。</w:t>
      </w:r>
    </w:p>
    <w:p>
      <w:pPr>
        <w:spacing w:before="0" w:after="200" w:lineRule="auto" w:line="276"/>
      </w:pPr>
      <w:r>
        <w:rPr>
          <w:b/>
        </w:rPr>
        <w:t xml:space="preserve">Abstract (EN): </w:t>
      </w:r>
      <w:r>
        <w:t>Vaccination of the elderly was suspended during an outbreak on Réunion last year. A new vaccine may be safer.</w:t>
      </w:r>
    </w:p>
    <w:p>
      <w:pPr>
        <w:spacing w:before="120" w:after="120"/>
      </w:pPr>
      <w:r>
        <w:rPr>
          <w:sz w:val="18"/>
        </w:rPr>
        <w:t>——————————————————————————————————————————————————————————————————————</w:t>
      </w:r>
    </w:p>
    <w:p>
      <w:pPr>
        <w:spacing w:before="160" w:after="40" w:line="240" w:lineRule="auto"/>
      </w:pPr>
      <w:r>
        <w:rPr>
          <w:b/>
        </w:rPr>
        <w:t xml:space="preserve">[580] </w:t>
      </w:r>
      <w:hyperlink r:id="rId925">
        <w:r>
          <w:rPr>
            <w:color w:val="1155CC"/>
            <w:u w:val="single"/>
          </w:rPr>
          <w:t>研究条款“综合植物基因组学将海绵置于动物树根”的摘录</w:t>
        </w:r>
      </w:hyperlink>
    </w:p>
    <w:p>
      <w:pPr>
        <w:spacing w:before="0" w:after="80"/>
      </w:pPr>
      <w:r>
        <w:rPr>
          <w:i/>
          <w:sz w:val="20"/>
        </w:rPr>
        <w:t>EN: Retraction of Research Article “Integrative phylogenomics positions sponges at the root of the animal tree”</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26">
        <w:r>
          <w:rPr>
            <w:color w:val="1155CC"/>
            <w:u w:val="single"/>
          </w:rPr>
          <w:t>10.1126/science.aef5589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[581] </w:t>
      </w:r>
      <w:hyperlink r:id="rId927">
        <w:r>
          <w:rPr>
            <w:color w:val="1155CC"/>
            <w:u w:val="single"/>
          </w:rPr>
          <w:t>柔软打击</w:t>
        </w:r>
      </w:hyperlink>
    </w:p>
    <w:p>
      <w:pPr>
        <w:spacing w:before="0" w:after="80"/>
      </w:pPr>
      <w:r>
        <w:rPr>
          <w:i/>
          <w:sz w:val="20"/>
        </w:rPr>
        <w:t>EN: Softening the blow</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28">
        <w:r>
          <w:rPr>
            <w:color w:val="1155CC"/>
            <w:u w:val="single"/>
          </w:rPr>
          <w:t>10.1126/science.aeg0769</w:t>
        </w:r>
      </w:hyperlink>
    </w:p>
    <w:p>
      <w:pPr>
        <w:spacing w:before="0" w:after="120"/>
      </w:pPr>
      <w:r>
        <w:rPr>
          <w:b/>
        </w:rPr>
        <w:t xml:space="preserve">Notes: </w:t>
      </w:r>
      <w:r>
        <w:t>abstract_source=pubmed</w:t>
      </w:r>
    </w:p>
    <w:p>
      <w:pPr>
        <w:spacing w:before="0" w:after="80" w:lineRule="auto" w:line="276"/>
      </w:pPr>
      <w:r>
        <w:rPr>
          <w:b/>
        </w:rPr>
        <w:t xml:space="preserve">摘要（ZH）: </w:t>
      </w:r>
      <w:r>
        <w:t>在数据驱动的探索中 让足球头盔更安全</w:t>
      </w:r>
    </w:p>
    <w:p>
      <w:pPr>
        <w:spacing w:before="0" w:after="200" w:lineRule="auto" w:line="276"/>
      </w:pPr>
      <w:r>
        <w:rPr>
          <w:b/>
        </w:rPr>
        <w:t xml:space="preserve">Abstract (EN): </w:t>
      </w:r>
      <w:r>
        <w:t>Inside the data-driven quest to make football helmets safer.</w:t>
      </w:r>
    </w:p>
    <w:p>
      <w:pPr>
        <w:spacing w:before="120" w:after="120"/>
      </w:pPr>
      <w:r>
        <w:rPr>
          <w:sz w:val="18"/>
        </w:rPr>
        <w:t>——————————————————————————————————————————————————————————————————————</w:t>
      </w:r>
    </w:p>
    <w:p>
      <w:pPr>
        <w:spacing w:before="160" w:after="40" w:line="240" w:lineRule="auto"/>
      </w:pPr>
      <w:r>
        <w:rPr>
          <w:b/>
        </w:rPr>
        <w:t xml:space="preserve">[582] </w:t>
      </w:r>
      <w:hyperlink r:id="rId929">
        <w:r>
          <w:rPr>
            <w:color w:val="1155CC"/>
            <w:u w:val="single"/>
          </w:rPr>
          <w:t>作为治疗目标的卵巢冲浪</w:t>
        </w:r>
      </w:hyperlink>
    </w:p>
    <w:p>
      <w:pPr>
        <w:spacing w:before="0" w:after="80"/>
      </w:pPr>
      <w:r>
        <w:rPr>
          <w:i/>
          <w:sz w:val="20"/>
        </w:rPr>
        <w:t>EN: The ovarian stroma as a therapeutic target</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30">
        <w:r>
          <w:rPr>
            <w:color w:val="1155CC"/>
            <w:u w:val="single"/>
          </w:rPr>
          <w:t>10.1126/science.aee7270</w:t>
        </w:r>
      </w:hyperlink>
    </w:p>
    <w:p>
      <w:pPr>
        <w:spacing w:before="0" w:after="120"/>
      </w:pPr>
      <w:r>
        <w:rPr>
          <w:b/>
        </w:rPr>
        <w:t xml:space="preserve">Notes: </w:t>
      </w:r>
      <w:r>
        <w:t>abstract_source=pubmed</w:t>
      </w:r>
    </w:p>
    <w:p>
      <w:pPr>
        <w:spacing w:before="0" w:after="80" w:lineRule="auto" w:line="276"/>
      </w:pPr>
      <w:r>
        <w:rPr>
          <w:b/>
        </w:rPr>
        <w:t xml:space="preserve">摘要（ZH）: </w:t>
      </w:r>
      <w:r>
        <w:t>具有抗肺炎特性的药物可能会提高生育率。</w:t>
      </w:r>
    </w:p>
    <w:p>
      <w:pPr>
        <w:spacing w:before="0" w:after="200" w:lineRule="auto" w:line="276"/>
      </w:pPr>
      <w:r>
        <w:rPr>
          <w:b/>
        </w:rPr>
        <w:t xml:space="preserve">Abstract (EN): </w:t>
      </w:r>
      <w:r>
        <w:t>A drug with antifibrotic properties may improve fertility.</w:t>
      </w:r>
    </w:p>
    <w:p>
      <w:pPr>
        <w:spacing w:before="120" w:after="120"/>
      </w:pPr>
      <w:r>
        <w:rPr>
          <w:sz w:val="18"/>
        </w:rPr>
        <w:t>——————————————————————————————————————————————————————————————————————</w:t>
      </w:r>
    </w:p>
    <w:p>
      <w:pPr>
        <w:spacing w:before="160" w:after="40" w:line="240" w:lineRule="auto"/>
      </w:pPr>
      <w:r>
        <w:rPr>
          <w:b/>
        </w:rPr>
        <w:t xml:space="preserve">[583] </w:t>
      </w:r>
      <w:hyperlink r:id="rId931">
        <w:r>
          <w:rPr>
            <w:color w:val="1155CC"/>
            <w:u w:val="single"/>
          </w:rPr>
          <w:t>制止亚洲非法网络老虎贸易</w:t>
        </w:r>
      </w:hyperlink>
    </w:p>
    <w:p>
      <w:pPr>
        <w:spacing w:before="0" w:after="80"/>
      </w:pPr>
      <w:r>
        <w:rPr>
          <w:i/>
          <w:sz w:val="20"/>
        </w:rPr>
        <w:t>EN: Halt illegal cyber tiger trade in Asia</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32">
        <w:r>
          <w:rPr>
            <w:color w:val="1155CC"/>
            <w:u w:val="single"/>
          </w:rPr>
          <w:t>10.1126/science.aee7014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[584] </w:t>
      </w:r>
      <w:hyperlink r:id="rId933">
        <w:r>
          <w:rPr>
            <w:color w:val="1155CC"/>
            <w:u w:val="single"/>
          </w:rPr>
          <w:t>将蛋白质列为问题</w:t>
        </w:r>
      </w:hyperlink>
    </w:p>
    <w:p>
      <w:pPr>
        <w:spacing w:before="0" w:after="80"/>
      </w:pPr>
      <w:r>
        <w:rPr>
          <w:i/>
          <w:sz w:val="20"/>
        </w:rPr>
        <w:t>EN: Pinpointing protein as the problem</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34">
        <w:r>
          <w:rPr>
            <w:color w:val="1155CC"/>
            <w:u w:val="single"/>
          </w:rPr>
          <w:t>10.1126/science.aee6924</w:t>
        </w:r>
      </w:hyperlink>
    </w:p>
    <w:p>
      <w:pPr>
        <w:spacing w:before="0" w:after="120"/>
      </w:pPr>
      <w:r>
        <w:rPr>
          <w:b/>
        </w:rPr>
        <w:t xml:space="preserve">Notes: </w:t>
      </w:r>
      <w:r>
        <w:t>abstract_source=pubmed</w:t>
      </w:r>
    </w:p>
    <w:p>
      <w:pPr>
        <w:spacing w:before="0" w:after="80" w:lineRule="auto" w:line="276"/>
      </w:pPr>
      <w:r>
        <w:rPr>
          <w:b/>
        </w:rPr>
        <w:t xml:space="preserve">摘要（ZH）: </w:t>
      </w:r>
      <w:r>
        <w:t>与两个神经退化性障碍相联系的遗传重复扩展通过有毒蛋白,而不是通过RNA,对神经元造成伤害。</w:t>
      </w:r>
    </w:p>
    <w:p>
      <w:pPr>
        <w:spacing w:before="0" w:after="200" w:lineRule="auto" w:line="276"/>
      </w:pPr>
      <w:r>
        <w:rPr>
          <w:b/>
        </w:rPr>
        <w:t xml:space="preserve">Abstract (EN): </w:t>
      </w:r>
      <w:r>
        <w:t>A genetic repeat expansion linked to two neurodegenerative disorders harms neurons through toxic proteins, not RNA.</w:t>
      </w:r>
    </w:p>
    <w:p>
      <w:pPr>
        <w:spacing w:before="120" w:after="120"/>
      </w:pPr>
      <w:r>
        <w:rPr>
          <w:sz w:val="18"/>
        </w:rPr>
        <w:t>——————————————————————————————————————————————————————————————————————</w:t>
      </w:r>
    </w:p>
    <w:p>
      <w:pPr>
        <w:spacing w:before="160" w:after="40" w:line="240" w:lineRule="auto"/>
      </w:pPr>
      <w:r>
        <w:rPr>
          <w:b/>
        </w:rPr>
        <w:t xml:space="preserve">[585] </w:t>
      </w:r>
      <w:hyperlink r:id="rId935">
        <w:r>
          <w:rPr>
            <w:color w:val="1155CC"/>
            <w:u w:val="single"/>
          </w:rPr>
          <w:t>出席一些美国会议的人数减少,但另一些会议则持稳定立场。</w:t>
        </w:r>
      </w:hyperlink>
    </w:p>
    <w:p>
      <w:pPr>
        <w:spacing w:before="0" w:after="80"/>
      </w:pPr>
      <w:r>
        <w:rPr>
          <w:i/>
          <w:sz w:val="20"/>
        </w:rPr>
        <w:t>EN: Attendance drops at some U.S. conferences, but others hold steady</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36">
        <w:r>
          <w:rPr>
            <w:color w:val="1155CC"/>
            <w:u w:val="single"/>
          </w:rPr>
          <w:t>10.1126/science.aeg1218</w:t>
        </w:r>
      </w:hyperlink>
    </w:p>
    <w:p>
      <w:pPr>
        <w:spacing w:before="0" w:after="120"/>
      </w:pPr>
      <w:r>
        <w:rPr>
          <w:b/>
        </w:rPr>
        <w:t xml:space="preserve">Notes: </w:t>
      </w:r>
      <w:r>
        <w:t>abstract_source=pubmed</w:t>
      </w:r>
    </w:p>
    <w:p>
      <w:pPr>
        <w:spacing w:before="0" w:after="80" w:lineRule="auto" w:line="276"/>
      </w:pPr>
      <w:r>
        <w:rPr>
          <w:b/>
        </w:rPr>
        <w:t xml:space="preserve">摘要（ZH）: </w:t>
      </w:r>
      <w:r>
        <w:t>随着政治格局的继续变化,科学社会担心今后的年度会议。</w:t>
      </w:r>
    </w:p>
    <w:p>
      <w:pPr>
        <w:spacing w:before="0" w:after="200" w:lineRule="auto" w:line="276"/>
      </w:pPr>
      <w:r>
        <w:rPr>
          <w:b/>
        </w:rPr>
        <w:t xml:space="preserve">Abstract (EN): </w:t>
      </w:r>
      <w:r>
        <w:t>As the political landscape continues to shift, scientific societies worry about future annual meetings.</w:t>
      </w:r>
    </w:p>
    <w:p>
      <w:pPr>
        <w:spacing w:before="120" w:after="120"/>
      </w:pPr>
      <w:r>
        <w:rPr>
          <w:sz w:val="18"/>
        </w:rPr>
        <w:t>——————————————————————————————————————————————————————————————————————</w:t>
      </w:r>
    </w:p>
    <w:p>
      <w:pPr>
        <w:spacing w:before="160" w:after="40" w:line="240" w:lineRule="auto"/>
      </w:pPr>
      <w:r>
        <w:rPr>
          <w:b/>
        </w:rPr>
        <w:t xml:space="preserve">[586] </w:t>
      </w:r>
      <w:hyperlink r:id="rId937">
        <w:r>
          <w:rPr>
            <w:color w:val="1155CC"/>
            <w:u w:val="single"/>
          </w:rPr>
          <w:t>将网络转向打击性贩运者:利用可缩放的人工智能进行调查搜索</w:t>
        </w:r>
      </w:hyperlink>
    </w:p>
    <w:p>
      <w:pPr>
        <w:spacing w:before="0" w:after="80"/>
      </w:pPr>
      <w:r>
        <w:rPr>
          <w:i/>
          <w:sz w:val="20"/>
        </w:rPr>
        <w:t>EN: Turning the web against sex traffickers: Scalable artificial intelligence is harnessed for investigative search</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38">
        <w:r>
          <w:rPr>
            <w:color w:val="1155CC"/>
            <w:u w:val="single"/>
          </w:rPr>
          <w:t>10.1126/science.aee1347</w:t>
        </w:r>
      </w:hyperlink>
    </w:p>
    <w:p>
      <w:pPr>
        <w:spacing w:before="0" w:after="120"/>
      </w:pPr>
      <w:r>
        <w:rPr>
          <w:b/>
        </w:rPr>
        <w:t xml:space="preserve">Notes: </w:t>
      </w:r>
      <w:r>
        <w:t>abstract_source=pubmed</w:t>
      </w:r>
    </w:p>
    <w:p>
      <w:pPr>
        <w:spacing w:before="0" w:after="80" w:lineRule="auto" w:line="276"/>
      </w:pPr>
      <w:r>
        <w:rPr>
          <w:b/>
        </w:rPr>
        <w:t xml:space="preserve">摘要（ZH）: </w:t>
      </w:r>
      <w:r>
        <w:t>利用可缩放的人工智能进行调查搜索。</w:t>
      </w:r>
    </w:p>
    <w:p>
      <w:pPr>
        <w:spacing w:before="0" w:after="200" w:lineRule="auto" w:line="276"/>
      </w:pPr>
      <w:r>
        <w:rPr>
          <w:b/>
        </w:rPr>
        <w:t xml:space="preserve">Abstract (EN): </w:t>
      </w:r>
      <w:r>
        <w:t>Scalable artificial intelligence is harnessed for investigative search.</w:t>
      </w:r>
    </w:p>
    <w:p>
      <w:pPr>
        <w:spacing w:before="120" w:after="120"/>
      </w:pPr>
      <w:r>
        <w:rPr>
          <w:sz w:val="18"/>
        </w:rPr>
        <w:t>——————————————————————————————————————————————————————————————————————</w:t>
      </w:r>
    </w:p>
    <w:p>
      <w:pPr>
        <w:spacing w:before="160" w:after="40" w:line="240" w:lineRule="auto"/>
      </w:pPr>
      <w:r>
        <w:rPr>
          <w:b/>
        </w:rPr>
        <w:t xml:space="preserve">[587] </w:t>
      </w:r>
      <w:hyperlink r:id="rId939">
        <w:r>
          <w:rPr>
            <w:color w:val="1155CC"/>
            <w:u w:val="single"/>
          </w:rPr>
          <w:t>植物全景全景</w:t>
        </w:r>
      </w:hyperlink>
    </w:p>
    <w:p>
      <w:pPr>
        <w:spacing w:before="0" w:after="80"/>
      </w:pPr>
      <w:r>
        <w:rPr>
          <w:i/>
          <w:sz w:val="20"/>
        </w:rPr>
        <w:t>EN: A panorama of plant pangenomes</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40">
        <w:r>
          <w:rPr>
            <w:color w:val="1155CC"/>
            <w:u w:val="single"/>
          </w:rPr>
          <w:t>10.1126/science.aee6527</w:t>
        </w:r>
      </w:hyperlink>
    </w:p>
    <w:p>
      <w:pPr>
        <w:spacing w:before="0" w:after="120"/>
      </w:pPr>
      <w:r>
        <w:rPr>
          <w:b/>
        </w:rPr>
        <w:t xml:space="preserve">Notes: </w:t>
      </w:r>
      <w:r>
        <w:t>abstract_source=pubmed</w:t>
      </w:r>
    </w:p>
    <w:p>
      <w:pPr>
        <w:spacing w:before="0" w:after="80" w:lineRule="auto" w:line="276"/>
      </w:pPr>
      <w:r>
        <w:rPr>
          <w:b/>
        </w:rPr>
        <w:t xml:space="preserve">摘要（ZH）: </w:t>
      </w:r>
      <w:r>
        <w:t>Pangenomes确定了有助于植物繁殖和进化的遗传变异。</w:t>
      </w:r>
    </w:p>
    <w:p>
      <w:pPr>
        <w:spacing w:before="0" w:after="200" w:lineRule="auto" w:line="276"/>
      </w:pPr>
      <w:r>
        <w:rPr>
          <w:b/>
        </w:rPr>
        <w:t xml:space="preserve">Abstract (EN): </w:t>
      </w:r>
      <w:r>
        <w:t>Pangenomes identify genetic variants that inform plant breeding and evolution.</w:t>
      </w:r>
    </w:p>
    <w:p>
      <w:pPr>
        <w:spacing w:before="120" w:after="120"/>
      </w:pPr>
      <w:r>
        <w:rPr>
          <w:sz w:val="18"/>
        </w:rPr>
        <w:t>——————————————————————————————————————————————————————————————————————</w:t>
      </w:r>
    </w:p>
    <w:p>
      <w:pPr>
        <w:spacing w:before="160" w:after="40" w:line="240" w:lineRule="auto"/>
      </w:pPr>
      <w:r>
        <w:rPr>
          <w:b/>
        </w:rPr>
        <w:t xml:space="preserve">[588] </w:t>
      </w:r>
      <w:hyperlink r:id="rId941">
        <w:r>
          <w:rPr>
            <w:color w:val="1155CC"/>
            <w:u w:val="single"/>
          </w:rPr>
          <w:t>是什么导致了甲烷的激增?</w:t>
        </w:r>
      </w:hyperlink>
    </w:p>
    <w:p>
      <w:pPr>
        <w:spacing w:before="0" w:after="80"/>
      </w:pPr>
      <w:r>
        <w:rPr>
          <w:i/>
          <w:sz w:val="20"/>
        </w:rPr>
        <w:t>EN: What is causing the methane surge?</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42">
        <w:r>
          <w:rPr>
            <w:color w:val="1155CC"/>
            <w:u w:val="single"/>
          </w:rPr>
          <w:t>10.1126/science.aee6226</w:t>
        </w:r>
      </w:hyperlink>
    </w:p>
    <w:p>
      <w:pPr>
        <w:spacing w:before="0" w:after="120"/>
      </w:pPr>
      <w:r>
        <w:rPr>
          <w:b/>
        </w:rPr>
        <w:t xml:space="preserve">Notes: </w:t>
      </w:r>
      <w:r>
        <w:t>abstract_source=pubmed</w:t>
      </w:r>
    </w:p>
    <w:p>
      <w:pPr>
        <w:spacing w:before="0" w:after="80" w:lineRule="auto" w:line="276"/>
      </w:pPr>
      <w:r>
        <w:rPr>
          <w:b/>
        </w:rPr>
        <w:t xml:space="preserve">摘要（ZH）: </w:t>
      </w:r>
      <w:r>
        <w:t>大气甲烷最近的增长是由生物源和COVID-19影响驱动的。</w:t>
      </w:r>
    </w:p>
    <w:p>
      <w:pPr>
        <w:spacing w:before="0" w:after="200" w:lineRule="auto" w:line="276"/>
      </w:pPr>
      <w:r>
        <w:rPr>
          <w:b/>
        </w:rPr>
        <w:t xml:space="preserve">Abstract (EN): </w:t>
      </w:r>
      <w:r>
        <w:t>Atmospheric methane's recent growth has been driven by biogenic sources and COVID-19 impacts.</w:t>
      </w:r>
    </w:p>
    <w:p>
      <w:pPr>
        <w:spacing w:before="120" w:after="120"/>
      </w:pPr>
      <w:r>
        <w:rPr>
          <w:sz w:val="18"/>
        </w:rPr>
        <w:t>——————————————————————————————————————————————————————————————————————</w:t>
      </w:r>
    </w:p>
    <w:p>
      <w:pPr>
        <w:spacing w:before="160" w:after="40" w:line="240" w:lineRule="auto"/>
      </w:pPr>
      <w:r>
        <w:rPr>
          <w:b/>
        </w:rPr>
        <w:t xml:space="preserve">[589] </w:t>
      </w:r>
      <w:hyperlink r:id="rId943">
        <w:r>
          <w:rPr>
            <w:color w:val="1155CC"/>
            <w:u w:val="single"/>
          </w:rPr>
          <w:t>艾滋病毒疫苗设计双重螺旋曲转</w:t>
        </w:r>
      </w:hyperlink>
    </w:p>
    <w:p>
      <w:pPr>
        <w:spacing w:before="0" w:after="80"/>
      </w:pPr>
      <w:r>
        <w:rPr>
          <w:i/>
          <w:sz w:val="20"/>
        </w:rPr>
        <w:t>EN: A double helix twist in HIV vaccine design</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44">
        <w:r>
          <w:rPr>
            <w:color w:val="1155CC"/>
            <w:u w:val="single"/>
          </w:rPr>
          <w:t>10.1126/science.aee5778</w:t>
        </w:r>
      </w:hyperlink>
    </w:p>
    <w:p>
      <w:pPr>
        <w:spacing w:before="0" w:after="120"/>
      </w:pPr>
      <w:r>
        <w:rPr>
          <w:b/>
        </w:rPr>
        <w:t xml:space="preserve">Notes: </w:t>
      </w:r>
      <w:r>
        <w:t>abstract_source=pubmed</w:t>
      </w:r>
    </w:p>
    <w:p>
      <w:pPr>
        <w:spacing w:before="0" w:after="80" w:lineRule="auto" w:line="276"/>
      </w:pPr>
      <w:r>
        <w:rPr>
          <w:b/>
        </w:rPr>
        <w:t xml:space="preserve">摘要（ZH）: </w:t>
      </w:r>
      <w:r>
        <w:t>展示艾滋病毒抗原的脱氧核糖核酸手脚架刺激小鼠有重点的抗体反应。</w:t>
      </w:r>
    </w:p>
    <w:p>
      <w:pPr>
        <w:spacing w:before="0" w:after="200" w:lineRule="auto" w:line="276"/>
      </w:pPr>
      <w:r>
        <w:rPr>
          <w:b/>
        </w:rPr>
        <w:t xml:space="preserve">Abstract (EN): </w:t>
      </w:r>
      <w:r>
        <w:t>DNA origami scaffolds displaying HIV antigens stimulate focused antibody responses in mice.</w:t>
      </w:r>
    </w:p>
    <w:p>
      <w:pPr>
        <w:spacing w:before="120" w:after="120"/>
      </w:pPr>
      <w:r>
        <w:rPr>
          <w:sz w:val="18"/>
        </w:rPr>
        <w:t>——————————————————————————————————————————————————————————————————————</w:t>
      </w:r>
    </w:p>
    <w:p>
      <w:pPr>
        <w:spacing w:before="160" w:after="40" w:line="240" w:lineRule="auto"/>
      </w:pPr>
      <w:r>
        <w:rPr>
          <w:b/>
        </w:rPr>
        <w:t xml:space="preserve">[590] </w:t>
      </w:r>
      <w:hyperlink r:id="rId945">
        <w:r>
          <w:rPr>
            <w:color w:val="1155CC"/>
            <w:u w:val="single"/>
          </w:rPr>
          <w:t>亚速尔的无效海洋保护区</w:t>
        </w:r>
      </w:hyperlink>
    </w:p>
    <w:p>
      <w:pPr>
        <w:spacing w:before="0" w:after="80"/>
      </w:pPr>
      <w:r>
        <w:rPr>
          <w:i/>
          <w:sz w:val="20"/>
        </w:rPr>
        <w:t>EN: Ineffective marine protected areas in Azores</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46">
        <w:r>
          <w:rPr>
            <w:color w:val="1155CC"/>
            <w:u w:val="single"/>
          </w:rPr>
          <w:t>10.1126/science.aed7607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[591] </w:t>
      </w:r>
      <w:hyperlink r:id="rId947">
        <w:r>
          <w:rPr>
            <w:color w:val="1155CC"/>
            <w:u w:val="single"/>
          </w:rPr>
          <w:t>其他《日刊》</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48">
        <w:r>
          <w:rPr>
            <w:color w:val="1155CC"/>
            <w:u w:val="single"/>
          </w:rPr>
          <w:t>10.1126/science.aeg0768</w:t>
        </w:r>
      </w:hyperlink>
    </w:p>
    <w:p>
      <w:pPr>
        <w:spacing w:before="0" w:after="120"/>
      </w:pPr>
      <w:r>
        <w:rPr>
          <w:b/>
        </w:rPr>
        <w:t xml:space="preserve">Notes: </w:t>
      </w:r>
      <w:r>
        <w:t>abstract_source=pubmed</w:t>
      </w:r>
    </w:p>
    <w:p>
      <w:pPr>
        <w:spacing w:before="0" w:after="80" w:lineRule="auto" w:line="276"/>
      </w:pPr>
      <w:r>
        <w:rPr>
          <w:b/>
        </w:rPr>
        <w:t xml:space="preserve">摘要（ZH）: </w:t>
      </w:r>
      <w:r>
        <w:t>编辑选自当前的科学文献。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[592] </w:t>
      </w:r>
      <w:hyperlink r:id="rId949">
        <w:r>
          <w:rPr>
            <w:color w:val="1155CC"/>
            <w:u w:val="single"/>
          </w:rPr>
          <w:t>卫星数据可以帮助改变粮食系统:卫星数据可以用来提高小农农业系统的产量和可持续性</w:t>
        </w:r>
      </w:hyperlink>
    </w:p>
    <w:p>
      <w:pPr>
        <w:spacing w:before="0" w:after="80"/>
      </w:pPr>
      <w:r>
        <w:rPr>
          <w:i/>
          <w:sz w:val="20"/>
        </w:rPr>
        <w:t>EN: Satellite data can help transform food systems: Satellite data can be used to increase yields and improve sustainability in smallholder agricultural systems</w:t>
      </w:r>
    </w:p>
    <w:p>
      <w:pPr>
        <w:spacing w:before="0" w:after="120"/>
      </w:pPr>
      <w:r>
        <w:rPr>
          <w:b/>
        </w:rPr>
        <w:t xml:space="preserve">Source: </w:t>
      </w:r>
      <w:r>
        <w:t>AAAS: Science: Table of Contents</w:t>
      </w:r>
      <w:r>
        <w:t xml:space="preserve">    </w:t>
      </w:r>
      <w:r>
        <w:rPr>
          <w:b/>
        </w:rPr>
        <w:t xml:space="preserve">Pub date: </w:t>
      </w:r>
      <w:r>
        <w:t>2026-02-05 07:00:12+00:00</w:t>
      </w:r>
      <w:r>
        <w:t xml:space="preserve">    </w:t>
      </w:r>
      <w:r>
        <w:rPr>
          <w:b/>
        </w:rPr>
        <w:t xml:space="preserve">DOI: </w:t>
      </w:r>
      <w:hyperlink r:id="rId950">
        <w:r>
          <w:rPr>
            <w:color w:val="1155CC"/>
            <w:u w:val="single"/>
          </w:rPr>
          <w:t>10.1126/science.aee1344</w:t>
        </w:r>
      </w:hyperlink>
    </w:p>
    <w:p>
      <w:pPr>
        <w:spacing w:before="0" w:after="120"/>
      </w:pPr>
      <w:r>
        <w:rPr>
          <w:b/>
        </w:rPr>
        <w:t xml:space="preserve">Notes: </w:t>
      </w:r>
      <w:r>
        <w:t>abstract_source=pubmed</w:t>
      </w:r>
    </w:p>
    <w:p>
      <w:pPr>
        <w:spacing w:before="0" w:after="80" w:lineRule="auto" w:line="276"/>
      </w:pPr>
      <w:r>
        <w:rPr>
          <w:b/>
        </w:rPr>
        <w:t xml:space="preserve">摘要（ZH）: </w:t>
      </w:r>
      <w:r>
        <w:t>卫星数据可用于提高小农农业系统的产量和可持续性。</w:t>
      </w:r>
    </w:p>
    <w:p>
      <w:pPr>
        <w:spacing w:before="0" w:after="200" w:lineRule="auto" w:line="276"/>
      </w:pPr>
      <w:r>
        <w:rPr>
          <w:b/>
        </w:rPr>
        <w:t xml:space="preserve">Abstract (EN): </w:t>
      </w:r>
      <w:r>
        <w:t>Satellite data can be used to increase yields and improve sustainability in smallholder agricultural systems.</w:t>
      </w:r>
    </w:p>
    <w:p>
      <w:pPr>
        <w:spacing w:before="120" w:after="120"/>
      </w:pPr>
      <w:r>
        <w:rPr>
          <w:sz w:val="18"/>
        </w:rPr>
        <w:t>——————————————————————————————————————————————————————————————————————</w:t>
      </w:r>
    </w:p>
    <w:p>
      <w:pPr>
        <w:spacing w:before="160" w:after="40" w:line="240" w:lineRule="auto"/>
      </w:pPr>
      <w:r>
        <w:rPr>
          <w:b/>
        </w:rPr>
        <w:t xml:space="preserve">[593] </w:t>
      </w:r>
      <w:hyperlink r:id="rId951">
        <w:r>
          <w:rPr>
            <w:color w:val="1155CC"/>
            <w:u w:val="single"/>
          </w:rPr>
          <w:t>多帕米尼罗吉克机制,支持河马运动的人类后编码动态</w:t>
        </w:r>
      </w:hyperlink>
    </w:p>
    <w:p>
      <w:pPr>
        <w:spacing w:before="0" w:after="80"/>
      </w:pPr>
      <w:r>
        <w:rPr>
          <w:i/>
          <w:sz w:val="20"/>
        </w:rPr>
        <w:t>EN: Dopaminergic mechanisms supporting hippocampal postencoding dynamics in humans</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52">
        <w:r>
          <w:rPr>
            <w:color w:val="1155CC"/>
            <w:u w:val="single"/>
          </w:rPr>
          <w:t>10.1073/pnas.2526799123</w:t>
        </w:r>
      </w:hyperlink>
    </w:p>
    <w:p>
      <w:pPr>
        <w:spacing w:before="0" w:after="120"/>
      </w:pPr>
      <w:r>
        <w:rPr>
          <w:b/>
        </w:rPr>
        <w:t xml:space="preserve">Notes: </w:t>
      </w:r>
      <w:r>
        <w:t>abstract_source=pubmed</w:t>
      </w:r>
    </w:p>
    <w:p>
      <w:pPr>
        <w:spacing w:before="0" w:after="80" w:lineRule="auto" w:line="276"/>
      </w:pPr>
      <w:r>
        <w:rPr>
          <w:b/>
        </w:rPr>
        <w:t xml:space="preserve">摘要（ZH）: </w:t>
      </w:r>
      <w:r>
        <w:t>多巴胺功能的缺陷导致肾上腺素记忆的改变。 趋同的证据将多巴胺与后编码的河马运动机制相关联,而后编码的河马运动机制是为支持长期记忆而推断出来的,尽管人类缺乏直接的证据。 我们利用药理功能性MRI(fMRI)和正丙烷排放透析(PET)来弥补这一差距。 我们利用口服甲基苯甲酯和口服甲基苯甲酯的奖励编码任务,测试了基准多巴胺([11C]raclopride PET D2/3受体密度)的个别差异是否与河马营后编码过程中的药物引起的变化有关。 我们的研究侧重于健康的老年人,他们是最容易记忆力下降的人,并且可能从药理学上加强多巴胺中受益。 我们发现,甲基苯甲酸酯的施用是同索氏一样的。</w:t>
      </w:r>
    </w:p>
    <w:p>
      <w:pPr>
        <w:spacing w:before="0" w:after="200" w:lineRule="auto" w:line="276"/>
      </w:pPr>
      <w:r>
        <w:rPr>
          <w:b/>
        </w:rPr>
        <w:t xml:space="preserve">Abstract (EN): </w:t>
      </w:r>
      <w:r>
        <w:t>Deficits in dopamine function cause alterations in episodic memory. Converging evidence implicates dopamine in postencoding hippocampal mechanisms inferred to support long-term memory, though there is a lack of direct evidence in humans. We address this gap using pharmacological functional MRI (fMRI) and positron emission tomography (PET). Using a motivated reward encoding task on and off oral methylphenidate, we tested whether individual differences in baseline dopamine ([11C]raclopride PET D2/3 receptor density) relate to drug-induced changes in hippocampal postencoding processes. Our study focused on healthy older adults, who are among those most vulnerable to memory decline and may benefit from pharmacologically enhancing dopamine. We found that methylphenidate administration was associated with improved memory performance relative to placebo for both high and low reward conditions. Older adults with high receptor density showed greater persistence of hippocampal multivoxel patterns into postencoding rest and stronger hippocampus-midbrain resting-state connectivity following encoding while on methylphenidate. These findings support the view that enhanced dopaminergic tone, verified through PET, directly modulates hippocampal postencoding dynamics in humans. Substantial variation in neurobiological effects was associated with individual differences in baseline dopamine function as older adults with high dopamine receptor density profiles showed preferential benefit of drug on hippocampal function, though these insights are qualified by null associations between memory performance and postencoding hippocampal activity. Individuals with lower dopamine receptor profiles showed preferential benefit of reward incentives suggesting altered sensitivity to extrinsic motivational factors depending on endogenous dopamine function.</w:t>
      </w:r>
    </w:p>
    <w:p>
      <w:pPr>
        <w:spacing w:before="120" w:after="120"/>
      </w:pPr>
      <w:r>
        <w:rPr>
          <w:sz w:val="18"/>
        </w:rPr>
        <w:t>——————————————————————————————————————————————————————————————————————</w:t>
      </w:r>
    </w:p>
    <w:p>
      <w:pPr>
        <w:spacing w:before="160" w:after="40" w:line="240" w:lineRule="auto"/>
      </w:pPr>
      <w:r>
        <w:rPr>
          <w:b/>
        </w:rPr>
        <w:t xml:space="preserve">[594] </w:t>
      </w:r>
      <w:hyperlink r:id="rId953">
        <w:r>
          <w:rPr>
            <w:color w:val="1155CC"/>
            <w:u w:val="single"/>
          </w:rPr>
          <w:t>心室内细胞细胞解剖T淋巴细胞细胞细胞细胞细胞细胞细胞细胞在宫颈病中的抗原T细胞受子细胞受体与肠道接触HLA-E和HLA-B</w:t>
        </w:r>
      </w:hyperlink>
    </w:p>
    <w:p>
      <w:pPr>
        <w:spacing w:before="0" w:after="80"/>
      </w:pPr>
      <w:r>
        <w:rPr>
          <w:i/>
          <w:sz w:val="20"/>
        </w:rPr>
        <w:t>EN: T cell receptors for antigen on intraepithelial cytolytic T lymphocytes in celiac disease engage enterocyte HLA-E and HLA-B</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54">
        <w:r>
          <w:rPr>
            <w:color w:val="1155CC"/>
            <w:u w:val="single"/>
          </w:rPr>
          <w:t>10.1073/pnas.2525433123</w:t>
        </w:r>
      </w:hyperlink>
    </w:p>
    <w:p>
      <w:pPr>
        <w:spacing w:before="0" w:after="120"/>
      </w:pPr>
      <w:r>
        <w:rPr>
          <w:b/>
        </w:rPr>
        <w:t xml:space="preserve">Notes: </w:t>
      </w:r>
      <w:r>
        <w:t>abstract_source=pubmed</w:t>
      </w:r>
    </w:p>
    <w:p>
      <w:pPr>
        <w:spacing w:before="0" w:after="80" w:lineRule="auto" w:line="276"/>
      </w:pPr>
      <w:r>
        <w:rPr>
          <w:b/>
        </w:rPr>
        <w:t xml:space="preserve">摘要（ZH）: </w:t>
      </w:r>
      <w:r>
        <w:t>我们用单细胞RNA测序、循环免疫素lucerence、RNAScope和近距离免疫测定法,将显示活性肝炎(CeD)的阴极生物细胞与正常控制进行了比较,在CeD中,含有或T细胞受体(TCR)的振动性细胞细胞细胞渗入增加,包括核磷-STAT1蛋白、二类HLA分子和IFNGN-诱导化学物质(例如CCL3、CCL4、CXCL10和CXCL11),这些化学物质受体的受体也在MINTCTLS-Villous肠胃和HAE展出增加的HLA-AAA。</w:t>
      </w:r>
    </w:p>
    <w:p>
      <w:pPr>
        <w:spacing w:before="0" w:after="200" w:lineRule="auto" w:line="276"/>
      </w:pPr>
      <w:r>
        <w:rPr>
          <w:b/>
        </w:rPr>
        <w:t xml:space="preserve">Abstract (EN): </w:t>
      </w:r>
      <w:r>
        <w:t>We compared duodenal biopsies showing active celiac disease (CeD) to normal controls using single-cell RNA sequencing, cyclic immunofluorescence, RNAScope, and proximity ligation assays. There is increased infiltration of villous but not crypt epithelium T cells bearing either αβ or γδ T cell receptors (TCRs) in CeD. Both T cell subsets are activated cytotoxic T lymphocytes (CTLs) and are the predominant mucosal source of IFNγ. In response to this IFNγ, villous but not crypt enterocytes show an IFNγ signature, including nuclear phospho-STAT1 protein, class II HLA molecules and IFNγ-inducible chemokines known to recruit CTLs (e.g., CCL3, CCL4, CXCL10, and CXCL11) and receptors for these chemokines are expressed on the infiltrating CTLs. Villous enterocytes also display increased HLA-E and HLA-B mRNAs and proteins. Bioinformatic analyses (NICHES) and proximity ligation assays show frequent binding of both αβ and γδ TCRs with enterocyte HLA-E or HLA-B, but not HLA-DR. In contrast, NKG2C, proposed as an alternative trigger of CTL activation, is infrequently expressed and shows few interactions with HLA-E. Our data suggest that activated intraepithelial CTLs produce IFNγ which recruits additional CTLs and increases antigen-dependent killing of villous epithelium using either conventional or HLA-E antigen presentation.</w:t>
      </w:r>
    </w:p>
    <w:p>
      <w:pPr>
        <w:spacing w:before="120" w:after="120"/>
      </w:pPr>
      <w:r>
        <w:rPr>
          <w:sz w:val="18"/>
        </w:rPr>
        <w:t>——————————————————————————————————————————————————————————————————————</w:t>
      </w:r>
    </w:p>
    <w:p>
      <w:pPr>
        <w:spacing w:before="160" w:after="40" w:line="240" w:lineRule="auto"/>
      </w:pPr>
      <w:r>
        <w:rPr>
          <w:b/>
        </w:rPr>
        <w:t xml:space="preserve">[595] </w:t>
      </w:r>
      <w:hyperlink r:id="rId955">
        <w:r>
          <w:rPr>
            <w:color w:val="1155CC"/>
            <w:u w:val="single"/>
          </w:rPr>
          <w:t>天花病毒A30/H2亚复合结构结构基础</w:t>
        </w:r>
      </w:hyperlink>
    </w:p>
    <w:p>
      <w:pPr>
        <w:spacing w:before="0" w:after="80"/>
      </w:pPr>
      <w:r>
        <w:rPr>
          <w:i/>
          <w:sz w:val="20"/>
        </w:rPr>
        <w:t>EN: Structural basis of mpox virus A30/H2 subcomplex formation</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56">
        <w:r>
          <w:rPr>
            <w:color w:val="1155CC"/>
            <w:u w:val="single"/>
          </w:rPr>
          <w:t>10.1073/pnas.2524604123</w:t>
        </w:r>
      </w:hyperlink>
    </w:p>
    <w:p>
      <w:pPr>
        <w:spacing w:before="0" w:after="120"/>
      </w:pPr>
      <w:r>
        <w:rPr>
          <w:b/>
        </w:rPr>
        <w:t xml:space="preserve">Notes: </w:t>
      </w:r>
      <w:r>
        <w:t>abstract_source=pubmed</w:t>
      </w:r>
    </w:p>
    <w:p>
      <w:pPr>
        <w:spacing w:before="0" w:after="80" w:lineRule="auto" w:line="276"/>
      </w:pPr>
      <w:r>
        <w:rPr>
          <w:b/>
        </w:rPr>
        <w:t xml:space="preserve">摘要（ZH）: </w:t>
      </w:r>
      <w:r>
        <w:t>由天花病毒(MPXV)引起的天花疾病(MPXV)的连续传播对全球公众健康构成了极大的威胁。MPXV的附着后膜融合过程由称为入聚综合体(EFC)的多美蛋白机制成。在EFC成分中,A30和H2是最早确认的相互作用配对,在病毒输入中起着重要作用。在这里,我们通过联结战略确定 MPXV A30/H2子复合体的晶体结构,并表明 A30在H2结合上进行了大型的符合性重新排列。结构分析显示,分单元间接口扩大,并高度保护分子间相互作用。在体内具有约束力的数据进一步澄清了A30/H2分复合体形成中的关键残留物和元素。最后,我们表明,H2-A30是H2。</w:t>
      </w:r>
    </w:p>
    <w:p>
      <w:pPr>
        <w:spacing w:before="0" w:after="200" w:lineRule="auto" w:line="276"/>
      </w:pPr>
      <w:r>
        <w:rPr>
          <w:b/>
        </w:rPr>
        <w:t xml:space="preserve">Abstract (EN): </w:t>
      </w:r>
      <w:r>
        <w:t>The continuous spread of mpox disease caused by mpox virus (MPXV) has posed great threat to global public health. The postattachment membrane fusion process of MPXV is mediated by a multimeric protein machinery, termed as entry-fusion complex (EFC). Among EFC components, A30 and H2 are the earliest identified interaction pair and play important roles in virus entry. Here, we determine the crystal structure of MPXV A30/H2 subcomplex via the tandem-fusion strategy, and show that A30 undergoes large conformational rearrangements upon H2 binding. Structural analysis reveals extended intersubunit interface and highly conserved intermolecular interactions. In vitro binding data further clarify key residues and elements involved in the A30/H2 subcomplex formation. Finally, we show that the H2-A30 fusion protein, superior to A30 ectodomain alone or the ectodomain-mixture of H2+A30, can induce more potent neutralizing-antibody responses which could inhibit viral infection. These data provide valuable information for the understanding of poxvirus EFC assembly and the H2-A30-based immunogen design and optimization.</w:t>
      </w:r>
    </w:p>
    <w:p>
      <w:pPr>
        <w:spacing w:before="120" w:after="120"/>
      </w:pPr>
      <w:r>
        <w:rPr>
          <w:sz w:val="18"/>
        </w:rPr>
        <w:t>——————————————————————————————————————————————————————————————————————</w:t>
      </w:r>
    </w:p>
    <w:p>
      <w:pPr>
        <w:spacing w:before="160" w:after="40" w:line="240" w:lineRule="auto"/>
      </w:pPr>
      <w:r>
        <w:rPr>
          <w:b/>
        </w:rPr>
        <w:t xml:space="preserve">[596] </w:t>
      </w:r>
      <w:hyperlink r:id="rId957">
        <w:r>
          <w:rPr>
            <w:color w:val="1155CC"/>
            <w:u w:val="single"/>
          </w:rPr>
          <w:t>ERECTA家庭受体受体的克氯氰菊酯代管内分泌内分泌对于阿拉伯病的适当口腔发育至关重要。</w:t>
        </w:r>
      </w:hyperlink>
    </w:p>
    <w:p>
      <w:pPr>
        <w:spacing w:before="0" w:after="80"/>
      </w:pPr>
      <w:r>
        <w:rPr>
          <w:i/>
          <w:sz w:val="20"/>
        </w:rPr>
        <w:t>EN: Clathrin-mediated endocytosis of ERECTA family receptors is essential for proper stomatal development in Arabidopsis</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58">
        <w:r>
          <w:rPr>
            <w:color w:val="1155CC"/>
            <w:u w:val="single"/>
          </w:rPr>
          <w:t>10.1073/pnas.2520535123</w:t>
        </w:r>
      </w:hyperlink>
    </w:p>
    <w:p>
      <w:pPr>
        <w:spacing w:before="0" w:after="120"/>
      </w:pPr>
      <w:r>
        <w:rPr>
          <w:b/>
        </w:rPr>
        <w:t xml:space="preserve">Notes: </w:t>
      </w:r>
      <w:r>
        <w:t>abstract_source=pubmed</w:t>
      </w:r>
    </w:p>
    <w:p>
      <w:pPr>
        <w:spacing w:before="0" w:after="80" w:lineRule="auto" w:line="276"/>
      </w:pPr>
      <w:r>
        <w:rPr>
          <w:b/>
        </w:rPr>
        <w:t xml:space="preserve">摘要（ZH）: </w:t>
      </w:r>
      <w:r>
        <w:t>Stomatal密度和型式由ERECTA家族(ERf)受体相似的离心体控制信号调节。Clathrin中位内分泌系统(CME)是将受体内化以激活动物下游信号的新机制。在这里,我们发现CME成分突变导致形成相向聚群,从而增加了相向指数。CME的适应性蛋白质2-123(AP2-1213)子单位与ERf.ERf受体内化发生互动,需要CME。此外,ERf受体内分泌模型被确定为AP2-1213所承认。遗传分析表明,CME成分CHC2、CLC2和CLC3是ELC3的中位,是ELPEREMAL的下游。</w:t>
      </w:r>
    </w:p>
    <w:p>
      <w:pPr>
        <w:spacing w:before="0" w:after="200" w:lineRule="auto" w:line="276"/>
      </w:pPr>
      <w:r>
        <w:rPr>
          <w:b/>
        </w:rPr>
        <w:t xml:space="preserve">Abstract (EN): </w:t>
      </w:r>
      <w:r>
        <w:t>Stomata, specialized structures of plant epidermis, are crucial for gas (e.g., CO2, O2, and H2O) exchange between plants and the environment. Stomatal density and pattern are governed by ERECTA family (ERf) receptor-like kinases-controlled signaling. Clathrin-mediated endocytosis (CME) is a new mechanism for the internalization of receptors to activate the downstream signaling in animals. Here, we found that mutation of CME components resulted in formation of stomatal clusters and thus increased stomatal index. The adaptor protein 2σ (AP2σ) subunit of CME interacted with ERf. ERf receptor internalization required CME. Furthermore, the ERf receptor motifs were identified to be recognized by AP2σ. Genetic analysis showed that CME components CHC2, CLC2, and CLC3 acted downstream of EPIDERMAL PATTERNING FACTOR 1/2 while upstream of YODA and worked together with ERf to regulate stomatal development. Consistently, EPF2-induced MAPK activation was significantly reduced in chc2-2 clc2 clc3 and ap2μ clc2 clc3 mutants or when the ERf endocytic motifs were mutated, leading to stabilized SPEECHLESS protein and misregulated stomatal lineage progression. Overall, our findings demonstrate that activation of the ERf receptors via internalization is essential for stomatal development, establishing a mechanism of CME-mediated receptor internalization activation in plants.</w:t>
      </w:r>
    </w:p>
    <w:p>
      <w:pPr>
        <w:spacing w:before="120" w:after="120"/>
      </w:pPr>
      <w:r>
        <w:rPr>
          <w:sz w:val="18"/>
        </w:rPr>
        <w:t>——————————————————————————————————————————————————————————————————————</w:t>
      </w:r>
    </w:p>
    <w:p>
      <w:pPr>
        <w:spacing w:before="160" w:after="40" w:line="240" w:lineRule="auto"/>
      </w:pPr>
      <w:r>
        <w:rPr>
          <w:b/>
        </w:rPr>
        <w:t xml:space="preserve">[597] </w:t>
      </w:r>
      <w:hyperlink r:id="rId959">
        <w:r>
          <w:rPr>
            <w:color w:val="1155CC"/>
            <w:u w:val="single"/>
          </w:rPr>
          <w:t>James D. Watson(1928-2025年):科学和社会的影响</w:t>
        </w:r>
      </w:hyperlink>
    </w:p>
    <w:p>
      <w:pPr>
        <w:spacing w:before="0" w:after="80"/>
      </w:pPr>
      <w:r>
        <w:rPr>
          <w:i/>
          <w:sz w:val="20"/>
        </w:rPr>
        <w:t>EN: James D. Watson (1928–2025): Influencer of science and society</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60">
        <w:r>
          <w:rPr>
            <w:color w:val="1155CC"/>
            <w:u w:val="single"/>
          </w:rPr>
          <w:t>10.1073/pnas.2600779123</w:t>
        </w:r>
      </w:hyperlink>
    </w:p>
    <w:p>
      <w:pPr>
        <w:spacing w:before="0" w:after="120"/>
      </w:pPr>
      <w:r>
        <w:rPr>
          <w:b/>
        </w:rPr>
        <w:t xml:space="preserve">Notes: </w:t>
      </w:r>
      <w:r>
        <w:t>abstract_source=pubmed</w:t>
      </w:r>
    </w:p>
    <w:p>
      <w:pPr>
        <w:spacing w:before="0" w:after="80" w:lineRule="auto" w:line="276"/>
      </w:pPr>
      <w:r>
        <w:rPr>
          <w:b/>
        </w:rPr>
        <w:t xml:space="preserve">摘要（ZH）: </w:t>
      </w:r>
      <w:r>
        <w:t>2025年11月7日去世的詹姆斯·杜威·沃森(James Dewey Watson)于20世纪20世纪生命科学的97岁时去世,是20世纪生命科学中一个惊人的数字。他与弗朗西斯·克里克(Francis Crick)一起决定了DNA的结构,奠定了现代生物学的基础;他将冷泉港实验室作为世界上伟大的生物医学研究机构之一,并成为分子生物学和神经科学专业教育的中心;他建立了人类基因组项目,并确保有关伦理、法律和社会问题的研究是该项目的一部分;他制作了一部经典教科书,使基因风格发生了革命;他为科学家和非科学家撰写了一本最有趣和最有争议的科学书籍。</w:t>
      </w:r>
    </w:p>
    <w:p>
      <w:pPr>
        <w:spacing w:before="0" w:after="200" w:lineRule="auto" w:line="276"/>
      </w:pPr>
      <w:r>
        <w:rPr>
          <w:b/>
        </w:rPr>
        <w:t xml:space="preserve">Abstract (EN): </w:t>
      </w:r>
      <w:r>
        <w:t>James Dewey Watson who died on November 7, 2025, at the age of 97, was a towering figure in 20th century life science. With Francis Crick, he determined the structure of DNA, laying the foundation of modern biology; he made Cold Spring Harbor Laboratory one of the world's great biomedical research institutes and a center for professional education in molecular biology and neuroscience; he established the Human Genome Project and ensured that research on the associated ethical, legal, and social issues was part of the project; he created a classic textbook that revolutionized the style of the genre; and he wrote one of the most interesting and controversial books on science for scientists and nonscientists alike.</w:t>
      </w:r>
    </w:p>
    <w:p>
      <w:pPr>
        <w:spacing w:before="120" w:after="120"/>
      </w:pPr>
      <w:r>
        <w:rPr>
          <w:sz w:val="18"/>
        </w:rPr>
        <w:t>——————————————————————————————————————————————————————————————————————</w:t>
      </w:r>
    </w:p>
    <w:p>
      <w:pPr>
        <w:spacing w:before="160" w:after="40" w:line="240" w:lineRule="auto"/>
      </w:pPr>
      <w:r>
        <w:rPr>
          <w:b/>
        </w:rPr>
        <w:t xml:space="preserve">[598] </w:t>
      </w:r>
      <w:hyperlink r:id="rId961">
        <w:r>
          <w:rPr>
            <w:color w:val="1155CC"/>
            <w:u w:val="single"/>
          </w:rPr>
          <w:t>光链轻磷酸化调节器 心脏厚厚的丝细纤维监测器</w:t>
        </w:r>
      </w:hyperlink>
    </w:p>
    <w:p>
      <w:pPr>
        <w:spacing w:before="0" w:after="80"/>
      </w:pPr>
      <w:r>
        <w:rPr>
          <w:i/>
          <w:sz w:val="20"/>
        </w:rPr>
        <w:t>EN: Spatial control of myosin regulatory light chain phosphorylation modulates cardiac thick filament mechanosensing</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62">
        <w:r>
          <w:rPr>
            <w:color w:val="1155CC"/>
            <w:u w:val="single"/>
          </w:rPr>
          <w:t>10.1073/pnas.2520471123</w:t>
        </w:r>
      </w:hyperlink>
    </w:p>
    <w:p>
      <w:pPr>
        <w:spacing w:before="0" w:after="120"/>
      </w:pPr>
      <w:r>
        <w:rPr>
          <w:b/>
        </w:rPr>
        <w:t xml:space="preserve">Notes: </w:t>
      </w:r>
      <w:r>
        <w:t>abstract_source=pubmed</w:t>
      </w:r>
    </w:p>
    <w:p>
      <w:pPr>
        <w:spacing w:before="0" w:after="80" w:lineRule="auto" w:line="276"/>
      </w:pPr>
      <w:r>
        <w:rPr>
          <w:b/>
        </w:rPr>
        <w:t xml:space="preserve">摘要（ZH）: </w:t>
      </w:r>
      <w:r>
        <w:t>心脏可以调整其性能,以适应身体其余部分不断变化的代谢需求的变化。心脏固有的中心机制是,通过翻译后修改来调节心电压蛋白的功能。虽然心脏肌内肌内运动相关调节光链(RLC)的磷酸化已被确认为是增加心肌内心肌内心电链状功能的关键信号路径,但人们对其分子作用机制知之甚少。在这里,我们表明,RLC的磷酸化不是一个切片过程,而是一个在心电弧中进行空间严格控制的机制。与心脏肌内蛋白结合蛋白-C(cMyBP-C)相关的厚丝状区域的Myosin运动是主要途径。</w:t>
      </w:r>
    </w:p>
    <w:p>
      <w:pPr>
        <w:spacing w:before="0" w:after="200" w:lineRule="auto" w:line="276"/>
      </w:pPr>
      <w:r>
        <w:rPr>
          <w:b/>
        </w:rPr>
        <w:t xml:space="preserve">Abstract (EN): </w:t>
      </w:r>
      <w:r>
        <w:t>The heart can adapt its performance in response to changing metabolic demands of the rest of the body. A central mechanism intrinsic to the heart is to modulate the function of the cardiac contractile proteins via posttranslational modifications. Although phosphorylation of the cardiac myosin motor-associated regulatory light chain (RLC) by cardiac myosin light chain kinase (cMLCK) has been recognized as a key signaling pathway to increase myocardial contractile function, little is known about its molecular mechanism of action. Here, we show that phosphorylation of RLC is not a stochastic process but a spatially tightly controlled mechanism in the cardiac sarcomere. Myosin motors in the region of the thick filament associated with cardiac myosin binding protein-C (cMyBP-C) are the primary target for phosphorylation by cMLCK. Moreover, we show that phosphorylation of RLC likely only leads to activation of one of the two myosin motors of the dimeric cardiac myosin molecule. Using a combination of structural measurements using bifunctional fluorescent probes on the RLC and spatially explicit modeling we show that RLC phosphorylation increases the force-dependent recruitment of the myosin motors. We propose that RLC phosphorylation exerts its functional effects via increasing the gain of the mechanosignaling between different zones of the thick filament. A better mechanistic understanding of the role of RLC phosphorylation likely underpins the development of therapeutic interventions for both heart disease and heart failure.</w:t>
      </w:r>
    </w:p>
    <w:p>
      <w:pPr>
        <w:spacing w:before="120" w:after="120"/>
      </w:pPr>
      <w:r>
        <w:rPr>
          <w:sz w:val="18"/>
        </w:rPr>
        <w:t>——————————————————————————————————————————————————————————————————————</w:t>
      </w:r>
    </w:p>
    <w:p>
      <w:pPr>
        <w:spacing w:before="160" w:after="40" w:line="240" w:lineRule="auto"/>
      </w:pPr>
      <w:r>
        <w:rPr>
          <w:b/>
        </w:rPr>
        <w:t xml:space="preserve">[599] </w:t>
      </w:r>
      <w:hyperlink r:id="rId963">
        <w:r>
          <w:rPr>
            <w:color w:val="1155CC"/>
            <w:u w:val="single"/>
          </w:rPr>
          <w:t>应对机动车遇到的挑战,补偿性地缩小模式性神经神经人口规模</w:t>
        </w:r>
      </w:hyperlink>
    </w:p>
    <w:p>
      <w:pPr>
        <w:spacing w:before="0" w:after="80"/>
      </w:pPr>
      <w:r>
        <w:rPr>
          <w:i/>
          <w:sz w:val="20"/>
        </w:rPr>
        <w:t>EN: Compensatory scaling of modulatory neural populations in response to motor challenges</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64">
        <w:r>
          <w:rPr>
            <w:color w:val="1155CC"/>
            <w:u w:val="single"/>
          </w:rPr>
          <w:t>10.1073/pnas.2519741123</w:t>
        </w:r>
      </w:hyperlink>
    </w:p>
    <w:p>
      <w:pPr>
        <w:spacing w:before="0" w:after="120"/>
      </w:pPr>
      <w:r>
        <w:rPr>
          <w:b/>
        </w:rPr>
        <w:t xml:space="preserve">Notes: </w:t>
      </w:r>
      <w:r>
        <w:t>abstract_source=pubmed</w:t>
      </w:r>
    </w:p>
    <w:p>
      <w:pPr>
        <w:spacing w:before="0" w:after="80" w:lineRule="auto" w:line="276"/>
      </w:pPr>
      <w:r>
        <w:rPr>
          <w:b/>
        </w:rPr>
        <w:t xml:space="preserve">摘要（ZH）: </w:t>
      </w:r>
      <w:r>
        <w:t>精密和适应性运动是通过管理良好的肌肉收缩实现的,主要是由运动神经神经的可刺激性决定的。一些源自运动皮层、脑激素和脊髓的神经调节系统通过释放乙酰胆碱和血清素等神经传导器来调节运动神经的可刺激性。然而,这些系统对运动神经输出可产生看似相似的影响,引起关于运动期间相互作用的问题。为了解决这个问题,我们调查了小鼠的两种摩托系统:脊髓的胆碱性V0c中和脑细胞中的血清系统。电学和行为记录显示,与控制小鼠相比,鼠的V0c体间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体外</w:t>
      </w:r>
    </w:p>
    <w:p>
      <w:pPr>
        <w:spacing w:before="0" w:after="200" w:lineRule="auto" w:line="276"/>
      </w:pPr>
      <w:r>
        <w:rPr>
          <w:b/>
        </w:rPr>
        <w:t xml:space="preserve">Abstract (EN): </w:t>
      </w:r>
      <w:r>
        <w:t>Precise and adaptable movements are achieved by well-regulated muscle contractions, which are mainly governed by the excitability of motor neurons. Several neuromodulatory systems originating in the motor cortex, brainstem, and spinal cord regulate motor neuron excitability via the release of neurotransmitters such as acetylcholine and serotonin. However, these systems can have seemingly similar effects on motor neuron output, raising questions about interaction during movement. To address this, we investigated two modulatory systems in mice: the cholinergic V0c interneurons in the spinal cord and the serotonergic system in the brainstem. Electromyographic and behavioral recordings revealed that, when compared to control mice, mice whose V0c interneuron cholinergic output was genetically inactivated failed to display speed-dependent modulation of the gastrocnemius muscle, and exhibited lower amplitude bursting in the gastrocnemius muscle during swimming. c-Fos expression in this population during locomotion also indicated that they are active in a speed-dependent manner. Relative to control mice, those mice whose V0c interneurons had their cholinergic output inactivated showed upregulated activity in motor-related serotonergic populations while trotting at higher speeds but not while walking at lower speeds, indicating that serotonin plays a compensatory role in the absence of functional V0c interneurons. Last, we observed a progressive recruitment of these two populations in mice with amyotrophic lateral sclerosis, and the recruitment of serotonergic neurons is hastened in those mice whose V0c interneurons had their cholinergic output inactivated. These findings highlight that modulatory systems scale their activity to match motor demand across various circumstances.</w:t>
      </w:r>
    </w:p>
    <w:p>
      <w:pPr>
        <w:spacing w:before="120" w:after="120"/>
      </w:pPr>
      <w:r>
        <w:rPr>
          <w:sz w:val="18"/>
        </w:rPr>
        <w:t>——————————————————————————————————————————————————————————————————————</w:t>
      </w:r>
    </w:p>
    <w:p>
      <w:pPr>
        <w:spacing w:before="160" w:after="40" w:line="240" w:lineRule="auto"/>
      </w:pPr>
      <w:r>
        <w:rPr>
          <w:b/>
        </w:rPr>
        <w:t xml:space="preserve">[600] </w:t>
      </w:r>
      <w:hyperlink r:id="rId965">
        <w:r>
          <w:rPr>
            <w:color w:val="1155CC"/>
            <w:u w:val="single"/>
          </w:rPr>
          <w:t>SEL1L-HRD1综合综合体的功能完整性对于内流性内流性内流-相关降解和生物机体可行性至关重要。</w:t>
        </w:r>
      </w:hyperlink>
    </w:p>
    <w:p>
      <w:pPr>
        <w:spacing w:before="0" w:after="80"/>
      </w:pPr>
      <w:r>
        <w:rPr>
          <w:i/>
          <w:sz w:val="20"/>
        </w:rPr>
        <w:t>EN: Functional integrity of the SEL1L–HRD1 complex is critical for endoplasmic reticulum–associated degradation and organismal viability</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66">
        <w:r>
          <w:rPr>
            <w:color w:val="1155CC"/>
            <w:u w:val="single"/>
          </w:rPr>
          <w:t>10.1073/pnas.2517927123</w:t>
        </w:r>
      </w:hyperlink>
    </w:p>
    <w:p>
      <w:pPr>
        <w:spacing w:before="0" w:after="120"/>
      </w:pPr>
      <w:r>
        <w:rPr>
          <w:b/>
        </w:rPr>
        <w:t xml:space="preserve">Notes: </w:t>
      </w:r>
      <w:r>
        <w:t>abstract_source=pubmed</w:t>
      </w:r>
    </w:p>
    <w:p>
      <w:pPr>
        <w:spacing w:before="0" w:after="80" w:lineRule="auto" w:line="276"/>
      </w:pPr>
      <w:r>
        <w:rPr>
          <w:b/>
        </w:rPr>
        <w:t xml:space="preserve">摘要（ZH）: </w:t>
      </w:r>
      <w:r>
        <w:t>SEL1L-HRD1综合体是内分光性内分光性中与内分膜相关降解(ERAD)中最受保护的分支,然而,哺乳动物的HR1功能是否严格需要SEL1L(SEL1L),这一点仍不清楚。在这里,我们用体内和体外的互补方法表明,直接SEL1L-HRD1结合对ERAD活动和新生儿存活至关重要。针对这一接口的三种敲击式鼠标模型显示了明显的基因类型类型类型类型关系:L709P变体,它废除了SEL1L-HRD1的联系,导致新生儿完全死亡;部分致命性部分破坏的S658P变体结果;P699T突变体保持了相互作用和正常生存能力。从机械学上看,我们的数据显示,SEL1L-HRD1接口对于ELA复合形成和一个ERD组合至关重要。</w:t>
      </w:r>
    </w:p>
    <w:p>
      <w:pPr>
        <w:spacing w:before="0" w:after="200" w:lineRule="auto" w:line="276"/>
      </w:pPr>
      <w:r>
        <w:rPr>
          <w:b/>
        </w:rPr>
        <w:t xml:space="preserve">Abstract (EN): </w:t>
      </w:r>
      <w:r>
        <w:t>The SEL1L-HRD1 complex is the most conserved branch of endoplasmic reticulum-associated degradation (ERAD), yet whether SEL1L is strictly required for HRD1 function in mammals has remained unclear. Here, we show, using complementary in vivo and in vitro approaches, that direct SEL1L-HRD1 binding is essential for ERAD activity and neonatal survival. Three knock-in mouse models targeting this interface reveal a clear genotype-phenotype relationship: the L709P variant, which abolishes SEL1L-HRD1 association, causes complete neonatal lethality; the partially disruptive S658P variant results in partial lethality; and the P699T mutation preserves the interaction and yields normal viability. Mechanistically, our data show that the SEL1L-HRD1 interface is essential for ERAD complex formation and activity, enabling both substrate handoff and E2 enzyme recruitment, and that the L709P mutation effectively uncouples these core steps of the mammalian ERAD pathway. These findings establish SEL1L-HRD1 coupling as a core requirement for mammalian ERAD function and early postnatal viability.</w:t>
      </w:r>
    </w:p>
    <w:p>
      <w:pPr>
        <w:spacing w:before="120" w:after="120"/>
      </w:pPr>
      <w:r>
        <w:rPr>
          <w:sz w:val="18"/>
        </w:rPr>
        <w:t>——————————————————————————————————————————————————————————————————————</w:t>
      </w:r>
    </w:p>
    <w:p>
      <w:pPr>
        <w:spacing w:before="160" w:after="40" w:line="240" w:lineRule="auto"/>
      </w:pPr>
      <w:r>
        <w:rPr>
          <w:b/>
        </w:rPr>
        <w:t xml:space="preserve">[601] </w:t>
      </w:r>
      <w:hyperlink r:id="rId967">
        <w:r>
          <w:rPr>
            <w:color w:val="1155CC"/>
            <w:u w:val="single"/>
          </w:rPr>
          <w:t>HSC-HCC-宏观经济网中的米托昆德里转移形成肝细胞癌累进</w:t>
        </w:r>
      </w:hyperlink>
    </w:p>
    <w:p>
      <w:pPr>
        <w:spacing w:before="0" w:after="80"/>
      </w:pPr>
      <w:r>
        <w:rPr>
          <w:i/>
          <w:sz w:val="20"/>
        </w:rPr>
        <w:t>EN: Mitochondrial transfer in the HSC–HCC–macrophage network shapes hepatocellular carcinoma progression</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68">
        <w:r>
          <w:rPr>
            <w:color w:val="1155CC"/>
            <w:u w:val="single"/>
          </w:rPr>
          <w:t>10.1073/pnas.2512592123</w:t>
        </w:r>
      </w:hyperlink>
    </w:p>
    <w:p>
      <w:pPr>
        <w:spacing w:before="0" w:after="120"/>
      </w:pPr>
      <w:r>
        <w:rPr>
          <w:b/>
        </w:rPr>
        <w:t xml:space="preserve">Notes: </w:t>
      </w:r>
      <w:r>
        <w:t>abstract_source=pubmed</w:t>
      </w:r>
    </w:p>
    <w:p>
      <w:pPr>
        <w:spacing w:before="0" w:after="80" w:lineRule="auto" w:line="276"/>
      </w:pPr>
      <w:r>
        <w:rPr>
          <w:b/>
        </w:rPr>
        <w:t xml:space="preserve">摘要（ZH）: </w:t>
      </w:r>
      <w:r>
        <w:t>肿瘤细胞和肿瘤微环境成分之间的米托科多里交汇是推动肝细胞细胞癌(HCC)发展的关键但探索不足的机制。在这里,我们证明,在HCC中,mitochondria可以通过管道纳米管(TNT)从肝细胞闪烁细胞转移到癌症细胞,为肿瘤生长提供必要的能量。同时,癌症细胞通过外细胞囊(EVs)将受损的mitocondria送到大型细胞中,便利其清除,促进肿瘤发育。为了打破这一线粒体交换,我们开发了反应灵敏的亲脂纳米carrier(L&amp;G@LipoPPV), 共生L-778123和GW4869, 以同时抑制TNT的中介和微粒介介的米托孔体转移。</w:t>
      </w:r>
    </w:p>
    <w:p>
      <w:pPr>
        <w:spacing w:before="0" w:after="200" w:lineRule="auto" w:line="276"/>
      </w:pPr>
      <w:r>
        <w:rPr>
          <w:b/>
        </w:rPr>
        <w:t xml:space="preserve">Abstract (EN): </w:t>
      </w:r>
      <w:r>
        <w:t>Mitochondrial crosstalk between tumor cells and components of the tumor microenvironment (TME) is a critical yet underexplored mechanism driving hepatocellular carcinoma (HCC) progression. Here, we demonstrate that in HCC, mitochondria can be transferred from hepatic stellate cells to cancer cells via tunneling nanotubes (TNTs), supplying essential energy for tumor growth. Simultaneously, cancer cells offload damaged mitochondria to macrophages through extracellular vesicles (EVs), facilitating their clearance and promoting tumor development. To disrupt this mitochondrial exchange, we developed a responsive liposomal nanocarrier (L&amp;G@LipoPPV) coencapsulating L-778123 and GW4869 to simultaneously inhibit TNT-mediated and vesicle-mediated mitochondrial transfer. This work provides the first comprehensive evidence of mitochondrial transfer dynamics in the TME, with tumor cells as the central hub, and highlights L&amp;G@LipoPPV as an innovative and effective strategy to block mitochondrial crosstalk. Our findings address critical challenges of drug solubility and delivery, offering a rational approach to reprogram the TME and suppress liver cancer progression.</w:t>
      </w:r>
    </w:p>
    <w:p>
      <w:pPr>
        <w:spacing w:before="120" w:after="120"/>
      </w:pPr>
      <w:r>
        <w:rPr>
          <w:sz w:val="18"/>
        </w:rPr>
        <w:t>——————————————————————————————————————————————————————————————————————</w:t>
      </w:r>
    </w:p>
    <w:p>
      <w:pPr>
        <w:spacing w:before="160" w:after="40" w:line="240" w:lineRule="auto"/>
      </w:pPr>
      <w:r>
        <w:rPr>
          <w:b/>
        </w:rPr>
        <w:t xml:space="preserve">[602] </w:t>
      </w:r>
      <w:hyperlink r:id="rId969">
        <w:r>
          <w:rPr>
            <w:color w:val="1155CC"/>
            <w:u w:val="single"/>
          </w:rPr>
          <w:t>对Hanasaki等人的更正,破碎的随机发条状态,脊髓乳酸酯的冰型结构波动</w:t>
        </w:r>
      </w:hyperlink>
    </w:p>
    <w:p>
      <w:pPr>
        <w:spacing w:before="0" w:after="80"/>
      </w:pPr>
      <w:r>
        <w:rPr>
          <w:i/>
          <w:sz w:val="20"/>
        </w:rPr>
        <w:t>EN: Correction for Hanasaki et al., Frustrated random-singlet state with ice-type structural fluctuation in spinel titanates</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70">
        <w:r>
          <w:rPr>
            <w:color w:val="1155CC"/>
            <w:u w:val="single"/>
          </w:rPr>
          <w:t>10.1073/pnas.2601573123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[603] </w:t>
      </w:r>
      <w:hyperlink r:id="rId971">
        <w:r>
          <w:rPr>
            <w:color w:val="1155CC"/>
            <w:u w:val="single"/>
          </w:rPr>
          <w:t>通过对汉密尔顿人量子进行等级蒸馏,进行预测自由能源模拟</w:t>
        </w:r>
      </w:hyperlink>
    </w:p>
    <w:p>
      <w:pPr>
        <w:spacing w:before="0" w:after="80"/>
      </w:pPr>
      <w:r>
        <w:rPr>
          <w:i/>
          <w:sz w:val="20"/>
        </w:rPr>
        <w:t>EN: Predictive free energy simulations through hierarchical distillation of quantum Hamiltonians</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72">
        <w:r>
          <w:rPr>
            <w:color w:val="1155CC"/>
            <w:u w:val="single"/>
          </w:rPr>
          <w:t>10.1073/pnas.2529120123</w:t>
        </w:r>
      </w:hyperlink>
    </w:p>
    <w:p>
      <w:pPr>
        <w:spacing w:before="0" w:after="120"/>
      </w:pPr>
      <w:r>
        <w:rPr>
          <w:b/>
        </w:rPr>
        <w:t xml:space="preserve">Notes: </w:t>
      </w:r>
      <w:r>
        <w:t>abstract_source=pubmed</w:t>
      </w:r>
    </w:p>
    <w:p>
      <w:pPr>
        <w:spacing w:before="0" w:after="80" w:lineRule="auto" w:line="276"/>
      </w:pPr>
      <w:r>
        <w:rPr>
          <w:b/>
        </w:rPr>
        <w:t xml:space="preserve">摘要（ZH）: </w:t>
      </w:r>
      <w:r>
        <w:t>获得精密阶段化学反应的自由能量,对于高量量子机械方法来说,计算仍然难以达到。我们引入了一个等级机器学习框架,通过将少数高不忠度量量计算的知识提炼到越来越粗粗粗的、机器学得的汉密尔顿人身上,从而弥补这一差距。通过保留明确的电子自由度,我们的方法进一步使量子和古典自由度的忠实嵌入能够捕捉长程电静电和量子对古典环境对无限秩序的反应。作为验证,我们计算了微弱酸质分解常数和酶反应动速率的质子分解常数,完全来自第一种原则,再生前。</w:t>
      </w:r>
    </w:p>
    <w:p>
      <w:pPr>
        <w:spacing w:before="0" w:after="200" w:lineRule="auto" w:line="276"/>
      </w:pPr>
      <w:r>
        <w:rPr>
          <w:b/>
        </w:rPr>
        <w:t xml:space="preserve">Abstract (EN): </w:t>
      </w:r>
      <w:r>
        <w:t>Obtaining the free energies of condensed phase chemical reactions remains computationally prohibitive for high-level quantum mechanical methods. We introduce a hierarchical machine learning framework that bridges this gap by distilling knowledge from a small number of high-fidelity quantum calculations into increasingly coarse-grained, machine-learned quantum Hamiltonians. By retaining explicit electronic degrees of freedom, our approach further enables a faithful embedding of quantum and classical degrees of freedom that captures long-range electrostatics and the quantum response to a classical environment to infinite order. As validation, we compute the proton dissociation constants of weak acids and the kinetic rate of an enzymatic reaction entirely from first principles, reproducing experimental measurements within chemical accuracy or their uncertainties. Our work demonstrates a path to condensed phase simulations of reaction free energies at the highest levels of accuracy with converged statistics.</w:t>
      </w:r>
    </w:p>
    <w:p>
      <w:pPr>
        <w:spacing w:before="120" w:after="120"/>
      </w:pPr>
      <w:r>
        <w:rPr>
          <w:sz w:val="18"/>
        </w:rPr>
        <w:t>——————————————————————————————————————————————————————————————————————</w:t>
      </w:r>
    </w:p>
    <w:p>
      <w:pPr>
        <w:spacing w:before="160" w:after="40" w:line="240" w:lineRule="auto"/>
      </w:pPr>
      <w:r>
        <w:rPr>
          <w:b/>
        </w:rPr>
        <w:t xml:space="preserve">[604] </w:t>
      </w:r>
      <w:hyperlink r:id="rId973">
        <w:r>
          <w:rPr>
            <w:color w:val="1155CC"/>
            <w:u w:val="single"/>
          </w:rPr>
          <w:t>调控要素之间的协同效应可以使 Cohesin 成为元增强器功能的必要条件</w:t>
        </w:r>
      </w:hyperlink>
    </w:p>
    <w:p>
      <w:pPr>
        <w:spacing w:before="0" w:after="80"/>
      </w:pPr>
      <w:r>
        <w:rPr>
          <w:i/>
          <w:sz w:val="20"/>
        </w:rPr>
        <w:t>EN: Synergy between regulatory elements can render cohesin dispensable for distal enhancer function</w:t>
      </w:r>
    </w:p>
    <w:p>
      <w:pPr>
        <w:spacing w:before="0" w:after="120"/>
      </w:pPr>
      <w:r>
        <w:rPr>
          <w:b/>
        </w:rPr>
        <w:t xml:space="preserve">Source: </w:t>
      </w:r>
      <w:r>
        <w:t>AAAS: Science: Table of Contents</w:t>
      </w:r>
      <w:r>
        <w:t xml:space="preserve">    </w:t>
      </w:r>
      <w:r>
        <w:rPr>
          <w:b/>
        </w:rPr>
        <w:t xml:space="preserve">Pub date: </w:t>
      </w:r>
      <w:r>
        <w:t>2026-02-05 08:00:00+00:00</w:t>
      </w:r>
      <w:r>
        <w:t xml:space="preserve">    </w:t>
      </w:r>
      <w:r>
        <w:rPr>
          <w:b/>
        </w:rPr>
        <w:t xml:space="preserve">DOI: </w:t>
      </w:r>
      <w:hyperlink r:id="rId974">
        <w:r>
          <w:rPr>
            <w:color w:val="1155CC"/>
            <w:u w:val="single"/>
          </w:rPr>
          <w:t>10.1126/science.adt4221</w:t>
        </w:r>
      </w:hyperlink>
    </w:p>
    <w:p>
      <w:pPr>
        <w:spacing w:before="0" w:after="120"/>
      </w:pPr>
      <w:r>
        <w:rPr>
          <w:b/>
        </w:rPr>
        <w:t xml:space="preserve">Notes: </w:t>
      </w:r>
      <w:r>
        <w:t>abstract_source=crossref</w:t>
      </w:r>
    </w:p>
    <w:p>
      <w:pPr>
        <w:spacing w:before="0" w:after="80" w:lineRule="auto" w:line="276"/>
      </w:pPr>
      <w:r>
        <w:rPr>
          <w:b/>
        </w:rPr>
        <w:t xml:space="preserve">摘要（ZH）: </w:t>
      </w:r>
      <w:r>
        <w:t>增强器是控制促销器转录的关键遗传要素,然而,它们如何在大型基因组距离之间传递监管信息仍不清楚。在这里,我们设计了多功能干细胞,这些多功能干细胞可以在不引起细胞循环缺陷的情况下,在不混淆细胞循环缺陷的情况下,对锥体环状突变进行实验性干扰。 转基因紊乱调节是细胞类型特有的,并非所有有分解增强器的地皮都同样取决于共振素外延。 使用比较基因组编辑,我们证明仅在20千米范围内增强推进器-推进器的通信可能需要共振素。 然而,促进器-蛋白质元素可以支持长距离、共振素独立的增强器动作 — 即使在强大的CTF闭塞器中也是如此。 最后,转录动态和胚胎细胞类型的出现在很大程度上仍然是抢劫。</w:t>
      </w:r>
    </w:p>
    <w:p>
      <w:pPr>
        <w:spacing w:before="0" w:after="200" w:lineRule="auto" w:line="276"/>
      </w:pPr>
      <w:r>
        <w:rPr>
          <w:b/>
        </w:rPr>
        <w:t xml:space="preserve">Abstract (EN): </w:t>
      </w:r>
      <w:r>
        <w:t>Enhancers are critical genetic elements controlling transcription from promoters, yet how they convey regulatory information across large genomic distances remains unclear. Here, we engineer pluripotent stem cells in which cohesin loop extrusion can be inducibly disrupted without confounding cell cycle defects. Transcriptional dysregulation is cell type-specific, and not all loci with distal enhancers depend equally on cohesin extrusion. Using comparative genome editing, we demonstrate that enhancer-promoter communication over just 20 kilobases can require cohesin. However, promoter-proximal elements can support long-range, cohesin-independent enhancer action – even across strong CTCF insulators. Finally, transcriptional dynamics and the emergence of embryonic cell types remain largely robust despite disrupted extrusion. Beyond establishing strategies to study cohesin in enhancer biology, our work provides mechanistic insight into cell type- and genomic context-specificity.</w:t>
      </w:r>
    </w:p>
    <w:p>
      <w:pPr>
        <w:spacing w:before="120" w:after="120"/>
      </w:pPr>
      <w:r>
        <w:rPr>
          <w:sz w:val="18"/>
        </w:rPr>
        <w:t>——————————————————————————————————————————————————————————————————————</w:t>
      </w:r>
    </w:p>
    <w:p>
      <w:pPr>
        <w:spacing w:before="160" w:after="40" w:line="240" w:lineRule="auto"/>
      </w:pPr>
      <w:r>
        <w:rPr>
          <w:b/>
        </w:rPr>
        <w:t xml:space="preserve">[605] </w:t>
      </w:r>
      <w:hyperlink r:id="rId975">
        <w:r>
          <w:rPr>
            <w:color w:val="1155CC"/>
            <w:u w:val="single"/>
          </w:rPr>
          <w:t>屏蔽 RAN 翻译而不更改重复 RNAs 救援 C9ORF72 相关 ALS 和 FTD 苯型</w:t>
        </w:r>
      </w:hyperlink>
    </w:p>
    <w:p>
      <w:pPr>
        <w:spacing w:before="0" w:after="80"/>
      </w:pPr>
      <w:r>
        <w:rPr>
          <w:i/>
          <w:sz w:val="20"/>
        </w:rPr>
        <w:t>EN: Blocking RAN translation without altering repeat RNAs rescues C9ORF72-related ALS and FTD phenotypes</w:t>
      </w:r>
    </w:p>
    <w:p>
      <w:pPr>
        <w:spacing w:before="0" w:after="120"/>
      </w:pPr>
      <w:r>
        <w:rPr>
          <w:b/>
        </w:rPr>
        <w:t xml:space="preserve">Source: </w:t>
      </w:r>
      <w:r>
        <w:t>AAAS: Science: Table of Contents</w:t>
      </w:r>
      <w:r>
        <w:t xml:space="preserve">    </w:t>
      </w:r>
      <w:r>
        <w:rPr>
          <w:b/>
        </w:rPr>
        <w:t xml:space="preserve">Pub date: </w:t>
      </w:r>
      <w:r>
        <w:t>2026-02-05 08:00:00+00:00</w:t>
      </w:r>
      <w:r>
        <w:t xml:space="preserve">    </w:t>
      </w:r>
      <w:r>
        <w:rPr>
          <w:b/>
        </w:rPr>
        <w:t xml:space="preserve">DOI: </w:t>
      </w:r>
      <w:hyperlink r:id="rId976">
        <w:r>
          <w:rPr>
            <w:color w:val="1155CC"/>
            <w:u w:val="single"/>
          </w:rPr>
          <w:t>10.1126/science.adv2600</w:t>
        </w:r>
      </w:hyperlink>
    </w:p>
    <w:p>
      <w:pPr>
        <w:spacing w:before="0" w:after="120"/>
      </w:pPr>
      <w:r>
        <w:rPr>
          <w:b/>
        </w:rPr>
        <w:t xml:space="preserve">Notes: </w:t>
      </w:r>
      <w:r>
        <w:t>abstract_source=pubmed</w:t>
      </w:r>
    </w:p>
    <w:p>
      <w:pPr>
        <w:spacing w:before="0" w:after="80" w:lineRule="auto" w:line="276"/>
      </w:pPr>
      <w:r>
        <w:rPr>
          <w:b/>
        </w:rPr>
        <w:t xml:space="preserve">摘要（ZH）: </w:t>
      </w:r>
      <w:r>
        <w:t>GGGGGCC (G4C2) C9ORF72 (G4C2) 重复扩展 C9ORF72 (GGGGGCC) 是造成非月性横向硬化(ALS) 和前时间性痴呆(FTD)的最常见遗传原因, 据认为, 毒性是由于通过重复相关非AUG(RAN) 翻译从重复含有的笔录中转化而来的重复 RNA 和/或 Dipptide 重复性蛋白质(DPRRR) 的积累造成的。 为了将 RNA与DPR 毒性脱钩, 我们将一个 CUG Codon 突变了一个 CUG Codon, 主要用于启动所有三个阅读框架的 DPR 翻译。 这种突变破坏了 DPR 合成,同时保留了含有重复性RNA 的表达方式。 尽管RNA 积累了RNA, 行为缺陷和病理异常, 包括 p-TDP-43 包含的 P-TDP-43 、 触发、 运动神经损失、 神经活性、 发光和增加的等离子星体</w:t>
      </w:r>
    </w:p>
    <w:p>
      <w:pPr>
        <w:spacing w:before="0" w:after="200" w:lineRule="auto" w:line="276"/>
      </w:pPr>
      <w:r>
        <w:rPr>
          <w:b/>
        </w:rPr>
        <w:t xml:space="preserve">Abstract (EN): </w:t>
      </w:r>
      <w:r>
        <w:t>GGGGCC (G4C2) repeat expansion in C9ORF72 is the most common genetic cause of amyotrophic lateral sclerosis (ALS) and frontotemporal dementia (FTD). Toxicity is thought to result from the accumulation of either repeat RNAs and/or dipeptide repeat proteins (DPRs) translated from repeat-containing transcripts through repeat-associated non-AUG (RAN) translation. To disentangle RNA from DPR toxicity, we mutated a CUG codon predominantly used to initiate DPR translation from all three reading frames. This mutation disrupted DPR synthesis while preserving the expression of repeat-containing RNAs. Despite the accumulation of RNA foci, behavioral deficits and pathological abnormalities, including p-TDP-43 inclusions, STING activation, motor neuron loss, neuroinflammation, and increased plasma neurofilament concentration, were alleviated in C9ORF72 mice. Base editing of the CUG codon also improved molecular phenotypes and survival in patient induced pluripotent stem cell-derived neurons, which highlights the potential of therapeutically targeting DPR production rather than repeat RNAs.</w:t>
      </w:r>
    </w:p>
    <w:p>
      <w:pPr>
        <w:spacing w:before="120" w:after="120"/>
      </w:pPr>
      <w:r>
        <w:rPr>
          <w:sz w:val="18"/>
        </w:rPr>
        <w:t>——————————————————————————————————————————————————————————————————————</w:t>
      </w:r>
    </w:p>
    <w:p>
      <w:pPr>
        <w:spacing w:before="160" w:after="40" w:line="240" w:lineRule="auto"/>
      </w:pPr>
      <w:r>
        <w:rPr>
          <w:b/>
        </w:rPr>
        <w:t xml:space="preserve">[606] </w:t>
      </w:r>
      <w:hyperlink r:id="rId977">
        <w:r>
          <w:rPr>
            <w:color w:val="1155CC"/>
            <w:u w:val="single"/>
          </w:rPr>
          <w:t>多比例型全成形图,使混合多溴甘蔗树种的基因组解剖得以增强能力。</w:t>
        </w:r>
      </w:hyperlink>
    </w:p>
    <w:p>
      <w:pPr>
        <w:spacing w:before="0" w:after="80"/>
      </w:pPr>
      <w:r>
        <w:rPr>
          <w:i/>
          <w:sz w:val="20"/>
        </w:rPr>
        <w:t>EN: Multiscale pangenome graphs empower the genomic dissection of mixed-ploidy sugarcane species</w:t>
      </w:r>
    </w:p>
    <w:p>
      <w:pPr>
        <w:spacing w:before="0" w:after="120"/>
      </w:pPr>
      <w:r>
        <w:rPr>
          <w:b/>
        </w:rPr>
        <w:t xml:space="preserve">Source: </w:t>
      </w:r>
      <w:r>
        <w:t>AAAS: Science: Table of Contents</w:t>
      </w:r>
      <w:r>
        <w:t xml:space="preserve">    </w:t>
      </w:r>
      <w:r>
        <w:rPr>
          <w:b/>
        </w:rPr>
        <w:t xml:space="preserve">Pub date: </w:t>
      </w:r>
      <w:r>
        <w:t>2026-02-05 08:00:00+00:00</w:t>
      </w:r>
      <w:r>
        <w:t xml:space="preserve">    </w:t>
      </w:r>
      <w:r>
        <w:rPr>
          <w:b/>
        </w:rPr>
        <w:t xml:space="preserve">DOI: </w:t>
      </w:r>
      <w:hyperlink r:id="rId978">
        <w:r>
          <w:rPr>
            <w:color w:val="1155CC"/>
            <w:u w:val="single"/>
          </w:rPr>
          <w:t>10.1126/science.adx1616</w:t>
        </w:r>
      </w:hyperlink>
    </w:p>
    <w:p>
      <w:pPr>
        <w:spacing w:before="0" w:after="120"/>
      </w:pPr>
      <w:r>
        <w:rPr>
          <w:b/>
        </w:rPr>
        <w:t xml:space="preserve">Notes: </w:t>
      </w:r>
      <w:r>
        <w:t>abstract_source=pubmed</w:t>
      </w:r>
    </w:p>
    <w:p>
      <w:pPr>
        <w:spacing w:before="0" w:after="80" w:lineRule="auto" w:line="276"/>
      </w:pPr>
      <w:r>
        <w:rPr>
          <w:b/>
        </w:rPr>
        <w:t xml:space="preserve">摘要（ZH）: </w:t>
      </w:r>
      <w:r>
        <w:t>甘蔗基因基因组的特征是复杂的基因组,其形态不同,其形态不同。我们开发了一个多尺度的基于图形的全基因组,将9个基因组组组合并成一个统一的参考体,代表现代的栽培体和创始物种。每个同族(包括同族和同族关系)染色体组保留了47至57个机型和~74 000至271 000个基因变异体。这个框架使得能够进行多基因组的探索,包括同族(同族)系统和显性基因学特征。这个总基因组促进了417个混合的多民族沙迦园加入物组的人口基因组分析,揭示了趋同选择,并确定了与耕种相联系的安多罗波戈戈尼埃TB1同族体,作为有希望的基因改基因增产目标。</w:t>
      </w:r>
    </w:p>
    <w:p>
      <w:pPr>
        <w:spacing w:before="0" w:after="200" w:lineRule="auto" w:line="276"/>
      </w:pPr>
      <w:r>
        <w:rPr>
          <w:b/>
        </w:rPr>
        <w:t xml:space="preserve">Abstract (EN): </w:t>
      </w:r>
      <w:r>
        <w:t>The sugarcane genus Saccharum is characterized by complex genomes with diverse ploidy levels. We developed a multiscale graph-based pangenome representation, which integrates nine genome assemblies into a unified reference, representing modern cultivars and founding species. Each homo(eo)logous (encompasses both homologous and homeologous relationships) chromosome set retains 47 to 57 haplotypes and ~74,000 to 271,000 gene alleles. This framework enables multiomics exploration, encompassing homo(eo)log systems and epigenomic signatures. The pangenome facilitates population genomics analyses of 417 mixed-ploidy Saccharum accessions, revealing convergent selection and identifying the Andropogoneae TB1 homolog linked to tillering as a promising gene-editing target to boost cane yield. Additionally, the pangenome supports dosage-informed genome-wide association study, improving heritability estimates and identification of sugar or leaf-angle-associated loci, including SaIRX10 and SaBAK5. Our analytical framework establishes a foundation for graph-based genetic studies in sugarcane and other polyploid genomes.</w:t>
      </w:r>
    </w:p>
    <w:p>
      <w:pPr>
        <w:spacing w:before="120" w:after="120"/>
      </w:pPr>
      <w:r>
        <w:rPr>
          <w:sz w:val="18"/>
        </w:rPr>
        <w:t>——————————————————————————————————————————————————————————————————————</w:t>
      </w:r>
    </w:p>
    <w:p>
      <w:pPr>
        <w:spacing w:before="160" w:after="40" w:line="240" w:lineRule="auto"/>
      </w:pPr>
      <w:r>
        <w:rPr>
          <w:b/>
        </w:rPr>
        <w:t xml:space="preserve">[607] </w:t>
      </w:r>
      <w:hyperlink r:id="rId979">
        <w:r>
          <w:rPr>
            <w:color w:val="1155CC"/>
            <w:u w:val="single"/>
          </w:rPr>
          <w:t>以细菌中心为重点的抗原疫苗方案</w:t>
        </w:r>
      </w:hyperlink>
    </w:p>
    <w:p>
      <w:pPr>
        <w:spacing w:before="0" w:after="80"/>
      </w:pPr>
      <w:r>
        <w:rPr>
          <w:i/>
          <w:sz w:val="20"/>
        </w:rPr>
        <w:t>EN: DNA origami vaccines program antigen-focused germinal centers</w:t>
      </w:r>
    </w:p>
    <w:p>
      <w:pPr>
        <w:spacing w:before="0" w:after="120"/>
      </w:pPr>
      <w:r>
        <w:rPr>
          <w:b/>
        </w:rPr>
        <w:t xml:space="preserve">Source: </w:t>
      </w:r>
      <w:r>
        <w:t>AAAS: Science: Table of Contents</w:t>
      </w:r>
      <w:r>
        <w:t xml:space="preserve">    </w:t>
      </w:r>
      <w:r>
        <w:rPr>
          <w:b/>
        </w:rPr>
        <w:t xml:space="preserve">Pub date: </w:t>
      </w:r>
      <w:r>
        <w:t>2026-02-05 08:00:00+00:00</w:t>
      </w:r>
      <w:r>
        <w:t xml:space="preserve">    </w:t>
      </w:r>
      <w:r>
        <w:rPr>
          <w:b/>
        </w:rPr>
        <w:t xml:space="preserve">DOI: </w:t>
      </w:r>
      <w:hyperlink r:id="rId980">
        <w:r>
          <w:rPr>
            <w:color w:val="1155CC"/>
            <w:u w:val="single"/>
          </w:rPr>
          <w:t>10.1126/science.adx6291</w:t>
        </w:r>
      </w:hyperlink>
    </w:p>
    <w:p>
      <w:pPr>
        <w:spacing w:before="0" w:after="120"/>
      </w:pPr>
      <w:r>
        <w:rPr>
          <w:b/>
        </w:rPr>
        <w:t xml:space="preserve">Notes: </w:t>
      </w:r>
      <w:r>
        <w:t>abstract_source=pubmed</w:t>
      </w:r>
    </w:p>
    <w:p>
      <w:pPr>
        <w:spacing w:before="0" w:after="80" w:lineRule="auto" w:line="276"/>
      </w:pPr>
      <w:r>
        <w:rPr>
          <w:b/>
        </w:rPr>
        <w:t xml:space="preserve">摘要（ZH）: </w:t>
      </w:r>
      <w:r>
        <w:t>在细菌中心(GCs)中原始稀稀稀亚主要前体B细胞是疫苗接种的核心目标,以产生广泛的抗体(bnAbs)抗艾滋病毒抗体(bnAbs)的抗艾滋病毒。蛋白质纳米粒子脚架上多价免疫源的显示可以促进这种反应,但也会产生在理论上可以限制GCs中BnAb前体扩张的骨架专用B细胞。我们合理设计了DNA或树脂型病毒类颗粒(DNA-VLPs),展示了一种以子线瞄准的艾滋病毒包状蛋白免疫素,这没有引起 scarfold 特定抗体的反应。与最先进的临床蛋白质纳米粒相比,这些DNA-VLPs增加了与离目标B细胞相对的附着性GCB细胞的扩张,并在人化鼠模中加强了bnAb线型B细胞的扩张。</w:t>
      </w:r>
    </w:p>
    <w:p>
      <w:pPr>
        <w:spacing w:before="0" w:after="200" w:lineRule="auto" w:line="276"/>
      </w:pPr>
      <w:r>
        <w:rPr>
          <w:b/>
        </w:rPr>
        <w:t xml:space="preserve">Abstract (EN): </w:t>
      </w:r>
      <w:r>
        <w:t>Priming rare subdominant precursor B cells in germinal centers (GCs) is a central goal of vaccination to generate broadly neutralizing antibodies (bnAbs) against HIV. Multivalent immunogen display on protein nanoparticle scaffolds can promote such responses, but it also generates scaffold-specific B cells that could theoretically limit bnAb precursor expansion in GCs. We rationally designed DNA origami-based virus-like particles (DNA-VLPs) displaying a germline-targeting HIV envelope protein immunogen, which elicited no scaffold-specific antibody responses. Compared with a state-of-the-art clinical protein nanoparticle, these DNA-VLPs increased the expansion of epitope-specific GC B cells relative to off-target B cells and enhanced expansion of bnAb-lineage B cells in a humanized mouse model of CD4 binding site priming. Thus, minimizing off-target responses enhances bnAb priming and indicates that DNA-VLPs are a promising vaccine platform.</w:t>
      </w:r>
    </w:p>
    <w:p>
      <w:pPr>
        <w:spacing w:before="120" w:after="120"/>
      </w:pPr>
      <w:r>
        <w:rPr>
          <w:sz w:val="18"/>
        </w:rPr>
        <w:t>——————————————————————————————————————————————————————————————————————</w:t>
      </w:r>
    </w:p>
    <w:p>
      <w:pPr>
        <w:spacing w:before="160" w:after="40" w:line="240" w:lineRule="auto"/>
      </w:pPr>
      <w:r>
        <w:rPr>
          <w:b/>
        </w:rPr>
        <w:t xml:space="preserve">[608] </w:t>
      </w:r>
      <w:hyperlink r:id="rId981">
        <w:r>
          <w:rPr>
            <w:color w:val="1155CC"/>
            <w:u w:val="single"/>
          </w:rPr>
          <w:t>强烈的太阳辐射限制了植物物种在全球草原上的丰富性</w:t>
        </w:r>
      </w:hyperlink>
    </w:p>
    <w:p>
      <w:pPr>
        <w:spacing w:before="0" w:after="80"/>
      </w:pPr>
      <w:r>
        <w:rPr>
          <w:i/>
          <w:sz w:val="20"/>
        </w:rPr>
        <w:t>EN: Intense solar radiation constrains plant species richness in global grasslands</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82">
        <w:r>
          <w:rPr>
            <w:color w:val="1155CC"/>
            <w:u w:val="single"/>
          </w:rPr>
          <w:t>10.1073/pnas.2527128123</w:t>
        </w:r>
      </w:hyperlink>
    </w:p>
    <w:p>
      <w:pPr>
        <w:spacing w:before="0" w:after="120"/>
      </w:pPr>
      <w:r>
        <w:rPr>
          <w:b/>
        </w:rPr>
        <w:t xml:space="preserve">Notes: </w:t>
      </w:r>
      <w:r>
        <w:t>abstract_source=pubmed</w:t>
      </w:r>
    </w:p>
    <w:p>
      <w:pPr>
        <w:spacing w:before="0" w:after="80" w:lineRule="auto" w:line="276"/>
      </w:pPr>
      <w:r>
        <w:rPr>
          <w:b/>
        </w:rPr>
        <w:t xml:space="preserve">摘要（ZH）: </w:t>
      </w:r>
      <w:r>
        <w:t>数十年来,对植物多样性预测器的搜索对科学家提出了挑战。 我们在这里将强烈的光合活性辐射(PAR)确定为限制全球草原植物物种丰富性的一个主要因素。 我们表明,物种丰富性和PAR增加与高高高的高度之间的消极关系,以及物种丰富性与强烈的PAR辐射、气候变量和大气氮沉积的关系比与紫外线-B辐射、气候变量和大气氮沉积更密切。除了物种丰富性外,植物生物量也与高海拔的PAR有负面关系,表明强度的PAR还限制了蒙特内草原的植物生物量。 此外,我们表明,植物物种丰富性与不断增长的PAR的减少主要是由一个物种组成的。</w:t>
      </w:r>
    </w:p>
    <w:p>
      <w:pPr>
        <w:spacing w:before="0" w:after="200" w:lineRule="auto" w:line="276"/>
      </w:pPr>
      <w:r>
        <w:rPr>
          <w:b/>
        </w:rPr>
        <w:t xml:space="preserve">Abstract (EN): </w:t>
      </w:r>
      <w:r>
        <w:t>The search for predictors of plant diversity has challenged scientists for decades. Here we identify intense photosynthetically active radiation (PAR) as a major factor constraining plant species richness in global grasslands. We show that the strength of the negative relationship between species richness and PAR increases with increasing elevation and that species richness is more strongly correlated with intense PAR than with UV-B radiation, climate variables, and atmospheric nitrogen deposition. In addition to species richness, plant biomass was also negatively correlated with PAR at higher elevations, indicating that intense PAR also constrains plant biomass in montane grasslands. Furthermore, we show that the decrease in plant species richness with increasing PAR is mainly caused by a decrease in species richness of forbs, sedges, and rushes. In contrast, species richness of grasses was only negatively correlated with PAR at high elevations, and species richness of legumes was not significantly correlated with PAR. Our results suggest that PAR constrains plant species richness in global grasslands and limits the extent to which plant species of specific functional groups can migrate uphill in response to climate warming.</w:t>
      </w:r>
    </w:p>
    <w:p>
      <w:pPr>
        <w:spacing w:before="120" w:after="120"/>
      </w:pPr>
      <w:r>
        <w:rPr>
          <w:sz w:val="18"/>
        </w:rPr>
        <w:t>——————————————————————————————————————————————————————————————————————</w:t>
      </w:r>
    </w:p>
    <w:p>
      <w:pPr>
        <w:spacing w:before="160" w:after="40" w:line="240" w:lineRule="auto"/>
      </w:pPr>
      <w:r>
        <w:rPr>
          <w:b/>
        </w:rPr>
        <w:t xml:space="preserve">[609] </w:t>
      </w:r>
      <w:hyperlink r:id="rId983">
        <w:r>
          <w:rPr>
            <w:color w:val="1155CC"/>
            <w:u w:val="single"/>
          </w:rPr>
          <w:t>无差异的全方位分析显示,巴西的拉皮条次特征迅速发展。</w:t>
        </w:r>
      </w:hyperlink>
    </w:p>
    <w:p>
      <w:pPr>
        <w:spacing w:before="0" w:after="80"/>
      </w:pPr>
      <w:r>
        <w:rPr>
          <w:i/>
          <w:sz w:val="20"/>
        </w:rPr>
        <w:t>EN: Gapless pangenome analyses reveal fast Brassica rapa subspeciation</w:t>
      </w:r>
    </w:p>
    <w:p>
      <w:pPr>
        <w:spacing w:before="0" w:after="120"/>
      </w:pPr>
      <w:r>
        <w:rPr>
          <w:b/>
        </w:rPr>
        <w:t xml:space="preserve">Source: </w:t>
      </w:r>
      <w:r>
        <w:t>AAAS: Science: Table of Contents</w:t>
      </w:r>
      <w:r>
        <w:t xml:space="preserve">    </w:t>
      </w:r>
      <w:r>
        <w:rPr>
          <w:b/>
        </w:rPr>
        <w:t xml:space="preserve">Pub date: </w:t>
      </w:r>
      <w:r>
        <w:t>2026-02-05 08:00:00+00:00</w:t>
      </w:r>
      <w:r>
        <w:t xml:space="preserve">    </w:t>
      </w:r>
      <w:r>
        <w:rPr>
          <w:b/>
        </w:rPr>
        <w:t xml:space="preserve">DOI: </w:t>
      </w:r>
      <w:hyperlink r:id="rId984">
        <w:r>
          <w:rPr>
            <w:color w:val="1155CC"/>
            <w:u w:val="single"/>
          </w:rPr>
          <w:t>10.1126/science.ady7590</w:t>
        </w:r>
      </w:hyperlink>
    </w:p>
    <w:p>
      <w:pPr>
        <w:spacing w:before="0" w:after="120"/>
      </w:pPr>
      <w:r>
        <w:rPr>
          <w:b/>
        </w:rPr>
        <w:t xml:space="preserve">Notes: </w:t>
      </w:r>
      <w:r>
        <w:t>abstract_source=pubmed</w:t>
      </w:r>
    </w:p>
    <w:p>
      <w:pPr>
        <w:spacing w:before="0" w:after="80" w:lineRule="auto" w:line="276"/>
      </w:pPr>
      <w:r>
        <w:rPr>
          <w:b/>
        </w:rPr>
        <w:t xml:space="preserve">摘要（ZH）: </w:t>
      </w:r>
      <w:r>
        <w:t>Brasica RAPA (BR) 包含许多光伏型和亚种,因此它是一个调查植物多样化和亚物种的好模式。在这里,我们重新排列了1720 Br加入的基因组,并重新组装了11个具有代表性的全色至远地无隔间隔的基因组,这些基因组的7个精英亚种经历了密集的变异,并开发了对农业有价值的独特农艺特征。我们发现了6992个未知基因,110个完整的(围)中枢,以及5个与Br 闪光型和亚种以及Brasica物种演变有关的新卫星。基于11个无缝和20个已公布的基因组的全色组,揭示了Br子种之间的结构变化和基因多样性。泛基因协会研究发现,BrLH1基因控制了叶。</w:t>
      </w:r>
    </w:p>
    <w:p>
      <w:pPr>
        <w:spacing w:before="0" w:after="200" w:lineRule="auto" w:line="276"/>
      </w:pPr>
      <w:r>
        <w:rPr>
          <w:b/>
        </w:rPr>
        <w:t xml:space="preserve">Abstract (EN): </w:t>
      </w:r>
      <w:r>
        <w:t>Brassica rapa (Br) encompasses many morphotypes and subspecies, so it is a good model with which to investigate plant diversification and subspeciation. Here, we resequenced the genomes of 1720 Br accessions and de novo assembled 11 representative telomere-to-telomere gapless genomes for seven elite subspecies that underwent intensive morphotypification and developed distinct agronomic traits valued to agriculture. We identified 6992 unknown genes, 110 complete (peri)centromeres, and five new satellites associated with Br morphotypes and subspecies and Brassica species evolution. The pangenome, built on 11 gapless and 20 published genomes, reveals structural variations and gene diversities among Br subspecies. Pangenome-wide association studies uncovered that the gene BrLH1 controls leaf-head formation. We show that structural changes have occurred in satellites, (peri)centromeres, and genes, contributing to fast subspeciation and morphotypification during the short history of Br cultivation, providing invaluable resources for Brassica breeding.</w:t>
      </w:r>
    </w:p>
    <w:p>
      <w:pPr>
        <w:spacing w:before="120" w:after="120"/>
      </w:pPr>
      <w:r>
        <w:rPr>
          <w:sz w:val="18"/>
        </w:rPr>
        <w:t>——————————————————————————————————————————————————————————————————————</w:t>
      </w:r>
    </w:p>
    <w:p>
      <w:pPr>
        <w:spacing w:before="160" w:after="40" w:line="240" w:lineRule="auto"/>
      </w:pPr>
      <w:r>
        <w:rPr>
          <w:b/>
        </w:rPr>
        <w:t xml:space="preserve">[610] </w:t>
      </w:r>
      <w:hyperlink r:id="rId985">
        <w:r>
          <w:rPr>
            <w:color w:val="1155CC"/>
            <w:u w:val="single"/>
          </w:rPr>
          <w:t>环境条件决定了蚂蚁社会的全球分布</w:t>
        </w:r>
      </w:hyperlink>
    </w:p>
    <w:p>
      <w:pPr>
        <w:spacing w:before="0" w:after="80"/>
      </w:pPr>
      <w:r>
        <w:rPr>
          <w:i/>
          <w:sz w:val="20"/>
        </w:rPr>
        <w:t>EN: Environmental conditions shape the global distribution of ant societies</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86">
        <w:r>
          <w:rPr>
            <w:color w:val="1155CC"/>
            <w:u w:val="single"/>
          </w:rPr>
          <w:t>10.1073/pnas.2530826123</w:t>
        </w:r>
      </w:hyperlink>
    </w:p>
    <w:p>
      <w:pPr>
        <w:spacing w:before="0" w:after="120"/>
      </w:pPr>
      <w:r>
        <w:rPr>
          <w:b/>
        </w:rPr>
        <w:t xml:space="preserve">Notes: </w:t>
      </w:r>
      <w:r>
        <w:t>abstract_source=pubmed</w:t>
      </w:r>
    </w:p>
    <w:p>
      <w:pPr>
        <w:spacing w:before="0" w:after="80" w:lineRule="auto" w:line="276"/>
      </w:pPr>
      <w:r>
        <w:rPr>
          <w:b/>
        </w:rPr>
        <w:t xml:space="preserve">摘要（ZH）: </w:t>
      </w:r>
      <w:r>
        <w:t>社会性已经发展了好几次,是克服环境挑战和促进生态成功的关键战略。然而,环境条件如何影响全球动物社会特征的变化仍然不明朗。由于它们所处的社会和全球分布各不相同,蚂蚁是测试环境条件是否影响动物社会特征在全世界分布的理想对象。在这里,我们利用总共3 299种蚂蚁物种的特质数据来探索三种关键社会特征(生殖结构、聚群大小和工人多形态)如何与全球环境条件不同。我们表明,特质构成结构由生物群落形成,表明生境类型以及温度和季节性等环境因素影响社会。</w:t>
      </w:r>
    </w:p>
    <w:p>
      <w:pPr>
        <w:spacing w:before="0" w:after="200" w:lineRule="auto" w:line="276"/>
      </w:pPr>
      <w:r>
        <w:rPr>
          <w:b/>
        </w:rPr>
        <w:t xml:space="preserve">Abstract (EN): </w:t>
      </w:r>
      <w:r>
        <w:t>Sociality has evolved several times and is a key strategy for overcoming environmental challenges and promoting ecological success. Yet, it remains unclear how environmental conditions shape global variation in social traits of animals. With their diverse societies and global distribution, ants are ideal to test whether environmental conditions influence the distribution of animal social traits worldwide. Here, we used trait data for a total of 3,299 ant species to explore how three key social traits (reproductive structure, colony size, and worker polymorphism) vary with environmental conditions globally. We show that trait compositions are strongly structured by biomes, indicating that habitat types, as well as environmental factors like temperature and seasonality, influence sociality. Our findings highlight the crucial role of the environment in shaping the global distribution of sociality in ants, contributing to a better understanding of how complex animal societies evolved.</w:t>
      </w:r>
    </w:p>
    <w:p>
      <w:pPr>
        <w:spacing w:before="120" w:after="120"/>
      </w:pPr>
      <w:r>
        <w:rPr>
          <w:sz w:val="18"/>
        </w:rPr>
        <w:t>——————————————————————————————————————————————————————————————————————</w:t>
      </w:r>
    </w:p>
    <w:p>
      <w:pPr>
        <w:spacing w:before="160" w:after="40" w:line="240" w:lineRule="auto"/>
      </w:pPr>
      <w:r>
        <w:rPr>
          <w:b/>
        </w:rPr>
        <w:t xml:space="preserve">[611] </w:t>
      </w:r>
      <w:hyperlink r:id="rId987">
        <w:r>
          <w:rPr>
            <w:color w:val="1155CC"/>
            <w:u w:val="single"/>
          </w:rPr>
          <w:t>抗纤维化药物精细酮在早产卵巢不足的情况下恢复了生育能力。</w:t>
        </w:r>
      </w:hyperlink>
    </w:p>
    <w:p>
      <w:pPr>
        <w:spacing w:before="0" w:after="80"/>
      </w:pPr>
      <w:r>
        <w:rPr>
          <w:i/>
          <w:sz w:val="20"/>
        </w:rPr>
        <w:t>EN: Antifibrotic drug finerenone restores fertility in premature ovarian insufficiency</w:t>
      </w:r>
    </w:p>
    <w:p>
      <w:pPr>
        <w:spacing w:before="0" w:after="120"/>
      </w:pPr>
      <w:r>
        <w:rPr>
          <w:b/>
        </w:rPr>
        <w:t xml:space="preserve">Source: </w:t>
      </w:r>
      <w:r>
        <w:t>AAAS: Science: Table of Contents</w:t>
      </w:r>
      <w:r>
        <w:t xml:space="preserve">    </w:t>
      </w:r>
      <w:r>
        <w:rPr>
          <w:b/>
        </w:rPr>
        <w:t xml:space="preserve">Pub date: </w:t>
      </w:r>
      <w:r>
        <w:t>2026-02-05 08:00:00+00:00</w:t>
      </w:r>
      <w:r>
        <w:t xml:space="preserve">    </w:t>
      </w:r>
      <w:r>
        <w:rPr>
          <w:b/>
        </w:rPr>
        <w:t xml:space="preserve">DOI: </w:t>
      </w:r>
      <w:hyperlink r:id="rId988">
        <w:r>
          <w:rPr>
            <w:color w:val="1155CC"/>
            <w:u w:val="single"/>
          </w:rPr>
          <w:t>10.1126/science.adz4075</w:t>
        </w:r>
      </w:hyperlink>
    </w:p>
    <w:p>
      <w:pPr>
        <w:spacing w:before="0" w:after="120"/>
      </w:pPr>
      <w:r>
        <w:rPr>
          <w:b/>
        </w:rPr>
        <w:t xml:space="preserve">Notes: </w:t>
      </w:r>
      <w:r>
        <w:t>abstract_source=pubmed</w:t>
      </w:r>
    </w:p>
    <w:p>
      <w:pPr>
        <w:spacing w:before="0" w:after="80" w:lineRule="auto" w:line="276"/>
      </w:pPr>
      <w:r>
        <w:rPr>
          <w:b/>
        </w:rPr>
        <w:t xml:space="preserve">摘要（ZH）: </w:t>
      </w:r>
      <w:r>
        <w:t>目前,对与早产卵巢不足有关的不孕症没有有效的治疗,因为受影响的病人缺乏对激素反应反应的动脉囊。通过筛查食品和药物管理局(FDA)批准的药物图书馆,我们发现肾病药物是POI恢复生育的有希望的药物。 芬里酮刺激了老小鼠的卵囊发育,并恢复了对口服脊髓灰质炎病人的肛丸发育,导致成熟的卵细胞和胚胎。 从机械上讲,精细酮减少了卵巢的纤维沉积,缓解了对卵巢发育的凝固作用。我们根据这一观察,确定了经林业发展局批准的额外的口服抗囊炎药物的潜力。</w:t>
      </w:r>
    </w:p>
    <w:p>
      <w:pPr>
        <w:spacing w:before="0" w:after="200" w:lineRule="auto" w:line="276"/>
      </w:pPr>
      <w:r>
        <w:rPr>
          <w:b/>
        </w:rPr>
        <w:t xml:space="preserve">Abstract (EN): </w:t>
      </w:r>
      <w:r>
        <w:t>Currently, no effective treatment exists for infertility associated with premature ovarian insufficiency (POI) because affected patients lack hormone-responsive antral follicles. By screening a Food and Drug Administration (FDA)-approved drug library, we identified finerenone, a kidney disease medication, as a promising drug for restoring fertility in POI. Finerenone stimulated follicle development in aged mice and restored antral follicle development in patients with POI following oral administration, resulting in mature oocytes and embryos. Mechanistically, finerenone reduced fibrotic deposition in the ovarian stroma, alleviating collagen-mediated suppression of follicular development. Building on this insight, we identified additional FDA-approved oral antifibrotic drugs as potential treatments for POI-related infertility. Our findings highlight the ovarian stroma-rather than the follicles themselves-as the key therapeutic target and offer potential therapeutic leads for POI-related infertility.</w:t>
      </w:r>
    </w:p>
    <w:p>
      <w:pPr>
        <w:spacing w:before="120" w:after="120"/>
      </w:pPr>
      <w:r>
        <w:rPr>
          <w:sz w:val="18"/>
        </w:rPr>
        <w:t>——————————————————————————————————————————————————————————————————————</w:t>
      </w:r>
    </w:p>
    <w:p>
      <w:pPr>
        <w:spacing w:before="160" w:after="40" w:line="240" w:lineRule="auto"/>
      </w:pPr>
      <w:r>
        <w:rPr>
          <w:b/>
        </w:rPr>
        <w:t xml:space="preserve">[612] </w:t>
      </w:r>
      <w:hyperlink r:id="rId989">
        <w:r>
          <w:rPr>
            <w:color w:val="1155CC"/>
            <w:u w:val="single"/>
          </w:rPr>
          <w:t>必须使因特网平台对其行动负责</w:t>
        </w:r>
      </w:hyperlink>
    </w:p>
    <w:p>
      <w:pPr>
        <w:spacing w:before="0" w:after="80"/>
      </w:pPr>
      <w:r>
        <w:rPr>
          <w:i/>
          <w:sz w:val="20"/>
        </w:rPr>
        <w:t>EN: Internet platforms must be held accountable for their actions</w:t>
      </w:r>
    </w:p>
    <w:p>
      <w:pPr>
        <w:spacing w:before="0" w:after="120"/>
      </w:pPr>
      <w:r>
        <w:rPr>
          <w:b/>
        </w:rPr>
        <w:t xml:space="preserve">Source: </w:t>
      </w:r>
      <w:r>
        <w:t>AAAS: Science: Table of Contents</w:t>
      </w:r>
      <w:r>
        <w:t xml:space="preserve">    </w:t>
      </w:r>
      <w:r>
        <w:rPr>
          <w:b/>
        </w:rPr>
        <w:t xml:space="preserve">Pub date: </w:t>
      </w:r>
      <w:r>
        <w:t>2026-02-05 08:00:00+00:00</w:t>
      </w:r>
      <w:r>
        <w:t xml:space="preserve">    </w:t>
      </w:r>
      <w:r>
        <w:rPr>
          <w:b/>
        </w:rPr>
        <w:t xml:space="preserve">DOI: </w:t>
      </w:r>
      <w:hyperlink r:id="rId990">
        <w:r>
          <w:rPr>
            <w:color w:val="1155CC"/>
            <w:u w:val="single"/>
          </w:rPr>
          <w:t>10.1126/science.aee9835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[613] </w:t>
      </w:r>
      <w:hyperlink r:id="rId991">
        <w:r>
          <w:rPr>
            <w:color w:val="1155CC"/>
            <w:u w:val="single"/>
          </w:rPr>
          <w:t>在激激素受体 -- -- 阳性乳腺癌大鼠模型中,对有针对性的免疫综合疗法和免疫综合疗法的评价</w:t>
        </w:r>
      </w:hyperlink>
    </w:p>
    <w:p>
      <w:pPr>
        <w:spacing w:before="0" w:after="80"/>
      </w:pPr>
      <w:r>
        <w:rPr>
          <w:i/>
          <w:sz w:val="20"/>
        </w:rPr>
        <w:t>EN: Evaluation of targeted and immune combination therapies in a rat model of hormone receptor–positive breast cancer</w:t>
      </w:r>
    </w:p>
    <w:p>
      <w:pPr>
        <w:spacing w:before="0" w:after="120"/>
      </w:pPr>
      <w:r>
        <w:rPr>
          <w:b/>
        </w:rPr>
        <w:t xml:space="preserve">Source: </w:t>
      </w:r>
      <w:r>
        <w:t>Proceedings of the National Academy of Sciences: Keyword search for query</w:t>
      </w:r>
      <w:r>
        <w:t xml:space="preserve">    </w:t>
      </w:r>
      <w:r>
        <w:rPr>
          <w:b/>
        </w:rPr>
        <w:t xml:space="preserve">Pub date: </w:t>
      </w:r>
      <w:r>
        <w:t>2026-02-05 08:00:00+00:00</w:t>
      </w:r>
      <w:r>
        <w:t xml:space="preserve">    </w:t>
      </w:r>
      <w:r>
        <w:rPr>
          <w:b/>
        </w:rPr>
        <w:t xml:space="preserve">DOI: </w:t>
      </w:r>
      <w:hyperlink r:id="rId992">
        <w:r>
          <w:rPr>
            <w:color w:val="1155CC"/>
            <w:u w:val="single"/>
          </w:rPr>
          <w:t>10.1073/pnas.2501052123</w:t>
        </w:r>
      </w:hyperlink>
    </w:p>
    <w:p>
      <w:pPr>
        <w:spacing w:before="0" w:after="120"/>
      </w:pPr>
      <w:r>
        <w:rPr>
          <w:b/>
        </w:rPr>
        <w:t xml:space="preserve">Notes: </w:t>
      </w:r>
      <w:r>
        <w:t>abstract_source=pubmed</w:t>
      </w:r>
    </w:p>
    <w:p>
      <w:pPr>
        <w:spacing w:before="0" w:after="80" w:lineRule="auto" w:line="276"/>
      </w:pPr>
      <w:r>
        <w:rPr>
          <w:b/>
        </w:rPr>
        <w:t xml:space="preserve">摘要（ZH）: </w:t>
      </w:r>
      <w:r>
        <w:t>乳腺受体阳性乳癌是最常见的子类型,通常对内分泌疗法有反应。免疫检查站抑制剂(ICIs)在ER阳性疾病方面效果有限,强调为这些病人发展混合免疫疗法的必要性。我们以前曾确定,在外缘的Sprague-Dawley大鼠体内,硝基-N-甲基素诱发的哺乳肿瘤模仿免疫性免疫蒸发机制,以及观察到的在病人体内的ICI反应异质。我们在ER阳性肿瘤中发现了一种“发光生长”基因特征,这与肿瘤生长和免疫相关差异有关。在这里,我们用抗抑制剂A-196和IKBKKEi分别对KMT5B/C和IKBKE分别针对KKE的KMT5B和IKBKE候选者进行了评估,同时使用抗血压剂A-196和IKBKEi。</w:t>
      </w:r>
    </w:p>
    <w:p>
      <w:pPr>
        <w:spacing w:before="0" w:after="200" w:lineRule="auto" w:line="276"/>
      </w:pPr>
      <w:r>
        <w:rPr>
          <w:b/>
        </w:rPr>
        <w:t xml:space="preserve">Abstract (EN): </w:t>
      </w:r>
      <w:r>
        <w:t>Estrogen receptor (ER) positive breast cancer is the most prevalent subtype, commonly responsive to endocrine therapies. Immune checkpoint inhibitors (ICIs) have limited efficacy in ER-positive disease, highlighting the need for the development of combination immunotherapies for these patients. We previously established that nitroso-N-methylurea-induced mammary tumors in outbred Sprague-Dawley rats mimic immune evasive mechanisms and the heterogeneity of ICI response observed in patients. We identified a "luminal growing" gene signature in ER-positive tumors, which correlated with tumor growth and immune-related differences. Here, we evaluated targeting candidates from this signature KMT5B/C and IKBKE using inhibitors A-196 and IKBKEi respectively, alongside anti-estrogen (fulvestrant) and a TGFβ blocking antibody (NIS793), both individually and in combination with αPD-L1, within this rat model. Fulvestrant emerged as the most effective treatment, inducing regression of most existing tumors and reducing on-treatment tumor burden when combined with αPD-L1. A-196, while ineffective as a monotherapy, demonstrated enhanced response when combined with αPD-L1. Comprehensive tumor profiling through polychromatic flow cytometry and single-cell RNA sequencing revealed that A-196 induced a luminal-to-basal shift in tumor epithelial cells, enhancing antigen presentation, whereas epithelial-to-mesenchymal transition was linked to fulvestrant resistance. Our findings underscore the value of the rat mammary tumor model for preclinical studies in ER-positive breast cancer and advocate for the further validation and potential clinical development of KMT5B/C inhibitors to enhance the efficacy and broaden the applicability of ICI therapy in cancer patients.</w:t>
      </w:r>
    </w:p>
    <w:p>
      <w:pPr>
        <w:spacing w:before="120" w:after="120"/>
      </w:pPr>
      <w:r>
        <w:rPr>
          <w:sz w:val="18"/>
        </w:rPr>
        <w:t>——————————————————————————————————————————————————————————————————————</w:t>
      </w:r>
    </w:p>
    <w:p>
      <w:pPr>
        <w:spacing w:before="160" w:after="40" w:line="240" w:lineRule="auto"/>
      </w:pPr>
      <w:r>
        <w:rPr>
          <w:b/>
        </w:rPr>
        <w:t xml:space="preserve">[614] </w:t>
      </w:r>
      <w:hyperlink r:id="rId993">
        <w:r>
          <w:rPr>
            <w:color w:val="1155CC"/>
            <w:u w:val="single"/>
          </w:rPr>
          <w:t>为什么甲烷在2020年代初期 突然在大气中蒸发</w:t>
        </w:r>
      </w:hyperlink>
    </w:p>
    <w:p>
      <w:pPr>
        <w:spacing w:before="0" w:after="80"/>
      </w:pPr>
      <w:r>
        <w:rPr>
          <w:i/>
          <w:sz w:val="20"/>
        </w:rPr>
        <w:t>EN: Why methane surged in the atmosphere during the early 2020s</w:t>
      </w:r>
    </w:p>
    <w:p>
      <w:pPr>
        <w:spacing w:before="0" w:after="120"/>
      </w:pPr>
      <w:r>
        <w:rPr>
          <w:b/>
        </w:rPr>
        <w:t xml:space="preserve">Source: </w:t>
      </w:r>
      <w:r>
        <w:t>AAAS: Science: Table of Contents</w:t>
      </w:r>
      <w:r>
        <w:t xml:space="preserve">    </w:t>
      </w:r>
      <w:r>
        <w:rPr>
          <w:b/>
        </w:rPr>
        <w:t xml:space="preserve">Pub date: </w:t>
      </w:r>
      <w:r>
        <w:t>2026-02-05 08:00:00+00:00</w:t>
      </w:r>
      <w:r>
        <w:t xml:space="preserve">    </w:t>
      </w:r>
      <w:r>
        <w:rPr>
          <w:b/>
        </w:rPr>
        <w:t xml:space="preserve">DOI: </w:t>
      </w:r>
      <w:hyperlink r:id="rId994">
        <w:r>
          <w:rPr>
            <w:color w:val="1155CC"/>
            <w:u w:val="single"/>
          </w:rPr>
          <w:t>10.1126/science.adx8262</w:t>
        </w:r>
      </w:hyperlink>
    </w:p>
    <w:p>
      <w:pPr>
        <w:spacing w:before="0" w:after="120"/>
      </w:pPr>
      <w:r>
        <w:rPr>
          <w:b/>
        </w:rPr>
        <w:t xml:space="preserve">Notes: </w:t>
      </w:r>
      <w:r>
        <w:t>abstract_source=pubmed</w:t>
      </w:r>
    </w:p>
    <w:p>
      <w:pPr>
        <w:spacing w:before="0" w:after="80" w:lineRule="auto" w:line="276"/>
      </w:pPr>
      <w:r>
        <w:rPr>
          <w:b/>
        </w:rPr>
        <w:t xml:space="preserve">摘要（ZH）: </w:t>
      </w:r>
      <w:r>
        <w:t>大气甲烷(CH4)的增长率在2019年之后猛增,2020年达到高峰,达到每年16.2亿分之16.2(ppb年-1),2023年下降到8.6 ppb 年-1,2023年下降到8.6 ppb 年-1。 我们利用观测和模型规定的氢氧基(OH)田和CH4大气数据限制的多重大气反转,我们表明,2020-2021年OH基质下降,随后在2022-2023年恢复,占CH4增长率年同比变化的83%,其余以湿地和内陆水排放为解释,2019-2022年[+8.6 +8.6 +2.6 兆克CH4年(TgCH4年-1年 ),随后在2022-2023年(9. +3.3 TgCH4年-1年)之间下降。大多数排放变化发生在非洲和亚洲的北部热带湿地,2019-2023年到2023年。</w:t>
      </w:r>
    </w:p>
    <w:p>
      <w:pPr>
        <w:spacing w:before="0" w:after="200" w:lineRule="auto" w:line="276"/>
      </w:pPr>
      <w:r>
        <w:rPr>
          <w:b/>
        </w:rPr>
        <w:t xml:space="preserve">Abstract (EN): </w:t>
      </w:r>
      <w:r>
        <w:t>The atmospheric methane (CH4) growth rate surged after 2019, peaking at 16.2 parts per billion per year (ppb year-1) in 2020 before declining to 8.6 ppb year-1 in 2023. Using multiple atmospheric inversions constrained by observation- and model-based prescribed hydroxyl radical (OH) fields and CH4 atmospheric data, we show that a drop of OH radicals in 2020-2021, followed by recovery in 2022-2023, accounted for 83% of year-on-year variations in the CH4 growth rate, the rest being explained by wetland and inland water emissions, which increased between 2019 and 2020-2022 [+8.6 ± 2.6 teragrams of CH4 per year (TgCH4 year-1)] and then decreased between 2022 and 2023 (-9.9 ± 3.3 TgCH4 year-1). Most emission changes from 2019 to 2023 occurred in northern tropical wetlands in Africa and Asia, whereas South American wetlands emissions declined and Arctic emissions increased after 2019.</w:t>
      </w:r>
    </w:p>
    <w:p>
      <w:pPr>
        <w:spacing w:before="120" w:after="120"/>
      </w:pPr>
      <w:r>
        <w:rPr>
          <w:sz w:val="18"/>
        </w:rPr>
        <w:t>——————————————————————————————————————————————————————————————————————</w:t>
      </w:r>
    </w:p>
    <w:p>
      <w:pPr>
        <w:spacing w:before="160" w:after="40" w:line="240" w:lineRule="auto"/>
      </w:pPr>
      <w:r>
        <w:rPr>
          <w:b/>
        </w:rPr>
        <w:t xml:space="preserve">[615] </w:t>
      </w:r>
      <w:hyperlink r:id="rId995">
        <w:r>
          <w:rPr>
            <w:color w:val="1155CC"/>
            <w:u w:val="single"/>
          </w:rPr>
          <w:t>[ASAP] 化学选择性选用1,2-通过单原子-锡碳化石催化,对苯乙烯进行1,2-硫代亚氮化</w:t>
        </w:r>
      </w:hyperlink>
    </w:p>
    <w:p>
      <w:pPr>
        <w:spacing w:before="0" w:after="80"/>
      </w:pPr>
      <w:r>
        <w:rPr>
          <w:i/>
          <w:sz w:val="20"/>
        </w:rPr>
        <w:t>EN: [ASAP] Chemoselective 1,2-Sulfonamidoazidation of Styrene via Single-Atom-Site Cobalt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2026-02-05 09:27:34+00:00</w:t>
      </w:r>
      <w:r>
        <w:t xml:space="preserve">    </w:t>
      </w:r>
      <w:r>
        <w:rPr>
          <w:b/>
        </w:rPr>
        <w:t xml:space="preserve">DOI: </w:t>
      </w:r>
      <w:hyperlink r:id="rId996">
        <w:r>
          <w:rPr>
            <w:color w:val="1155CC"/>
            <w:u w:val="single"/>
          </w:rPr>
          <w:t>10.1021/jacs.5c12264</w:t>
        </w:r>
      </w:hyperlink>
    </w:p>
    <w:p>
      <w:pPr>
        <w:spacing w:before="0" w:after="120"/>
      </w:pPr>
      <w:r>
        <w:rPr>
          <w:b/>
        </w:rPr>
        <w:t xml:space="preserve">Notes: </w:t>
      </w:r>
      <w:r>
        <w:t>abstract_source=pubmed</w:t>
      </w:r>
    </w:p>
    <w:p>
      <w:pPr>
        <w:spacing w:before="0" w:after="80" w:lineRule="auto" w:line="276"/>
      </w:pPr>
      <w:r>
        <w:rPr>
          <w:b/>
        </w:rPr>
        <w:t xml:space="preserve">摘要（ZH）: </w:t>
      </w:r>
      <w:r>
        <w:t>精确控制代谢物分子间分解中的化学和再生选择性,仍然是有机合成中长期存在的一个挑战。在这里,我们报告了一种多种钴单一原子点催化剂,它能够有选择性地对苯乙烯进行1,2-硫代亚氮化。这个系统具有良好的功能性群体容忍度和极好的再循环性。通过利用单原子点催化的特性,这项工作为实现高度选择性、高效和可持续的苯乙烯分解提供了宝贵的平台。</w:t>
      </w:r>
    </w:p>
    <w:p>
      <w:pPr>
        <w:spacing w:before="0" w:after="200" w:lineRule="auto" w:line="276"/>
      </w:pPr>
      <w:r>
        <w:rPr>
          <w:b/>
        </w:rPr>
        <w:t xml:space="preserve">Abstract (EN): </w:t>
      </w:r>
      <w:r>
        <w:t>Precise control of chemo- and regioselectivity in intermolecular difunctionalization of alkenes remains a long-standing challenge in organic synthesis. Here, we report a heterogeneous cobalt single-atom-site catalyst that enables selective 1,2-sulfonamidoazidation of styrenes. The system features good functional group tolerance and excellent recyclability. By leveraging the characteristics of single-atom-site catalysis, this work provides a valuable platform for achieving highly selective, efficient, and sustainable styrene functionalization.</w:t>
      </w:r>
    </w:p>
    <w:p>
      <w:pPr>
        <w:spacing w:before="120" w:after="120"/>
      </w:pPr>
      <w:r>
        <w:rPr>
          <w:sz w:val="18"/>
        </w:rPr>
        <w:t>——————————————————————————————————————————————————————————————————————</w:t>
      </w:r>
    </w:p>
    <w:p>
      <w:pPr>
        <w:spacing w:before="160" w:after="40" w:line="240" w:lineRule="auto"/>
      </w:pPr>
      <w:r>
        <w:rPr>
          <w:b/>
        </w:rPr>
        <w:t xml:space="preserve">[616] </w:t>
      </w:r>
      <w:hyperlink r:id="rId997">
        <w:r>
          <w:rPr>
            <w:color w:val="1155CC"/>
            <w:u w:val="single"/>
          </w:rPr>
          <w:t>[ASAP]动态界面工程,通过机械了解在减少电化学CO2反应中铜的重建</w:t>
        </w:r>
      </w:hyperlink>
    </w:p>
    <w:p>
      <w:pPr>
        <w:spacing w:before="0" w:after="80"/>
      </w:pPr>
      <w:r>
        <w:rPr>
          <w:i/>
          <w:sz w:val="20"/>
        </w:rPr>
        <w:t>EN: [ASAP] Dynamic Interface Engineering via Mechanistic Understanding of Copper Reconstruction in Electrochemical CO2 Reduction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2026-02-05 09:28:37+00:00</w:t>
      </w:r>
      <w:r>
        <w:t xml:space="preserve">    </w:t>
      </w:r>
      <w:r>
        <w:rPr>
          <w:b/>
        </w:rPr>
        <w:t xml:space="preserve">DOI: </w:t>
      </w:r>
      <w:hyperlink r:id="rId998">
        <w:r>
          <w:rPr>
            <w:color w:val="1155CC"/>
            <w:u w:val="single"/>
          </w:rPr>
          <w:t>10.1021/jacs.5c16244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[617] </w:t>
      </w:r>
      <w:hyperlink r:id="rId999">
        <w:r>
          <w:rPr>
            <w:color w:val="1155CC"/>
            <w:u w:val="single"/>
          </w:rPr>
          <w:t>[ASAP] 由用电晶学喷发的堆积立晶体成像成型苯并模版的低二元立体立体型</w:t>
        </w:r>
      </w:hyperlink>
    </w:p>
    <w:p>
      <w:pPr>
        <w:spacing w:before="0" w:after="80"/>
      </w:pPr>
      <w:r>
        <w:rPr>
          <w:i/>
          <w:sz w:val="20"/>
        </w:rPr>
        <w:t>EN: [ASAP] Low-Dimensional Zeotypes Templated by Stacked Cyclic Benzimidazolium Revealed by Electron Crystallography</w:t>
      </w:r>
    </w:p>
    <w:p>
      <w:pPr>
        <w:spacing w:before="0" w:after="120"/>
      </w:pPr>
      <w:r>
        <w:rPr>
          <w:b/>
        </w:rPr>
        <w:t xml:space="preserve">Source: </w:t>
      </w:r>
      <w:r>
        <w:t>Journal of the American Chemical Society: Latest Articles (ACS Publications)</w:t>
      </w:r>
      <w:r>
        <w:t xml:space="preserve">    </w:t>
      </w:r>
      <w:r>
        <w:rPr>
          <w:b/>
        </w:rPr>
        <w:t xml:space="preserve">Pub date: </w:t>
      </w:r>
      <w:r>
        <w:t>2026-02-05 12:50:00+00:00</w:t>
      </w:r>
      <w:r>
        <w:t xml:space="preserve">    </w:t>
      </w:r>
      <w:r>
        <w:rPr>
          <w:b/>
        </w:rPr>
        <w:t xml:space="preserve">DOI: </w:t>
      </w:r>
      <w:hyperlink r:id="rId1000">
        <w:r>
          <w:rPr>
            <w:color w:val="1155CC"/>
            <w:u w:val="single"/>
          </w:rPr>
          <w:t>10.1021/jacs.5c22569</w:t>
        </w:r>
      </w:hyperlink>
    </w:p>
    <w:p>
      <w:pPr>
        <w:spacing w:before="0" w:after="120"/>
      </w:pPr>
      <w:r>
        <w:rPr>
          <w:b/>
        </w:rPr>
        <w:t xml:space="preserve">Notes: </w:t>
      </w:r>
      <w:r>
        <w:t>abstract_source=pubmed</w:t>
      </w:r>
    </w:p>
    <w:p>
      <w:pPr>
        <w:spacing w:before="0" w:after="80" w:lineRule="auto" w:line="276"/>
      </w:pPr>
      <w:r>
        <w:rPr>
          <w:b/>
        </w:rPr>
        <w:t xml:space="preserve">摘要（ZH）: </w:t>
      </w:r>
      <w:r>
        <w:t>化石的结构多样性在很大程度上取决于如何使用有机结构导导剂(OSDAs)来指导其形成,低维的叶片材料,例如分层或链式阶段,可以作为电温凝析路径中的关键中间体,然而,管理其形成和转化的机制仍然不太为人所知。在这里,我们报告了三种低维的叶片材料,EMM-75P、EM-L01和EM-L02,它们以苯并米当作OSDAs合成,其结构是由三维电子分解(3D ED)决定的,其中包括OSDA的原子结构,揭示它们被困在框架之内,以揭示其结构定向作用。</w:t>
      </w:r>
    </w:p>
    <w:p>
      <w:pPr>
        <w:spacing w:before="0" w:after="200" w:lineRule="auto" w:line="276"/>
      </w:pPr>
      <w:r>
        <w:rPr>
          <w:b/>
        </w:rPr>
        <w:t xml:space="preserve">Abstract (EN): </w:t>
      </w:r>
      <w:r>
        <w:t>The structural diversity of zeolites depends strongly on the use of organic structure-directing agents (OSDAs) that guide their formation. Low-dimensional zeolitic materials, such as layered or chain-like phases, can serve as key intermediates in topotactic condensation pathways, yet the mechanisms governing their formation and transformation remain poorly understood. Here, we report three low-dimensional zeolitic materials, EMM-75P, EM-L01, and EM-L02, synthesized using benzimidazolium cations as OSDAs. Their structures were determined by three-dimensional electron diffraction (3D ED), including the atomic structure of the OSDAs, revealing their confinement within the framework to shed light on their structure-directing role. The bulky benzimidazolium OSDAs prevent the formation of materials with three-dimensional framework structures and instead direct the formation of low-dimensional zeotypes. Upon calcination, the two-dimensional layered aluminosilicate zeotype EMM-75P undergoes topotactic condensation to form a three-dimensional zeolite, EMM-75, with a previously unreported zeolite framework topology. Aluminosilicate EM-L01 is a 2D analogue of STF/SFF zeolite frameworks and partially condensed to an STF-topology upon calcination, whereas EM-L02, a 1D silicate composed of double 6-ring chains, packed analogous to the CHA zeolite framework, collapses during the thermal treatment. The detailed structural characterization of these three materials provides insights into the mechanism of topotactic condensation and demonstrates how such pathways can lead to new zeolite materials.</w:t>
      </w:r>
    </w:p>
    <w:p>
      <w:pPr>
        <w:spacing w:before="120" w:after="120"/>
      </w:pPr>
      <w:r>
        <w:rPr>
          <w:sz w:val="18"/>
        </w:rPr>
        <w:t>——————————————————————————————————————————————————————————————————————</w:t>
      </w:r>
    </w:p>
    <w:p>
      <w:pPr>
        <w:spacing w:before="160" w:after="40" w:line="240" w:lineRule="auto"/>
      </w:pPr>
      <w:r>
        <w:rPr>
          <w:b/>
        </w:rPr>
        <w:t xml:space="preserve">[618] </w:t>
      </w:r>
      <w:hyperlink r:id="rId1001">
        <w:r>
          <w:rPr>
            <w:color w:val="1155CC"/>
            <w:u w:val="single"/>
          </w:rPr>
          <w:t>[ASAP]对帕拉磁性固态NMR(NMR)的膜状蛋白质上环环斑的直径大唇进行三角测距</w:t>
        </w:r>
      </w:hyperlink>
    </w:p>
    <w:p>
      <w:pPr>
        <w:spacing w:before="0" w:after="80"/>
      </w:pPr>
      <w:r>
        <w:rPr>
          <w:i/>
          <w:sz w:val="20"/>
        </w:rPr>
        <w:t>EN: [ASAP] Triangulating a Tightly Bound Lipid on a Membrane Protein by Paramagnetic Solid-State NMR</w:t>
      </w:r>
    </w:p>
    <w:p>
      <w:pPr>
        <w:spacing w:before="0" w:after="120"/>
      </w:pPr>
      <w:r>
        <w:rPr>
          <w:b/>
        </w:rPr>
        <w:t xml:space="preserve">Source: </w:t>
      </w:r>
      <w:r>
        <w:t>Journal of the American Chemical Society: Latest Articles (ACS Publications)</w:t>
      </w:r>
      <w:r>
        <w:t xml:space="preserve">    </w:t>
      </w:r>
      <w:r>
        <w:rPr>
          <w:b/>
        </w:rPr>
        <w:t xml:space="preserve">Pub date: </w:t>
      </w:r>
      <w:r>
        <w:t>2026-02-05 13:00:55+00:00</w:t>
      </w:r>
      <w:r>
        <w:t xml:space="preserve">    </w:t>
      </w:r>
      <w:r>
        <w:rPr>
          <w:b/>
        </w:rPr>
        <w:t xml:space="preserve">DOI: </w:t>
      </w:r>
      <w:hyperlink r:id="rId1002">
        <w:r>
          <w:rPr>
            <w:color w:val="1155CC"/>
            <w:u w:val="single"/>
          </w:rPr>
          <w:t>10.1021/jacs.5c22235</w:t>
        </w:r>
      </w:hyperlink>
    </w:p>
    <w:p>
      <w:pPr>
        <w:spacing w:before="0" w:after="120"/>
      </w:pPr>
      <w:r>
        <w:rPr>
          <w:b/>
        </w:rPr>
        <w:t xml:space="preserve">Notes: </w:t>
      </w:r>
      <w:r>
        <w:t>abstract_source=pubmed</w:t>
      </w:r>
    </w:p>
    <w:p>
      <w:pPr>
        <w:spacing w:before="0" w:after="80" w:lineRule="auto" w:line="276"/>
      </w:pPr>
      <w:r>
        <w:rPr>
          <w:b/>
        </w:rPr>
        <w:t xml:space="preserve">摘要（ZH）: </w:t>
      </w:r>
      <w:r>
        <w:t>非天然脂质与膜蛋白紧密相关,影响其结构和功能。在这里,我们提出了一个基于固态NMR(sNMR)的固态NMR(sNMR)战略,将这种脂质定位在蛋白表面,具有很高的特殊性。我们以前曾确定过一个与Anabaena Sensory Rhodopsin 三角体和显示解析NMR信号共同净化的严格捆绑的甘油磷脂脂脂脂脂脂。通过在指定地点引入对等磁性标签并测量磁性放松增强(PREs),我们将脂质靠近渗透性内聚物裂开的位置进行三角调节。在PRE限制指导下的划线计算进一步定义了一个非天然脂质捆绑点。我们的方法为在类似本地条件下测绘薄膜蛋白质中严格捆绑的脂质提供了一个广泛适用的框架。</w:t>
      </w:r>
    </w:p>
    <w:p>
      <w:pPr>
        <w:spacing w:before="0" w:after="200" w:lineRule="auto" w:line="276"/>
      </w:pPr>
      <w:r>
        <w:rPr>
          <w:b/>
        </w:rPr>
        <w:t xml:space="preserve">Abstract (EN): </w:t>
      </w:r>
      <w:r>
        <w:t>Nonannular lipids tightly associate with membrane proteins, influencing their structure and function. Here, we present a solid-state NMR (ssNMR)-based strategy to localize such lipids on protein surfaces with a high specificity. We previously identified a tightly bound glycophospholipid which copurifies with Anabaena Sensory Rhodopsin trimers and displays resolved NMR signals. By introducing paramagnetic labels at defined sites and measuring paramagnetic relaxation enhancements (PREs), we triangulate the lipid's position near a periplasmic intermonomer cleft. Docking calculations guided by PRE restraints further define a nonannular lipid binding site. Our approach provides a broadly applicable framework for mapping tightly bound lipids in membrane proteins under native-like conditions.</w:t>
      </w:r>
    </w:p>
    <w:p>
      <w:pPr>
        <w:spacing w:before="120" w:after="120"/>
      </w:pPr>
      <w:r>
        <w:rPr>
          <w:sz w:val="18"/>
        </w:rPr>
        <w:t>——————————————————————————————————————————————————————————————————————</w:t>
      </w:r>
    </w:p>
    <w:p>
      <w:pPr>
        <w:spacing w:before="160" w:after="40" w:line="240" w:lineRule="auto"/>
      </w:pPr>
      <w:r>
        <w:rPr>
          <w:b/>
        </w:rPr>
        <w:t xml:space="preserve">[619] </w:t>
      </w:r>
      <w:hyperlink r:id="rId1003">
        <w:r>
          <w:rPr>
            <w:color w:val="1155CC"/>
            <w:u w:val="single"/>
          </w:rPr>
          <w:t>[ASAP] Luddlesden-popper 镍矿流体分解独特结构家族的氧化物氧化物:Oxygen - 中间层的氧化物 Perovskites的氧化物氧化物</w:t>
        </w:r>
      </w:hyperlink>
    </w:p>
    <w:p>
      <w:pPr>
        <w:spacing w:before="0" w:after="80"/>
      </w:pPr>
      <w:r>
        <w:rPr>
          <w:i/>
          <w:sz w:val="20"/>
        </w:rPr>
        <w:t>EN: [ASAP] Topochemical Oxidation of Ruddlesden–Popper Nickelates Reveals Distinct Structural Family: Oxygen-Intercalated Layered Perovskites</w:t>
      </w:r>
    </w:p>
    <w:p>
      <w:pPr>
        <w:spacing w:before="0" w:after="120"/>
      </w:pPr>
      <w:r>
        <w:rPr>
          <w:b/>
        </w:rPr>
        <w:t xml:space="preserve">Source: </w:t>
      </w:r>
      <w:r>
        <w:t>Journal of the American Chemical Society: Latest Articles (ACS Publications)</w:t>
      </w:r>
      <w:r>
        <w:t xml:space="preserve">    </w:t>
      </w:r>
      <w:r>
        <w:rPr>
          <w:b/>
        </w:rPr>
        <w:t xml:space="preserve">Pub date: </w:t>
      </w:r>
      <w:r>
        <w:t>2026-02-05 13:48:49+00:00</w:t>
      </w:r>
      <w:r>
        <w:t xml:space="preserve">    </w:t>
      </w:r>
      <w:r>
        <w:rPr>
          <w:b/>
        </w:rPr>
        <w:t xml:space="preserve">DOI: </w:t>
      </w:r>
      <w:hyperlink r:id="rId1004">
        <w:r>
          <w:rPr>
            <w:color w:val="1155CC"/>
            <w:u w:val="single"/>
          </w:rPr>
          <w:t>10.1021/jacs.5c12712</w:t>
        </w:r>
      </w:hyperlink>
    </w:p>
    <w:p>
      <w:pPr>
        <w:spacing w:before="0" w:after="120"/>
      </w:pPr>
      <w:r>
        <w:rPr>
          <w:b/>
        </w:rPr>
        <w:t xml:space="preserve">Notes: </w:t>
      </w:r>
      <w:r>
        <w:t>abstract_source=pubmed</w:t>
      </w:r>
    </w:p>
    <w:p>
      <w:pPr>
        <w:spacing w:before="0" w:after="80" w:lineRule="auto" w:line="276"/>
      </w:pPr>
      <w:r>
        <w:rPr>
          <w:b/>
        </w:rPr>
        <w:t xml:space="preserve">摘要（ZH）: </w:t>
      </w:r>
      <w:r>
        <w:t>包括 Dion- Jacobson、 Ruddlesden- Popper 和 Aurillius 家庭—— Exhibit 等层层的百草枯层—— 包括 Dion- Jacobson、 Ruddlesden- Popper 和 Aurivillius 家庭—— exhibit 等一系列相关的电子现象, 从高温超导性超导性到多发性。 这里, 我们报告有一个新的层层的百草枯层, 通过Lan+1NinO3n+1(n = 1-4) 的氧化物化氧化物氧化物氧化物氧化物氧化物氧化物氧化物(n = 1) 使La2NiO4 (n = 1) 导致大量 c- 轴扩张。 ox- = 1 单质的衰减值随着 N. 地表同步X 射线分解和一致的布拉格杆分析(COBRA) 显示,这种结构膨胀扩大是由于岩石空间层内大约 0. 0. 0. 0. 0. 1 氧原子 10 氧原子</w:t>
      </w:r>
    </w:p>
    <w:p>
      <w:pPr>
        <w:spacing w:before="0" w:after="200" w:lineRule="auto" w:line="276"/>
      </w:pPr>
      <w:r>
        <w:rPr>
          <w:b/>
        </w:rPr>
        <w:t xml:space="preserve">Abstract (EN): </w:t>
      </w:r>
      <w:r>
        <w:t>Layered perovskites─including the Dion-Jacobson, Ruddlesden-Popper, and Aurivillius families─exhibit a wide range of correlated electron phenomena, from high-temperature superconductivity to multiferroicity. Here, we report a new family of layered perovskites realized through topochemical oxidation of Lan+1NinO3n+1+δ (n = 1-4) Ruddlesden-Popper nickelate thin films. Postgrowth ozone annealing induces a substantial c-axis expansion─17.8% for La2NiO4+δ (n = 1)─that monotonically decreases with increasing n. Surface synchrotron X-ray diffraction and coherent Bragg rod analysis (COBRA) reveal that this structural expansion arises from the intercalation of approximately δ ≈ 0.7-1.0 oxygen atoms into interstitial sites within the rock salt spacer layers, far exceeding the previous record of δ ≈ 0.3 for any Ruddlesden-Popper oxide. These oxygen-intercalated phases form a new class of layered perovskites with a spacer layer composition intermediate between the Ruddlesden-Popper and Aurivillius phases. Furthermore, oxygen intercalation induces metallicity, enhances nickel-oxygen hybridization, and suppresses oxygen octahedral rotations, a feature associated with high-temperature superconductivity in Ruddlesden-Popper nickelates. Our work establishes topochemical oxidation as a powerful approach to accessing highly oxidized, metastable phases across a broad range of layered oxide systems, offering new platforms to engineer electronic properties via intercalation chemistry.</w:t>
      </w:r>
    </w:p>
    <w:p>
      <w:pPr>
        <w:spacing w:before="120" w:after="120"/>
      </w:pPr>
      <w:r>
        <w:rPr>
          <w:sz w:val="18"/>
        </w:rPr>
        <w:t>——————————————————————————————————————————————————————————————————————</w:t>
      </w:r>
    </w:p>
    <w:p>
      <w:pPr>
        <w:spacing w:before="160" w:after="40" w:line="240" w:lineRule="auto"/>
      </w:pPr>
      <w:r>
        <w:rPr>
          <w:b/>
        </w:rPr>
        <w:t xml:space="preserve">[620] </w:t>
      </w:r>
      <w:hyperlink r:id="rId1005">
        <w:r>
          <w:rPr>
            <w:color w:val="1155CC"/>
            <w:u w:val="single"/>
          </w:rPr>
          <w:t>[ASAP] 雕塑高子气压计直接从永生黄金直接催化</w:t>
        </w:r>
      </w:hyperlink>
    </w:p>
    <w:p>
      <w:pPr>
        <w:spacing w:before="0" w:after="80"/>
      </w:pPr>
      <w:r>
        <w:rPr>
          <w:i/>
          <w:sz w:val="20"/>
        </w:rPr>
        <w:t>EN: [ASAP] Sculpting Superior Subnanometer Catalysts Directly from Inert Gold</w:t>
      </w:r>
    </w:p>
    <w:p>
      <w:pPr>
        <w:spacing w:before="0" w:after="120"/>
      </w:pPr>
      <w:r>
        <w:rPr>
          <w:b/>
        </w:rPr>
        <w:t xml:space="preserve">Source: </w:t>
      </w:r>
      <w:r>
        <w:t>Journal of the American Chemical Society: Latest Articles (ACS Publications)</w:t>
      </w:r>
      <w:r>
        <w:t xml:space="preserve">    </w:t>
      </w:r>
      <w:r>
        <w:rPr>
          <w:b/>
        </w:rPr>
        <w:t xml:space="preserve">Pub date: </w:t>
      </w:r>
      <w:r>
        <w:t>2026-02-05 13:49:47+00:00</w:t>
      </w:r>
      <w:r>
        <w:t xml:space="preserve">    </w:t>
      </w:r>
      <w:r>
        <w:rPr>
          <w:b/>
        </w:rPr>
        <w:t xml:space="preserve">DOI: </w:t>
      </w:r>
      <w:hyperlink r:id="rId1006">
        <w:r>
          <w:rPr>
            <w:color w:val="1155CC"/>
            <w:u w:val="single"/>
          </w:rPr>
          <w:t>10.1021/jacs.5c22389</w:t>
        </w:r>
      </w:hyperlink>
    </w:p>
    <w:p>
      <w:pPr>
        <w:spacing w:before="0" w:after="120"/>
      </w:pPr>
      <w:r>
        <w:rPr>
          <w:b/>
        </w:rPr>
        <w:t xml:space="preserve">Notes: </w:t>
      </w:r>
      <w:r>
        <w:t>abstract_source=pubmed</w:t>
      </w:r>
    </w:p>
    <w:p>
      <w:pPr>
        <w:spacing w:before="0" w:after="80" w:lineRule="auto" w:line="276"/>
      </w:pPr>
      <w:r>
        <w:rPr>
          <w:b/>
        </w:rPr>
        <w:t xml:space="preserve">摘要（ZH）: </w:t>
      </w:r>
      <w:r>
        <w:t>以其催化性惰性而闻名的散装金可以通过其表面的工程协调不足的工地而转化为一种特别活跃的催化剂。然而,从延伸的梯田直接雕塑这些活跃的工地仍是一项基本挑战。在这里,我们展示了一种可编程的战略,以动态方式直接从惰性Au(111)表面直接产生Au(Au-CO)子辐射计团,从而释放出更高的CO氧化活动。通过将大型机器学习分子动态与密度功能理论结合起来,我们破解了这一重组过程的原子化路径。我们的方法采用热-CO压力循环,以诱导后置原子的抛射,形成移动的Au-CO复合体。随后的冷却动力将这些复合体困在可变的子体中。</w:t>
      </w:r>
    </w:p>
    <w:p>
      <w:pPr>
        <w:spacing w:before="0" w:after="200" w:lineRule="auto" w:line="276"/>
      </w:pPr>
      <w:r>
        <w:rPr>
          <w:b/>
        </w:rPr>
        <w:t xml:space="preserve">Abstract (EN): </w:t>
      </w:r>
      <w:r>
        <w:t>Bulk gold, renowned for its catalytic inertness, can be transformed into an exceptionally active catalyst by engineering undercoordinated sites on its surface. However, directly sculpting such active sites from extended terraces remains a fundamental challenge. Here, we demonstrate a programmable strategy to dynamically generate subnanometer Au clusters directly from inert Au(111) surfaces, unlocking superior activity for CO oxidation. By integrating large-scale machine learning molecular dynamics with density functional theory, we decode the atomistic pathway of this restructuring process. Our approach employs thermal-CO pressure cycles to induce the ejection of step-edge atoms, forming mobile Au-CO complexes. Subsequent cooling kinetically traps these complexes into metastable, subnanometer clusters (3-6 atoms). A controlled reduction of CO exposure then precisely exposes the catalytically crucial undercoordinated sites while maintaining cluster stability. Crucially, these sculpted clusters exhibit a CO oxidation activity that far exceeds that of pristine step edges, terraces, or conventional single-atom sites. This work establishes reaction condition engineering as a powerful paradigm for sculpting active catalysts directly from bulk materials by bypassing traditional synthetic routes.</w:t>
      </w:r>
    </w:p>
    <w:p>
      <w:pPr>
        <w:spacing w:before="120" w:after="120"/>
      </w:pPr>
      <w:r>
        <w:rPr>
          <w:sz w:val="18"/>
        </w:rPr>
        <w:t>——————————————————————————————————————————————————————————————————————</w:t>
      </w:r>
    </w:p>
    <w:p>
      <w:pPr>
        <w:spacing w:before="160" w:after="40" w:line="240" w:lineRule="auto"/>
      </w:pPr>
      <w:r>
        <w:rPr>
          <w:b/>
        </w:rPr>
        <w:t xml:space="preserve">[621] </w:t>
      </w:r>
      <w:hyperlink r:id="rId1007">
        <w:r>
          <w:rPr>
            <w:color w:val="1155CC"/>
            <w:u w:val="single"/>
          </w:rPr>
          <w:t>[ASAP] 以可见光光转换五聚氰胺-地雷交换 [ASAP]</w:t>
        </w:r>
      </w:hyperlink>
    </w:p>
    <w:p>
      <w:pPr>
        <w:spacing w:before="0" w:after="80"/>
      </w:pPr>
      <w:r>
        <w:rPr>
          <w:i/>
          <w:sz w:val="20"/>
        </w:rPr>
        <w:t>EN: [ASAP] Shifting Merocyanine-Imine Exchange with Visible Light</w:t>
      </w:r>
    </w:p>
    <w:p>
      <w:pPr>
        <w:spacing w:before="0" w:after="120"/>
      </w:pPr>
      <w:r>
        <w:rPr>
          <w:b/>
        </w:rPr>
        <w:t xml:space="preserve">Source: </w:t>
      </w:r>
      <w:r>
        <w:t>Journal of the American Chemical Society: Latest Articles (ACS Publications)</w:t>
      </w:r>
      <w:r>
        <w:t xml:space="preserve">    </w:t>
      </w:r>
      <w:r>
        <w:rPr>
          <w:b/>
        </w:rPr>
        <w:t xml:space="preserve">Pub date: </w:t>
      </w:r>
      <w:r>
        <w:t>2026-02-05 14:01:55+00:00</w:t>
      </w:r>
      <w:r>
        <w:t xml:space="preserve">    </w:t>
      </w:r>
      <w:r>
        <w:rPr>
          <w:b/>
        </w:rPr>
        <w:t xml:space="preserve">DOI: </w:t>
      </w:r>
      <w:hyperlink r:id="rId1008">
        <w:r>
          <w:rPr>
            <w:color w:val="1155CC"/>
            <w:u w:val="single"/>
          </w:rPr>
          <w:t>10.1021/jacs.5c17606</w:t>
        </w:r>
      </w:hyperlink>
    </w:p>
    <w:p>
      <w:pPr>
        <w:spacing w:before="0" w:after="120"/>
      </w:pPr>
      <w:r>
        <w:rPr>
          <w:b/>
        </w:rPr>
        <w:t xml:space="preserve">Notes: </w:t>
      </w:r>
      <w:r>
        <w:t>abstract_source=pubmed</w:t>
      </w:r>
    </w:p>
    <w:p>
      <w:pPr>
        <w:spacing w:before="0" w:after="80" w:lineRule="auto" w:line="276"/>
      </w:pPr>
      <w:r>
        <w:rPr>
          <w:b/>
        </w:rPr>
        <w:t xml:space="preserve">摘要（ZH）: </w:t>
      </w:r>
      <w:r>
        <w:t>我们展示了青蒿素和非尼因之间的动态共价交换,并展示了如何以可见的光线改变平衡构成。 为此,我们利用了一种负光色色T型美罗氰胺,它与厌食性核糖核素进行共价交换,以提供电离子。由于青蒿素可以定量地转换成在交换中不活跃的其螺旋极异构体,因此系统可以被转移和困在静态的螺旋极兰状态中。然而,在黑暗中,系统又回回回回回到重新参与交换的动态美色素。移动/穿刺和再平衡的过程可以重复多次。这个系统为设计允许空间和时间连接的材料提供了机会。</w:t>
      </w:r>
    </w:p>
    <w:p>
      <w:pPr>
        <w:spacing w:before="0" w:after="200" w:lineRule="auto" w:line="276"/>
      </w:pPr>
      <w:r>
        <w:rPr>
          <w:b/>
        </w:rPr>
        <w:t xml:space="preserve">Abstract (EN): </w:t>
      </w:r>
      <w:r>
        <w:t>We show the dynamic covalent exchange between merocyanines and imines and demonstrate how the equilibrium composition can be shifted with visible light. For this purpose, we exploited a negative photochromic T-type merocyanine that engages in a covalent exchange with an aniline nucleophile to provide an imine. Since the merocyanine can quantitatively be converted into its spiropyran isomer that is nonreactive in the exchange, the system can be shifted and trapped in the static spiropyran state. In the dark, however, the system thermally reverts back to the dynamic merocyanine that re-engages in the exchange. The process of shifting/trapping and re-equilibration can be repeated multiple times. The system provides opportunities for designing materials that allow for spatial and temporal control over their dynamic properties.</w:t>
      </w:r>
    </w:p>
    <w:p>
      <w:pPr>
        <w:spacing w:before="120" w:after="120"/>
      </w:pPr>
      <w:r>
        <w:rPr>
          <w:sz w:val="18"/>
        </w:rPr>
        <w:t>——————————————————————————————————————————————————————————————————————</w:t>
      </w:r>
    </w:p>
    <w:p>
      <w:pPr>
        <w:spacing w:before="160" w:after="40" w:line="240" w:lineRule="auto"/>
      </w:pPr>
      <w:r>
        <w:rPr>
          <w:b/>
        </w:rPr>
        <w:t xml:space="preserve">[622] </w:t>
      </w:r>
      <w:hyperlink r:id="rId1009">
        <w:r>
          <w:rPr>
            <w:color w:val="1155CC"/>
            <w:u w:val="single"/>
          </w:rPr>
          <w:t>[ASAP]大气氧气空缺在强化碱性水氢进化过程中对地表水氢化的动态作用</w:t>
        </w:r>
      </w:hyperlink>
    </w:p>
    <w:p>
      <w:pPr>
        <w:spacing w:before="0" w:after="80"/>
      </w:pPr>
      <w:r>
        <w:rPr>
          <w:i/>
          <w:sz w:val="20"/>
        </w:rPr>
        <w:t>EN: [ASAP] Dynamic Roles of Oxygen Vacancies for Surface Hydroxylation in Enhanced Alkaline Hydrogen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2026-02-05 20:00:00+00:00</w:t>
      </w:r>
      <w:r>
        <w:t xml:space="preserve">    </w:t>
      </w:r>
      <w:r>
        <w:rPr>
          <w:b/>
        </w:rPr>
        <w:t xml:space="preserve">DOI: </w:t>
      </w:r>
      <w:hyperlink r:id="rId1010">
        <w:r>
          <w:rPr>
            <w:color w:val="1155CC"/>
            <w:u w:val="single"/>
          </w:rPr>
          <w:t>10.1021/jacs.5c15670</w:t>
        </w:r>
      </w:hyperlink>
    </w:p>
    <w:p>
      <w:pPr>
        <w:spacing w:before="0" w:after="120"/>
      </w:pPr>
      <w:r>
        <w:rPr>
          <w:b/>
        </w:rPr>
        <w:t xml:space="preserve">Notes: </w:t>
      </w:r>
      <w:r>
        <w:t>abstract_source=pubmed</w:t>
      </w:r>
    </w:p>
    <w:p>
      <w:pPr>
        <w:spacing w:before="0" w:after="80" w:lineRule="auto" w:line="276"/>
      </w:pPr>
      <w:r>
        <w:rPr>
          <w:b/>
        </w:rPr>
        <w:t xml:space="preserve">摘要（ZH）: </w:t>
      </w:r>
      <w:r>
        <w:t>普遍认为,金属氧化氧化物电催化器中的氧含量(VO)空缺是氢进化反应活动增强的关键促进者,然而,它们在催化过程中的精确功能仍然难以捉摸。在这里,我们调查了Vo-rich Co3O4(中度活性过渡性金属氧化物)和Vo-ric-RuO2(高性能氧化物催化剂),作为示范催化剂,用以说明在碱性HER期间V的动态演变。 电化学分析表明,Vo-rich 氧化物与其缺乏VO-pority的对应体相比,其内在的HER活动显著增强。 综合成像光谱、异地特征和初始分子动态模拟显示,Vo不是惰性,而是在HER期间被动态消耗,促进了广泛的表面。</w:t>
      </w:r>
    </w:p>
    <w:p>
      <w:pPr>
        <w:spacing w:before="0" w:after="200" w:lineRule="auto" w:line="276"/>
      </w:pPr>
      <w:r>
        <w:rPr>
          <w:b/>
        </w:rPr>
        <w:t xml:space="preserve">Abstract (EN): </w:t>
      </w:r>
      <w:r>
        <w:t>Oxygen vacancies (VO) in metal oxide electrocatalysts are widely recognized as key contributors to enhanced hydrogen evolution reaction (HER) activity, yet their precise function during catalysis remains elusive. Here, we investigate VO-rich Co3O4 (a transition-metal oxide with moderate activity) and VO-rich RuO2 (a high-performance oxide catalyst) as model catalysts to elucidate the dynamic evolution of VO during alkaline HER. Electrochemical analysis demonstrates that VO-rich oxides exhibit significantly enhanced intrinsic HER activity compared to their VO-poor counterparts. Comprehensive operando spectroscopies, ex situ characterizations, and ab initio molecular dynamics (AIMD) simulations reveal that VO is not inert but is dynamically consumed during HER, facilitating extensive surface hydroxylation. Such surface hydroxylation and reconstruction optimize water molecule adsorption and dissociation, regulate interfacial water distribution, and enhance the connectivity of the hydrogen-bond network at the interface, collectively shifting the reaction pathway from Volmer-Heyrovsky to Volmer-Tafel. These synergistic effects lead to accelerated reaction kinetics and superior HER performance. This work supports the generality of the proposed mechanism across oxide electrocatalysts with vastly different intrinsic activities, provides new insights into the structural dynamics of VO, and highlights the critical role of its induced surface hydroxylation in regulating the interfacial water and hydrogen-bond network, thereby boosting electrocatalytic hydrogen evolution.</w:t>
      </w:r>
    </w:p>
    <w:p>
      <w:pPr>
        <w:spacing w:before="120" w:after="120"/>
      </w:pPr>
      <w:r>
        <w:rPr>
          <w:sz w:val="18"/>
        </w:rPr>
        <w:t>——————————————————————————————————————————————————————————————————————</w:t>
      </w:r>
    </w:p>
    <w:p>
      <w:pPr>
        <w:spacing w:before="160" w:after="40" w:line="240" w:lineRule="auto"/>
      </w:pPr>
      <w:r>
        <w:rPr>
          <w:b/>
        </w:rPr>
        <w:t xml:space="preserve">[623] </w:t>
      </w:r>
      <w:hyperlink r:id="rId1011">
        <w:r>
          <w:rPr>
            <w:color w:val="1155CC"/>
            <w:u w:val="single"/>
          </w:rPr>
          <w:t>[ASAP]2,2-二氧基苯乙烯的单氧基酶活动</w:t>
        </w:r>
      </w:hyperlink>
    </w:p>
    <w:p>
      <w:pPr>
        <w:spacing w:before="0" w:after="80"/>
      </w:pPr>
      <w:r>
        <w:rPr>
          <w:i/>
          <w:sz w:val="20"/>
        </w:rPr>
        <w:t>EN: [ASAP] Monooxygenase Activity of Indoleamine 2,3-Dioxygenase</w:t>
      </w:r>
    </w:p>
    <w:p>
      <w:pPr>
        <w:spacing w:before="0" w:after="120"/>
      </w:pPr>
      <w:r>
        <w:rPr>
          <w:b/>
        </w:rPr>
        <w:t xml:space="preserve">Source: </w:t>
      </w:r>
      <w:r>
        <w:t>Journal of the American Chemical Society: Latest Articles (ACS Publications)</w:t>
      </w:r>
      <w:r>
        <w:t xml:space="preserve">    </w:t>
      </w:r>
      <w:r>
        <w:rPr>
          <w:b/>
        </w:rPr>
        <w:t xml:space="preserve">Pub date: </w:t>
      </w:r>
      <w:r>
        <w:t>2026-02-05 20:11:06+00:00</w:t>
      </w:r>
      <w:r>
        <w:t xml:space="preserve">    </w:t>
      </w:r>
      <w:r>
        <w:rPr>
          <w:b/>
        </w:rPr>
        <w:t xml:space="preserve">DOI: </w:t>
      </w:r>
      <w:hyperlink r:id="rId1012">
        <w:r>
          <w:rPr>
            <w:color w:val="1155CC"/>
            <w:u w:val="single"/>
          </w:rPr>
          <w:t>10.1021/jacs.5c17552</w:t>
        </w:r>
      </w:hyperlink>
    </w:p>
    <w:p>
      <w:pPr>
        <w:spacing w:before="0" w:after="120"/>
      </w:pPr>
      <w:r>
        <w:rPr>
          <w:b/>
        </w:rPr>
        <w:t xml:space="preserve">Notes: </w:t>
      </w:r>
      <w:r>
        <w:t>abstract_source=pubmed</w:t>
      </w:r>
    </w:p>
    <w:p>
      <w:pPr>
        <w:spacing w:before="0" w:after="80" w:lineRule="auto" w:line="276"/>
      </w:pPr>
      <w:r>
        <w:rPr>
          <w:b/>
        </w:rPr>
        <w:t xml:space="preserve">摘要（ZH）: </w:t>
      </w:r>
      <w:r>
        <w:t>2,3-二氧氧基酶(IDO)是一种依赖 heme 的酶,它催化了 kynureine 路径的第一个、限速步骤 — — 将l-trypopphan氧化为N-ylkynurine(NFK) 。IDO催化耗竭trypophan 水平,并积累了 kynuren 路径代谢物,这是细胞中免疫反应的一个重要控制机制。 IDO 被认为是一种二氧基酶,因为将氧的两个原子插入基体。在这里,我们使用LC-MS和NMR来检查使用l-tryptophan (l-Trp) 和其他数种trepophophan 模拟器的人类 IDO(h-IDO) 的再活动。除了二氧基酶活动外,我们还发现一种与 hIDO 和l- trp 反应中依赖 heme 的一氧基酶活动的并行路径,导致形成三- 氢氧-1, 2,3,3,3a,8,8,8,8a-</w:t>
      </w:r>
    </w:p>
    <w:p>
      <w:pPr>
        <w:spacing w:before="0" w:after="200" w:lineRule="auto" w:line="276"/>
      </w:pPr>
      <w:r>
        <w:rPr>
          <w:b/>
        </w:rPr>
        <w:t xml:space="preserve">Abstract (EN): </w:t>
      </w:r>
      <w:r>
        <w:t>Indoleamine 2,3-dioxygenase (IDO) is a heme-dependent enzyme that catalyzes the first, rate-limiting step of the kynurenine pathway─the oxidation of l-tryptophan to N-formylkynurenine (NFK). IDO-catalyzed depletion of tryptophan levels and accumulation of kynurenine pathway metabolites is an important control mechanism of the immune responses in cells. IDO has been considered as a dioxygenase because two atoms of oxygen are inserted into the substrate. Here, we use LC-MS and NMR to examine the reactivity of human IDO (hIDO) with l-tryptophan (l-Trp) and several other tryptophan analogues. Alongside dioxygenase activity, we identify a concurrent pathway of heme-dependent monooxygenase activity in the reaction of hIDO with l-Trp, leading to the formation of a cyclic 3a-hydroxy-1,2,3,3a,8,8a-hexahydropyrrolo[2,3-b]indole-2-carboxylic acid (HPIC) species. Reaction profiles for the reaction of hIDO with other tryptophan analogues are likewise examined. Formation of HPIC from l-Trp is reproduced in HeLa cells induced to overexpress hIDO, indicating that this dual dioxygenase/monooxygenase reactivity also occurs biologically. Notably, the reaction of hIDO with β-[3-benzo(b)thienyl]-l-alanine (S-l-Trp)─a known inhibitor ─yielded only the cyclic HPIC analogue, suggesting that IDO activity can be selectively directed toward the monooxygenase pathway. Molecular dynamics simulations underscore the critical role of substrate plasticity within the active site of hIDO, while DFT calculations provide a mechanistic rationalization for the observed product distributions. Together, the data demonstrate dual dioxygenase/monooxygenase functionality for human IDO. As the overall gatekeeper for control of tryptophan levels in cells, the findings provide mechanistic information on relevance to therapeutic strategies focused on IDO inhibition.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1369702126000490?dgcid=rss_sd_all" TargetMode="External"/><Relationship Id="rId10" Type="http://schemas.openxmlformats.org/officeDocument/2006/relationships/hyperlink" Target="https://www.sciencedirect.com/science/article/pii/S0306261926000796?dgcid=rss_sd_all" TargetMode="External"/><Relationship Id="rId11" Type="http://schemas.openxmlformats.org/officeDocument/2006/relationships/hyperlink" Target="https://www.nature.com/articles/s41467-026-68723-7" TargetMode="External"/><Relationship Id="rId12" Type="http://schemas.openxmlformats.org/officeDocument/2006/relationships/hyperlink" Target="https://www.nature.com/articles/s41467-026-68728-2" TargetMode="External"/><Relationship Id="rId13" Type="http://schemas.openxmlformats.org/officeDocument/2006/relationships/hyperlink" Target="https://www.sciencedirect.com/science/article/pii/S0306261926000760?dgcid=rss_sd_all" TargetMode="External"/><Relationship Id="rId14" Type="http://schemas.openxmlformats.org/officeDocument/2006/relationships/hyperlink" Target="https://www.nature.com/articles/s41467-026-68857-8" TargetMode="External"/><Relationship Id="rId15" Type="http://schemas.openxmlformats.org/officeDocument/2006/relationships/hyperlink" Target="https://www.sciencedirect.com/science/article/pii/S0306261926000723?dgcid=rss_sd_all" TargetMode="External"/><Relationship Id="rId16" Type="http://schemas.openxmlformats.org/officeDocument/2006/relationships/hyperlink" Target="https://www.sciencedirect.com/science/article/pii/S0306261926000711?dgcid=rss_sd_all" TargetMode="External"/><Relationship Id="rId17" Type="http://schemas.openxmlformats.org/officeDocument/2006/relationships/hyperlink" Target="https://www.sciencedirect.com/science/article/pii/S0306261926000693?dgcid=rss_sd_all" TargetMode="External"/><Relationship Id="rId18" Type="http://schemas.openxmlformats.org/officeDocument/2006/relationships/hyperlink" Target="https://www.sciencedirect.com/science/article/pii/S030626192600067X?dgcid=rss_sd_all" TargetMode="External"/><Relationship Id="rId19" Type="http://schemas.openxmlformats.org/officeDocument/2006/relationships/hyperlink" Target="https://www.nature.com/articles/s41467-026-69009-8" TargetMode="External"/><Relationship Id="rId20" Type="http://schemas.openxmlformats.org/officeDocument/2006/relationships/hyperlink" Target="https://www.nature.com/articles/s41467-026-69016-9" TargetMode="External"/><Relationship Id="rId21" Type="http://schemas.openxmlformats.org/officeDocument/2006/relationships/hyperlink" Target="https://www.sciencedirect.com/science/article/pii/S0306261926000383?dgcid=rss_sd_all" TargetMode="External"/><Relationship Id="rId22" Type="http://schemas.openxmlformats.org/officeDocument/2006/relationships/hyperlink" Target="https://www.nature.com/articles/s41467-026-69049-0" TargetMode="External"/><Relationship Id="rId23" Type="http://schemas.openxmlformats.org/officeDocument/2006/relationships/hyperlink" Target="https://www.nature.com/articles/s41467-026-69099-4" TargetMode="External"/><Relationship Id="rId24" Type="http://schemas.openxmlformats.org/officeDocument/2006/relationships/hyperlink" Target="https://www.sciencedirect.com/science/article/pii/S0306261926000097?dgcid=rss_sd_all" TargetMode="External"/><Relationship Id="rId25" Type="http://schemas.openxmlformats.org/officeDocument/2006/relationships/hyperlink" Target="https://www.sciencedirect.com/science/article/pii/S0301421526000340?dgcid=rss_sd_all" TargetMode="External"/><Relationship Id="rId26" Type="http://schemas.openxmlformats.org/officeDocument/2006/relationships/hyperlink" Target="https://www.sciencedirect.com/science/article/pii/S0301421526000388?dgcid=rss_sd_all" TargetMode="External"/><Relationship Id="rId27" Type="http://schemas.openxmlformats.org/officeDocument/2006/relationships/hyperlink" Target="https://www.sciencedirect.com/science/article/pii/S0306261926000802?dgcid=rss_sd_all" TargetMode="External"/><Relationship Id="rId28" Type="http://schemas.openxmlformats.org/officeDocument/2006/relationships/hyperlink" Target="https://www.sciencedirect.com/science/article/pii/S0301421526000662?dgcid=rss_sd_all" TargetMode="External"/><Relationship Id="rId29" Type="http://schemas.openxmlformats.org/officeDocument/2006/relationships/hyperlink" Target="https://www.sciencedirect.com/science/article/pii/S1369702126000465?dgcid=rss_sd_all" TargetMode="External"/><Relationship Id="rId30" Type="http://schemas.openxmlformats.org/officeDocument/2006/relationships/hyperlink" Target="https://www.sciencedirect.com/science/article/pii/S030626192600084X?dgcid=rss_sd_all" TargetMode="External"/><Relationship Id="rId31" Type="http://schemas.openxmlformats.org/officeDocument/2006/relationships/hyperlink" Target="https://www.sciencedirect.com/science/article/pii/S0306261926001054?dgcid=rss_sd_all" TargetMode="External"/><Relationship Id="rId32" Type="http://schemas.openxmlformats.org/officeDocument/2006/relationships/hyperlink" Target="https://academic.oup.com/nsr/advance-article/doi/10.1093/nsr/nwag068/8450192?rss=1" TargetMode="External"/><Relationship Id="rId33" Type="http://schemas.openxmlformats.org/officeDocument/2006/relationships/hyperlink" Target="https://doi.org/10.1093/nsr/nwag068/8450192" TargetMode="External"/><Relationship Id="rId34" Type="http://schemas.openxmlformats.org/officeDocument/2006/relationships/hyperlink" Target="https://academic.oup.com/nsr/advance-article/doi/10.1093/nsr/nwag067/8450177?rss=1" TargetMode="External"/><Relationship Id="rId35" Type="http://schemas.openxmlformats.org/officeDocument/2006/relationships/hyperlink" Target="https://doi.org/10.1093/nsr/nwag067/8450177" TargetMode="External"/><Relationship Id="rId36" Type="http://schemas.openxmlformats.org/officeDocument/2006/relationships/hyperlink" Target="https://www.sciencedirect.com/science/article/pii/S0306261926001030?dgcid=rss_sd_all" TargetMode="External"/><Relationship Id="rId37" Type="http://schemas.openxmlformats.org/officeDocument/2006/relationships/hyperlink" Target="https://academic.oup.com/nsr/advance-article/doi/10.1093/nsr/nwag066/8450195?rss=1" TargetMode="External"/><Relationship Id="rId38" Type="http://schemas.openxmlformats.org/officeDocument/2006/relationships/hyperlink" Target="https://doi.org/10.1093/nsr/nwag066/8450195" TargetMode="External"/><Relationship Id="rId39" Type="http://schemas.openxmlformats.org/officeDocument/2006/relationships/hyperlink" Target="https://academic.oup.com/nsr/advance-article/doi/10.1093/nsr/nwag056/8450190?rss=1" TargetMode="External"/><Relationship Id="rId40" Type="http://schemas.openxmlformats.org/officeDocument/2006/relationships/hyperlink" Target="https://doi.org/10.1093/nsr/nwag056/8450190" TargetMode="External"/><Relationship Id="rId41" Type="http://schemas.openxmlformats.org/officeDocument/2006/relationships/hyperlink" Target="https://academic.oup.com/nsr/advance-article/doi/10.1093/nsr/nwag060/8450183?rss=1" TargetMode="External"/><Relationship Id="rId42" Type="http://schemas.openxmlformats.org/officeDocument/2006/relationships/hyperlink" Target="https://doi.org/10.1093/nsr/nwag060/8450183" TargetMode="External"/><Relationship Id="rId43" Type="http://schemas.openxmlformats.org/officeDocument/2006/relationships/hyperlink" Target="https://www.sciencedirect.com/science/article/pii/S0306261926000917?dgcid=rss_sd_all" TargetMode="External"/><Relationship Id="rId44" Type="http://schemas.openxmlformats.org/officeDocument/2006/relationships/hyperlink" Target="https://www.sciencedirect.com/science/article/pii/S0306261926000905?dgcid=rss_sd_all" TargetMode="External"/><Relationship Id="rId45" Type="http://schemas.openxmlformats.org/officeDocument/2006/relationships/hyperlink" Target="https://www.sciencedirect.com/science/article/pii/S0306261926000887?dgcid=rss_sd_all" TargetMode="External"/><Relationship Id="rId46" Type="http://schemas.openxmlformats.org/officeDocument/2006/relationships/hyperlink" Target="https://www.sciencedirect.com/science/article/pii/S0301421526000406?dgcid=rss_sd_all" TargetMode="External"/><Relationship Id="rId47" Type="http://schemas.openxmlformats.org/officeDocument/2006/relationships/hyperlink" Target="https://onlinelibrary.wiley.com/doi/10.1002/anie.202525930?af=R" TargetMode="External"/><Relationship Id="rId48" Type="http://schemas.openxmlformats.org/officeDocument/2006/relationships/hyperlink" Target="https://doi.org/10.1002/anie.202525930" TargetMode="External"/><Relationship Id="rId49" Type="http://schemas.openxmlformats.org/officeDocument/2006/relationships/hyperlink" Target="https://onlinelibrary.wiley.com/doi/10.1002/anie.202523844?af=R" TargetMode="External"/><Relationship Id="rId50" Type="http://schemas.openxmlformats.org/officeDocument/2006/relationships/hyperlink" Target="https://doi.org/10.1002/anie.202523844" TargetMode="External"/><Relationship Id="rId51" Type="http://schemas.openxmlformats.org/officeDocument/2006/relationships/hyperlink" Target="https://onlinelibrary.wiley.com/doi/10.1002/anie.202522034?af=R" TargetMode="External"/><Relationship Id="rId52" Type="http://schemas.openxmlformats.org/officeDocument/2006/relationships/hyperlink" Target="https://doi.org/10.1002/anie.202522034" TargetMode="External"/><Relationship Id="rId53" Type="http://schemas.openxmlformats.org/officeDocument/2006/relationships/hyperlink" Target="https://advanced.onlinelibrary.wiley.com/doi/10.1002/adma.202521374?af=R" TargetMode="External"/><Relationship Id="rId54" Type="http://schemas.openxmlformats.org/officeDocument/2006/relationships/hyperlink" Target="https://doi.org/10.1002/adma.202521374" TargetMode="External"/><Relationship Id="rId55" Type="http://schemas.openxmlformats.org/officeDocument/2006/relationships/hyperlink" Target="https://onlinelibrary.wiley.com/doi/10.1002/anie.202525506?af=R" TargetMode="External"/><Relationship Id="rId56" Type="http://schemas.openxmlformats.org/officeDocument/2006/relationships/hyperlink" Target="https://doi.org/10.1002/anie.202525506" TargetMode="External"/><Relationship Id="rId57" Type="http://schemas.openxmlformats.org/officeDocument/2006/relationships/hyperlink" Target="https://onlinelibrary.wiley.com/doi/10.1002/anie.202525761?af=R" TargetMode="External"/><Relationship Id="rId58" Type="http://schemas.openxmlformats.org/officeDocument/2006/relationships/hyperlink" Target="https://doi.org/10.1002/anie.202525761" TargetMode="External"/><Relationship Id="rId59" Type="http://schemas.openxmlformats.org/officeDocument/2006/relationships/hyperlink" Target="https://onlinelibrary.wiley.com/doi/10.1002/anie.202525396?af=R" TargetMode="External"/><Relationship Id="rId60" Type="http://schemas.openxmlformats.org/officeDocument/2006/relationships/hyperlink" Target="https://doi.org/10.1002/anie.202525396" TargetMode="External"/><Relationship Id="rId61" Type="http://schemas.openxmlformats.org/officeDocument/2006/relationships/hyperlink" Target="https://advanced.onlinelibrary.wiley.com/doi/10.1002/adma.202519138?af=R" TargetMode="External"/><Relationship Id="rId62" Type="http://schemas.openxmlformats.org/officeDocument/2006/relationships/hyperlink" Target="https://doi.org/10.1002/adma.202519138" TargetMode="External"/><Relationship Id="rId63" Type="http://schemas.openxmlformats.org/officeDocument/2006/relationships/hyperlink" Target="https://advanced.onlinelibrary.wiley.com/doi/10.1002/adma.202510518?af=R" TargetMode="External"/><Relationship Id="rId64" Type="http://schemas.openxmlformats.org/officeDocument/2006/relationships/hyperlink" Target="https://doi.org/10.1002/adma.202510518" TargetMode="External"/><Relationship Id="rId65" Type="http://schemas.openxmlformats.org/officeDocument/2006/relationships/hyperlink" Target="https://advanced.onlinelibrary.wiley.com/doi/10.1002/adma.202518284?af=R" TargetMode="External"/><Relationship Id="rId66" Type="http://schemas.openxmlformats.org/officeDocument/2006/relationships/hyperlink" Target="https://doi.org/10.1002/adma.202518284" TargetMode="External"/><Relationship Id="rId67" Type="http://schemas.openxmlformats.org/officeDocument/2006/relationships/hyperlink" Target="http://dx.doi.org/10.1021/acsenergylett.5c03875" TargetMode="External"/><Relationship Id="rId68" Type="http://schemas.openxmlformats.org/officeDocument/2006/relationships/hyperlink" Target="https://doi.org/10.1021/acsenergylett.5c03875" TargetMode="External"/><Relationship Id="rId69" Type="http://schemas.openxmlformats.org/officeDocument/2006/relationships/hyperlink" Target="http://dx.doi.org/10.1021/acsenergylett.5c03511" TargetMode="External"/><Relationship Id="rId70" Type="http://schemas.openxmlformats.org/officeDocument/2006/relationships/hyperlink" Target="https://doi.org/10.1021/acsenergylett.5c03511" TargetMode="External"/><Relationship Id="rId71" Type="http://schemas.openxmlformats.org/officeDocument/2006/relationships/hyperlink" Target="https://www.sciencedirect.com/science/article/pii/S0306261925019956?dgcid=rss_sd_all" TargetMode="External"/><Relationship Id="rId72" Type="http://schemas.openxmlformats.org/officeDocument/2006/relationships/hyperlink" Target="https://www.sciencedirect.com/science/article/pii/S0306261926000814?dgcid=rss_sd_all" TargetMode="External"/><Relationship Id="rId73" Type="http://schemas.openxmlformats.org/officeDocument/2006/relationships/hyperlink" Target="https://www.sciencedirect.com/science/article/pii/S0306261926000784?dgcid=rss_sd_all" TargetMode="External"/><Relationship Id="rId74" Type="http://schemas.openxmlformats.org/officeDocument/2006/relationships/hyperlink" Target="https://www.sciencedirect.com/science/article/pii/S0306261926000772?dgcid=rss_sd_all" TargetMode="External"/><Relationship Id="rId75" Type="http://schemas.openxmlformats.org/officeDocument/2006/relationships/hyperlink" Target="https://www.sciencedirect.com/science/article/pii/S0306261926000735?dgcid=rss_sd_all" TargetMode="External"/><Relationship Id="rId76" Type="http://schemas.openxmlformats.org/officeDocument/2006/relationships/hyperlink" Target="https://www.nature.com/articles/s41467-026-68954-8" TargetMode="External"/><Relationship Id="rId77" Type="http://schemas.openxmlformats.org/officeDocument/2006/relationships/hyperlink" Target="https://www.sciencedirect.com/science/article/pii/S0306261926000528?dgcid=rss_sd_all" TargetMode="External"/><Relationship Id="rId78" Type="http://schemas.openxmlformats.org/officeDocument/2006/relationships/hyperlink" Target="https://www.sciencedirect.com/science/article/pii/S0306261926000437?dgcid=rss_sd_all" TargetMode="External"/><Relationship Id="rId79" Type="http://schemas.openxmlformats.org/officeDocument/2006/relationships/hyperlink" Target="https://www.sciencedirect.com/science/article/pii/S0306261926000838?dgcid=rss_sd_all" TargetMode="External"/><Relationship Id="rId80" Type="http://schemas.openxmlformats.org/officeDocument/2006/relationships/hyperlink" Target="https://www.sciencedirect.com/science/article/pii/S030626192600022X?dgcid=rss_sd_all" TargetMode="External"/><Relationship Id="rId81" Type="http://schemas.openxmlformats.org/officeDocument/2006/relationships/hyperlink" Target="https://www.sciencedirect.com/science/article/pii/S0306261926000851?dgcid=rss_sd_all" TargetMode="External"/><Relationship Id="rId82" Type="http://schemas.openxmlformats.org/officeDocument/2006/relationships/hyperlink" Target="https://www.sciencedirect.com/science/article/pii/S0306261926000899?dgcid=rss_sd_all" TargetMode="External"/><Relationship Id="rId83" Type="http://schemas.openxmlformats.org/officeDocument/2006/relationships/hyperlink" Target="https://www.sciencedirect.com/science/article/pii/S030626192600019X?dgcid=rss_sd_all" TargetMode="External"/><Relationship Id="rId84" Type="http://schemas.openxmlformats.org/officeDocument/2006/relationships/hyperlink" Target="https://www.sciencedirect.com/science/article/pii/S030626192600098X?dgcid=rss_sd_all" TargetMode="External"/><Relationship Id="rId85" Type="http://schemas.openxmlformats.org/officeDocument/2006/relationships/hyperlink" Target="https://www.sciencedirect.com/science/article/pii/S0306261925020756?dgcid=rss_sd_all" TargetMode="External"/><Relationship Id="rId86" Type="http://schemas.openxmlformats.org/officeDocument/2006/relationships/hyperlink" Target="https://www.sciencedirect.com/science/article/pii/S0301421526000339?dgcid=rss_sd_all" TargetMode="External"/><Relationship Id="rId87" Type="http://schemas.openxmlformats.org/officeDocument/2006/relationships/hyperlink" Target="https://www.sciencedirect.com/science/article/pii/S0301421526000194?dgcid=rss_sd_all" TargetMode="External"/><Relationship Id="rId88" Type="http://schemas.openxmlformats.org/officeDocument/2006/relationships/hyperlink" Target="https://www.sciencedirect.com/science/article/pii/S0306261926001066?dgcid=rss_sd_all" TargetMode="External"/><Relationship Id="rId89" Type="http://schemas.openxmlformats.org/officeDocument/2006/relationships/hyperlink" Target="https://www.sciencedirect.com/science/article/pii/S0306261926001042?dgcid=rss_sd_all" TargetMode="External"/><Relationship Id="rId90" Type="http://schemas.openxmlformats.org/officeDocument/2006/relationships/hyperlink" Target="https://www.sciencedirect.com/science/article/pii/S0301421526000297?dgcid=rss_sd_all" TargetMode="External"/><Relationship Id="rId91" Type="http://schemas.openxmlformats.org/officeDocument/2006/relationships/hyperlink" Target="https://www.sciencedirect.com/science/article/pii/S0306261926000991?dgcid=rss_sd_all" TargetMode="External"/><Relationship Id="rId92" Type="http://schemas.openxmlformats.org/officeDocument/2006/relationships/hyperlink" Target="http://dx.doi.org/10.1021/jacs.5c20595" TargetMode="External"/><Relationship Id="rId93" Type="http://schemas.openxmlformats.org/officeDocument/2006/relationships/hyperlink" Target="https://doi.org/10.1021/jacs.5c20595" TargetMode="External"/><Relationship Id="rId94" Type="http://schemas.openxmlformats.org/officeDocument/2006/relationships/hyperlink" Target="http://dx.doi.org/10.1021/acsenergylett.5c03844" TargetMode="External"/><Relationship Id="rId95" Type="http://schemas.openxmlformats.org/officeDocument/2006/relationships/hyperlink" Target="https://doi.org/10.1021/acsenergylett.5c03844" TargetMode="External"/><Relationship Id="rId96" Type="http://schemas.openxmlformats.org/officeDocument/2006/relationships/hyperlink" Target="http://dx.doi.org/10.1021/acsenergylett.5c03792" TargetMode="External"/><Relationship Id="rId97" Type="http://schemas.openxmlformats.org/officeDocument/2006/relationships/hyperlink" Target="https://doi.org/10.1021/acsenergylett.5c03792" TargetMode="External"/><Relationship Id="rId98" Type="http://schemas.openxmlformats.org/officeDocument/2006/relationships/hyperlink" Target="http://dx.doi.org/10.1021/jacs.5c18042" TargetMode="External"/><Relationship Id="rId99" Type="http://schemas.openxmlformats.org/officeDocument/2006/relationships/hyperlink" Target="https://doi.org/10.1021/jacs.5c18042" TargetMode="External"/><Relationship Id="rId100" Type="http://schemas.openxmlformats.org/officeDocument/2006/relationships/hyperlink" Target="http://dx.doi.org/10.1021/jacs.5c19217" TargetMode="External"/><Relationship Id="rId101" Type="http://schemas.openxmlformats.org/officeDocument/2006/relationships/hyperlink" Target="https://doi.org/10.1021/jacs.5c19217" TargetMode="External"/><Relationship Id="rId102" Type="http://schemas.openxmlformats.org/officeDocument/2006/relationships/hyperlink" Target="http://dx.doi.org/10.1021/acsenergylett.5c03478" TargetMode="External"/><Relationship Id="rId103" Type="http://schemas.openxmlformats.org/officeDocument/2006/relationships/hyperlink" Target="https://doi.org/10.1021/acsenergylett.5c03478" TargetMode="External"/><Relationship Id="rId104" Type="http://schemas.openxmlformats.org/officeDocument/2006/relationships/hyperlink" Target="http://dx.doi.org/10.1021/jacs.6c00067" TargetMode="External"/><Relationship Id="rId105" Type="http://schemas.openxmlformats.org/officeDocument/2006/relationships/hyperlink" Target="https://doi.org/10.1021/jacs.6c00067" TargetMode="External"/><Relationship Id="rId106" Type="http://schemas.openxmlformats.org/officeDocument/2006/relationships/hyperlink" Target="https://www.cell.com/chem/fulltext/S2451-9294(25)00459-0?rss=yes" TargetMode="External"/><Relationship Id="rId107" Type="http://schemas.openxmlformats.org/officeDocument/2006/relationships/hyperlink" Target="https://www.cell.com/chem/fulltext/S2451-9294(25)00458-9?rss=yes" TargetMode="External"/><Relationship Id="rId108" Type="http://schemas.openxmlformats.org/officeDocument/2006/relationships/hyperlink" Target="https://www.cell.com/chem/fulltext/S2451-9294(25)00457-7?rss=yes" TargetMode="External"/><Relationship Id="rId109" Type="http://schemas.openxmlformats.org/officeDocument/2006/relationships/hyperlink" Target="https://www.cell.com/chem/fulltext/S2451-9294(25)00456-5?rss=yes" TargetMode="External"/><Relationship Id="rId110" Type="http://schemas.openxmlformats.org/officeDocument/2006/relationships/hyperlink" Target="https://www.cell.com/chem/fulltext/S2451-9294(25)00455-3?rss=yes" TargetMode="External"/><Relationship Id="rId111" Type="http://schemas.openxmlformats.org/officeDocument/2006/relationships/hyperlink" Target="https://www.cell.com/chem/fulltext/S2451-9294(25)00453-X?rss=yes" TargetMode="External"/><Relationship Id="rId112" Type="http://schemas.openxmlformats.org/officeDocument/2006/relationships/hyperlink" Target="https://www.sciencedirect.com/science/article/pii/S0306261926001170?dgcid=rss_sd_all" TargetMode="External"/><Relationship Id="rId113" Type="http://schemas.openxmlformats.org/officeDocument/2006/relationships/hyperlink" Target="https://www.cell.com/chem/fulltext/S2451-9294(25)00449-8?rss=yes" TargetMode="External"/><Relationship Id="rId114" Type="http://schemas.openxmlformats.org/officeDocument/2006/relationships/hyperlink" Target="https://www.cell.com/joule/fulltext/S2542-4351(25)00454-4?rss=yes" TargetMode="External"/><Relationship Id="rId115" Type="http://schemas.openxmlformats.org/officeDocument/2006/relationships/hyperlink" Target="https://www.cell.com/chem/fulltext/S2451-9294(25)00454-1?rss=yes" TargetMode="External"/><Relationship Id="rId116" Type="http://schemas.openxmlformats.org/officeDocument/2006/relationships/hyperlink" Target="https://www.cell.com/matter/fulltext/S2590-2385(25)00606-X?rss=yes" TargetMode="External"/><Relationship Id="rId117" Type="http://schemas.openxmlformats.org/officeDocument/2006/relationships/hyperlink" Target="https://www.nature.com/articles/d41586-026-00316-2" TargetMode="External"/><Relationship Id="rId118" Type="http://schemas.openxmlformats.org/officeDocument/2006/relationships/hyperlink" Target="https://www.cell.com/matter/fulltext/S2590-2385(25)00613-7?rss=yes" TargetMode="External"/><Relationship Id="rId119" Type="http://schemas.openxmlformats.org/officeDocument/2006/relationships/hyperlink" Target="https://www.nature.com/articles/s44359-026-00148-3" TargetMode="External"/><Relationship Id="rId120" Type="http://schemas.openxmlformats.org/officeDocument/2006/relationships/hyperlink" Target="https://www.nature.com/articles/s41928-025-01562-4" TargetMode="External"/><Relationship Id="rId121" Type="http://schemas.openxmlformats.org/officeDocument/2006/relationships/hyperlink" Target="https://www.nature.com/articles/s41586-026-10192-5" TargetMode="External"/><Relationship Id="rId122" Type="http://schemas.openxmlformats.org/officeDocument/2006/relationships/hyperlink" Target="https://www.nature.com/articles/s41586-026-10188-1" TargetMode="External"/><Relationship Id="rId123" Type="http://schemas.openxmlformats.org/officeDocument/2006/relationships/hyperlink" Target="https://www.nature.com/articles/s41586-026-10177-4" TargetMode="External"/><Relationship Id="rId124" Type="http://schemas.openxmlformats.org/officeDocument/2006/relationships/hyperlink" Target="https://www.nature.com/articles/s41578-025-00886-z" TargetMode="External"/><Relationship Id="rId125" Type="http://schemas.openxmlformats.org/officeDocument/2006/relationships/hyperlink" Target="https://www.nature.com/articles/s41565-025-02109-6" TargetMode="External"/><Relationship Id="rId126" Type="http://schemas.openxmlformats.org/officeDocument/2006/relationships/hyperlink" Target="https://www.nature.com/articles/s41565-025-02075-z" TargetMode="External"/><Relationship Id="rId127" Type="http://schemas.openxmlformats.org/officeDocument/2006/relationships/hyperlink" Target="https://www.nature.com/articles/s41557-025-02063-9" TargetMode="External"/><Relationship Id="rId128" Type="http://schemas.openxmlformats.org/officeDocument/2006/relationships/hyperlink" Target="https://www.nature.com/articles/s41557-025-02046-w" TargetMode="External"/><Relationship Id="rId129" Type="http://schemas.openxmlformats.org/officeDocument/2006/relationships/hyperlink" Target="https://www.nature.com/articles/s41467-026-69141-5" TargetMode="External"/><Relationship Id="rId130" Type="http://schemas.openxmlformats.org/officeDocument/2006/relationships/hyperlink" Target="https://www.nature.com/articles/s41467-026-69139-z" TargetMode="External"/><Relationship Id="rId131" Type="http://schemas.openxmlformats.org/officeDocument/2006/relationships/hyperlink" Target="https://www.nature.com/articles/s41467-026-69019-6" TargetMode="External"/><Relationship Id="rId132" Type="http://schemas.openxmlformats.org/officeDocument/2006/relationships/hyperlink" Target="https://www.nature.com/articles/s41467-026-68956-6" TargetMode="External"/><Relationship Id="rId133" Type="http://schemas.openxmlformats.org/officeDocument/2006/relationships/hyperlink" Target="https://www.nature.com/articles/s41467-025-67571-1" TargetMode="External"/><Relationship Id="rId134" Type="http://schemas.openxmlformats.org/officeDocument/2006/relationships/hyperlink" Target="https://www.nature.com/articles/d41586-026-00353-x" TargetMode="External"/><Relationship Id="rId135" Type="http://schemas.openxmlformats.org/officeDocument/2006/relationships/hyperlink" Target="https://www.nature.com/articles/d41586-026-00329-x" TargetMode="External"/><Relationship Id="rId136" Type="http://schemas.openxmlformats.org/officeDocument/2006/relationships/hyperlink" Target="https://www.nature.com/articles/d41586-026-00313-5" TargetMode="External"/><Relationship Id="rId137" Type="http://schemas.openxmlformats.org/officeDocument/2006/relationships/hyperlink" Target="https://www.nature.com/articles/d41586-026-00307-3" TargetMode="External"/><Relationship Id="rId138" Type="http://schemas.openxmlformats.org/officeDocument/2006/relationships/hyperlink" Target="https://www.nature.com/articles/d41586-026-00285-6" TargetMode="External"/><Relationship Id="rId139" Type="http://schemas.openxmlformats.org/officeDocument/2006/relationships/hyperlink" Target="https://www.nature.com/articles/d41586-026-00223-6" TargetMode="External"/><Relationship Id="rId140" Type="http://schemas.openxmlformats.org/officeDocument/2006/relationships/hyperlink" Target="https://www.nature.com/articles/d41586-026-00196-6" TargetMode="External"/><Relationship Id="rId141" Type="http://schemas.openxmlformats.org/officeDocument/2006/relationships/hyperlink" Target="https://www.cell.com/matter/fulltext/S2590-2385(25)00615-0?rss=yes" TargetMode="External"/><Relationship Id="rId142" Type="http://schemas.openxmlformats.org/officeDocument/2006/relationships/hyperlink" Target="https://www.cell.com/matter/fulltext/S2590-2385(25)00609-5?rss=yes" TargetMode="External"/><Relationship Id="rId143" Type="http://schemas.openxmlformats.org/officeDocument/2006/relationships/hyperlink" Target="https://www.nature.com/articles/s41565-025-02103-y" TargetMode="External"/><Relationship Id="rId144" Type="http://schemas.openxmlformats.org/officeDocument/2006/relationships/hyperlink" Target="https://www.nature.com/articles/d41586-026-00320-6" TargetMode="External"/><Relationship Id="rId145" Type="http://schemas.openxmlformats.org/officeDocument/2006/relationships/hyperlink" Target="https://academic.oup.com/nsr/advance-article/doi/10.1093/nsr/nwag049/8454928?rss=1" TargetMode="External"/><Relationship Id="rId146" Type="http://schemas.openxmlformats.org/officeDocument/2006/relationships/hyperlink" Target="https://doi.org/10.1093/nsr/nwag049/8454928" TargetMode="External"/><Relationship Id="rId147" Type="http://schemas.openxmlformats.org/officeDocument/2006/relationships/hyperlink" Target="https://academic.oup.com/nsr/advance-article/doi/10.1093/nsr/nwag069/8454919?rss=1" TargetMode="External"/><Relationship Id="rId148" Type="http://schemas.openxmlformats.org/officeDocument/2006/relationships/hyperlink" Target="https://doi.org/10.1093/nsr/nwag069/8454919" TargetMode="External"/><Relationship Id="rId149" Type="http://schemas.openxmlformats.org/officeDocument/2006/relationships/hyperlink" Target="https://academic.oup.com/nsr/advance-article/doi/10.1093/nsr/nwag071/8454922?rss=1" TargetMode="External"/><Relationship Id="rId150" Type="http://schemas.openxmlformats.org/officeDocument/2006/relationships/hyperlink" Target="https://doi.org/10.1093/nsr/nwag071/8454922" TargetMode="External"/><Relationship Id="rId151" Type="http://schemas.openxmlformats.org/officeDocument/2006/relationships/hyperlink" Target="http://pubs.rsc.org/en/Content/ArticleLanding/2026/CS/D5CS01222H" TargetMode="External"/><Relationship Id="rId152" Type="http://schemas.openxmlformats.org/officeDocument/2006/relationships/hyperlink" Target="https://onlinelibrary.wiley.com/doi/10.1002/anie.202523731?af=R" TargetMode="External"/><Relationship Id="rId153" Type="http://schemas.openxmlformats.org/officeDocument/2006/relationships/hyperlink" Target="https://doi.org/10.1002/anie.202523731" TargetMode="External"/><Relationship Id="rId154" Type="http://schemas.openxmlformats.org/officeDocument/2006/relationships/hyperlink" Target="https://advanced.onlinelibrary.wiley.com/doi/10.1002/adma.202522280?af=R" TargetMode="External"/><Relationship Id="rId155" Type="http://schemas.openxmlformats.org/officeDocument/2006/relationships/hyperlink" Target="https://doi.org/10.1002/adma.202522280" TargetMode="External"/><Relationship Id="rId156" Type="http://schemas.openxmlformats.org/officeDocument/2006/relationships/hyperlink" Target="https://onlinelibrary.wiley.com/doi/10.1002/anie.5567761?af=R" TargetMode="External"/><Relationship Id="rId157" Type="http://schemas.openxmlformats.org/officeDocument/2006/relationships/hyperlink" Target="https://doi.org/10.1002/anie.5567761" TargetMode="External"/><Relationship Id="rId158" Type="http://schemas.openxmlformats.org/officeDocument/2006/relationships/hyperlink" Target="https://onlinelibrary.wiley.com/doi/10.1002/anie.202522014?af=R" TargetMode="External"/><Relationship Id="rId159" Type="http://schemas.openxmlformats.org/officeDocument/2006/relationships/hyperlink" Target="https://doi.org/10.1002/anie.202522014" TargetMode="External"/><Relationship Id="rId160" Type="http://schemas.openxmlformats.org/officeDocument/2006/relationships/hyperlink" Target="https://onlinelibrary.wiley.com/doi/10.1002/anie.202516537?af=R" TargetMode="External"/><Relationship Id="rId161" Type="http://schemas.openxmlformats.org/officeDocument/2006/relationships/hyperlink" Target="https://doi.org/10.1002/anie.202516537" TargetMode="External"/><Relationship Id="rId162" Type="http://schemas.openxmlformats.org/officeDocument/2006/relationships/hyperlink" Target="https://onlinelibrary.wiley.com/doi/10.1002/anie.202523800?af=R" TargetMode="External"/><Relationship Id="rId163" Type="http://schemas.openxmlformats.org/officeDocument/2006/relationships/hyperlink" Target="https://doi.org/10.1002/anie.202523800" TargetMode="External"/><Relationship Id="rId164" Type="http://schemas.openxmlformats.org/officeDocument/2006/relationships/hyperlink" Target="https://onlinelibrary.wiley.com/doi/10.1002/anie.202525592?af=R" TargetMode="External"/><Relationship Id="rId165" Type="http://schemas.openxmlformats.org/officeDocument/2006/relationships/hyperlink" Target="https://doi.org/10.1002/anie.202525592" TargetMode="External"/><Relationship Id="rId166" Type="http://schemas.openxmlformats.org/officeDocument/2006/relationships/hyperlink" Target="https://onlinelibrary.wiley.com/doi/10.1002/anie.202525106?af=R" TargetMode="External"/><Relationship Id="rId167" Type="http://schemas.openxmlformats.org/officeDocument/2006/relationships/hyperlink" Target="https://doi.org/10.1002/anie.202525106" TargetMode="External"/><Relationship Id="rId168" Type="http://schemas.openxmlformats.org/officeDocument/2006/relationships/hyperlink" Target="https://onlinelibrary.wiley.com/doi/10.1002/anie.202525362?af=R" TargetMode="External"/><Relationship Id="rId169" Type="http://schemas.openxmlformats.org/officeDocument/2006/relationships/hyperlink" Target="https://doi.org/10.1002/anie.202525362" TargetMode="External"/><Relationship Id="rId170" Type="http://schemas.openxmlformats.org/officeDocument/2006/relationships/hyperlink" Target="https://onlinelibrary.wiley.com/doi/10.1002/anie.202525413?af=R" TargetMode="External"/><Relationship Id="rId171" Type="http://schemas.openxmlformats.org/officeDocument/2006/relationships/hyperlink" Target="https://doi.org/10.1002/anie.202525413" TargetMode="External"/><Relationship Id="rId172" Type="http://schemas.openxmlformats.org/officeDocument/2006/relationships/hyperlink" Target="https://advanced.onlinelibrary.wiley.com/doi/10.1002/aenm.70713?af=R" TargetMode="External"/><Relationship Id="rId173" Type="http://schemas.openxmlformats.org/officeDocument/2006/relationships/hyperlink" Target="https://doi.org/10.1002/aenm.70713" TargetMode="External"/><Relationship Id="rId174" Type="http://schemas.openxmlformats.org/officeDocument/2006/relationships/hyperlink" Target="https://advanced.onlinelibrary.wiley.com/doi/10.1002/adma.202523074?af=R" TargetMode="External"/><Relationship Id="rId175" Type="http://schemas.openxmlformats.org/officeDocument/2006/relationships/hyperlink" Target="https://doi.org/10.1002/adma.202523074" TargetMode="External"/><Relationship Id="rId176" Type="http://schemas.openxmlformats.org/officeDocument/2006/relationships/hyperlink" Target="https://advanced.onlinelibrary.wiley.com/doi/10.1002/adma.202522010?af=R" TargetMode="External"/><Relationship Id="rId177" Type="http://schemas.openxmlformats.org/officeDocument/2006/relationships/hyperlink" Target="https://doi.org/10.1002/adma.202522010" TargetMode="External"/><Relationship Id="rId178" Type="http://schemas.openxmlformats.org/officeDocument/2006/relationships/hyperlink" Target="https://advanced.onlinelibrary.wiley.com/doi/10.1002/adma.202523390?af=R" TargetMode="External"/><Relationship Id="rId179" Type="http://schemas.openxmlformats.org/officeDocument/2006/relationships/hyperlink" Target="https://doi.org/10.1002/adma.202523390" TargetMode="External"/><Relationship Id="rId180" Type="http://schemas.openxmlformats.org/officeDocument/2006/relationships/hyperlink" Target="https://onlinelibrary.wiley.com/doi/10.1002/anie.202525970?af=R" TargetMode="External"/><Relationship Id="rId181" Type="http://schemas.openxmlformats.org/officeDocument/2006/relationships/hyperlink" Target="https://doi.org/10.1002/anie.202525970" TargetMode="External"/><Relationship Id="rId182" Type="http://schemas.openxmlformats.org/officeDocument/2006/relationships/hyperlink" Target="https://advanced.onlinelibrary.wiley.com/doi/10.1002/adma.202519037?af=R" TargetMode="External"/><Relationship Id="rId183" Type="http://schemas.openxmlformats.org/officeDocument/2006/relationships/hyperlink" Target="https://doi.org/10.1002/adma.202519037" TargetMode="External"/><Relationship Id="rId184" Type="http://schemas.openxmlformats.org/officeDocument/2006/relationships/hyperlink" Target="https://onlinelibrary.wiley.com/doi/10.1002/anie.202525223?af=R" TargetMode="External"/><Relationship Id="rId185" Type="http://schemas.openxmlformats.org/officeDocument/2006/relationships/hyperlink" Target="https://doi.org/10.1002/anie.202525223" TargetMode="External"/><Relationship Id="rId186" Type="http://schemas.openxmlformats.org/officeDocument/2006/relationships/hyperlink" Target="https://onlinelibrary.wiley.com/doi/10.1002/anie.202522618?af=R" TargetMode="External"/><Relationship Id="rId187" Type="http://schemas.openxmlformats.org/officeDocument/2006/relationships/hyperlink" Target="https://doi.org/10.1002/anie.202522618" TargetMode="External"/><Relationship Id="rId188" Type="http://schemas.openxmlformats.org/officeDocument/2006/relationships/hyperlink" Target="https://advanced.onlinelibrary.wiley.com/doi/10.1002/adma.202523202?af=R" TargetMode="External"/><Relationship Id="rId189" Type="http://schemas.openxmlformats.org/officeDocument/2006/relationships/hyperlink" Target="https://doi.org/10.1002/adma.202523202" TargetMode="External"/><Relationship Id="rId190" Type="http://schemas.openxmlformats.org/officeDocument/2006/relationships/hyperlink" Target="https://advanced.onlinelibrary.wiley.com/doi/10.1002/adma.202519358?af=R" TargetMode="External"/><Relationship Id="rId191" Type="http://schemas.openxmlformats.org/officeDocument/2006/relationships/hyperlink" Target="https://doi.org/10.1002/adma.202519358" TargetMode="External"/><Relationship Id="rId192" Type="http://schemas.openxmlformats.org/officeDocument/2006/relationships/hyperlink" Target="https://onlinelibrary.wiley.com/doi/10.1002/anie.1607487?af=R" TargetMode="External"/><Relationship Id="rId193" Type="http://schemas.openxmlformats.org/officeDocument/2006/relationships/hyperlink" Target="https://doi.org/10.1002/anie.1607487" TargetMode="External"/><Relationship Id="rId194" Type="http://schemas.openxmlformats.org/officeDocument/2006/relationships/hyperlink" Target="https://advanced.onlinelibrary.wiley.com/doi/10.1002/adma.202522016?af=R" TargetMode="External"/><Relationship Id="rId195" Type="http://schemas.openxmlformats.org/officeDocument/2006/relationships/hyperlink" Target="https://doi.org/10.1002/adma.202522016" TargetMode="External"/><Relationship Id="rId196" Type="http://schemas.openxmlformats.org/officeDocument/2006/relationships/hyperlink" Target="https://onlinelibrary.wiley.com/doi/10.1002/anie.202522761?af=R" TargetMode="External"/><Relationship Id="rId197" Type="http://schemas.openxmlformats.org/officeDocument/2006/relationships/hyperlink" Target="https://doi.org/10.1002/anie.202522761" TargetMode="External"/><Relationship Id="rId198" Type="http://schemas.openxmlformats.org/officeDocument/2006/relationships/hyperlink" Target="https://onlinelibrary.wiley.com/doi/10.1002/anie.202518911?af=R" TargetMode="External"/><Relationship Id="rId199" Type="http://schemas.openxmlformats.org/officeDocument/2006/relationships/hyperlink" Target="https://doi.org/10.1002/anie.202518911" TargetMode="External"/><Relationship Id="rId200" Type="http://schemas.openxmlformats.org/officeDocument/2006/relationships/hyperlink" Target="https://advanced.onlinelibrary.wiley.com/doi/10.1002/adma.202515510?af=R" TargetMode="External"/><Relationship Id="rId201" Type="http://schemas.openxmlformats.org/officeDocument/2006/relationships/hyperlink" Target="https://doi.org/10.1002/adma.202515510" TargetMode="External"/><Relationship Id="rId202" Type="http://schemas.openxmlformats.org/officeDocument/2006/relationships/hyperlink" Target="https://onlinelibrary.wiley.com/doi/10.1002/anie.202524325?af=R" TargetMode="External"/><Relationship Id="rId203" Type="http://schemas.openxmlformats.org/officeDocument/2006/relationships/hyperlink" Target="https://doi.org/10.1002/anie.202524325" TargetMode="External"/><Relationship Id="rId204" Type="http://schemas.openxmlformats.org/officeDocument/2006/relationships/hyperlink" Target="https://onlinelibrary.wiley.com/doi/10.1002/anie.202523558?af=R" TargetMode="External"/><Relationship Id="rId205" Type="http://schemas.openxmlformats.org/officeDocument/2006/relationships/hyperlink" Target="https://doi.org/10.1002/anie.202523558" TargetMode="External"/><Relationship Id="rId206" Type="http://schemas.openxmlformats.org/officeDocument/2006/relationships/hyperlink" Target="https://advanced.onlinelibrary.wiley.com/doi/10.1002/adma.202519951?af=R" TargetMode="External"/><Relationship Id="rId207" Type="http://schemas.openxmlformats.org/officeDocument/2006/relationships/hyperlink" Target="https://doi.org/10.1002/adma.202519951" TargetMode="External"/><Relationship Id="rId208" Type="http://schemas.openxmlformats.org/officeDocument/2006/relationships/hyperlink" Target="https://onlinelibrary.wiley.com/doi/10.1002/anie.202520785?af=R" TargetMode="External"/><Relationship Id="rId209" Type="http://schemas.openxmlformats.org/officeDocument/2006/relationships/hyperlink" Target="https://doi.org/10.1002/anie.202520785" TargetMode="External"/><Relationship Id="rId210" Type="http://schemas.openxmlformats.org/officeDocument/2006/relationships/hyperlink" Target="https://onlinelibrary.wiley.com/doi/10.1002/anie.2203782?af=R" TargetMode="External"/><Relationship Id="rId211" Type="http://schemas.openxmlformats.org/officeDocument/2006/relationships/hyperlink" Target="https://doi.org/10.1002/anie.2203782" TargetMode="External"/><Relationship Id="rId212" Type="http://schemas.openxmlformats.org/officeDocument/2006/relationships/hyperlink" Target="https://advanced.onlinelibrary.wiley.com/doi/10.1002/adma.202522464?af=R" TargetMode="External"/><Relationship Id="rId213" Type="http://schemas.openxmlformats.org/officeDocument/2006/relationships/hyperlink" Target="https://doi.org/10.1002/adma.202522464" TargetMode="External"/><Relationship Id="rId214" Type="http://schemas.openxmlformats.org/officeDocument/2006/relationships/hyperlink" Target="https://www.pnas.org/doi/abs/10.1073/pnas.2514979123?mi=eymic2&amp;af=R&amp;access=on&amp;content=articlesChapters&amp;publication=pnas&amp;sortBy=Earliest&amp;target=default" TargetMode="External"/><Relationship Id="rId215" Type="http://schemas.openxmlformats.org/officeDocument/2006/relationships/hyperlink" Target="https://doi.org/10.1073/pnas.2514979123" TargetMode="External"/><Relationship Id="rId216" Type="http://schemas.openxmlformats.org/officeDocument/2006/relationships/hyperlink" Target="https://www.pnas.org/doi/abs/10.1073/pnas.2512048123?mi=eymic2&amp;af=R&amp;access=on&amp;content=articlesChapters&amp;publication=pnas&amp;sortBy=Earliest&amp;target=default" TargetMode="External"/><Relationship Id="rId217" Type="http://schemas.openxmlformats.org/officeDocument/2006/relationships/hyperlink" Target="https://doi.org/10.1073/pnas.2512048123" TargetMode="External"/><Relationship Id="rId218" Type="http://schemas.openxmlformats.org/officeDocument/2006/relationships/hyperlink" Target="https://www.pnas.org/doi/abs/10.1073/pnas.2511555123?mi=eymic2&amp;af=R&amp;access=on&amp;content=articlesChapters&amp;publication=pnas&amp;sortBy=Earliest&amp;target=default" TargetMode="External"/><Relationship Id="rId219" Type="http://schemas.openxmlformats.org/officeDocument/2006/relationships/hyperlink" Target="https://doi.org/10.1073/pnas.2511555123" TargetMode="External"/><Relationship Id="rId220" Type="http://schemas.openxmlformats.org/officeDocument/2006/relationships/hyperlink" Target="https://www.pnas.org/doi/abs/10.1073/pnas.2527168123?mi=eymic2&amp;af=R&amp;access=on&amp;content=articlesChapters&amp;publication=pnas&amp;sortBy=Earliest&amp;target=default" TargetMode="External"/><Relationship Id="rId221" Type="http://schemas.openxmlformats.org/officeDocument/2006/relationships/hyperlink" Target="https://doi.org/10.1073/pnas.2527168123" TargetMode="External"/><Relationship Id="rId222" Type="http://schemas.openxmlformats.org/officeDocument/2006/relationships/hyperlink" Target="https://www.pnas.org/doi/abs/10.1073/pnas.2525498123?mi=eymic2&amp;af=R&amp;access=on&amp;content=articlesChapters&amp;publication=pnas&amp;sortBy=Earliest&amp;target=default" TargetMode="External"/><Relationship Id="rId223" Type="http://schemas.openxmlformats.org/officeDocument/2006/relationships/hyperlink" Target="https://doi.org/10.1073/pnas.2525498123" TargetMode="External"/><Relationship Id="rId224" Type="http://schemas.openxmlformats.org/officeDocument/2006/relationships/hyperlink" Target="https://www.pnas.org/doi/abs/10.1073/pnas.2515002123?mi=eymic2&amp;af=R&amp;access=on&amp;content=articlesChapters&amp;publication=pnas&amp;sortBy=Earliest&amp;target=default" TargetMode="External"/><Relationship Id="rId225" Type="http://schemas.openxmlformats.org/officeDocument/2006/relationships/hyperlink" Target="https://doi.org/10.1073/pnas.2515002123" TargetMode="External"/><Relationship Id="rId226" Type="http://schemas.openxmlformats.org/officeDocument/2006/relationships/hyperlink" Target="https://www.pnas.org/doi/abs/10.1073/pnas.2515785123?mi=eymic2&amp;af=R&amp;access=on&amp;content=articlesChapters&amp;publication=pnas&amp;sortBy=Earliest&amp;target=default" TargetMode="External"/><Relationship Id="rId227" Type="http://schemas.openxmlformats.org/officeDocument/2006/relationships/hyperlink" Target="https://doi.org/10.1073/pnas.2515785123" TargetMode="External"/><Relationship Id="rId228" Type="http://schemas.openxmlformats.org/officeDocument/2006/relationships/hyperlink" Target="https://www.pnas.org/doi/abs/10.1073/pnas.2509776123?mi=eymic2&amp;af=R&amp;access=on&amp;content=articlesChapters&amp;publication=pnas&amp;sortBy=Earliest&amp;target=default" TargetMode="External"/><Relationship Id="rId229" Type="http://schemas.openxmlformats.org/officeDocument/2006/relationships/hyperlink" Target="https://doi.org/10.1073/pnas.2509776123" TargetMode="External"/><Relationship Id="rId230" Type="http://schemas.openxmlformats.org/officeDocument/2006/relationships/hyperlink" Target="https://www.pnas.org/doi/abs/10.1073/pnas.2505785123?mi=eymic2&amp;af=R&amp;access=on&amp;content=articlesChapters&amp;publication=pnas&amp;sortBy=Earliest&amp;target=default" TargetMode="External"/><Relationship Id="rId231" Type="http://schemas.openxmlformats.org/officeDocument/2006/relationships/hyperlink" Target="https://doi.org/10.1073/pnas.2505785123" TargetMode="External"/><Relationship Id="rId232" Type="http://schemas.openxmlformats.org/officeDocument/2006/relationships/hyperlink" Target="https://www.pnas.org/doi/abs/10.1073/pnas.2533096123?mi=eymic2&amp;af=R&amp;access=on&amp;content=articlesChapters&amp;publication=pnas&amp;sortBy=Earliest&amp;target=default" TargetMode="External"/><Relationship Id="rId233" Type="http://schemas.openxmlformats.org/officeDocument/2006/relationships/hyperlink" Target="https://doi.org/10.1073/pnas.2533096123" TargetMode="External"/><Relationship Id="rId234" Type="http://schemas.openxmlformats.org/officeDocument/2006/relationships/hyperlink" Target="https://www.pnas.org/doi/abs/10.1073/pnas.2522338123?mi=eymic2&amp;af=R&amp;access=on&amp;content=articlesChapters&amp;publication=pnas&amp;sortBy=Earliest&amp;target=default" TargetMode="External"/><Relationship Id="rId235" Type="http://schemas.openxmlformats.org/officeDocument/2006/relationships/hyperlink" Target="https://doi.org/10.1073/pnas.2522338123" TargetMode="External"/><Relationship Id="rId236" Type="http://schemas.openxmlformats.org/officeDocument/2006/relationships/hyperlink" Target="https://www.pnas.org/doi/abs/10.1073/pnas.2520139123?mi=eymic2&amp;af=R&amp;access=on&amp;content=articlesChapters&amp;publication=pnas&amp;sortBy=Earliest&amp;target=default" TargetMode="External"/><Relationship Id="rId237" Type="http://schemas.openxmlformats.org/officeDocument/2006/relationships/hyperlink" Target="https://doi.org/10.1073/pnas.2520139123" TargetMode="External"/><Relationship Id="rId238" Type="http://schemas.openxmlformats.org/officeDocument/2006/relationships/hyperlink" Target="https://www.pnas.org/doi/abs/10.1073/pnas.2600481123?mi=eymic2&amp;af=R&amp;access=on&amp;content=articlesChapters&amp;publication=pnas&amp;sortBy=Earliest&amp;target=default" TargetMode="External"/><Relationship Id="rId239" Type="http://schemas.openxmlformats.org/officeDocument/2006/relationships/hyperlink" Target="https://doi.org/10.1073/pnas.2600481123" TargetMode="External"/><Relationship Id="rId240" Type="http://schemas.openxmlformats.org/officeDocument/2006/relationships/hyperlink" Target="https://www.pnas.org/doi/abs/10.1073/pnas.2520191123?mi=eymic2&amp;af=R&amp;access=on&amp;content=articlesChapters&amp;publication=pnas&amp;sortBy=Earliest&amp;target=default" TargetMode="External"/><Relationship Id="rId241" Type="http://schemas.openxmlformats.org/officeDocument/2006/relationships/hyperlink" Target="https://doi.org/10.1073/pnas.2520191123" TargetMode="External"/><Relationship Id="rId242" Type="http://schemas.openxmlformats.org/officeDocument/2006/relationships/hyperlink" Target="https://www.pnas.org/doi/abs/10.1073/pnas.2536185123?mi=eymic2&amp;af=R&amp;access=on&amp;content=articlesChapters&amp;publication=pnas&amp;sortBy=Earliest&amp;target=default" TargetMode="External"/><Relationship Id="rId243" Type="http://schemas.openxmlformats.org/officeDocument/2006/relationships/hyperlink" Target="https://doi.org/10.1073/pnas.2536185123" TargetMode="External"/><Relationship Id="rId244" Type="http://schemas.openxmlformats.org/officeDocument/2006/relationships/hyperlink" Target="https://www.pnas.org/doi/abs/10.1073/pnas.2524563123?mi=eymic2&amp;af=R&amp;access=on&amp;content=articlesChapters&amp;publication=pnas&amp;sortBy=Earliest&amp;target=default" TargetMode="External"/><Relationship Id="rId245" Type="http://schemas.openxmlformats.org/officeDocument/2006/relationships/hyperlink" Target="https://doi.org/10.1073/pnas.2524563123" TargetMode="External"/><Relationship Id="rId246" Type="http://schemas.openxmlformats.org/officeDocument/2006/relationships/hyperlink" Target="https://www.pnas.org/doi/abs/10.1073/pnas.2524246123?mi=eymic2&amp;af=R&amp;access=on&amp;content=articlesChapters&amp;publication=pnas&amp;sortBy=Earliest&amp;target=default" TargetMode="External"/><Relationship Id="rId247" Type="http://schemas.openxmlformats.org/officeDocument/2006/relationships/hyperlink" Target="https://doi.org/10.1073/pnas.2524246123" TargetMode="External"/><Relationship Id="rId248" Type="http://schemas.openxmlformats.org/officeDocument/2006/relationships/hyperlink" Target="https://www.pnas.org/doi/abs/10.1073/pnas.2521041123?mi=eymic2&amp;af=R&amp;access=on&amp;content=articlesChapters&amp;publication=pnas&amp;sortBy=Earliest&amp;target=default" TargetMode="External"/><Relationship Id="rId249" Type="http://schemas.openxmlformats.org/officeDocument/2006/relationships/hyperlink" Target="https://doi.org/10.1073/pnas.2521041123" TargetMode="External"/><Relationship Id="rId250" Type="http://schemas.openxmlformats.org/officeDocument/2006/relationships/hyperlink" Target="https://www.pnas.org/doi/abs/10.1073/pnas.2503809123?mi=eymic2&amp;af=R&amp;access=on&amp;content=articlesChapters&amp;publication=pnas&amp;sortBy=Earliest&amp;target=default" TargetMode="External"/><Relationship Id="rId251" Type="http://schemas.openxmlformats.org/officeDocument/2006/relationships/hyperlink" Target="https://doi.org/10.1073/pnas.2503809123" TargetMode="External"/><Relationship Id="rId252" Type="http://schemas.openxmlformats.org/officeDocument/2006/relationships/hyperlink" Target="https://www.pnas.org/doi/abs/10.1073/pnas.2524123123?mi=eymic2&amp;af=R&amp;access=on&amp;content=articlesChapters&amp;publication=pnas&amp;sortBy=Earliest&amp;target=default" TargetMode="External"/><Relationship Id="rId253" Type="http://schemas.openxmlformats.org/officeDocument/2006/relationships/hyperlink" Target="https://doi.org/10.1073/pnas.2524123123" TargetMode="External"/><Relationship Id="rId254" Type="http://schemas.openxmlformats.org/officeDocument/2006/relationships/hyperlink" Target="https://www.pnas.org/doi/abs/10.1073/pnas.2538063123?mi=eymic2&amp;af=R&amp;access=on&amp;content=articlesChapters&amp;publication=pnas&amp;sortBy=Earliest&amp;target=default" TargetMode="External"/><Relationship Id="rId255" Type="http://schemas.openxmlformats.org/officeDocument/2006/relationships/hyperlink" Target="https://doi.org/10.1073/pnas.2538063123" TargetMode="External"/><Relationship Id="rId256" Type="http://schemas.openxmlformats.org/officeDocument/2006/relationships/hyperlink" Target="https://www.pnas.org/doi/abs/10.1073/pnas.2600938123?mi=eymic2&amp;af=R&amp;access=on&amp;content=articlesChapters&amp;publication=pnas&amp;sortBy=Earliest&amp;target=default" TargetMode="External"/><Relationship Id="rId257" Type="http://schemas.openxmlformats.org/officeDocument/2006/relationships/hyperlink" Target="https://doi.org/10.1073/pnas.2600938123" TargetMode="External"/><Relationship Id="rId258" Type="http://schemas.openxmlformats.org/officeDocument/2006/relationships/hyperlink" Target="https://www.pnas.org/doi/abs/10.1073/pnas.2521406123?mi=eymic2&amp;af=R&amp;access=on&amp;content=articlesChapters&amp;publication=pnas&amp;sortBy=Earliest&amp;target=default" TargetMode="External"/><Relationship Id="rId259" Type="http://schemas.openxmlformats.org/officeDocument/2006/relationships/hyperlink" Target="https://doi.org/10.1073/pnas.2521406123" TargetMode="External"/><Relationship Id="rId260" Type="http://schemas.openxmlformats.org/officeDocument/2006/relationships/hyperlink" Target="https://www.pnas.org/doi/abs/10.1073/pnas.2600626123?mi=eymic2&amp;af=R&amp;access=on&amp;content=articlesChapters&amp;publication=pnas&amp;sortBy=Earliest&amp;target=default" TargetMode="External"/><Relationship Id="rId261" Type="http://schemas.openxmlformats.org/officeDocument/2006/relationships/hyperlink" Target="https://doi.org/10.1073/pnas.2600626123" TargetMode="External"/><Relationship Id="rId262" Type="http://schemas.openxmlformats.org/officeDocument/2006/relationships/hyperlink" Target="https://www.pnas.org/doi/abs/10.1073/pnas.2521944123?mi=eymic2&amp;af=R&amp;access=on&amp;content=articlesChapters&amp;publication=pnas&amp;sortBy=Earliest&amp;target=default" TargetMode="External"/><Relationship Id="rId263" Type="http://schemas.openxmlformats.org/officeDocument/2006/relationships/hyperlink" Target="https://doi.org/10.1073/pnas.2521944123" TargetMode="External"/><Relationship Id="rId264" Type="http://schemas.openxmlformats.org/officeDocument/2006/relationships/hyperlink" Target="https://www.pnas.org/doi/abs/10.1073/pnas.2535463123?mi=eymic2&amp;af=R&amp;access=on&amp;content=articlesChapters&amp;publication=pnas&amp;sortBy=Earliest&amp;target=default" TargetMode="External"/><Relationship Id="rId265" Type="http://schemas.openxmlformats.org/officeDocument/2006/relationships/hyperlink" Target="https://doi.org/10.1073/pnas.2535463123" TargetMode="External"/><Relationship Id="rId266" Type="http://schemas.openxmlformats.org/officeDocument/2006/relationships/hyperlink" Target="https://www.pnas.org/doi/abs/10.1073/pnas.2532925123?mi=eymic2&amp;af=R&amp;access=on&amp;content=articlesChapters&amp;publication=pnas&amp;sortBy=Earliest&amp;target=default" TargetMode="External"/><Relationship Id="rId267" Type="http://schemas.openxmlformats.org/officeDocument/2006/relationships/hyperlink" Target="https://doi.org/10.1073/pnas.2532925123" TargetMode="External"/><Relationship Id="rId268" Type="http://schemas.openxmlformats.org/officeDocument/2006/relationships/hyperlink" Target="https://www.pnas.org/doi/abs/10.1073/pnas.2502076123?mi=eymic2&amp;af=R&amp;access=on&amp;content=articlesChapters&amp;publication=pnas&amp;sortBy=Earliest&amp;target=default" TargetMode="External"/><Relationship Id="rId269" Type="http://schemas.openxmlformats.org/officeDocument/2006/relationships/hyperlink" Target="https://doi.org/10.1073/pnas.2502076123" TargetMode="External"/><Relationship Id="rId270" Type="http://schemas.openxmlformats.org/officeDocument/2006/relationships/hyperlink" Target="https://onlinelibrary.wiley.com/doi/10.1002/anie.202523506?af=R" TargetMode="External"/><Relationship Id="rId271" Type="http://schemas.openxmlformats.org/officeDocument/2006/relationships/hyperlink" Target="https://doi.org/10.1002/anie.202523506" TargetMode="External"/><Relationship Id="rId272" Type="http://schemas.openxmlformats.org/officeDocument/2006/relationships/hyperlink" Target="https://advanced.onlinelibrary.wiley.com/doi/10.1002/adma.202521863?af=R" TargetMode="External"/><Relationship Id="rId273" Type="http://schemas.openxmlformats.org/officeDocument/2006/relationships/hyperlink" Target="https://doi.org/10.1002/adma.202521863" TargetMode="External"/><Relationship Id="rId274" Type="http://schemas.openxmlformats.org/officeDocument/2006/relationships/hyperlink" Target="https://onlinelibrary.wiley.com/doi/10.1002/anie.202519933?af=R" TargetMode="External"/><Relationship Id="rId275" Type="http://schemas.openxmlformats.org/officeDocument/2006/relationships/hyperlink" Target="https://doi.org/10.1002/anie.202519933" TargetMode="External"/><Relationship Id="rId276" Type="http://schemas.openxmlformats.org/officeDocument/2006/relationships/hyperlink" Target="http://dx.doi.org/10.1021/jacs.5c21337" TargetMode="External"/><Relationship Id="rId277" Type="http://schemas.openxmlformats.org/officeDocument/2006/relationships/hyperlink" Target="https://doi.org/10.1021/jacs.5c21337" TargetMode="External"/><Relationship Id="rId278" Type="http://schemas.openxmlformats.org/officeDocument/2006/relationships/hyperlink" Target="http://dx.doi.org/10.1021/acsenergylett.5c03921" TargetMode="External"/><Relationship Id="rId279" Type="http://schemas.openxmlformats.org/officeDocument/2006/relationships/hyperlink" Target="https://doi.org/10.1021/acsenergylett.5c03921" TargetMode="External"/><Relationship Id="rId280" Type="http://schemas.openxmlformats.org/officeDocument/2006/relationships/hyperlink" Target="https://advanced.onlinelibrary.wiley.com/doi/10.1002/adma.72132?af=R" TargetMode="External"/><Relationship Id="rId281" Type="http://schemas.openxmlformats.org/officeDocument/2006/relationships/hyperlink" Target="https://doi.org/10.1002/adma.72132" TargetMode="External"/><Relationship Id="rId282" Type="http://schemas.openxmlformats.org/officeDocument/2006/relationships/hyperlink" Target="https://advanced.onlinelibrary.wiley.com/doi/10.1002/adma.72131?af=R" TargetMode="External"/><Relationship Id="rId283" Type="http://schemas.openxmlformats.org/officeDocument/2006/relationships/hyperlink" Target="https://doi.org/10.1002/adma.72131" TargetMode="External"/><Relationship Id="rId284" Type="http://schemas.openxmlformats.org/officeDocument/2006/relationships/hyperlink" Target="https://advanced.onlinelibrary.wiley.com/doi/10.1002/adma.72130?af=R" TargetMode="External"/><Relationship Id="rId285" Type="http://schemas.openxmlformats.org/officeDocument/2006/relationships/hyperlink" Target="https://doi.org/10.1002/adma.72130" TargetMode="External"/><Relationship Id="rId286" Type="http://schemas.openxmlformats.org/officeDocument/2006/relationships/hyperlink" Target="https://advanced.onlinelibrary.wiley.com/doi/10.1002/adma.72129?af=R" TargetMode="External"/><Relationship Id="rId287" Type="http://schemas.openxmlformats.org/officeDocument/2006/relationships/hyperlink" Target="https://doi.org/10.1002/adma.72129" TargetMode="External"/><Relationship Id="rId288" Type="http://schemas.openxmlformats.org/officeDocument/2006/relationships/hyperlink" Target="https://advanced.onlinelibrary.wiley.com/doi/10.1002/adma.72127?af=R" TargetMode="External"/><Relationship Id="rId289" Type="http://schemas.openxmlformats.org/officeDocument/2006/relationships/hyperlink" Target="https://doi.org/10.1002/adma.72127" TargetMode="External"/><Relationship Id="rId290" Type="http://schemas.openxmlformats.org/officeDocument/2006/relationships/hyperlink" Target="http://dx.doi.org/10.1021/jacs.5c20071" TargetMode="External"/><Relationship Id="rId291" Type="http://schemas.openxmlformats.org/officeDocument/2006/relationships/hyperlink" Target="https://doi.org/10.1021/jacs.5c20071" TargetMode="External"/><Relationship Id="rId292" Type="http://schemas.openxmlformats.org/officeDocument/2006/relationships/hyperlink" Target="http://dx.doi.org/10.1021/jacs.5c22163" TargetMode="External"/><Relationship Id="rId293" Type="http://schemas.openxmlformats.org/officeDocument/2006/relationships/hyperlink" Target="https://doi.org/10.1021/jacs.5c22163" TargetMode="External"/><Relationship Id="rId294" Type="http://schemas.openxmlformats.org/officeDocument/2006/relationships/hyperlink" Target="http://dx.doi.org/10.1021/jacs.5c17290" TargetMode="External"/><Relationship Id="rId295" Type="http://schemas.openxmlformats.org/officeDocument/2006/relationships/hyperlink" Target="https://doi.org/10.1021/jacs.5c17290" TargetMode="External"/><Relationship Id="rId296" Type="http://schemas.openxmlformats.org/officeDocument/2006/relationships/hyperlink" Target="https://onlinelibrary.wiley.com/doi/10.1002/anie.202521536?af=R" TargetMode="External"/><Relationship Id="rId297" Type="http://schemas.openxmlformats.org/officeDocument/2006/relationships/hyperlink" Target="https://doi.org/10.1002/anie.202521536" TargetMode="External"/><Relationship Id="rId298" Type="http://schemas.openxmlformats.org/officeDocument/2006/relationships/hyperlink" Target="https://advanced.onlinelibrary.wiley.com/doi/10.1002/adma.202523369?af=R" TargetMode="External"/><Relationship Id="rId299" Type="http://schemas.openxmlformats.org/officeDocument/2006/relationships/hyperlink" Target="https://doi.org/10.1002/adma.202523369" TargetMode="External"/><Relationship Id="rId300" Type="http://schemas.openxmlformats.org/officeDocument/2006/relationships/hyperlink" Target="https://advanced.onlinelibrary.wiley.com/doi/10.1002/adma.202517760?af=R" TargetMode="External"/><Relationship Id="rId301" Type="http://schemas.openxmlformats.org/officeDocument/2006/relationships/hyperlink" Target="https://doi.org/10.1002/adma.202517760" TargetMode="External"/><Relationship Id="rId302" Type="http://schemas.openxmlformats.org/officeDocument/2006/relationships/hyperlink" Target="https://advanced.onlinelibrary.wiley.com/doi/10.1002/adma.202519146?af=R" TargetMode="External"/><Relationship Id="rId303" Type="http://schemas.openxmlformats.org/officeDocument/2006/relationships/hyperlink" Target="https://doi.org/10.1002/adma.202519146" TargetMode="External"/><Relationship Id="rId304" Type="http://schemas.openxmlformats.org/officeDocument/2006/relationships/hyperlink" Target="http://dx.doi.org/10.1021/jacs.5c21808" TargetMode="External"/><Relationship Id="rId305" Type="http://schemas.openxmlformats.org/officeDocument/2006/relationships/hyperlink" Target="https://doi.org/10.1021/jacs.5c21808" TargetMode="External"/><Relationship Id="rId306" Type="http://schemas.openxmlformats.org/officeDocument/2006/relationships/hyperlink" Target="http://dx.doi.org/10.1021/jacs.5c18457" TargetMode="External"/><Relationship Id="rId307" Type="http://schemas.openxmlformats.org/officeDocument/2006/relationships/hyperlink" Target="https://doi.org/10.1021/jacs.5c18457" TargetMode="External"/><Relationship Id="rId308" Type="http://schemas.openxmlformats.org/officeDocument/2006/relationships/hyperlink" Target="https://advanced.onlinelibrary.wiley.com/doi/10.1002/adma.202517019?af=R" TargetMode="External"/><Relationship Id="rId309" Type="http://schemas.openxmlformats.org/officeDocument/2006/relationships/hyperlink" Target="https://doi.org/10.1002/adma.202517019" TargetMode="External"/><Relationship Id="rId310" Type="http://schemas.openxmlformats.org/officeDocument/2006/relationships/hyperlink" Target="https://advanced.onlinelibrary.wiley.com/doi/10.1002/adma.202521368?af=R" TargetMode="External"/><Relationship Id="rId311" Type="http://schemas.openxmlformats.org/officeDocument/2006/relationships/hyperlink" Target="https://doi.org/10.1002/adma.202521368" TargetMode="External"/><Relationship Id="rId312" Type="http://schemas.openxmlformats.org/officeDocument/2006/relationships/hyperlink" Target="http://dx.doi.org/10.1021/jacs.5c14361" TargetMode="External"/><Relationship Id="rId313" Type="http://schemas.openxmlformats.org/officeDocument/2006/relationships/hyperlink" Target="https://doi.org/10.1021/jacs.5c14361" TargetMode="External"/><Relationship Id="rId314" Type="http://schemas.openxmlformats.org/officeDocument/2006/relationships/hyperlink" Target="http://dx.doi.org/10.1021/jacs.5c21279" TargetMode="External"/><Relationship Id="rId315" Type="http://schemas.openxmlformats.org/officeDocument/2006/relationships/hyperlink" Target="https://doi.org/10.1021/jacs.5c21279" TargetMode="External"/><Relationship Id="rId316" Type="http://schemas.openxmlformats.org/officeDocument/2006/relationships/hyperlink" Target="http://dx.doi.org/10.1021/jacs.5c20718" TargetMode="External"/><Relationship Id="rId317" Type="http://schemas.openxmlformats.org/officeDocument/2006/relationships/hyperlink" Target="https://doi.org/10.1021/jacs.5c20718" TargetMode="External"/><Relationship Id="rId318" Type="http://schemas.openxmlformats.org/officeDocument/2006/relationships/hyperlink" Target="http://dx.doi.org/10.1021/jacs.5c06735" TargetMode="External"/><Relationship Id="rId319" Type="http://schemas.openxmlformats.org/officeDocument/2006/relationships/hyperlink" Target="https://doi.org/10.1021/jacs.5c06735" TargetMode="External"/><Relationship Id="rId320" Type="http://schemas.openxmlformats.org/officeDocument/2006/relationships/hyperlink" Target="http://dx.doi.org/10.1021/acsenergylett.5c03985" TargetMode="External"/><Relationship Id="rId321" Type="http://schemas.openxmlformats.org/officeDocument/2006/relationships/hyperlink" Target="https://doi.org/10.1021/acsenergylett.5c03985" TargetMode="External"/><Relationship Id="rId322" Type="http://schemas.openxmlformats.org/officeDocument/2006/relationships/hyperlink" Target="http://dx.doi.org/10.1021/acsenergylett.5c04101" TargetMode="External"/><Relationship Id="rId323" Type="http://schemas.openxmlformats.org/officeDocument/2006/relationships/hyperlink" Target="https://doi.org/10.1021/acsenergylett.5c04101" TargetMode="External"/><Relationship Id="rId324" Type="http://schemas.openxmlformats.org/officeDocument/2006/relationships/hyperlink" Target="http://dx.doi.org/10.1021/acsenergylett.5c03995" TargetMode="External"/><Relationship Id="rId325" Type="http://schemas.openxmlformats.org/officeDocument/2006/relationships/hyperlink" Target="https://doi.org/10.1021/acsenergylett.5c03995" TargetMode="External"/><Relationship Id="rId326" Type="http://schemas.openxmlformats.org/officeDocument/2006/relationships/hyperlink" Target="http://dx.doi.org/10.1021/jacs.5c14812" TargetMode="External"/><Relationship Id="rId327" Type="http://schemas.openxmlformats.org/officeDocument/2006/relationships/hyperlink" Target="https://doi.org/10.1021/jacs.5c14812" TargetMode="External"/><Relationship Id="rId328" Type="http://schemas.openxmlformats.org/officeDocument/2006/relationships/hyperlink" Target="http://dx.doi.org/10.1021/jacs.5c16583" TargetMode="External"/><Relationship Id="rId329" Type="http://schemas.openxmlformats.org/officeDocument/2006/relationships/hyperlink" Target="https://doi.org/10.1021/jacs.5c16583" TargetMode="External"/><Relationship Id="rId330" Type="http://schemas.openxmlformats.org/officeDocument/2006/relationships/hyperlink" Target="http://dx.doi.org/10.1021/acs.chemrev.5c00789" TargetMode="External"/><Relationship Id="rId331" Type="http://schemas.openxmlformats.org/officeDocument/2006/relationships/hyperlink" Target="https://doi.org/10.1021/acs.chemrev.5c00789" TargetMode="External"/><Relationship Id="rId332" Type="http://schemas.openxmlformats.org/officeDocument/2006/relationships/hyperlink" Target="http://dx.doi.org/10.1021/acsenergylett.5c04203" TargetMode="External"/><Relationship Id="rId333" Type="http://schemas.openxmlformats.org/officeDocument/2006/relationships/hyperlink" Target="https://doi.org/10.1021/acsenergylett.5c04203" TargetMode="External"/><Relationship Id="rId334" Type="http://schemas.openxmlformats.org/officeDocument/2006/relationships/hyperlink" Target="http://dx.doi.org/10.1021/acsenergylett.5c03557" TargetMode="External"/><Relationship Id="rId335" Type="http://schemas.openxmlformats.org/officeDocument/2006/relationships/hyperlink" Target="https://doi.org/10.1021/acsenergylett.5c03557" TargetMode="External"/><Relationship Id="rId336" Type="http://schemas.openxmlformats.org/officeDocument/2006/relationships/hyperlink" Target="http://dx.doi.org/10.1021/jacs.5c21432" TargetMode="External"/><Relationship Id="rId337" Type="http://schemas.openxmlformats.org/officeDocument/2006/relationships/hyperlink" Target="https://doi.org/10.1021/jacs.5c21432" TargetMode="External"/><Relationship Id="rId338" Type="http://schemas.openxmlformats.org/officeDocument/2006/relationships/hyperlink" Target="http://dx.doi.org/10.1021/jacs.5c21696" TargetMode="External"/><Relationship Id="rId339" Type="http://schemas.openxmlformats.org/officeDocument/2006/relationships/hyperlink" Target="https://doi.org/10.1021/jacs.5c21696" TargetMode="External"/><Relationship Id="rId340" Type="http://schemas.openxmlformats.org/officeDocument/2006/relationships/hyperlink" Target="http://dx.doi.org/10.1021/acsenergylett.5c03663" TargetMode="External"/><Relationship Id="rId341" Type="http://schemas.openxmlformats.org/officeDocument/2006/relationships/hyperlink" Target="https://doi.org/10.1021/acsenergylett.5c03663" TargetMode="External"/><Relationship Id="rId342" Type="http://schemas.openxmlformats.org/officeDocument/2006/relationships/hyperlink" Target="http://dx.doi.org/10.1021/jacs.5c21821" TargetMode="External"/><Relationship Id="rId343" Type="http://schemas.openxmlformats.org/officeDocument/2006/relationships/hyperlink" Target="https://doi.org/10.1021/jacs.5c21821" TargetMode="External"/><Relationship Id="rId344" Type="http://schemas.openxmlformats.org/officeDocument/2006/relationships/hyperlink" Target="https://www.nature.com/articles/s41467-026-68911-5" TargetMode="External"/><Relationship Id="rId345" Type="http://schemas.openxmlformats.org/officeDocument/2006/relationships/hyperlink" Target="https://www.nature.com/articles/d41586-026-00344-y" TargetMode="External"/><Relationship Id="rId346" Type="http://schemas.openxmlformats.org/officeDocument/2006/relationships/hyperlink" Target="https://www.nature.com/articles/s41467-026-69164-y" TargetMode="External"/><Relationship Id="rId347" Type="http://schemas.openxmlformats.org/officeDocument/2006/relationships/hyperlink" Target="https://www.nature.com/articles/s41467-026-69220-7" TargetMode="External"/><Relationship Id="rId348" Type="http://schemas.openxmlformats.org/officeDocument/2006/relationships/hyperlink" Target="https://www.nature.com/articles/s41467-026-68812-7" TargetMode="External"/><Relationship Id="rId349" Type="http://schemas.openxmlformats.org/officeDocument/2006/relationships/hyperlink" Target="https://www.nature.com/articles/s41467-025-66772-y" TargetMode="External"/><Relationship Id="rId350" Type="http://schemas.openxmlformats.org/officeDocument/2006/relationships/hyperlink" Target="https://www.nature.com/articles/s41467-026-69229-y" TargetMode="External"/><Relationship Id="rId351" Type="http://schemas.openxmlformats.org/officeDocument/2006/relationships/hyperlink" Target="https://www.nature.com/articles/d41586-026-00361-x" TargetMode="External"/><Relationship Id="rId352" Type="http://schemas.openxmlformats.org/officeDocument/2006/relationships/hyperlink" Target="https://www.nature.com/articles/s41467-026-69060-5" TargetMode="External"/><Relationship Id="rId353" Type="http://schemas.openxmlformats.org/officeDocument/2006/relationships/hyperlink" Target="https://www.nature.com/articles/s41467-026-69093-w" TargetMode="External"/><Relationship Id="rId354" Type="http://schemas.openxmlformats.org/officeDocument/2006/relationships/hyperlink" Target="https://www.nature.com/articles/s44359-026-00146-5" TargetMode="External"/><Relationship Id="rId355" Type="http://schemas.openxmlformats.org/officeDocument/2006/relationships/hyperlink" Target="https://www.nature.com/articles/d41586-026-00342-0" TargetMode="External"/><Relationship Id="rId356" Type="http://schemas.openxmlformats.org/officeDocument/2006/relationships/hyperlink" Target="https://www.cell.com/matter/fulltext/S2590-2385(25)00618-6?rss=yes" TargetMode="External"/><Relationship Id="rId357" Type="http://schemas.openxmlformats.org/officeDocument/2006/relationships/hyperlink" Target="https://www.nature.com/articles/d41586-026-00192-w" TargetMode="External"/><Relationship Id="rId358" Type="http://schemas.openxmlformats.org/officeDocument/2006/relationships/hyperlink" Target="https://www.nature.com/articles/s41893-025-01761-z" TargetMode="External"/><Relationship Id="rId359" Type="http://schemas.openxmlformats.org/officeDocument/2006/relationships/hyperlink" Target="https://www.nature.com/articles/s41893-025-01758-8" TargetMode="External"/><Relationship Id="rId360" Type="http://schemas.openxmlformats.org/officeDocument/2006/relationships/hyperlink" Target="https://www.cell.com/joule/fulltext/S2542-4351(25)00487-8?rss=yes" TargetMode="External"/><Relationship Id="rId361" Type="http://schemas.openxmlformats.org/officeDocument/2006/relationships/hyperlink" Target="https://www.cell.com/chem/fulltext/S2451-9294(26)00016-1?rss=yes" TargetMode="External"/><Relationship Id="rId362" Type="http://schemas.openxmlformats.org/officeDocument/2006/relationships/hyperlink" Target="https://www.nature.com/articles/s41586-026-10198-z" TargetMode="External"/><Relationship Id="rId363" Type="http://schemas.openxmlformats.org/officeDocument/2006/relationships/hyperlink" Target="https://www.nature.com/articles/d41586-026-00283-8" TargetMode="External"/><Relationship Id="rId364" Type="http://schemas.openxmlformats.org/officeDocument/2006/relationships/hyperlink" Target="https://www.nature.com/articles/d41586-026-00343-z" TargetMode="External"/><Relationship Id="rId365" Type="http://schemas.openxmlformats.org/officeDocument/2006/relationships/hyperlink" Target="https://www.cell.com/chem/fulltext/S2451-9294(25)00463-2?rss=yes" TargetMode="External"/><Relationship Id="rId366" Type="http://schemas.openxmlformats.org/officeDocument/2006/relationships/hyperlink" Target="https://www.nature.com/articles/d41586-026-00308-2" TargetMode="External"/><Relationship Id="rId367" Type="http://schemas.openxmlformats.org/officeDocument/2006/relationships/hyperlink" Target="http://pubs.rsc.org/en/Content/ArticleLanding/2026/CS/D5CS01377A" TargetMode="External"/><Relationship Id="rId368" Type="http://schemas.openxmlformats.org/officeDocument/2006/relationships/hyperlink" Target="http://pubs.rsc.org/en/Content/ArticleLanding/2026/EE/D5EE04508H" TargetMode="External"/><Relationship Id="rId369" Type="http://schemas.openxmlformats.org/officeDocument/2006/relationships/hyperlink" Target="https://www.nature.com/articles/d41586-026-00310-8" TargetMode="External"/><Relationship Id="rId370" Type="http://schemas.openxmlformats.org/officeDocument/2006/relationships/hyperlink" Target="https://www.nature.com/articles/d41586-026-00311-7" TargetMode="External"/><Relationship Id="rId371" Type="http://schemas.openxmlformats.org/officeDocument/2006/relationships/hyperlink" Target="https://www.nature.com/articles/d41586-026-00314-4" TargetMode="External"/><Relationship Id="rId372" Type="http://schemas.openxmlformats.org/officeDocument/2006/relationships/hyperlink" Target="http://pubs.rsc.org/en/Content/ArticleLanding/2026/EE/D5EE06253E" TargetMode="External"/><Relationship Id="rId373" Type="http://schemas.openxmlformats.org/officeDocument/2006/relationships/hyperlink" Target="https://www.nature.com/articles/d41586-026-00333-1" TargetMode="External"/><Relationship Id="rId374" Type="http://schemas.openxmlformats.org/officeDocument/2006/relationships/hyperlink" Target="https://www.nature.com/articles/s41586-026-10147-w" TargetMode="External"/><Relationship Id="rId375" Type="http://schemas.openxmlformats.org/officeDocument/2006/relationships/hyperlink" Target="https://www.nature.com/articles/s41560-026-01968-0" TargetMode="External"/><Relationship Id="rId376" Type="http://schemas.openxmlformats.org/officeDocument/2006/relationships/hyperlink" Target="https://www.nature.com/articles/s41560-026-01967-1" TargetMode="External"/><Relationship Id="rId377" Type="http://schemas.openxmlformats.org/officeDocument/2006/relationships/hyperlink" Target="https://www.sciencedirect.com/science/article/pii/S030626192600111X?dgcid=rss_sd_all" TargetMode="External"/><Relationship Id="rId378" Type="http://schemas.openxmlformats.org/officeDocument/2006/relationships/hyperlink" Target="https://www.sciencedirect.com/science/article/pii/S0306261926001285?dgcid=rss_sd_all" TargetMode="External"/><Relationship Id="rId379" Type="http://schemas.openxmlformats.org/officeDocument/2006/relationships/hyperlink" Target="https://www.sciencedirect.com/science/article/pii/S0306261926001133?dgcid=rss_sd_all" TargetMode="External"/><Relationship Id="rId380" Type="http://schemas.openxmlformats.org/officeDocument/2006/relationships/hyperlink" Target="https://www.sciencedirect.com/science/article/pii/S0301421526000455?dgcid=rss_sd_all" TargetMode="External"/><Relationship Id="rId381" Type="http://schemas.openxmlformats.org/officeDocument/2006/relationships/hyperlink" Target="https://www.sciencedirect.com/science/article/pii/S0306261926001091?dgcid=rss_sd_all" TargetMode="External"/><Relationship Id="rId382" Type="http://schemas.openxmlformats.org/officeDocument/2006/relationships/hyperlink" Target="https://academic.oup.com/nsr/advance-article/doi/10.1093/nsr/nwag074/8456377?rss=1" TargetMode="External"/><Relationship Id="rId383" Type="http://schemas.openxmlformats.org/officeDocument/2006/relationships/hyperlink" Target="https://doi.org/10.1093/nsr/nwag074/8456377" TargetMode="External"/><Relationship Id="rId384" Type="http://schemas.openxmlformats.org/officeDocument/2006/relationships/hyperlink" Target="https://www.sciencedirect.com/science/article/pii/S0301421526000625?dgcid=rss_sd_all" TargetMode="External"/><Relationship Id="rId385" Type="http://schemas.openxmlformats.org/officeDocument/2006/relationships/hyperlink" Target="https://www.nature.com/articles/s41563-026-02504-x" TargetMode="External"/><Relationship Id="rId386" Type="http://schemas.openxmlformats.org/officeDocument/2006/relationships/hyperlink" Target="https://onlinelibrary.wiley.com/doi/10.1002/anie.202525189?af=R" TargetMode="External"/><Relationship Id="rId387" Type="http://schemas.openxmlformats.org/officeDocument/2006/relationships/hyperlink" Target="https://doi.org/10.1002/anie.202525189" TargetMode="External"/><Relationship Id="rId388" Type="http://schemas.openxmlformats.org/officeDocument/2006/relationships/hyperlink" Target="https://advanced.onlinelibrary.wiley.com/doi/10.1002/adma.202519523?af=R" TargetMode="External"/><Relationship Id="rId389" Type="http://schemas.openxmlformats.org/officeDocument/2006/relationships/hyperlink" Target="https://doi.org/10.1002/adma.202519523" TargetMode="External"/><Relationship Id="rId390" Type="http://schemas.openxmlformats.org/officeDocument/2006/relationships/hyperlink" Target="https://advanced.onlinelibrary.wiley.com/doi/10.1002/adma.202522483?af=R" TargetMode="External"/><Relationship Id="rId391" Type="http://schemas.openxmlformats.org/officeDocument/2006/relationships/hyperlink" Target="https://doi.org/10.1002/adma.202522483" TargetMode="External"/><Relationship Id="rId392" Type="http://schemas.openxmlformats.org/officeDocument/2006/relationships/hyperlink" Target="https://advanced.onlinelibrary.wiley.com/doi/10.1002/aenm.202506793?af=R" TargetMode="External"/><Relationship Id="rId393" Type="http://schemas.openxmlformats.org/officeDocument/2006/relationships/hyperlink" Target="https://doi.org/10.1002/aenm.202506793" TargetMode="External"/><Relationship Id="rId394" Type="http://schemas.openxmlformats.org/officeDocument/2006/relationships/hyperlink" Target="https://advanced.onlinelibrary.wiley.com/doi/10.1002/aenm.202506608?af=R" TargetMode="External"/><Relationship Id="rId395" Type="http://schemas.openxmlformats.org/officeDocument/2006/relationships/hyperlink" Target="https://doi.org/10.1002/aenm.202506608" TargetMode="External"/><Relationship Id="rId396" Type="http://schemas.openxmlformats.org/officeDocument/2006/relationships/hyperlink" Target="https://onlinelibrary.wiley.com/doi/10.1002/anie.202520105?af=R" TargetMode="External"/><Relationship Id="rId397" Type="http://schemas.openxmlformats.org/officeDocument/2006/relationships/hyperlink" Target="https://doi.org/10.1002/anie.202520105" TargetMode="External"/><Relationship Id="rId398" Type="http://schemas.openxmlformats.org/officeDocument/2006/relationships/hyperlink" Target="https://onlinelibrary.wiley.com/doi/10.1002/anie.202522845?af=R" TargetMode="External"/><Relationship Id="rId399" Type="http://schemas.openxmlformats.org/officeDocument/2006/relationships/hyperlink" Target="https://doi.org/10.1002/anie.202522845" TargetMode="External"/><Relationship Id="rId400" Type="http://schemas.openxmlformats.org/officeDocument/2006/relationships/hyperlink" Target="https://onlinelibrary.wiley.com/doi/10.1002/anie.202524320?af=R" TargetMode="External"/><Relationship Id="rId401" Type="http://schemas.openxmlformats.org/officeDocument/2006/relationships/hyperlink" Target="https://doi.org/10.1002/anie.202524320" TargetMode="External"/><Relationship Id="rId402" Type="http://schemas.openxmlformats.org/officeDocument/2006/relationships/hyperlink" Target="https://advanced.onlinelibrary.wiley.com/doi/10.1002/aenm.202504932?af=R" TargetMode="External"/><Relationship Id="rId403" Type="http://schemas.openxmlformats.org/officeDocument/2006/relationships/hyperlink" Target="https://doi.org/10.1002/aenm.202504932" TargetMode="External"/><Relationship Id="rId404" Type="http://schemas.openxmlformats.org/officeDocument/2006/relationships/hyperlink" Target="https://advanced.onlinelibrary.wiley.com/doi/10.1002/aenm.202506749?af=R" TargetMode="External"/><Relationship Id="rId405" Type="http://schemas.openxmlformats.org/officeDocument/2006/relationships/hyperlink" Target="https://doi.org/10.1002/aenm.202506749" TargetMode="External"/><Relationship Id="rId406" Type="http://schemas.openxmlformats.org/officeDocument/2006/relationships/hyperlink" Target="https://onlinelibrary.wiley.com/doi/10.1002/anie.202525941?af=R" TargetMode="External"/><Relationship Id="rId407" Type="http://schemas.openxmlformats.org/officeDocument/2006/relationships/hyperlink" Target="https://doi.org/10.1002/anie.202525941" TargetMode="External"/><Relationship Id="rId408" Type="http://schemas.openxmlformats.org/officeDocument/2006/relationships/hyperlink" Target="https://onlinelibrary.wiley.com/doi/10.1002/anie.202525119?af=R" TargetMode="External"/><Relationship Id="rId409" Type="http://schemas.openxmlformats.org/officeDocument/2006/relationships/hyperlink" Target="https://doi.org/10.1002/anie.202525119" TargetMode="External"/><Relationship Id="rId410" Type="http://schemas.openxmlformats.org/officeDocument/2006/relationships/hyperlink" Target="https://onlinelibrary.wiley.com/doi/10.1002/anie.202524705?af=R" TargetMode="External"/><Relationship Id="rId411" Type="http://schemas.openxmlformats.org/officeDocument/2006/relationships/hyperlink" Target="https://doi.org/10.1002/anie.202524705" TargetMode="External"/><Relationship Id="rId412" Type="http://schemas.openxmlformats.org/officeDocument/2006/relationships/hyperlink" Target="https://onlinelibrary.wiley.com/doi/10.1002/anie.202520653?af=R" TargetMode="External"/><Relationship Id="rId413" Type="http://schemas.openxmlformats.org/officeDocument/2006/relationships/hyperlink" Target="https://doi.org/10.1002/anie.202520653" TargetMode="External"/><Relationship Id="rId414" Type="http://schemas.openxmlformats.org/officeDocument/2006/relationships/hyperlink" Target="https://onlinelibrary.wiley.com/doi/10.1002/anie.202525987?af=R" TargetMode="External"/><Relationship Id="rId415" Type="http://schemas.openxmlformats.org/officeDocument/2006/relationships/hyperlink" Target="https://doi.org/10.1002/anie.202525987" TargetMode="External"/><Relationship Id="rId416" Type="http://schemas.openxmlformats.org/officeDocument/2006/relationships/hyperlink" Target="https://www.pnas.org/doi/abs/10.1073/pnas.2519649123?mi=eymic2&amp;af=R&amp;access=on&amp;content=articlesChapters&amp;publication=pnas&amp;sortBy=Earliest&amp;target=default" TargetMode="External"/><Relationship Id="rId417" Type="http://schemas.openxmlformats.org/officeDocument/2006/relationships/hyperlink" Target="https://doi.org/10.1073/pnas.2519649123" TargetMode="External"/><Relationship Id="rId418" Type="http://schemas.openxmlformats.org/officeDocument/2006/relationships/hyperlink" Target="https://www.pnas.org/doi/abs/10.1073/pnas.2531946123?mi=eymic2&amp;af=R&amp;access=on&amp;content=articlesChapters&amp;publication=pnas&amp;sortBy=Earliest&amp;target=default" TargetMode="External"/><Relationship Id="rId419" Type="http://schemas.openxmlformats.org/officeDocument/2006/relationships/hyperlink" Target="https://doi.org/10.1073/pnas.2531946123" TargetMode="External"/><Relationship Id="rId420" Type="http://schemas.openxmlformats.org/officeDocument/2006/relationships/hyperlink" Target="https://www.pnas.org/doi/abs/10.1073/pnas.2517372123?mi=eymic2&amp;af=R&amp;access=on&amp;content=articlesChapters&amp;publication=pnas&amp;sortBy=Earliest&amp;target=default" TargetMode="External"/><Relationship Id="rId421" Type="http://schemas.openxmlformats.org/officeDocument/2006/relationships/hyperlink" Target="https://doi.org/10.1073/pnas.2517372123" TargetMode="External"/><Relationship Id="rId422" Type="http://schemas.openxmlformats.org/officeDocument/2006/relationships/hyperlink" Target="https://www.pnas.org/doi/abs/10.1073/pnas.2533093123?mi=eymic2&amp;af=R&amp;access=on&amp;content=articlesChapters&amp;publication=pnas&amp;sortBy=Earliest&amp;target=default" TargetMode="External"/><Relationship Id="rId423" Type="http://schemas.openxmlformats.org/officeDocument/2006/relationships/hyperlink" Target="https://doi.org/10.1073/pnas.2533093123" TargetMode="External"/><Relationship Id="rId424" Type="http://schemas.openxmlformats.org/officeDocument/2006/relationships/hyperlink" Target="https://www.pnas.org/doi/abs/10.1073/iti0526123?mi=eymic2&amp;af=R&amp;access=on&amp;content=articlesChapters&amp;publication=pnas&amp;sortBy=Earliest&amp;target=default" TargetMode="External"/><Relationship Id="rId425" Type="http://schemas.openxmlformats.org/officeDocument/2006/relationships/hyperlink" Target="https://doi.org/10.1073/iti0526123" TargetMode="External"/><Relationship Id="rId426" Type="http://schemas.openxmlformats.org/officeDocument/2006/relationships/hyperlink" Target="https://www.pnas.org/doi/abs/10.1073/pnas.2531377123?mi=eymic2&amp;af=R&amp;access=on&amp;content=articlesChapters&amp;publication=pnas&amp;sortBy=Earliest&amp;target=default" TargetMode="External"/><Relationship Id="rId427" Type="http://schemas.openxmlformats.org/officeDocument/2006/relationships/hyperlink" Target="https://doi.org/10.1073/pnas.2531377123" TargetMode="External"/><Relationship Id="rId428" Type="http://schemas.openxmlformats.org/officeDocument/2006/relationships/hyperlink" Target="https://www.pnas.org/doi/abs/10.1073/pnas.2524289123?mi=eymic2&amp;af=R&amp;access=on&amp;content=articlesChapters&amp;publication=pnas&amp;sortBy=Earliest&amp;target=default" TargetMode="External"/><Relationship Id="rId429" Type="http://schemas.openxmlformats.org/officeDocument/2006/relationships/hyperlink" Target="https://doi.org/10.1073/pnas.2524289123" TargetMode="External"/><Relationship Id="rId430" Type="http://schemas.openxmlformats.org/officeDocument/2006/relationships/hyperlink" Target="https://www.pnas.org/doi/abs/10.1073/pnas.2502873123?mi=eymic2&amp;af=R&amp;access=on&amp;content=articlesChapters&amp;publication=pnas&amp;sortBy=Earliest&amp;target=default" TargetMode="External"/><Relationship Id="rId431" Type="http://schemas.openxmlformats.org/officeDocument/2006/relationships/hyperlink" Target="https://doi.org/10.1073/pnas.2502873123" TargetMode="External"/><Relationship Id="rId432" Type="http://schemas.openxmlformats.org/officeDocument/2006/relationships/hyperlink" Target="https://www.pnas.org/doi/abs/10.1073/pnas.2536736123?mi=eymic2&amp;af=R&amp;access=on&amp;content=articlesChapters&amp;publication=pnas&amp;sortBy=Earliest&amp;target=default" TargetMode="External"/><Relationship Id="rId433" Type="http://schemas.openxmlformats.org/officeDocument/2006/relationships/hyperlink" Target="https://doi.org/10.1073/pnas.2536736123" TargetMode="External"/><Relationship Id="rId434" Type="http://schemas.openxmlformats.org/officeDocument/2006/relationships/hyperlink" Target="https://www.pnas.org/doi/abs/10.1073/pnas.2535857123?mi=eymic2&amp;af=R&amp;access=on&amp;content=articlesChapters&amp;publication=pnas&amp;sortBy=Earliest&amp;target=default" TargetMode="External"/><Relationship Id="rId435" Type="http://schemas.openxmlformats.org/officeDocument/2006/relationships/hyperlink" Target="https://doi.org/10.1073/pnas.2535857123" TargetMode="External"/><Relationship Id="rId436" Type="http://schemas.openxmlformats.org/officeDocument/2006/relationships/hyperlink" Target="https://www.pnas.org/doi/abs/10.1073/pnas.2534141123?mi=eymic2&amp;af=R&amp;access=on&amp;content=articlesChapters&amp;publication=pnas&amp;sortBy=Earliest&amp;target=default" TargetMode="External"/><Relationship Id="rId437" Type="http://schemas.openxmlformats.org/officeDocument/2006/relationships/hyperlink" Target="https://doi.org/10.1073/pnas.2534141123" TargetMode="External"/><Relationship Id="rId438" Type="http://schemas.openxmlformats.org/officeDocument/2006/relationships/hyperlink" Target="https://www.pnas.org/doi/abs/10.1073/pnas.2529275123?mi=eymic2&amp;af=R&amp;access=on&amp;content=articlesChapters&amp;publication=pnas&amp;sortBy=Earliest&amp;target=default" TargetMode="External"/><Relationship Id="rId439" Type="http://schemas.openxmlformats.org/officeDocument/2006/relationships/hyperlink" Target="https://doi.org/10.1073/pnas.2529275123" TargetMode="External"/><Relationship Id="rId440" Type="http://schemas.openxmlformats.org/officeDocument/2006/relationships/hyperlink" Target="https://www.pnas.org/doi/abs/10.1073/pnas.2520476123?mi=eymic2&amp;af=R&amp;access=on&amp;content=articlesChapters&amp;publication=pnas&amp;sortBy=Earliest&amp;target=default" TargetMode="External"/><Relationship Id="rId441" Type="http://schemas.openxmlformats.org/officeDocument/2006/relationships/hyperlink" Target="https://doi.org/10.1073/pnas.2520476123" TargetMode="External"/><Relationship Id="rId442" Type="http://schemas.openxmlformats.org/officeDocument/2006/relationships/hyperlink" Target="https://www.pnas.org/doi/abs/10.1073/pnas.2505642123?mi=eymic2&amp;af=R&amp;access=on&amp;content=articlesChapters&amp;publication=pnas&amp;sortBy=Earliest&amp;target=default" TargetMode="External"/><Relationship Id="rId443" Type="http://schemas.openxmlformats.org/officeDocument/2006/relationships/hyperlink" Target="https://doi.org/10.1073/pnas.2505642123" TargetMode="External"/><Relationship Id="rId444" Type="http://schemas.openxmlformats.org/officeDocument/2006/relationships/hyperlink" Target="http://dx.doi.org/10.1021/jacs.5c14261" TargetMode="External"/><Relationship Id="rId445" Type="http://schemas.openxmlformats.org/officeDocument/2006/relationships/hyperlink" Target="https://doi.org/10.1021/jacs.5c14261" TargetMode="External"/><Relationship Id="rId446" Type="http://schemas.openxmlformats.org/officeDocument/2006/relationships/hyperlink" Target="https://advanced.onlinelibrary.wiley.com/doi/10.1002/adma.202518824?af=R" TargetMode="External"/><Relationship Id="rId447" Type="http://schemas.openxmlformats.org/officeDocument/2006/relationships/hyperlink" Target="https://doi.org/10.1002/adma.202518824" TargetMode="External"/><Relationship Id="rId448" Type="http://schemas.openxmlformats.org/officeDocument/2006/relationships/hyperlink" Target="https://advanced.onlinelibrary.wiley.com/doi/10.1002/adma.202521873?af=R" TargetMode="External"/><Relationship Id="rId449" Type="http://schemas.openxmlformats.org/officeDocument/2006/relationships/hyperlink" Target="https://doi.org/10.1002/adma.202521873" TargetMode="External"/><Relationship Id="rId450" Type="http://schemas.openxmlformats.org/officeDocument/2006/relationships/hyperlink" Target="https://advanced.onlinelibrary.wiley.com/doi/10.1002/adma.202517286?af=R" TargetMode="External"/><Relationship Id="rId451" Type="http://schemas.openxmlformats.org/officeDocument/2006/relationships/hyperlink" Target="https://doi.org/10.1002/adma.202517286" TargetMode="External"/><Relationship Id="rId452" Type="http://schemas.openxmlformats.org/officeDocument/2006/relationships/hyperlink" Target="https://advanced.onlinelibrary.wiley.com/doi/10.1002/adma.202522526?af=R" TargetMode="External"/><Relationship Id="rId453" Type="http://schemas.openxmlformats.org/officeDocument/2006/relationships/hyperlink" Target="https://doi.org/10.1002/adma.202522526" TargetMode="External"/><Relationship Id="rId454" Type="http://schemas.openxmlformats.org/officeDocument/2006/relationships/hyperlink" Target="https://advanced.onlinelibrary.wiley.com/doi/10.1002/adma.202522996?af=R" TargetMode="External"/><Relationship Id="rId455" Type="http://schemas.openxmlformats.org/officeDocument/2006/relationships/hyperlink" Target="https://doi.org/10.1002/adma.202522996" TargetMode="External"/><Relationship Id="rId456" Type="http://schemas.openxmlformats.org/officeDocument/2006/relationships/hyperlink" Target="https://onlinelibrary.wiley.com/doi/10.1002/anie.202524740?af=R" TargetMode="External"/><Relationship Id="rId457" Type="http://schemas.openxmlformats.org/officeDocument/2006/relationships/hyperlink" Target="https://doi.org/10.1002/anie.202524740" TargetMode="External"/><Relationship Id="rId458" Type="http://schemas.openxmlformats.org/officeDocument/2006/relationships/hyperlink" Target="https://advanced.onlinelibrary.wiley.com/doi/10.1002/adma.202520011?af=R" TargetMode="External"/><Relationship Id="rId459" Type="http://schemas.openxmlformats.org/officeDocument/2006/relationships/hyperlink" Target="https://doi.org/10.1002/adma.202520011" TargetMode="External"/><Relationship Id="rId460" Type="http://schemas.openxmlformats.org/officeDocument/2006/relationships/hyperlink" Target="https://advanced.onlinelibrary.wiley.com/doi/10.1002/adma.202518567?af=R" TargetMode="External"/><Relationship Id="rId461" Type="http://schemas.openxmlformats.org/officeDocument/2006/relationships/hyperlink" Target="https://doi.org/10.1002/adma.202518567" TargetMode="External"/><Relationship Id="rId462" Type="http://schemas.openxmlformats.org/officeDocument/2006/relationships/hyperlink" Target="http://dx.doi.org/10.1021/jacs.5c19479" TargetMode="External"/><Relationship Id="rId463" Type="http://schemas.openxmlformats.org/officeDocument/2006/relationships/hyperlink" Target="https://doi.org/10.1021/jacs.5c19479" TargetMode="External"/><Relationship Id="rId464" Type="http://schemas.openxmlformats.org/officeDocument/2006/relationships/hyperlink" Target="https://onlinelibrary.wiley.com/doi/10.1002/anie.202518685?af=R" TargetMode="External"/><Relationship Id="rId465" Type="http://schemas.openxmlformats.org/officeDocument/2006/relationships/hyperlink" Target="https://doi.org/10.1002/anie.202518685" TargetMode="External"/><Relationship Id="rId466" Type="http://schemas.openxmlformats.org/officeDocument/2006/relationships/hyperlink" Target="https://advanced.onlinelibrary.wiley.com/doi/10.1002/adma.202520137?af=R" TargetMode="External"/><Relationship Id="rId467" Type="http://schemas.openxmlformats.org/officeDocument/2006/relationships/hyperlink" Target="https://doi.org/10.1002/adma.202520137" TargetMode="External"/><Relationship Id="rId468" Type="http://schemas.openxmlformats.org/officeDocument/2006/relationships/hyperlink" Target="https://advanced.onlinelibrary.wiley.com/doi/10.1002/adma.202517639?af=R" TargetMode="External"/><Relationship Id="rId469" Type="http://schemas.openxmlformats.org/officeDocument/2006/relationships/hyperlink" Target="https://doi.org/10.1002/adma.202517639" TargetMode="External"/><Relationship Id="rId470" Type="http://schemas.openxmlformats.org/officeDocument/2006/relationships/hyperlink" Target="http://dx.doi.org/10.1021/jacs.5c18554" TargetMode="External"/><Relationship Id="rId471" Type="http://schemas.openxmlformats.org/officeDocument/2006/relationships/hyperlink" Target="https://doi.org/10.1021/jacs.5c18554" TargetMode="External"/><Relationship Id="rId472" Type="http://schemas.openxmlformats.org/officeDocument/2006/relationships/hyperlink" Target="https://onlinelibrary.wiley.com/doi/10.1002/anie.202525623?af=R" TargetMode="External"/><Relationship Id="rId473" Type="http://schemas.openxmlformats.org/officeDocument/2006/relationships/hyperlink" Target="https://doi.org/10.1002/anie.202525623" TargetMode="External"/><Relationship Id="rId474" Type="http://schemas.openxmlformats.org/officeDocument/2006/relationships/hyperlink" Target="https://advanced.onlinelibrary.wiley.com/doi/10.1002/aenm.202506790?af=R" TargetMode="External"/><Relationship Id="rId475" Type="http://schemas.openxmlformats.org/officeDocument/2006/relationships/hyperlink" Target="https://doi.org/10.1002/aenm.202506790" TargetMode="External"/><Relationship Id="rId476" Type="http://schemas.openxmlformats.org/officeDocument/2006/relationships/hyperlink" Target="https://advanced.onlinelibrary.wiley.com/doi/10.1002/adma.202520138?af=R" TargetMode="External"/><Relationship Id="rId477" Type="http://schemas.openxmlformats.org/officeDocument/2006/relationships/hyperlink" Target="https://doi.org/10.1002/adma.202520138" TargetMode="External"/><Relationship Id="rId478" Type="http://schemas.openxmlformats.org/officeDocument/2006/relationships/hyperlink" Target="https://advanced.onlinelibrary.wiley.com/doi/10.1002/adma.202519731?af=R" TargetMode="External"/><Relationship Id="rId479" Type="http://schemas.openxmlformats.org/officeDocument/2006/relationships/hyperlink" Target="https://doi.org/10.1002/adma.202519731" TargetMode="External"/><Relationship Id="rId480" Type="http://schemas.openxmlformats.org/officeDocument/2006/relationships/hyperlink" Target="https://advanced.onlinelibrary.wiley.com/doi/10.1002/adma.72386?af=R" TargetMode="External"/><Relationship Id="rId481" Type="http://schemas.openxmlformats.org/officeDocument/2006/relationships/hyperlink" Target="https://doi.org/10.1002/adma.72386" TargetMode="External"/><Relationship Id="rId482" Type="http://schemas.openxmlformats.org/officeDocument/2006/relationships/hyperlink" Target="https://advanced.onlinelibrary.wiley.com/doi/10.1002/adma.202521613?af=R" TargetMode="External"/><Relationship Id="rId483" Type="http://schemas.openxmlformats.org/officeDocument/2006/relationships/hyperlink" Target="https://doi.org/10.1002/adma.202521613" TargetMode="External"/><Relationship Id="rId484" Type="http://schemas.openxmlformats.org/officeDocument/2006/relationships/hyperlink" Target="https://advanced.onlinelibrary.wiley.com/doi/10.1002/adma.202519775?af=R" TargetMode="External"/><Relationship Id="rId485" Type="http://schemas.openxmlformats.org/officeDocument/2006/relationships/hyperlink" Target="https://doi.org/10.1002/adma.202519775" TargetMode="External"/><Relationship Id="rId486" Type="http://schemas.openxmlformats.org/officeDocument/2006/relationships/hyperlink" Target="https://advanced.onlinelibrary.wiley.com/doi/10.1002/adma.202522247?af=R" TargetMode="External"/><Relationship Id="rId487" Type="http://schemas.openxmlformats.org/officeDocument/2006/relationships/hyperlink" Target="https://doi.org/10.1002/adma.202522247" TargetMode="External"/><Relationship Id="rId488" Type="http://schemas.openxmlformats.org/officeDocument/2006/relationships/hyperlink" Target="https://advanced.onlinelibrary.wiley.com/doi/10.1002/adma.202517211?af=R" TargetMode="External"/><Relationship Id="rId489" Type="http://schemas.openxmlformats.org/officeDocument/2006/relationships/hyperlink" Target="https://doi.org/10.1002/adma.202517211" TargetMode="External"/><Relationship Id="rId490" Type="http://schemas.openxmlformats.org/officeDocument/2006/relationships/hyperlink" Target="https://advanced.onlinelibrary.wiley.com/doi/10.1002/adma.202518732?af=R" TargetMode="External"/><Relationship Id="rId491" Type="http://schemas.openxmlformats.org/officeDocument/2006/relationships/hyperlink" Target="https://doi.org/10.1002/adma.202518732" TargetMode="External"/><Relationship Id="rId492" Type="http://schemas.openxmlformats.org/officeDocument/2006/relationships/hyperlink" Target="https://advanced.onlinelibrary.wiley.com/doi/10.1002/adma.202518207?af=R" TargetMode="External"/><Relationship Id="rId493" Type="http://schemas.openxmlformats.org/officeDocument/2006/relationships/hyperlink" Target="https://doi.org/10.1002/adma.202518207" TargetMode="External"/><Relationship Id="rId494" Type="http://schemas.openxmlformats.org/officeDocument/2006/relationships/hyperlink" Target="https://advanced.onlinelibrary.wiley.com/doi/10.1002/adma.202520497?af=R" TargetMode="External"/><Relationship Id="rId495" Type="http://schemas.openxmlformats.org/officeDocument/2006/relationships/hyperlink" Target="https://doi.org/10.1002/adma.202520497" TargetMode="External"/><Relationship Id="rId496" Type="http://schemas.openxmlformats.org/officeDocument/2006/relationships/hyperlink" Target="http://dx.doi.org/10.1021/jacs.5c22568" TargetMode="External"/><Relationship Id="rId497" Type="http://schemas.openxmlformats.org/officeDocument/2006/relationships/hyperlink" Target="https://doi.org/10.1021/jacs.5c22568" TargetMode="External"/><Relationship Id="rId498" Type="http://schemas.openxmlformats.org/officeDocument/2006/relationships/hyperlink" Target="https://advanced.onlinelibrary.wiley.com/doi/10.1002/adma.202516470?af=R" TargetMode="External"/><Relationship Id="rId499" Type="http://schemas.openxmlformats.org/officeDocument/2006/relationships/hyperlink" Target="https://doi.org/10.1002/adma.202516470" TargetMode="External"/><Relationship Id="rId500" Type="http://schemas.openxmlformats.org/officeDocument/2006/relationships/hyperlink" Target="http://dx.doi.org/10.1021/jacs.5c13140" TargetMode="External"/><Relationship Id="rId501" Type="http://schemas.openxmlformats.org/officeDocument/2006/relationships/hyperlink" Target="https://doi.org/10.1021/jacs.5c13140" TargetMode="External"/><Relationship Id="rId502" Type="http://schemas.openxmlformats.org/officeDocument/2006/relationships/hyperlink" Target="http://dx.doi.org/10.1021/jacs.5c19419" TargetMode="External"/><Relationship Id="rId503" Type="http://schemas.openxmlformats.org/officeDocument/2006/relationships/hyperlink" Target="https://doi.org/10.1021/jacs.5c19419" TargetMode="External"/><Relationship Id="rId504" Type="http://schemas.openxmlformats.org/officeDocument/2006/relationships/hyperlink" Target="http://dx.doi.org/10.1021/jacs.5c18303" TargetMode="External"/><Relationship Id="rId505" Type="http://schemas.openxmlformats.org/officeDocument/2006/relationships/hyperlink" Target="https://doi.org/10.1021/jacs.5c18303" TargetMode="External"/><Relationship Id="rId506" Type="http://schemas.openxmlformats.org/officeDocument/2006/relationships/hyperlink" Target="http://dx.doi.org/10.1021/jacs.5c18363" TargetMode="External"/><Relationship Id="rId507" Type="http://schemas.openxmlformats.org/officeDocument/2006/relationships/hyperlink" Target="https://doi.org/10.1021/jacs.5c18363" TargetMode="External"/><Relationship Id="rId508" Type="http://schemas.openxmlformats.org/officeDocument/2006/relationships/hyperlink" Target="http://dx.doi.org/10.1021/jacs.5c20792" TargetMode="External"/><Relationship Id="rId509" Type="http://schemas.openxmlformats.org/officeDocument/2006/relationships/hyperlink" Target="https://doi.org/10.1021/jacs.5c20792" TargetMode="External"/><Relationship Id="rId510" Type="http://schemas.openxmlformats.org/officeDocument/2006/relationships/hyperlink" Target="http://dx.doi.org/10.1021/jacs.5c18728" TargetMode="External"/><Relationship Id="rId511" Type="http://schemas.openxmlformats.org/officeDocument/2006/relationships/hyperlink" Target="https://doi.org/10.1021/jacs.5c18728" TargetMode="External"/><Relationship Id="rId512" Type="http://schemas.openxmlformats.org/officeDocument/2006/relationships/hyperlink" Target="http://dx.doi.org/10.1021/jacs.5c22797" TargetMode="External"/><Relationship Id="rId513" Type="http://schemas.openxmlformats.org/officeDocument/2006/relationships/hyperlink" Target="https://doi.org/10.1021/jacs.5c22797" TargetMode="External"/><Relationship Id="rId514" Type="http://schemas.openxmlformats.org/officeDocument/2006/relationships/hyperlink" Target="http://dx.doi.org/10.1021/jacs.5c18764" TargetMode="External"/><Relationship Id="rId515" Type="http://schemas.openxmlformats.org/officeDocument/2006/relationships/hyperlink" Target="https://doi.org/10.1021/jacs.5c18764" TargetMode="External"/><Relationship Id="rId516" Type="http://schemas.openxmlformats.org/officeDocument/2006/relationships/hyperlink" Target="http://dx.doi.org/10.1021/jacs.5c21704" TargetMode="External"/><Relationship Id="rId517" Type="http://schemas.openxmlformats.org/officeDocument/2006/relationships/hyperlink" Target="https://doi.org/10.1021/jacs.5c21704" TargetMode="External"/><Relationship Id="rId518" Type="http://schemas.openxmlformats.org/officeDocument/2006/relationships/hyperlink" Target="http://dx.doi.org/10.1021/jacs.5c18872" TargetMode="External"/><Relationship Id="rId519" Type="http://schemas.openxmlformats.org/officeDocument/2006/relationships/hyperlink" Target="https://doi.org/10.1021/jacs.5c18872" TargetMode="External"/><Relationship Id="rId520" Type="http://schemas.openxmlformats.org/officeDocument/2006/relationships/hyperlink" Target="http://dx.doi.org/10.1021/acsenergylett.6c00053" TargetMode="External"/><Relationship Id="rId521" Type="http://schemas.openxmlformats.org/officeDocument/2006/relationships/hyperlink" Target="https://doi.org/10.1021/acsenergylett.6c00053" TargetMode="External"/><Relationship Id="rId522" Type="http://schemas.openxmlformats.org/officeDocument/2006/relationships/hyperlink" Target="http://dx.doi.org/10.1021/jacs.5c19699" TargetMode="External"/><Relationship Id="rId523" Type="http://schemas.openxmlformats.org/officeDocument/2006/relationships/hyperlink" Target="https://doi.org/10.1021/jacs.5c19699" TargetMode="External"/><Relationship Id="rId524" Type="http://schemas.openxmlformats.org/officeDocument/2006/relationships/hyperlink" Target="http://dx.doi.org/10.1021/jacs.5c19760" TargetMode="External"/><Relationship Id="rId525" Type="http://schemas.openxmlformats.org/officeDocument/2006/relationships/hyperlink" Target="https://doi.org/10.1021/jacs.5c19760" TargetMode="External"/><Relationship Id="rId526" Type="http://schemas.openxmlformats.org/officeDocument/2006/relationships/hyperlink" Target="http://dx.doi.org/10.1021/acs.chemrev.5c00786" TargetMode="External"/><Relationship Id="rId527" Type="http://schemas.openxmlformats.org/officeDocument/2006/relationships/hyperlink" Target="https://doi.org/10.1021/acs.chemrev.5c00786" TargetMode="External"/><Relationship Id="rId528" Type="http://schemas.openxmlformats.org/officeDocument/2006/relationships/hyperlink" Target="http://dx.doi.org/10.1021/jacs.5c15962" TargetMode="External"/><Relationship Id="rId529" Type="http://schemas.openxmlformats.org/officeDocument/2006/relationships/hyperlink" Target="https://doi.org/10.1021/jacs.5c15962" TargetMode="External"/><Relationship Id="rId530" Type="http://schemas.openxmlformats.org/officeDocument/2006/relationships/hyperlink" Target="http://dx.doi.org/10.1021/jacs.5c22646" TargetMode="External"/><Relationship Id="rId531" Type="http://schemas.openxmlformats.org/officeDocument/2006/relationships/hyperlink" Target="https://doi.org/10.1021/jacs.5c22646" TargetMode="External"/><Relationship Id="rId532" Type="http://schemas.openxmlformats.org/officeDocument/2006/relationships/hyperlink" Target="http://dx.doi.org/10.1021/jacs.5c21126" TargetMode="External"/><Relationship Id="rId533" Type="http://schemas.openxmlformats.org/officeDocument/2006/relationships/hyperlink" Target="https://doi.org/10.1021/jacs.5c21126" TargetMode="External"/><Relationship Id="rId534" Type="http://schemas.openxmlformats.org/officeDocument/2006/relationships/hyperlink" Target="https://www.sciencedirect.com/science/article/pii/S0301421526000704?dgcid=rss_sd_all" TargetMode="External"/><Relationship Id="rId535" Type="http://schemas.openxmlformats.org/officeDocument/2006/relationships/hyperlink" Target="https://www.sciencedirect.com/science/article/pii/S0301421526000650?dgcid=rss_sd_all" TargetMode="External"/><Relationship Id="rId536" Type="http://schemas.openxmlformats.org/officeDocument/2006/relationships/hyperlink" Target="https://www.nature.com/articles/s41586-025-10036-8" TargetMode="External"/><Relationship Id="rId537" Type="http://schemas.openxmlformats.org/officeDocument/2006/relationships/hyperlink" Target="https://www.sciencedirect.com/science/article/pii/S0306261926001169?dgcid=rss_sd_all" TargetMode="External"/><Relationship Id="rId538" Type="http://schemas.openxmlformats.org/officeDocument/2006/relationships/hyperlink" Target="https://www.nature.com/articles/s41586-025-10053-7" TargetMode="External"/><Relationship Id="rId539" Type="http://schemas.openxmlformats.org/officeDocument/2006/relationships/hyperlink" Target="https://www.nature.com/articles/s41586-025-10005-1" TargetMode="External"/><Relationship Id="rId540" Type="http://schemas.openxmlformats.org/officeDocument/2006/relationships/hyperlink" Target="https://www.nature.com/articles/s41586-025-09920-0" TargetMode="External"/><Relationship Id="rId541" Type="http://schemas.openxmlformats.org/officeDocument/2006/relationships/hyperlink" Target="https://www.sciencedirect.com/science/article/pii/S0306261926001327?dgcid=rss_sd_all" TargetMode="External"/><Relationship Id="rId542" Type="http://schemas.openxmlformats.org/officeDocument/2006/relationships/hyperlink" Target="https://www.nature.com/articles/s41565-025-02117-6" TargetMode="External"/><Relationship Id="rId543" Type="http://schemas.openxmlformats.org/officeDocument/2006/relationships/hyperlink" Target="https://www.nature.com/articles/s41565-025-02111-y" TargetMode="External"/><Relationship Id="rId544" Type="http://schemas.openxmlformats.org/officeDocument/2006/relationships/hyperlink" Target="https://www.sciencedirect.com/science/article/pii/S030626192600142X?dgcid=rss_sd_all" TargetMode="External"/><Relationship Id="rId545" Type="http://schemas.openxmlformats.org/officeDocument/2006/relationships/hyperlink" Target="https://www.nature.com/articles/s41586-025-10028-8" TargetMode="External"/><Relationship Id="rId546" Type="http://schemas.openxmlformats.org/officeDocument/2006/relationships/hyperlink" Target="https://www.nature.com/articles/s41586-025-10018-w" TargetMode="External"/><Relationship Id="rId547" Type="http://schemas.openxmlformats.org/officeDocument/2006/relationships/hyperlink" Target="https://www.nature.com/articles/s41586-025-10065-3" TargetMode="External"/><Relationship Id="rId548" Type="http://schemas.openxmlformats.org/officeDocument/2006/relationships/hyperlink" Target="https://www.nature.com/articles/s41586-025-10057-3" TargetMode="External"/><Relationship Id="rId549" Type="http://schemas.openxmlformats.org/officeDocument/2006/relationships/hyperlink" Target="https://www.nature.com/articles/s41586-026-10200-8" TargetMode="External"/><Relationship Id="rId550" Type="http://schemas.openxmlformats.org/officeDocument/2006/relationships/hyperlink" Target="https://www.nature.com/articles/s41586-026-10105-6" TargetMode="External"/><Relationship Id="rId551" Type="http://schemas.openxmlformats.org/officeDocument/2006/relationships/hyperlink" Target="https://www.sciencedirect.com/science/article/pii/S0306261926001005?dgcid=rss_sd_all" TargetMode="External"/><Relationship Id="rId552" Type="http://schemas.openxmlformats.org/officeDocument/2006/relationships/hyperlink" Target="https://www.nature.com/articles/s41586-026-10101-w" TargetMode="External"/><Relationship Id="rId553" Type="http://schemas.openxmlformats.org/officeDocument/2006/relationships/hyperlink" Target="https://www.nature.com/articles/s41928-026-01578-4" TargetMode="External"/><Relationship Id="rId554" Type="http://schemas.openxmlformats.org/officeDocument/2006/relationships/hyperlink" Target="https://www.nature.com/articles/s41586-026-10100-x" TargetMode="External"/><Relationship Id="rId555" Type="http://schemas.openxmlformats.org/officeDocument/2006/relationships/hyperlink" Target="https://www.nature.com/articles/s41586-026-10099-1" TargetMode="External"/><Relationship Id="rId556" Type="http://schemas.openxmlformats.org/officeDocument/2006/relationships/hyperlink" Target="https://www.nature.com/articles/s41586-025-10087-x" TargetMode="External"/><Relationship Id="rId557" Type="http://schemas.openxmlformats.org/officeDocument/2006/relationships/hyperlink" Target="https://www.nature.com/articles/s41586-025-10085-z" TargetMode="External"/><Relationship Id="rId558" Type="http://schemas.openxmlformats.org/officeDocument/2006/relationships/hyperlink" Target="https://www.nature.com/articles/s41586-025-10084-0" TargetMode="External"/><Relationship Id="rId559" Type="http://schemas.openxmlformats.org/officeDocument/2006/relationships/hyperlink" Target="https://www.nature.com/articles/s41586-025-10082-2" TargetMode="External"/><Relationship Id="rId560" Type="http://schemas.openxmlformats.org/officeDocument/2006/relationships/hyperlink" Target="https://www.nature.com/articles/s41586-025-10079-x" TargetMode="External"/><Relationship Id="rId561" Type="http://schemas.openxmlformats.org/officeDocument/2006/relationships/hyperlink" Target="https://www.sciencedirect.com/science/article/pii/S030626192600108X?dgcid=rss_sd_all" TargetMode="External"/><Relationship Id="rId562" Type="http://schemas.openxmlformats.org/officeDocument/2006/relationships/hyperlink" Target="https://www.nature.com/articles/s41586-025-10076-0" TargetMode="External"/><Relationship Id="rId563" Type="http://schemas.openxmlformats.org/officeDocument/2006/relationships/hyperlink" Target="https://www.nature.com/articles/s41586-025-10075-1" TargetMode="External"/><Relationship Id="rId564" Type="http://schemas.openxmlformats.org/officeDocument/2006/relationships/hyperlink" Target="https://www.nature.com/articles/s41586-025-10073-3" TargetMode="External"/><Relationship Id="rId565" Type="http://schemas.openxmlformats.org/officeDocument/2006/relationships/hyperlink" Target="https://www.nature.com/articles/s41586-025-10072-4" TargetMode="External"/><Relationship Id="rId566" Type="http://schemas.openxmlformats.org/officeDocument/2006/relationships/hyperlink" Target="https://www.nature.com/articles/s41586-025-10067-1" TargetMode="External"/><Relationship Id="rId567" Type="http://schemas.openxmlformats.org/officeDocument/2006/relationships/hyperlink" Target="https://www.nature.com/articles/s41586-025-10066-2" TargetMode="External"/><Relationship Id="rId568" Type="http://schemas.openxmlformats.org/officeDocument/2006/relationships/hyperlink" Target="https://www.nature.com/articles/s41586-025-10060-8" TargetMode="External"/><Relationship Id="rId569" Type="http://schemas.openxmlformats.org/officeDocument/2006/relationships/hyperlink" Target="https://www.nature.com/articles/s41586-025-10059-1" TargetMode="External"/><Relationship Id="rId570" Type="http://schemas.openxmlformats.org/officeDocument/2006/relationships/hyperlink" Target="https://www.nature.com/articles/s41586-025-10055-5" TargetMode="External"/><Relationship Id="rId571" Type="http://schemas.openxmlformats.org/officeDocument/2006/relationships/hyperlink" Target="https://www.nature.com/articles/s41586-026-10102-9" TargetMode="External"/><Relationship Id="rId572" Type="http://schemas.openxmlformats.org/officeDocument/2006/relationships/hyperlink" Target="https://academic.oup.com/nsr/advance-article/doi/10.1093/nsr/nwag079/8460550?rss=1" TargetMode="External"/><Relationship Id="rId573" Type="http://schemas.openxmlformats.org/officeDocument/2006/relationships/hyperlink" Target="https://doi.org/10.1093/nsr/nwag079/8460550" TargetMode="External"/><Relationship Id="rId574" Type="http://schemas.openxmlformats.org/officeDocument/2006/relationships/hyperlink" Target="https://www.nature.com/articles/d41586-026-00036-7" TargetMode="External"/><Relationship Id="rId575" Type="http://schemas.openxmlformats.org/officeDocument/2006/relationships/hyperlink" Target="https://www.nature.com/articles/d41586-026-00347-9" TargetMode="External"/><Relationship Id="rId576" Type="http://schemas.openxmlformats.org/officeDocument/2006/relationships/hyperlink" Target="https://www.cell.com/matter/fulltext/S2590-2385(25)00619-8?rss=yes" TargetMode="External"/><Relationship Id="rId577" Type="http://schemas.openxmlformats.org/officeDocument/2006/relationships/hyperlink" Target="https://www.nature.com/articles/d41586-026-00338-w" TargetMode="External"/><Relationship Id="rId578" Type="http://schemas.openxmlformats.org/officeDocument/2006/relationships/hyperlink" Target="https://www.nature.com/articles/d41586-026-00337-x" TargetMode="External"/><Relationship Id="rId579" Type="http://schemas.openxmlformats.org/officeDocument/2006/relationships/hyperlink" Target="https://www.cell.com/matter/fulltext/S2590-2385(25)00623-X?rss=yes" TargetMode="External"/><Relationship Id="rId580" Type="http://schemas.openxmlformats.org/officeDocument/2006/relationships/hyperlink" Target="https://www.nature.com/articles/d41586-026-00324-2" TargetMode="External"/><Relationship Id="rId581" Type="http://schemas.openxmlformats.org/officeDocument/2006/relationships/hyperlink" Target="https://www.cell.com/matter/fulltext/S2590-2385(26)00030-5?rss=yes" TargetMode="External"/><Relationship Id="rId582" Type="http://schemas.openxmlformats.org/officeDocument/2006/relationships/hyperlink" Target="https://www.nature.com/articles/d41586-026-00024-x" TargetMode="External"/><Relationship Id="rId583" Type="http://schemas.openxmlformats.org/officeDocument/2006/relationships/hyperlink" Target="https://www.nature.com/articles/d41586-026-00312-6" TargetMode="External"/><Relationship Id="rId584" Type="http://schemas.openxmlformats.org/officeDocument/2006/relationships/hyperlink" Target="https://www.nature.com/articles/d41586-026-00170-2" TargetMode="External"/><Relationship Id="rId585" Type="http://schemas.openxmlformats.org/officeDocument/2006/relationships/hyperlink" Target="https://www.nature.com/articles/d41586-026-00309-1" TargetMode="External"/><Relationship Id="rId586" Type="http://schemas.openxmlformats.org/officeDocument/2006/relationships/hyperlink" Target="https://www.nature.com/articles/d41586-026-00032-x" TargetMode="External"/><Relationship Id="rId587" Type="http://schemas.openxmlformats.org/officeDocument/2006/relationships/hyperlink" Target="https://www.nature.com/articles/d41586-026-00284-7" TargetMode="External"/><Relationship Id="rId588" Type="http://schemas.openxmlformats.org/officeDocument/2006/relationships/hyperlink" Target="https://www.nature.com/articles/d41586-026-00059-0" TargetMode="External"/><Relationship Id="rId589" Type="http://schemas.openxmlformats.org/officeDocument/2006/relationships/hyperlink" Target="https://www.nature.com/articles/d41586-026-00212-9" TargetMode="External"/><Relationship Id="rId590" Type="http://schemas.openxmlformats.org/officeDocument/2006/relationships/hyperlink" Target="https://www.nature.com/articles/d41586-026-00124-8" TargetMode="External"/><Relationship Id="rId591" Type="http://schemas.openxmlformats.org/officeDocument/2006/relationships/hyperlink" Target="https://www.nature.com/articles/d41586-026-00138-2" TargetMode="External"/><Relationship Id="rId592" Type="http://schemas.openxmlformats.org/officeDocument/2006/relationships/hyperlink" Target="https://www.nature.com/articles/d41586-026-00203-w" TargetMode="External"/><Relationship Id="rId593" Type="http://schemas.openxmlformats.org/officeDocument/2006/relationships/hyperlink" Target="https://www.nature.com/articles/d41586-026-00168-w" TargetMode="External"/><Relationship Id="rId594" Type="http://schemas.openxmlformats.org/officeDocument/2006/relationships/hyperlink" Target="https://www.nature.com/articles/d41586-026-00171-1" TargetMode="External"/><Relationship Id="rId595" Type="http://schemas.openxmlformats.org/officeDocument/2006/relationships/hyperlink" Target="https://www.nature.com/articles/d41586-026-00306-4" TargetMode="External"/><Relationship Id="rId596" Type="http://schemas.openxmlformats.org/officeDocument/2006/relationships/hyperlink" Target="https://www.cell.com/chem/fulltext/S2451-9294(25)00469-3?rss=yes" TargetMode="External"/><Relationship Id="rId597" Type="http://schemas.openxmlformats.org/officeDocument/2006/relationships/hyperlink" Target="https://www.cell.com/chem/fulltext/S2451-9294(25)00470-X?rss=yes" TargetMode="External"/><Relationship Id="rId598" Type="http://schemas.openxmlformats.org/officeDocument/2006/relationships/hyperlink" Target="https://www.nature.com/articles/d41586-026-00363-9" TargetMode="External"/><Relationship Id="rId599" Type="http://schemas.openxmlformats.org/officeDocument/2006/relationships/hyperlink" Target="https://academic.oup.com/nsr/advance-article/doi/10.1093/nsr/nwag077/8460551?rss=1" TargetMode="External"/><Relationship Id="rId600" Type="http://schemas.openxmlformats.org/officeDocument/2006/relationships/hyperlink" Target="https://doi.org/10.1093/nsr/nwag077/8460551" TargetMode="External"/><Relationship Id="rId601" Type="http://schemas.openxmlformats.org/officeDocument/2006/relationships/hyperlink" Target="http://pubs.rsc.org/en/Content/ArticleLanding/2026/EE/D5EE06773A" TargetMode="External"/><Relationship Id="rId602" Type="http://schemas.openxmlformats.org/officeDocument/2006/relationships/hyperlink" Target="http://pubs.rsc.org/en/Content/ArticleLanding/2026/EE/D5EE06706E" TargetMode="External"/><Relationship Id="rId603" Type="http://schemas.openxmlformats.org/officeDocument/2006/relationships/hyperlink" Target="http://pubs.rsc.org/en/Content/ArticleLanding/2026/EE/D5EE06609C" TargetMode="External"/><Relationship Id="rId604" Type="http://schemas.openxmlformats.org/officeDocument/2006/relationships/hyperlink" Target="https://academic.oup.com/nsr/advance-article/doi/10.1093/nsr/nwag072/8460542?rss=1" TargetMode="External"/><Relationship Id="rId605" Type="http://schemas.openxmlformats.org/officeDocument/2006/relationships/hyperlink" Target="https://doi.org/10.1093/nsr/nwag072/8460542" TargetMode="External"/><Relationship Id="rId606" Type="http://schemas.openxmlformats.org/officeDocument/2006/relationships/hyperlink" Target="https://www.nature.com/articles/s41560-026-01964-4" TargetMode="External"/><Relationship Id="rId607" Type="http://schemas.openxmlformats.org/officeDocument/2006/relationships/hyperlink" Target="https://www.nature.com/articles/d41586-026-00358-6" TargetMode="External"/><Relationship Id="rId608" Type="http://schemas.openxmlformats.org/officeDocument/2006/relationships/hyperlink" Target="https://www.nature.com/articles/s41467-026-69228-z" TargetMode="External"/><Relationship Id="rId609" Type="http://schemas.openxmlformats.org/officeDocument/2006/relationships/hyperlink" Target="https://www.nature.com/articles/d41586-026-00169-9" TargetMode="External"/><Relationship Id="rId610" Type="http://schemas.openxmlformats.org/officeDocument/2006/relationships/hyperlink" Target="http://pubs.rsc.org/en/Content/ArticleLanding/2026/EE/D5EE06502J" TargetMode="External"/><Relationship Id="rId611" Type="http://schemas.openxmlformats.org/officeDocument/2006/relationships/hyperlink" Target="https://www.cell.com/chem/fulltext/S2451-9294(25)00468-1?rss=yes" TargetMode="External"/><Relationship Id="rId612" Type="http://schemas.openxmlformats.org/officeDocument/2006/relationships/hyperlink" Target="https://www.nature.com/articles/d41586-026-00371-9" TargetMode="External"/><Relationship Id="rId613" Type="http://schemas.openxmlformats.org/officeDocument/2006/relationships/hyperlink" Target="http://pubs.rsc.org/en/Content/ArticleLanding/2026/EE/D5EE06338H" TargetMode="External"/><Relationship Id="rId614" Type="http://schemas.openxmlformats.org/officeDocument/2006/relationships/hyperlink" Target="http://pubs.rsc.org/en/Content/ArticleLanding/2026/EE/D5EE06116D" TargetMode="External"/><Relationship Id="rId615" Type="http://schemas.openxmlformats.org/officeDocument/2006/relationships/hyperlink" Target="http://pubs.rsc.org/en/Content/ArticleLanding/2026/CS/D5CS01406A" TargetMode="External"/><Relationship Id="rId616" Type="http://schemas.openxmlformats.org/officeDocument/2006/relationships/hyperlink" Target="https://onlinelibrary.wiley.com/doi/10.1002/anie.202525693?af=R" TargetMode="External"/><Relationship Id="rId617" Type="http://schemas.openxmlformats.org/officeDocument/2006/relationships/hyperlink" Target="https://doi.org/10.1002/anie.202525693" TargetMode="External"/><Relationship Id="rId618" Type="http://schemas.openxmlformats.org/officeDocument/2006/relationships/hyperlink" Target="https://onlinelibrary.wiley.com/doi/10.1002/anie.202521953?af=R" TargetMode="External"/><Relationship Id="rId619" Type="http://schemas.openxmlformats.org/officeDocument/2006/relationships/hyperlink" Target="https://doi.org/10.1002/anie.202521953" TargetMode="External"/><Relationship Id="rId620" Type="http://schemas.openxmlformats.org/officeDocument/2006/relationships/hyperlink" Target="https://advanced.onlinelibrary.wiley.com/doi/10.1002/adma.72294?af=R" TargetMode="External"/><Relationship Id="rId621" Type="http://schemas.openxmlformats.org/officeDocument/2006/relationships/hyperlink" Target="https://doi.org/10.1002/adma.72294" TargetMode="External"/><Relationship Id="rId622" Type="http://schemas.openxmlformats.org/officeDocument/2006/relationships/hyperlink" Target="https://onlinelibrary.wiley.com/doi/10.1002/anie.202523919?af=R" TargetMode="External"/><Relationship Id="rId623" Type="http://schemas.openxmlformats.org/officeDocument/2006/relationships/hyperlink" Target="https://doi.org/10.1002/anie.202523919" TargetMode="External"/><Relationship Id="rId624" Type="http://schemas.openxmlformats.org/officeDocument/2006/relationships/hyperlink" Target="https://onlinelibrary.wiley.com/doi/10.1002/anie.5649022?af=R" TargetMode="External"/><Relationship Id="rId625" Type="http://schemas.openxmlformats.org/officeDocument/2006/relationships/hyperlink" Target="https://doi.org/10.1002/anie.5649022" TargetMode="External"/><Relationship Id="rId626" Type="http://schemas.openxmlformats.org/officeDocument/2006/relationships/hyperlink" Target="https://advanced.onlinelibrary.wiley.com/doi/10.1002/adma.202523233?af=R" TargetMode="External"/><Relationship Id="rId627" Type="http://schemas.openxmlformats.org/officeDocument/2006/relationships/hyperlink" Target="https://doi.org/10.1002/adma.202523233" TargetMode="External"/><Relationship Id="rId628" Type="http://schemas.openxmlformats.org/officeDocument/2006/relationships/hyperlink" Target="https://advanced.onlinelibrary.wiley.com/doi/10.1002/adma.202523324?af=R" TargetMode="External"/><Relationship Id="rId629" Type="http://schemas.openxmlformats.org/officeDocument/2006/relationships/hyperlink" Target="https://doi.org/10.1002/adma.202523324" TargetMode="External"/><Relationship Id="rId630" Type="http://schemas.openxmlformats.org/officeDocument/2006/relationships/hyperlink" Target="https://onlinelibrary.wiley.com/doi/10.1002/anie.202523567?af=R" TargetMode="External"/><Relationship Id="rId631" Type="http://schemas.openxmlformats.org/officeDocument/2006/relationships/hyperlink" Target="https://doi.org/10.1002/anie.202523567" TargetMode="External"/><Relationship Id="rId632" Type="http://schemas.openxmlformats.org/officeDocument/2006/relationships/hyperlink" Target="https://advanced.onlinelibrary.wiley.com/doi/10.1002/adma.202521162?af=R" TargetMode="External"/><Relationship Id="rId633" Type="http://schemas.openxmlformats.org/officeDocument/2006/relationships/hyperlink" Target="https://doi.org/10.1002/adma.202521162" TargetMode="External"/><Relationship Id="rId634" Type="http://schemas.openxmlformats.org/officeDocument/2006/relationships/hyperlink" Target="https://advanced.onlinelibrary.wiley.com/doi/10.1002/adma.202522859?af=R" TargetMode="External"/><Relationship Id="rId635" Type="http://schemas.openxmlformats.org/officeDocument/2006/relationships/hyperlink" Target="https://doi.org/10.1002/adma.202522859" TargetMode="External"/><Relationship Id="rId636" Type="http://schemas.openxmlformats.org/officeDocument/2006/relationships/hyperlink" Target="https://onlinelibrary.wiley.com/doi/10.1002/anie.3468299?af=R" TargetMode="External"/><Relationship Id="rId637" Type="http://schemas.openxmlformats.org/officeDocument/2006/relationships/hyperlink" Target="https://doi.org/10.1002/anie.3468299" TargetMode="External"/><Relationship Id="rId638" Type="http://schemas.openxmlformats.org/officeDocument/2006/relationships/hyperlink" Target="https://onlinelibrary.wiley.com/doi/10.1002/anie.202525091?af=R" TargetMode="External"/><Relationship Id="rId639" Type="http://schemas.openxmlformats.org/officeDocument/2006/relationships/hyperlink" Target="https://doi.org/10.1002/anie.202525091" TargetMode="External"/><Relationship Id="rId640" Type="http://schemas.openxmlformats.org/officeDocument/2006/relationships/hyperlink" Target="https://advanced.onlinelibrary.wiley.com/doi/10.1002/aenm.202506091?af=R" TargetMode="External"/><Relationship Id="rId641" Type="http://schemas.openxmlformats.org/officeDocument/2006/relationships/hyperlink" Target="https://doi.org/10.1002/aenm.202506091" TargetMode="External"/><Relationship Id="rId642" Type="http://schemas.openxmlformats.org/officeDocument/2006/relationships/hyperlink" Target="https://onlinelibrary.wiley.com/doi/10.1002/anie.7690318?af=R" TargetMode="External"/><Relationship Id="rId643" Type="http://schemas.openxmlformats.org/officeDocument/2006/relationships/hyperlink" Target="https://doi.org/10.1002/anie.7690318" TargetMode="External"/><Relationship Id="rId644" Type="http://schemas.openxmlformats.org/officeDocument/2006/relationships/hyperlink" Target="https://onlinelibrary.wiley.com/doi/10.1002/anie.202524746?af=R" TargetMode="External"/><Relationship Id="rId645" Type="http://schemas.openxmlformats.org/officeDocument/2006/relationships/hyperlink" Target="https://doi.org/10.1002/anie.202524746" TargetMode="External"/><Relationship Id="rId646" Type="http://schemas.openxmlformats.org/officeDocument/2006/relationships/hyperlink" Target="https://onlinelibrary.wiley.com/doi/10.1002/anie.7517492?af=R" TargetMode="External"/><Relationship Id="rId647" Type="http://schemas.openxmlformats.org/officeDocument/2006/relationships/hyperlink" Target="https://doi.org/10.1002/anie.7517492" TargetMode="External"/><Relationship Id="rId648" Type="http://schemas.openxmlformats.org/officeDocument/2006/relationships/hyperlink" Target="https://onlinelibrary.wiley.com/doi/10.1002/anie.202521562?af=R" TargetMode="External"/><Relationship Id="rId649" Type="http://schemas.openxmlformats.org/officeDocument/2006/relationships/hyperlink" Target="https://doi.org/10.1002/anie.202521562" TargetMode="External"/><Relationship Id="rId650" Type="http://schemas.openxmlformats.org/officeDocument/2006/relationships/hyperlink" Target="https://onlinelibrary.wiley.com/doi/10.1002/anie.202519975?af=R" TargetMode="External"/><Relationship Id="rId651" Type="http://schemas.openxmlformats.org/officeDocument/2006/relationships/hyperlink" Target="https://doi.org/10.1002/anie.202519975" TargetMode="External"/><Relationship Id="rId652" Type="http://schemas.openxmlformats.org/officeDocument/2006/relationships/hyperlink" Target="https://onlinelibrary.wiley.com/doi/10.1002/anie.202520567?af=R" TargetMode="External"/><Relationship Id="rId653" Type="http://schemas.openxmlformats.org/officeDocument/2006/relationships/hyperlink" Target="https://doi.org/10.1002/anie.202520567" TargetMode="External"/><Relationship Id="rId654" Type="http://schemas.openxmlformats.org/officeDocument/2006/relationships/hyperlink" Target="https://onlinelibrary.wiley.com/doi/10.1002/anie.202524044?af=R" TargetMode="External"/><Relationship Id="rId655" Type="http://schemas.openxmlformats.org/officeDocument/2006/relationships/hyperlink" Target="https://doi.org/10.1002/anie.202524044" TargetMode="External"/><Relationship Id="rId656" Type="http://schemas.openxmlformats.org/officeDocument/2006/relationships/hyperlink" Target="https://onlinelibrary.wiley.com/doi/10.1002/anie.202521902?af=R" TargetMode="External"/><Relationship Id="rId657" Type="http://schemas.openxmlformats.org/officeDocument/2006/relationships/hyperlink" Target="https://doi.org/10.1002/anie.202521902" TargetMode="External"/><Relationship Id="rId658" Type="http://schemas.openxmlformats.org/officeDocument/2006/relationships/hyperlink" Target="https://onlinelibrary.wiley.com/doi/10.1002/anie.4855063?af=R" TargetMode="External"/><Relationship Id="rId659" Type="http://schemas.openxmlformats.org/officeDocument/2006/relationships/hyperlink" Target="https://doi.org/10.1002/anie.4855063" TargetMode="External"/><Relationship Id="rId660" Type="http://schemas.openxmlformats.org/officeDocument/2006/relationships/hyperlink" Target="https://www.pnas.org/doi/abs/10.1073/pnas.2536888123?mi=eymic2&amp;af=R&amp;access=on&amp;content=articlesChapters&amp;publication=pnas&amp;sortBy=Earliest&amp;target=default" TargetMode="External"/><Relationship Id="rId661" Type="http://schemas.openxmlformats.org/officeDocument/2006/relationships/hyperlink" Target="https://doi.org/10.1073/pnas.2536888123" TargetMode="External"/><Relationship Id="rId662" Type="http://schemas.openxmlformats.org/officeDocument/2006/relationships/hyperlink" Target="https://www.science.org/doi/abs/10.1126/sciadv.aea0201?af=R" TargetMode="External"/><Relationship Id="rId663" Type="http://schemas.openxmlformats.org/officeDocument/2006/relationships/hyperlink" Target="https://doi.org/10.1126/sciadv.aea0201" TargetMode="External"/><Relationship Id="rId664" Type="http://schemas.openxmlformats.org/officeDocument/2006/relationships/hyperlink" Target="https://www.pnas.org/doi/abs/10.1073/pnas.2523755123?mi=eymic2&amp;af=R&amp;access=on&amp;content=articlesChapters&amp;publication=pnas&amp;sortBy=Earliest&amp;target=default" TargetMode="External"/><Relationship Id="rId665" Type="http://schemas.openxmlformats.org/officeDocument/2006/relationships/hyperlink" Target="https://doi.org/10.1073/pnas.2523755123" TargetMode="External"/><Relationship Id="rId666" Type="http://schemas.openxmlformats.org/officeDocument/2006/relationships/hyperlink" Target="https://www.science.org/doi/abs/10.1126/sciadv.adv9616?af=R" TargetMode="External"/><Relationship Id="rId667" Type="http://schemas.openxmlformats.org/officeDocument/2006/relationships/hyperlink" Target="https://doi.org/10.1126/sciadv.adv9616" TargetMode="External"/><Relationship Id="rId668" Type="http://schemas.openxmlformats.org/officeDocument/2006/relationships/hyperlink" Target="https://www.science.org/doi/abs/10.1126/sciadv.adz9546?af=R" TargetMode="External"/><Relationship Id="rId669" Type="http://schemas.openxmlformats.org/officeDocument/2006/relationships/hyperlink" Target="https://doi.org/10.1126/sciadv.adz9546" TargetMode="External"/><Relationship Id="rId670" Type="http://schemas.openxmlformats.org/officeDocument/2006/relationships/hyperlink" Target="https://www.science.org/doi/abs/10.1126/sciadv.adz6827?af=R" TargetMode="External"/><Relationship Id="rId671" Type="http://schemas.openxmlformats.org/officeDocument/2006/relationships/hyperlink" Target="https://doi.org/10.1126/sciadv.adz6827" TargetMode="External"/><Relationship Id="rId672" Type="http://schemas.openxmlformats.org/officeDocument/2006/relationships/hyperlink" Target="https://www.science.org/doi/abs/10.1126/sciadv.ady9265?af=R" TargetMode="External"/><Relationship Id="rId673" Type="http://schemas.openxmlformats.org/officeDocument/2006/relationships/hyperlink" Target="https://doi.org/10.1126/sciadv.ady9265" TargetMode="External"/><Relationship Id="rId674" Type="http://schemas.openxmlformats.org/officeDocument/2006/relationships/hyperlink" Target="https://www.science.org/doi/abs/10.1126/sciadv.adw5890?af=R" TargetMode="External"/><Relationship Id="rId675" Type="http://schemas.openxmlformats.org/officeDocument/2006/relationships/hyperlink" Target="https://doi.org/10.1126/sciadv.adw5890" TargetMode="External"/><Relationship Id="rId676" Type="http://schemas.openxmlformats.org/officeDocument/2006/relationships/hyperlink" Target="https://www.science.org/doi/abs/10.1126/sciadv.ady4239?af=R" TargetMode="External"/><Relationship Id="rId677" Type="http://schemas.openxmlformats.org/officeDocument/2006/relationships/hyperlink" Target="https://doi.org/10.1126/sciadv.ady4239" TargetMode="External"/><Relationship Id="rId678" Type="http://schemas.openxmlformats.org/officeDocument/2006/relationships/hyperlink" Target="https://www.science.org/doi/abs/10.1126/sciadv.adx9729?af=R" TargetMode="External"/><Relationship Id="rId679" Type="http://schemas.openxmlformats.org/officeDocument/2006/relationships/hyperlink" Target="https://doi.org/10.1126/sciadv.adx9729" TargetMode="External"/><Relationship Id="rId680" Type="http://schemas.openxmlformats.org/officeDocument/2006/relationships/hyperlink" Target="https://www.pnas.org/doi/abs/10.1073/pnas.2527671123?mi=eymic2&amp;af=R&amp;access=on&amp;content=articlesChapters&amp;publication=pnas&amp;sortBy=Earliest&amp;target=default" TargetMode="External"/><Relationship Id="rId681" Type="http://schemas.openxmlformats.org/officeDocument/2006/relationships/hyperlink" Target="https://doi.org/10.1073/pnas.2527671123" TargetMode="External"/><Relationship Id="rId682" Type="http://schemas.openxmlformats.org/officeDocument/2006/relationships/hyperlink" Target="https://www.science.org/doi/abs/10.1126/sciadv.aec0687?af=R" TargetMode="External"/><Relationship Id="rId683" Type="http://schemas.openxmlformats.org/officeDocument/2006/relationships/hyperlink" Target="https://doi.org/10.1126/sciadv.aec0687" TargetMode="External"/><Relationship Id="rId684" Type="http://schemas.openxmlformats.org/officeDocument/2006/relationships/hyperlink" Target="https://www.science.org/doi/abs/10.1126/sciadv.adx8264?af=R" TargetMode="External"/><Relationship Id="rId685" Type="http://schemas.openxmlformats.org/officeDocument/2006/relationships/hyperlink" Target="https://doi.org/10.1126/sciadv.adx8264" TargetMode="External"/><Relationship Id="rId686" Type="http://schemas.openxmlformats.org/officeDocument/2006/relationships/hyperlink" Target="https://www.science.org/doi/abs/10.1126/sciadv.adw0899?af=R" TargetMode="External"/><Relationship Id="rId687" Type="http://schemas.openxmlformats.org/officeDocument/2006/relationships/hyperlink" Target="https://doi.org/10.1126/sciadv.adw0899" TargetMode="External"/><Relationship Id="rId688" Type="http://schemas.openxmlformats.org/officeDocument/2006/relationships/hyperlink" Target="https://www.pnas.org/doi/abs/10.1073/pnas.2529243123?mi=eymic2&amp;af=R&amp;access=on&amp;content=articlesChapters&amp;publication=pnas&amp;sortBy=Earliest&amp;target=default" TargetMode="External"/><Relationship Id="rId689" Type="http://schemas.openxmlformats.org/officeDocument/2006/relationships/hyperlink" Target="https://doi.org/10.1073/pnas.2529243123" TargetMode="External"/><Relationship Id="rId690" Type="http://schemas.openxmlformats.org/officeDocument/2006/relationships/hyperlink" Target="https://www.science.org/doi/abs/10.1126/sciadv.adx7385?af=R" TargetMode="External"/><Relationship Id="rId691" Type="http://schemas.openxmlformats.org/officeDocument/2006/relationships/hyperlink" Target="https://doi.org/10.1126/sciadv.adx7385" TargetMode="External"/><Relationship Id="rId692" Type="http://schemas.openxmlformats.org/officeDocument/2006/relationships/hyperlink" Target="https://www.pnas.org/doi/abs/10.1073/pnas.2532723123?mi=eymic2&amp;af=R&amp;access=on&amp;content=articlesChapters&amp;publication=pnas&amp;sortBy=Earliest&amp;target=default" TargetMode="External"/><Relationship Id="rId693" Type="http://schemas.openxmlformats.org/officeDocument/2006/relationships/hyperlink" Target="https://doi.org/10.1073/pnas.2532723123" TargetMode="External"/><Relationship Id="rId694" Type="http://schemas.openxmlformats.org/officeDocument/2006/relationships/hyperlink" Target="https://www.pnas.org/doi/abs/10.1073/pnas.2521220123?mi=eymic2&amp;af=R&amp;access=on&amp;content=articlesChapters&amp;publication=pnas&amp;sortBy=Earliest&amp;target=default" TargetMode="External"/><Relationship Id="rId695" Type="http://schemas.openxmlformats.org/officeDocument/2006/relationships/hyperlink" Target="https://doi.org/10.1073/pnas.2521220123" TargetMode="External"/><Relationship Id="rId696" Type="http://schemas.openxmlformats.org/officeDocument/2006/relationships/hyperlink" Target="https://www.science.org/doi/abs/10.1126/sciadv.aec2916?af=R" TargetMode="External"/><Relationship Id="rId697" Type="http://schemas.openxmlformats.org/officeDocument/2006/relationships/hyperlink" Target="https://doi.org/10.1126/sciadv.aec2916" TargetMode="External"/><Relationship Id="rId698" Type="http://schemas.openxmlformats.org/officeDocument/2006/relationships/hyperlink" Target="https://www.science.org/doi/abs/10.1126/sciadv.aeb4498?af=R" TargetMode="External"/><Relationship Id="rId699" Type="http://schemas.openxmlformats.org/officeDocument/2006/relationships/hyperlink" Target="https://doi.org/10.1126/sciadv.aeb4498" TargetMode="External"/><Relationship Id="rId700" Type="http://schemas.openxmlformats.org/officeDocument/2006/relationships/hyperlink" Target="https://www.pnas.org/doi/abs/10.1073/pnas.2424035123?mi=eymic2&amp;af=R&amp;access=on&amp;content=articlesChapters&amp;publication=pnas&amp;sortBy=Earliest&amp;target=default" TargetMode="External"/><Relationship Id="rId701" Type="http://schemas.openxmlformats.org/officeDocument/2006/relationships/hyperlink" Target="https://doi.org/10.1073/pnas.2424035123" TargetMode="External"/><Relationship Id="rId702" Type="http://schemas.openxmlformats.org/officeDocument/2006/relationships/hyperlink" Target="https://www.science.org/doi/abs/10.1126/sciadv.aeb7714?af=R" TargetMode="External"/><Relationship Id="rId703" Type="http://schemas.openxmlformats.org/officeDocument/2006/relationships/hyperlink" Target="https://doi.org/10.1126/sciadv.aeb7714" TargetMode="External"/><Relationship Id="rId704" Type="http://schemas.openxmlformats.org/officeDocument/2006/relationships/hyperlink" Target="https://www.science.org/doi/abs/10.1126/sciadv.aec5677?af=R" TargetMode="External"/><Relationship Id="rId705" Type="http://schemas.openxmlformats.org/officeDocument/2006/relationships/hyperlink" Target="https://doi.org/10.1126/sciadv.aec5677" TargetMode="External"/><Relationship Id="rId706" Type="http://schemas.openxmlformats.org/officeDocument/2006/relationships/hyperlink" Target="https://www.science.org/doi/abs/10.1126/sciadv.aef3182?af=R" TargetMode="External"/><Relationship Id="rId707" Type="http://schemas.openxmlformats.org/officeDocument/2006/relationships/hyperlink" Target="https://doi.org/10.1126/sciadv.aef3182" TargetMode="External"/><Relationship Id="rId708" Type="http://schemas.openxmlformats.org/officeDocument/2006/relationships/hyperlink" Target="https://www.pnas.org/doi/abs/10.1073/pnas.2537439123?mi=eymic2&amp;af=R&amp;access=on&amp;content=articlesChapters&amp;publication=pnas&amp;sortBy=Earliest&amp;target=default" TargetMode="External"/><Relationship Id="rId709" Type="http://schemas.openxmlformats.org/officeDocument/2006/relationships/hyperlink" Target="https://doi.org/10.1073/pnas.2537439123" TargetMode="External"/><Relationship Id="rId710" Type="http://schemas.openxmlformats.org/officeDocument/2006/relationships/hyperlink" Target="https://www.pnas.org/doi/abs/10.1073/pnas.2504584123?mi=eymic2&amp;af=R&amp;access=on&amp;content=articlesChapters&amp;publication=pnas&amp;sortBy=Earliest&amp;target=default" TargetMode="External"/><Relationship Id="rId711" Type="http://schemas.openxmlformats.org/officeDocument/2006/relationships/hyperlink" Target="https://doi.org/10.1073/pnas.2504584123" TargetMode="External"/><Relationship Id="rId712" Type="http://schemas.openxmlformats.org/officeDocument/2006/relationships/hyperlink" Target="https://www.science.org/doi/abs/10.1126/sciadv.aeb4579?af=R" TargetMode="External"/><Relationship Id="rId713" Type="http://schemas.openxmlformats.org/officeDocument/2006/relationships/hyperlink" Target="https://doi.org/10.1126/sciadv.aeb4579" TargetMode="External"/><Relationship Id="rId714" Type="http://schemas.openxmlformats.org/officeDocument/2006/relationships/hyperlink" Target="https://www.science.org/doi/abs/10.1126/sciadv.aea0405?af=R" TargetMode="External"/><Relationship Id="rId715" Type="http://schemas.openxmlformats.org/officeDocument/2006/relationships/hyperlink" Target="https://doi.org/10.1126/sciadv.aea0405" TargetMode="External"/><Relationship Id="rId716" Type="http://schemas.openxmlformats.org/officeDocument/2006/relationships/hyperlink" Target="https://www.science.org/doi/abs/10.1126/sciadv.aeb4013?af=R" TargetMode="External"/><Relationship Id="rId717" Type="http://schemas.openxmlformats.org/officeDocument/2006/relationships/hyperlink" Target="https://doi.org/10.1126/sciadv.aeb4013" TargetMode="External"/><Relationship Id="rId718" Type="http://schemas.openxmlformats.org/officeDocument/2006/relationships/hyperlink" Target="https://www.pnas.org/doi/abs/10.1073/pnas.2515389123?mi=eymic2&amp;af=R&amp;access=on&amp;content=articlesChapters&amp;publication=pnas&amp;sortBy=Earliest&amp;target=default" TargetMode="External"/><Relationship Id="rId719" Type="http://schemas.openxmlformats.org/officeDocument/2006/relationships/hyperlink" Target="https://doi.org/10.1073/pnas.2515389123" TargetMode="External"/><Relationship Id="rId720" Type="http://schemas.openxmlformats.org/officeDocument/2006/relationships/hyperlink" Target="https://www.pnas.org/doi/abs/10.1073/pnas.2515765123?mi=eymic2&amp;af=R&amp;access=on&amp;content=articlesChapters&amp;publication=pnas&amp;sortBy=Earliest&amp;target=default" TargetMode="External"/><Relationship Id="rId721" Type="http://schemas.openxmlformats.org/officeDocument/2006/relationships/hyperlink" Target="https://doi.org/10.1073/pnas.2515765123" TargetMode="External"/><Relationship Id="rId722" Type="http://schemas.openxmlformats.org/officeDocument/2006/relationships/hyperlink" Target="https://www.science.org/doi/abs/10.1126/sciadv.ady5942?af=R" TargetMode="External"/><Relationship Id="rId723" Type="http://schemas.openxmlformats.org/officeDocument/2006/relationships/hyperlink" Target="https://doi.org/10.1126/sciadv.ady5942" TargetMode="External"/><Relationship Id="rId724" Type="http://schemas.openxmlformats.org/officeDocument/2006/relationships/hyperlink" Target="https://www.science.org/doi/abs/10.1126/sciadv.aea8697?af=R" TargetMode="External"/><Relationship Id="rId725" Type="http://schemas.openxmlformats.org/officeDocument/2006/relationships/hyperlink" Target="https://doi.org/10.1126/sciadv.aea8697" TargetMode="External"/><Relationship Id="rId726" Type="http://schemas.openxmlformats.org/officeDocument/2006/relationships/hyperlink" Target="https://www.pnas.org/doi/abs/10.1073/pnas.2517567123?mi=eymic2&amp;af=R&amp;access=on&amp;content=articlesChapters&amp;publication=pnas&amp;sortBy=Earliest&amp;target=default" TargetMode="External"/><Relationship Id="rId727" Type="http://schemas.openxmlformats.org/officeDocument/2006/relationships/hyperlink" Target="https://doi.org/10.1073/pnas.2517567123" TargetMode="External"/><Relationship Id="rId728" Type="http://schemas.openxmlformats.org/officeDocument/2006/relationships/hyperlink" Target="https://www.science.org/doi/abs/10.1126/sciadv.aea0706?af=R" TargetMode="External"/><Relationship Id="rId729" Type="http://schemas.openxmlformats.org/officeDocument/2006/relationships/hyperlink" Target="https://doi.org/10.1126/sciadv.aea0706" TargetMode="External"/><Relationship Id="rId730" Type="http://schemas.openxmlformats.org/officeDocument/2006/relationships/hyperlink" Target="https://www.science.org/doi/abs/10.1126/sciadv.aea2310?af=R" TargetMode="External"/><Relationship Id="rId731" Type="http://schemas.openxmlformats.org/officeDocument/2006/relationships/hyperlink" Target="https://doi.org/10.1126/sciadv.aea2310" TargetMode="External"/><Relationship Id="rId732" Type="http://schemas.openxmlformats.org/officeDocument/2006/relationships/hyperlink" Target="https://www.pnas.org/doi/abs/10.1073/pnas.2518136123?mi=eymic2&amp;af=R&amp;access=on&amp;content=articlesChapters&amp;publication=pnas&amp;sortBy=Earliest&amp;target=default" TargetMode="External"/><Relationship Id="rId733" Type="http://schemas.openxmlformats.org/officeDocument/2006/relationships/hyperlink" Target="https://doi.org/10.1073/pnas.2518136123" TargetMode="External"/><Relationship Id="rId734" Type="http://schemas.openxmlformats.org/officeDocument/2006/relationships/hyperlink" Target="https://www.science.org/doi/abs/10.1126/sciadv.aea1602?af=R" TargetMode="External"/><Relationship Id="rId735" Type="http://schemas.openxmlformats.org/officeDocument/2006/relationships/hyperlink" Target="https://doi.org/10.1126/sciadv.aea1602" TargetMode="External"/><Relationship Id="rId736" Type="http://schemas.openxmlformats.org/officeDocument/2006/relationships/hyperlink" Target="https://www.science.org/doi/abs/10.1126/sciadv.aeb0455?af=R" TargetMode="External"/><Relationship Id="rId737" Type="http://schemas.openxmlformats.org/officeDocument/2006/relationships/hyperlink" Target="https://doi.org/10.1126/sciadv.aeb0455" TargetMode="External"/><Relationship Id="rId738" Type="http://schemas.openxmlformats.org/officeDocument/2006/relationships/hyperlink" Target="http://dx.doi.org/10.1021/jacs.5c17348" TargetMode="External"/><Relationship Id="rId739" Type="http://schemas.openxmlformats.org/officeDocument/2006/relationships/hyperlink" Target="https://doi.org/10.1021/jacs.5c17348" TargetMode="External"/><Relationship Id="rId740" Type="http://schemas.openxmlformats.org/officeDocument/2006/relationships/hyperlink" Target="http://dx.doi.org/10.1021/acsenergylett.5c03820" TargetMode="External"/><Relationship Id="rId741" Type="http://schemas.openxmlformats.org/officeDocument/2006/relationships/hyperlink" Target="https://doi.org/10.1021/acsenergylett.5c03820" TargetMode="External"/><Relationship Id="rId742" Type="http://schemas.openxmlformats.org/officeDocument/2006/relationships/hyperlink" Target="https://advanced.onlinelibrary.wiley.com/doi/10.1002/adma.202521327?af=R" TargetMode="External"/><Relationship Id="rId743" Type="http://schemas.openxmlformats.org/officeDocument/2006/relationships/hyperlink" Target="https://doi.org/10.1002/adma.202521327" TargetMode="External"/><Relationship Id="rId744" Type="http://schemas.openxmlformats.org/officeDocument/2006/relationships/hyperlink" Target="https://advanced.onlinelibrary.wiley.com/doi/10.1002/adma.202517632?af=R" TargetMode="External"/><Relationship Id="rId745" Type="http://schemas.openxmlformats.org/officeDocument/2006/relationships/hyperlink" Target="https://doi.org/10.1002/adma.202517632" TargetMode="External"/><Relationship Id="rId746" Type="http://schemas.openxmlformats.org/officeDocument/2006/relationships/hyperlink" Target="http://dx.doi.org/10.1021/jacs.5c21945" TargetMode="External"/><Relationship Id="rId747" Type="http://schemas.openxmlformats.org/officeDocument/2006/relationships/hyperlink" Target="https://doi.org/10.1021/jacs.5c21945" TargetMode="External"/><Relationship Id="rId748" Type="http://schemas.openxmlformats.org/officeDocument/2006/relationships/hyperlink" Target="http://dx.doi.org/10.1021/jacs.5c20020" TargetMode="External"/><Relationship Id="rId749" Type="http://schemas.openxmlformats.org/officeDocument/2006/relationships/hyperlink" Target="https://doi.org/10.1021/jacs.5c20020" TargetMode="External"/><Relationship Id="rId750" Type="http://schemas.openxmlformats.org/officeDocument/2006/relationships/hyperlink" Target="http://dx.doi.org/10.1021/acsenergylett.5c04160" TargetMode="External"/><Relationship Id="rId751" Type="http://schemas.openxmlformats.org/officeDocument/2006/relationships/hyperlink" Target="https://doi.org/10.1021/acsenergylett.5c04160" TargetMode="External"/><Relationship Id="rId752" Type="http://schemas.openxmlformats.org/officeDocument/2006/relationships/hyperlink" Target="http://dx.doi.org/10.1021/jacs.5c20057" TargetMode="External"/><Relationship Id="rId753" Type="http://schemas.openxmlformats.org/officeDocument/2006/relationships/hyperlink" Target="https://doi.org/10.1021/jacs.5c20057" TargetMode="External"/><Relationship Id="rId754" Type="http://schemas.openxmlformats.org/officeDocument/2006/relationships/hyperlink" Target="http://dx.doi.org/10.1021/jacs.5c16740" TargetMode="External"/><Relationship Id="rId755" Type="http://schemas.openxmlformats.org/officeDocument/2006/relationships/hyperlink" Target="https://doi.org/10.1021/jacs.5c16740" TargetMode="External"/><Relationship Id="rId756" Type="http://schemas.openxmlformats.org/officeDocument/2006/relationships/hyperlink" Target="http://dx.doi.org/10.1021/jacs.5c11790" TargetMode="External"/><Relationship Id="rId757" Type="http://schemas.openxmlformats.org/officeDocument/2006/relationships/hyperlink" Target="https://doi.org/10.1021/jacs.5c11790" TargetMode="External"/><Relationship Id="rId758" Type="http://schemas.openxmlformats.org/officeDocument/2006/relationships/hyperlink" Target="https://advanced.onlinelibrary.wiley.com/doi/10.1002/adma.202514781?af=R" TargetMode="External"/><Relationship Id="rId759" Type="http://schemas.openxmlformats.org/officeDocument/2006/relationships/hyperlink" Target="https://doi.org/10.1002/adma.202514781" TargetMode="External"/><Relationship Id="rId760" Type="http://schemas.openxmlformats.org/officeDocument/2006/relationships/hyperlink" Target="https://advanced.onlinelibrary.wiley.com/doi/10.1002/aenm.202506175?af=R" TargetMode="External"/><Relationship Id="rId761" Type="http://schemas.openxmlformats.org/officeDocument/2006/relationships/hyperlink" Target="https://doi.org/10.1002/aenm.202506175" TargetMode="External"/><Relationship Id="rId762" Type="http://schemas.openxmlformats.org/officeDocument/2006/relationships/hyperlink" Target="https://onlinelibrary.wiley.com/doi/10.1002/anie.202523943?af=R" TargetMode="External"/><Relationship Id="rId763" Type="http://schemas.openxmlformats.org/officeDocument/2006/relationships/hyperlink" Target="https://doi.org/10.1002/anie.202523943" TargetMode="External"/><Relationship Id="rId764" Type="http://schemas.openxmlformats.org/officeDocument/2006/relationships/hyperlink" Target="https://advanced.onlinelibrary.wiley.com/doi/10.1002/adma.202523290?af=R" TargetMode="External"/><Relationship Id="rId765" Type="http://schemas.openxmlformats.org/officeDocument/2006/relationships/hyperlink" Target="https://doi.org/10.1002/adma.202523290" TargetMode="External"/><Relationship Id="rId766" Type="http://schemas.openxmlformats.org/officeDocument/2006/relationships/hyperlink" Target="https://onlinelibrary.wiley.com/doi/10.1002/anie.4322934?af=R" TargetMode="External"/><Relationship Id="rId767" Type="http://schemas.openxmlformats.org/officeDocument/2006/relationships/hyperlink" Target="https://doi.org/10.1002/anie.4322934" TargetMode="External"/><Relationship Id="rId768" Type="http://schemas.openxmlformats.org/officeDocument/2006/relationships/hyperlink" Target="http://dx.doi.org/10.1021/acs.chemrev.5c00219" TargetMode="External"/><Relationship Id="rId769" Type="http://schemas.openxmlformats.org/officeDocument/2006/relationships/hyperlink" Target="https://doi.org/10.1021/acs.chemrev.5c00219" TargetMode="External"/><Relationship Id="rId770" Type="http://schemas.openxmlformats.org/officeDocument/2006/relationships/hyperlink" Target="http://dx.doi.org/10.1021/jacs.5c19029" TargetMode="External"/><Relationship Id="rId771" Type="http://schemas.openxmlformats.org/officeDocument/2006/relationships/hyperlink" Target="https://doi.org/10.1021/jacs.5c19029" TargetMode="External"/><Relationship Id="rId772" Type="http://schemas.openxmlformats.org/officeDocument/2006/relationships/hyperlink" Target="http://dx.doi.org/10.1021/jacs.5c20333" TargetMode="External"/><Relationship Id="rId773" Type="http://schemas.openxmlformats.org/officeDocument/2006/relationships/hyperlink" Target="https://doi.org/10.1021/jacs.5c20333" TargetMode="External"/><Relationship Id="rId774" Type="http://schemas.openxmlformats.org/officeDocument/2006/relationships/hyperlink" Target="http://dx.doi.org/10.1021/jacs.5c21467" TargetMode="External"/><Relationship Id="rId775" Type="http://schemas.openxmlformats.org/officeDocument/2006/relationships/hyperlink" Target="https://doi.org/10.1021/jacs.5c21467" TargetMode="External"/><Relationship Id="rId776" Type="http://schemas.openxmlformats.org/officeDocument/2006/relationships/hyperlink" Target="http://dx.doi.org/10.1021/jacs.5c14571" TargetMode="External"/><Relationship Id="rId777" Type="http://schemas.openxmlformats.org/officeDocument/2006/relationships/hyperlink" Target="https://doi.org/10.1021/jacs.5c14571" TargetMode="External"/><Relationship Id="rId778" Type="http://schemas.openxmlformats.org/officeDocument/2006/relationships/hyperlink" Target="http://dx.doi.org/10.1021/acs.chemrev.5c00790" TargetMode="External"/><Relationship Id="rId779" Type="http://schemas.openxmlformats.org/officeDocument/2006/relationships/hyperlink" Target="https://doi.org/10.1021/acs.chemrev.5c00790" TargetMode="External"/><Relationship Id="rId780" Type="http://schemas.openxmlformats.org/officeDocument/2006/relationships/hyperlink" Target="http://dx.doi.org/10.1021/jacs.5c22609" TargetMode="External"/><Relationship Id="rId781" Type="http://schemas.openxmlformats.org/officeDocument/2006/relationships/hyperlink" Target="https://doi.org/10.1021/jacs.5c22609" TargetMode="External"/><Relationship Id="rId782" Type="http://schemas.openxmlformats.org/officeDocument/2006/relationships/hyperlink" Target="http://dx.doi.org/10.1021/jacs.5c21160" TargetMode="External"/><Relationship Id="rId783" Type="http://schemas.openxmlformats.org/officeDocument/2006/relationships/hyperlink" Target="https://doi.org/10.1021/jacs.5c21160" TargetMode="External"/><Relationship Id="rId784" Type="http://schemas.openxmlformats.org/officeDocument/2006/relationships/hyperlink" Target="http://dx.doi.org/10.1021/jacs.5c18249" TargetMode="External"/><Relationship Id="rId785" Type="http://schemas.openxmlformats.org/officeDocument/2006/relationships/hyperlink" Target="https://doi.org/10.1021/jacs.5c18249" TargetMode="External"/><Relationship Id="rId786" Type="http://schemas.openxmlformats.org/officeDocument/2006/relationships/hyperlink" Target="https://advanced.onlinelibrary.wiley.com/doi/10.1002/aenm.70512?af=R" TargetMode="External"/><Relationship Id="rId787" Type="http://schemas.openxmlformats.org/officeDocument/2006/relationships/hyperlink" Target="https://doi.org/10.1002/aenm.70512" TargetMode="External"/><Relationship Id="rId788" Type="http://schemas.openxmlformats.org/officeDocument/2006/relationships/hyperlink" Target="http://dx.doi.org/10.1021/jacs.5c21534" TargetMode="External"/><Relationship Id="rId789" Type="http://schemas.openxmlformats.org/officeDocument/2006/relationships/hyperlink" Target="https://doi.org/10.1021/jacs.5c21534" TargetMode="External"/><Relationship Id="rId790" Type="http://schemas.openxmlformats.org/officeDocument/2006/relationships/hyperlink" Target="http://dx.doi.org/10.1021/acs.chemrev.5c00707" TargetMode="External"/><Relationship Id="rId791" Type="http://schemas.openxmlformats.org/officeDocument/2006/relationships/hyperlink" Target="https://doi.org/10.1021/acs.chemrev.5c00707" TargetMode="External"/><Relationship Id="rId792" Type="http://schemas.openxmlformats.org/officeDocument/2006/relationships/hyperlink" Target="http://dx.doi.org/10.1021/jacs.5c22087" TargetMode="External"/><Relationship Id="rId793" Type="http://schemas.openxmlformats.org/officeDocument/2006/relationships/hyperlink" Target="https://doi.org/10.1021/jacs.5c22087" TargetMode="External"/><Relationship Id="rId794" Type="http://schemas.openxmlformats.org/officeDocument/2006/relationships/hyperlink" Target="http://dx.doi.org/10.1021/jacs.5c16437" TargetMode="External"/><Relationship Id="rId795" Type="http://schemas.openxmlformats.org/officeDocument/2006/relationships/hyperlink" Target="https://doi.org/10.1021/jacs.5c16437" TargetMode="External"/><Relationship Id="rId796" Type="http://schemas.openxmlformats.org/officeDocument/2006/relationships/hyperlink" Target="http://dx.doi.org/10.1021/jacs.5c22901" TargetMode="External"/><Relationship Id="rId797" Type="http://schemas.openxmlformats.org/officeDocument/2006/relationships/hyperlink" Target="https://doi.org/10.1021/jacs.5c22901" TargetMode="External"/><Relationship Id="rId798" Type="http://schemas.openxmlformats.org/officeDocument/2006/relationships/hyperlink" Target="http://dx.doi.org/10.1021/jacs.5c21246" TargetMode="External"/><Relationship Id="rId799" Type="http://schemas.openxmlformats.org/officeDocument/2006/relationships/hyperlink" Target="https://doi.org/10.1021/jacs.5c21246" TargetMode="External"/><Relationship Id="rId800" Type="http://schemas.openxmlformats.org/officeDocument/2006/relationships/hyperlink" Target="http://dx.doi.org/10.1021/jacs.5c16874" TargetMode="External"/><Relationship Id="rId801" Type="http://schemas.openxmlformats.org/officeDocument/2006/relationships/hyperlink" Target="https://doi.org/10.1021/jacs.5c16874" TargetMode="External"/><Relationship Id="rId802" Type="http://schemas.openxmlformats.org/officeDocument/2006/relationships/hyperlink" Target="http://dx.doi.org/10.1021/jacs.5c16425" TargetMode="External"/><Relationship Id="rId803" Type="http://schemas.openxmlformats.org/officeDocument/2006/relationships/hyperlink" Target="https://doi.org/10.1021/jacs.5c16425" TargetMode="External"/><Relationship Id="rId804" Type="http://schemas.openxmlformats.org/officeDocument/2006/relationships/hyperlink" Target="http://dx.doi.org/10.1021/jacs.5c22761" TargetMode="External"/><Relationship Id="rId805" Type="http://schemas.openxmlformats.org/officeDocument/2006/relationships/hyperlink" Target="https://doi.org/10.1021/jacs.5c22761" TargetMode="External"/><Relationship Id="rId806" Type="http://schemas.openxmlformats.org/officeDocument/2006/relationships/hyperlink" Target="https://www.nature.com/articles/s41467-026-69136-2" TargetMode="External"/><Relationship Id="rId807" Type="http://schemas.openxmlformats.org/officeDocument/2006/relationships/hyperlink" Target="https://www.nature.com/articles/s41467-026-69204-7" TargetMode="External"/><Relationship Id="rId808" Type="http://schemas.openxmlformats.org/officeDocument/2006/relationships/hyperlink" Target="https://www.sciencedirect.com/science/article/pii/S0306261926000826?dgcid=rss_sd_all" TargetMode="External"/><Relationship Id="rId809" Type="http://schemas.openxmlformats.org/officeDocument/2006/relationships/hyperlink" Target="https://www.nature.com/articles/d41586-026-00334-0" TargetMode="External"/><Relationship Id="rId810" Type="http://schemas.openxmlformats.org/officeDocument/2006/relationships/hyperlink" Target="https://www.nature.com/articles/s41467-026-68634-7" TargetMode="External"/><Relationship Id="rId811" Type="http://schemas.openxmlformats.org/officeDocument/2006/relationships/hyperlink" Target="https://www.nature.com/articles/s41467-026-69249-8" TargetMode="External"/><Relationship Id="rId812" Type="http://schemas.openxmlformats.org/officeDocument/2006/relationships/hyperlink" Target="https://www.sciencedirect.com/science/article/pii/S0306261926000656?dgcid=rss_sd_all" TargetMode="External"/><Relationship Id="rId813" Type="http://schemas.openxmlformats.org/officeDocument/2006/relationships/hyperlink" Target="https://www.sciencedirect.com/science/article/pii/S0306261926000565?dgcid=rss_sd_all" TargetMode="External"/><Relationship Id="rId814" Type="http://schemas.openxmlformats.org/officeDocument/2006/relationships/hyperlink" Target="https://www.nature.com/articles/d41586-026-00364-8" TargetMode="External"/><Relationship Id="rId815" Type="http://schemas.openxmlformats.org/officeDocument/2006/relationships/hyperlink" Target="https://www.nature.com/articles/d41586-026-00357-7" TargetMode="External"/><Relationship Id="rId816" Type="http://schemas.openxmlformats.org/officeDocument/2006/relationships/hyperlink" Target="https://www.nature.com/articles/d41586-026-00356-8" TargetMode="External"/><Relationship Id="rId817" Type="http://schemas.openxmlformats.org/officeDocument/2006/relationships/hyperlink" Target="https://www.nature.com/articles/d41586-026-00346-w" TargetMode="External"/><Relationship Id="rId818" Type="http://schemas.openxmlformats.org/officeDocument/2006/relationships/hyperlink" Target="https://www.nature.com/articles/d41586-026-00323-3" TargetMode="External"/><Relationship Id="rId819" Type="http://schemas.openxmlformats.org/officeDocument/2006/relationships/hyperlink" Target="https://www.nature.com/articles/s41565-025-02119-4" TargetMode="External"/><Relationship Id="rId820" Type="http://schemas.openxmlformats.org/officeDocument/2006/relationships/hyperlink" Target="https://www.nature.com/articles/s41560-025-01962-y" TargetMode="External"/><Relationship Id="rId821" Type="http://schemas.openxmlformats.org/officeDocument/2006/relationships/hyperlink" Target="https://www.sciencedirect.com/science/article/pii/S0301421526000352?dgcid=rss_sd_all" TargetMode="External"/><Relationship Id="rId822" Type="http://schemas.openxmlformats.org/officeDocument/2006/relationships/hyperlink" Target="https://www.sciencedirect.com/science/article/pii/S0306261926001480?dgcid=rss_sd_all" TargetMode="External"/><Relationship Id="rId823" Type="http://schemas.openxmlformats.org/officeDocument/2006/relationships/hyperlink" Target="http://pubs.rsc.org/en/Content/ArticleLanding/2026/EE/D5EE07006F" TargetMode="External"/><Relationship Id="rId824" Type="http://schemas.openxmlformats.org/officeDocument/2006/relationships/hyperlink" Target="https://www.sciencedirect.com/science/article/pii/S0306261926001431?dgcid=rss_sd_all" TargetMode="External"/><Relationship Id="rId825" Type="http://schemas.openxmlformats.org/officeDocument/2006/relationships/hyperlink" Target="https://academic.oup.com/nsr/advance-article/doi/10.1093/nsr/nwag081/8465389?rss=1" TargetMode="External"/><Relationship Id="rId826" Type="http://schemas.openxmlformats.org/officeDocument/2006/relationships/hyperlink" Target="https://doi.org/10.1093/nsr/nwag081/8465389" TargetMode="External"/><Relationship Id="rId827" Type="http://schemas.openxmlformats.org/officeDocument/2006/relationships/hyperlink" Target="https://www.sciencedirect.com/science/article/pii/S030626192600139X?dgcid=rss_sd_all" TargetMode="External"/><Relationship Id="rId828" Type="http://schemas.openxmlformats.org/officeDocument/2006/relationships/hyperlink" Target="https://academic.oup.com/nsr/advance-article/doi/10.1093/nsr/nwag083/8465370?rss=1" TargetMode="External"/><Relationship Id="rId829" Type="http://schemas.openxmlformats.org/officeDocument/2006/relationships/hyperlink" Target="https://doi.org/10.1093/nsr/nwag083/8465370" TargetMode="External"/><Relationship Id="rId830" Type="http://schemas.openxmlformats.org/officeDocument/2006/relationships/hyperlink" Target="https://www.sciencedirect.com/science/article/pii/S0306261926001315?dgcid=rss_sd_all" TargetMode="External"/><Relationship Id="rId831" Type="http://schemas.openxmlformats.org/officeDocument/2006/relationships/hyperlink" Target="https://www.sciencedirect.com/science/article/pii/S0306261926001297?dgcid=rss_sd_all" TargetMode="External"/><Relationship Id="rId832" Type="http://schemas.openxmlformats.org/officeDocument/2006/relationships/hyperlink" Target="https://www.sciencedirect.com/science/article/pii/S0306261926001273?dgcid=rss_sd_all" TargetMode="External"/><Relationship Id="rId833" Type="http://schemas.openxmlformats.org/officeDocument/2006/relationships/hyperlink" Target="https://www.sciencedirect.com/science/article/pii/S030626192600125X?dgcid=rss_sd_all" TargetMode="External"/><Relationship Id="rId834" Type="http://schemas.openxmlformats.org/officeDocument/2006/relationships/hyperlink" Target="https://www.sciencedirect.com/science/article/pii/S0306261926001212?dgcid=rss_sd_all" TargetMode="External"/><Relationship Id="rId835" Type="http://schemas.openxmlformats.org/officeDocument/2006/relationships/hyperlink" Target="https://www.nature.com/articles/s41467-026-69268-5" TargetMode="External"/><Relationship Id="rId836" Type="http://schemas.openxmlformats.org/officeDocument/2006/relationships/hyperlink" Target="https://www.sciencedirect.com/science/article/pii/S0306261926001182?dgcid=rss_sd_all" TargetMode="External"/><Relationship Id="rId837" Type="http://schemas.openxmlformats.org/officeDocument/2006/relationships/hyperlink" Target="https://academic.oup.com/nsr/advance-article/doi/10.1093/nsr/nwag078/8465378?rss=1" TargetMode="External"/><Relationship Id="rId838" Type="http://schemas.openxmlformats.org/officeDocument/2006/relationships/hyperlink" Target="https://doi.org/10.1093/nsr/nwag078/8465378" TargetMode="External"/><Relationship Id="rId839" Type="http://schemas.openxmlformats.org/officeDocument/2006/relationships/hyperlink" Target="https://www.nature.com/articles/s41563-026-02525-6" TargetMode="External"/><Relationship Id="rId840" Type="http://schemas.openxmlformats.org/officeDocument/2006/relationships/hyperlink" Target="https://www.sciencedirect.com/science/article/pii/S0306261926001108?dgcid=rss_sd_all" TargetMode="External"/><Relationship Id="rId841" Type="http://schemas.openxmlformats.org/officeDocument/2006/relationships/hyperlink" Target="https://www.nature.com/articles/s41467-026-69401-4" TargetMode="External"/><Relationship Id="rId842" Type="http://schemas.openxmlformats.org/officeDocument/2006/relationships/hyperlink" Target="https://www.nature.com/articles/s41467-026-69399-9" TargetMode="External"/><Relationship Id="rId843" Type="http://schemas.openxmlformats.org/officeDocument/2006/relationships/hyperlink" Target="https://www.cell.com/matter/fulltext/S2590-2385(25)00642-3?rss=yes" TargetMode="External"/><Relationship Id="rId844" Type="http://schemas.openxmlformats.org/officeDocument/2006/relationships/hyperlink" Target="https://www.sciencedirect.com/science/article/pii/S0306261926001078?dgcid=rss_sd_all" TargetMode="External"/><Relationship Id="rId845" Type="http://schemas.openxmlformats.org/officeDocument/2006/relationships/hyperlink" Target="https://www.nature.com/articles/s41586-026-10213-3" TargetMode="External"/><Relationship Id="rId846" Type="http://schemas.openxmlformats.org/officeDocument/2006/relationships/hyperlink" Target="https://www.nature.com/articles/s41586-026-10202-6" TargetMode="External"/><Relationship Id="rId847" Type="http://schemas.openxmlformats.org/officeDocument/2006/relationships/hyperlink" Target="https://www.nature.com/articles/d41586-026-00253-0" TargetMode="External"/><Relationship Id="rId848" Type="http://schemas.openxmlformats.org/officeDocument/2006/relationships/hyperlink" Target="https://www.nature.com/articles/s41467-026-69395-z" TargetMode="External"/><Relationship Id="rId849" Type="http://schemas.openxmlformats.org/officeDocument/2006/relationships/hyperlink" Target="https://onlinelibrary.wiley.com/doi/10.1002/anie.202525802?af=R" TargetMode="External"/><Relationship Id="rId850" Type="http://schemas.openxmlformats.org/officeDocument/2006/relationships/hyperlink" Target="https://doi.org/10.1002/anie.202525802" TargetMode="External"/><Relationship Id="rId851" Type="http://schemas.openxmlformats.org/officeDocument/2006/relationships/hyperlink" Target="https://onlinelibrary.wiley.com/doi/10.1002/anie.8293761?af=R" TargetMode="External"/><Relationship Id="rId852" Type="http://schemas.openxmlformats.org/officeDocument/2006/relationships/hyperlink" Target="https://doi.org/10.1002/anie.8293761" TargetMode="External"/><Relationship Id="rId853" Type="http://schemas.openxmlformats.org/officeDocument/2006/relationships/hyperlink" Target="https://onlinelibrary.wiley.com/doi/10.1002/anie.202518171?af=R" TargetMode="External"/><Relationship Id="rId854" Type="http://schemas.openxmlformats.org/officeDocument/2006/relationships/hyperlink" Target="https://doi.org/10.1002/anie.202518171" TargetMode="External"/><Relationship Id="rId855" Type="http://schemas.openxmlformats.org/officeDocument/2006/relationships/hyperlink" Target="https://onlinelibrary.wiley.com/doi/10.1002/anie.202524389?af=R" TargetMode="External"/><Relationship Id="rId856" Type="http://schemas.openxmlformats.org/officeDocument/2006/relationships/hyperlink" Target="https://doi.org/10.1002/anie.202524389" TargetMode="External"/><Relationship Id="rId857" Type="http://schemas.openxmlformats.org/officeDocument/2006/relationships/hyperlink" Target="https://advanced.onlinelibrary.wiley.com/doi/10.1002/adma.72455?af=R" TargetMode="External"/><Relationship Id="rId858" Type="http://schemas.openxmlformats.org/officeDocument/2006/relationships/hyperlink" Target="https://doi.org/10.1002/adma.72455" TargetMode="External"/><Relationship Id="rId859" Type="http://schemas.openxmlformats.org/officeDocument/2006/relationships/hyperlink" Target="https://onlinelibrary.wiley.com/doi/10.1002/anie.5815461?af=R" TargetMode="External"/><Relationship Id="rId860" Type="http://schemas.openxmlformats.org/officeDocument/2006/relationships/hyperlink" Target="https://doi.org/10.1002/anie.5815461" TargetMode="External"/><Relationship Id="rId861" Type="http://schemas.openxmlformats.org/officeDocument/2006/relationships/hyperlink" Target="https://advanced.onlinelibrary.wiley.com/doi/10.1002/adma.202511918?af=R" TargetMode="External"/><Relationship Id="rId862" Type="http://schemas.openxmlformats.org/officeDocument/2006/relationships/hyperlink" Target="https://doi.org/10.1002/adma.202511918" TargetMode="External"/><Relationship Id="rId863" Type="http://schemas.openxmlformats.org/officeDocument/2006/relationships/hyperlink" Target="https://advanced.onlinelibrary.wiley.com/doi/10.1002/adma.202505107?af=R" TargetMode="External"/><Relationship Id="rId864" Type="http://schemas.openxmlformats.org/officeDocument/2006/relationships/hyperlink" Target="https://doi.org/10.1002/adma.202505107" TargetMode="External"/><Relationship Id="rId865" Type="http://schemas.openxmlformats.org/officeDocument/2006/relationships/hyperlink" Target="https://onlinelibrary.wiley.com/doi/10.1002/anie.4369405?af=R" TargetMode="External"/><Relationship Id="rId866" Type="http://schemas.openxmlformats.org/officeDocument/2006/relationships/hyperlink" Target="https://doi.org/10.1002/anie.4369405" TargetMode="External"/><Relationship Id="rId867" Type="http://schemas.openxmlformats.org/officeDocument/2006/relationships/hyperlink" Target="https://advanced.onlinelibrary.wiley.com/doi/10.1002/adma.202520967?af=R" TargetMode="External"/><Relationship Id="rId868" Type="http://schemas.openxmlformats.org/officeDocument/2006/relationships/hyperlink" Target="https://doi.org/10.1002/adma.202520967" TargetMode="External"/><Relationship Id="rId869" Type="http://schemas.openxmlformats.org/officeDocument/2006/relationships/hyperlink" Target="https://onlinelibrary.wiley.com/doi/10.1002/anie.202526004?af=R" TargetMode="External"/><Relationship Id="rId870" Type="http://schemas.openxmlformats.org/officeDocument/2006/relationships/hyperlink" Target="https://doi.org/10.1002/anie.202526004" TargetMode="External"/><Relationship Id="rId871" Type="http://schemas.openxmlformats.org/officeDocument/2006/relationships/hyperlink" Target="https://onlinelibrary.wiley.com/doi/10.1002/anie.202522677?af=R" TargetMode="External"/><Relationship Id="rId872" Type="http://schemas.openxmlformats.org/officeDocument/2006/relationships/hyperlink" Target="https://doi.org/10.1002/anie.202522677" TargetMode="External"/><Relationship Id="rId873" Type="http://schemas.openxmlformats.org/officeDocument/2006/relationships/hyperlink" Target="https://advanced.onlinelibrary.wiley.com/doi/10.1002/adma.202519828?af=R" TargetMode="External"/><Relationship Id="rId874" Type="http://schemas.openxmlformats.org/officeDocument/2006/relationships/hyperlink" Target="https://doi.org/10.1002/adma.202519828" TargetMode="External"/><Relationship Id="rId875" Type="http://schemas.openxmlformats.org/officeDocument/2006/relationships/hyperlink" Target="https://advanced.onlinelibrary.wiley.com/doi/10.1002/aenm.202506600?af=R" TargetMode="External"/><Relationship Id="rId876" Type="http://schemas.openxmlformats.org/officeDocument/2006/relationships/hyperlink" Target="https://doi.org/10.1002/aenm.202506600" TargetMode="External"/><Relationship Id="rId877" Type="http://schemas.openxmlformats.org/officeDocument/2006/relationships/hyperlink" Target="https://advanced.onlinelibrary.wiley.com/doi/10.1002/aenm.202506074?af=R" TargetMode="External"/><Relationship Id="rId878" Type="http://schemas.openxmlformats.org/officeDocument/2006/relationships/hyperlink" Target="https://doi.org/10.1002/aenm.202506074" TargetMode="External"/><Relationship Id="rId879" Type="http://schemas.openxmlformats.org/officeDocument/2006/relationships/hyperlink" Target="https://onlinelibrary.wiley.com/doi/10.1002/anie.202525408?af=R" TargetMode="External"/><Relationship Id="rId880" Type="http://schemas.openxmlformats.org/officeDocument/2006/relationships/hyperlink" Target="https://doi.org/10.1002/anie.202525408" TargetMode="External"/><Relationship Id="rId881" Type="http://schemas.openxmlformats.org/officeDocument/2006/relationships/hyperlink" Target="https://onlinelibrary.wiley.com/doi/10.1002/anie.202525234?af=R" TargetMode="External"/><Relationship Id="rId882" Type="http://schemas.openxmlformats.org/officeDocument/2006/relationships/hyperlink" Target="https://doi.org/10.1002/anie.202525234" TargetMode="External"/><Relationship Id="rId883" Type="http://schemas.openxmlformats.org/officeDocument/2006/relationships/hyperlink" Target="https://onlinelibrary.wiley.com/doi/10.1002/anie.202514785?af=R" TargetMode="External"/><Relationship Id="rId884" Type="http://schemas.openxmlformats.org/officeDocument/2006/relationships/hyperlink" Target="https://doi.org/10.1002/anie.202514785" TargetMode="External"/><Relationship Id="rId885" Type="http://schemas.openxmlformats.org/officeDocument/2006/relationships/hyperlink" Target="https://onlinelibrary.wiley.com/doi/10.1002/anie.202520546?af=R" TargetMode="External"/><Relationship Id="rId886" Type="http://schemas.openxmlformats.org/officeDocument/2006/relationships/hyperlink" Target="https://doi.org/10.1002/anie.202520546" TargetMode="External"/><Relationship Id="rId887" Type="http://schemas.openxmlformats.org/officeDocument/2006/relationships/hyperlink" Target="https://www.science.org/doi/abs/10.1126/science.aed0168?af=R" TargetMode="External"/><Relationship Id="rId888" Type="http://schemas.openxmlformats.org/officeDocument/2006/relationships/hyperlink" Target="https://doi.org/10.1126/science.aed0168" TargetMode="External"/><Relationship Id="rId889" Type="http://schemas.openxmlformats.org/officeDocument/2006/relationships/hyperlink" Target="https://www.science.org/doi/abs/10.1126/science.aec6243?af=R" TargetMode="External"/><Relationship Id="rId890" Type="http://schemas.openxmlformats.org/officeDocument/2006/relationships/hyperlink" Target="https://doi.org/10.1126/science.aec6243" TargetMode="External"/><Relationship Id="rId891" Type="http://schemas.openxmlformats.org/officeDocument/2006/relationships/hyperlink" Target="https://www.science.org/doi/abs/10.1126/science.aeb2689?af=R" TargetMode="External"/><Relationship Id="rId892" Type="http://schemas.openxmlformats.org/officeDocument/2006/relationships/hyperlink" Target="https://doi.org/10.1126/science.aeb2689" TargetMode="External"/><Relationship Id="rId893" Type="http://schemas.openxmlformats.org/officeDocument/2006/relationships/hyperlink" Target="https://www.science.org/doi/abs/10.1126/science.aea8602?af=R" TargetMode="External"/><Relationship Id="rId894" Type="http://schemas.openxmlformats.org/officeDocument/2006/relationships/hyperlink" Target="https://doi.org/10.1126/science.aea8602" TargetMode="External"/><Relationship Id="rId895" Type="http://schemas.openxmlformats.org/officeDocument/2006/relationships/hyperlink" Target="https://www.science.org/doi/abs/10.1126/science.aeg0767?af=R" TargetMode="External"/><Relationship Id="rId896" Type="http://schemas.openxmlformats.org/officeDocument/2006/relationships/hyperlink" Target="https://doi.org/10.1126/science.aeg0767" TargetMode="External"/><Relationship Id="rId897" Type="http://schemas.openxmlformats.org/officeDocument/2006/relationships/hyperlink" Target="https://www.science.org/doi/abs/10.1126/science.aea7511?af=R" TargetMode="External"/><Relationship Id="rId898" Type="http://schemas.openxmlformats.org/officeDocument/2006/relationships/hyperlink" Target="https://doi.org/10.1126/science.aea7511" TargetMode="External"/><Relationship Id="rId899" Type="http://schemas.openxmlformats.org/officeDocument/2006/relationships/hyperlink" Target="https://www.science.org/doi/abs/10.1126/science.adz8243?af=R" TargetMode="External"/><Relationship Id="rId900" Type="http://schemas.openxmlformats.org/officeDocument/2006/relationships/hyperlink" Target="https://doi.org/10.1126/science.adz8243" TargetMode="External"/><Relationship Id="rId901" Type="http://schemas.openxmlformats.org/officeDocument/2006/relationships/hyperlink" Target="https://www.science.org/doi/abs/10.1126/science.adz6812?af=R" TargetMode="External"/><Relationship Id="rId902" Type="http://schemas.openxmlformats.org/officeDocument/2006/relationships/hyperlink" Target="https://doi.org/10.1126/science.adz6812" TargetMode="External"/><Relationship Id="rId903" Type="http://schemas.openxmlformats.org/officeDocument/2006/relationships/hyperlink" Target="https://www.science.org/doi/abs/10.1126/science.aed1802?af=R" TargetMode="External"/><Relationship Id="rId904" Type="http://schemas.openxmlformats.org/officeDocument/2006/relationships/hyperlink" Target="https://doi.org/10.1126/science.aed1802" TargetMode="External"/><Relationship Id="rId905" Type="http://schemas.openxmlformats.org/officeDocument/2006/relationships/hyperlink" Target="https://www.science.org/doi/abs/10.1126/science.adz4367?af=R" TargetMode="External"/><Relationship Id="rId906" Type="http://schemas.openxmlformats.org/officeDocument/2006/relationships/hyperlink" Target="https://doi.org/10.1126/science.adz4367" TargetMode="External"/><Relationship Id="rId907" Type="http://schemas.openxmlformats.org/officeDocument/2006/relationships/hyperlink" Target="https://www.science.org/doi/abs/10.1126/science.adz0743?af=R" TargetMode="External"/><Relationship Id="rId908" Type="http://schemas.openxmlformats.org/officeDocument/2006/relationships/hyperlink" Target="https://doi.org/10.1126/science.adz0743" TargetMode="External"/><Relationship Id="rId909" Type="http://schemas.openxmlformats.org/officeDocument/2006/relationships/hyperlink" Target="https://www.science.org/doi/abs/10.1126/science.aef9995?af=R" TargetMode="External"/><Relationship Id="rId910" Type="http://schemas.openxmlformats.org/officeDocument/2006/relationships/hyperlink" Target="https://doi.org/10.1126/science.aef9995" TargetMode="External"/><Relationship Id="rId911" Type="http://schemas.openxmlformats.org/officeDocument/2006/relationships/hyperlink" Target="https://www.science.org/doi/abs/10.1126/science.aed5189?af=R" TargetMode="External"/><Relationship Id="rId912" Type="http://schemas.openxmlformats.org/officeDocument/2006/relationships/hyperlink" Target="https://doi.org/10.1126/science.aed5189" TargetMode="External"/><Relationship Id="rId913" Type="http://schemas.openxmlformats.org/officeDocument/2006/relationships/hyperlink" Target="https://www.science.org/doi/abs/10.1126/science.aeg1221?af=R" TargetMode="External"/><Relationship Id="rId914" Type="http://schemas.openxmlformats.org/officeDocument/2006/relationships/hyperlink" Target="https://doi.org/10.1126/science.aeg1221" TargetMode="External"/><Relationship Id="rId915" Type="http://schemas.openxmlformats.org/officeDocument/2006/relationships/hyperlink" Target="https://www.science.org/doi/abs/10.1126/science.aed5484?af=R" TargetMode="External"/><Relationship Id="rId916" Type="http://schemas.openxmlformats.org/officeDocument/2006/relationships/hyperlink" Target="https://doi.org/10.1126/science.aed5484" TargetMode="External"/><Relationship Id="rId917" Type="http://schemas.openxmlformats.org/officeDocument/2006/relationships/hyperlink" Target="https://www.science.org/doi/abs/10.1126/science.aeg1219?af=R" TargetMode="External"/><Relationship Id="rId918" Type="http://schemas.openxmlformats.org/officeDocument/2006/relationships/hyperlink" Target="https://doi.org/10.1126/science.aeg1219" TargetMode="External"/><Relationship Id="rId919" Type="http://schemas.openxmlformats.org/officeDocument/2006/relationships/hyperlink" Target="https://www.science.org/doi/abs/10.1126/science.aeg1220?af=R" TargetMode="External"/><Relationship Id="rId920" Type="http://schemas.openxmlformats.org/officeDocument/2006/relationships/hyperlink" Target="https://doi.org/10.1126/science.aeg1220" TargetMode="External"/><Relationship Id="rId921" Type="http://schemas.openxmlformats.org/officeDocument/2006/relationships/hyperlink" Target="https://www.science.org/doi/abs/10.1126/science.aef9543?af=R" TargetMode="External"/><Relationship Id="rId922" Type="http://schemas.openxmlformats.org/officeDocument/2006/relationships/hyperlink" Target="https://doi.org/10.1126/science.aef9543" TargetMode="External"/><Relationship Id="rId923" Type="http://schemas.openxmlformats.org/officeDocument/2006/relationships/hyperlink" Target="https://www.science.org/doi/abs/10.1126/science.aeg1217?af=R" TargetMode="External"/><Relationship Id="rId924" Type="http://schemas.openxmlformats.org/officeDocument/2006/relationships/hyperlink" Target="https://doi.org/10.1126/science.aeg1217" TargetMode="External"/><Relationship Id="rId925" Type="http://schemas.openxmlformats.org/officeDocument/2006/relationships/hyperlink" Target="https://www.science.org/doi/abs/10.1126/science.aef5589?af=R" TargetMode="External"/><Relationship Id="rId926" Type="http://schemas.openxmlformats.org/officeDocument/2006/relationships/hyperlink" Target="https://doi.org/10.1126/science.aef5589" TargetMode="External"/><Relationship Id="rId927" Type="http://schemas.openxmlformats.org/officeDocument/2006/relationships/hyperlink" Target="https://www.science.org/doi/abs/10.1126/science.aeg0769?af=R" TargetMode="External"/><Relationship Id="rId928" Type="http://schemas.openxmlformats.org/officeDocument/2006/relationships/hyperlink" Target="https://doi.org/10.1126/science.aeg0769" TargetMode="External"/><Relationship Id="rId929" Type="http://schemas.openxmlformats.org/officeDocument/2006/relationships/hyperlink" Target="https://www.science.org/doi/abs/10.1126/science.aee7270?af=R" TargetMode="External"/><Relationship Id="rId930" Type="http://schemas.openxmlformats.org/officeDocument/2006/relationships/hyperlink" Target="https://doi.org/10.1126/science.aee7270" TargetMode="External"/><Relationship Id="rId931" Type="http://schemas.openxmlformats.org/officeDocument/2006/relationships/hyperlink" Target="https://www.science.org/doi/abs/10.1126/science.aee7014?af=R" TargetMode="External"/><Relationship Id="rId932" Type="http://schemas.openxmlformats.org/officeDocument/2006/relationships/hyperlink" Target="https://doi.org/10.1126/science.aee7014" TargetMode="External"/><Relationship Id="rId933" Type="http://schemas.openxmlformats.org/officeDocument/2006/relationships/hyperlink" Target="https://www.science.org/doi/abs/10.1126/science.aee6924?af=R" TargetMode="External"/><Relationship Id="rId934" Type="http://schemas.openxmlformats.org/officeDocument/2006/relationships/hyperlink" Target="https://doi.org/10.1126/science.aee6924" TargetMode="External"/><Relationship Id="rId935" Type="http://schemas.openxmlformats.org/officeDocument/2006/relationships/hyperlink" Target="https://www.science.org/doi/abs/10.1126/science.aeg1218?af=R" TargetMode="External"/><Relationship Id="rId936" Type="http://schemas.openxmlformats.org/officeDocument/2006/relationships/hyperlink" Target="https://doi.org/10.1126/science.aeg1218" TargetMode="External"/><Relationship Id="rId937" Type="http://schemas.openxmlformats.org/officeDocument/2006/relationships/hyperlink" Target="https://www.science.org/doi/abs/10.1126/science.aee1347?af=R" TargetMode="External"/><Relationship Id="rId938" Type="http://schemas.openxmlformats.org/officeDocument/2006/relationships/hyperlink" Target="https://doi.org/10.1126/science.aee1347" TargetMode="External"/><Relationship Id="rId939" Type="http://schemas.openxmlformats.org/officeDocument/2006/relationships/hyperlink" Target="https://www.science.org/doi/abs/10.1126/science.aee6527?af=R" TargetMode="External"/><Relationship Id="rId940" Type="http://schemas.openxmlformats.org/officeDocument/2006/relationships/hyperlink" Target="https://doi.org/10.1126/science.aee6527" TargetMode="External"/><Relationship Id="rId941" Type="http://schemas.openxmlformats.org/officeDocument/2006/relationships/hyperlink" Target="https://www.science.org/doi/abs/10.1126/science.aee6226?af=R" TargetMode="External"/><Relationship Id="rId942" Type="http://schemas.openxmlformats.org/officeDocument/2006/relationships/hyperlink" Target="https://doi.org/10.1126/science.aee6226" TargetMode="External"/><Relationship Id="rId943" Type="http://schemas.openxmlformats.org/officeDocument/2006/relationships/hyperlink" Target="https://www.science.org/doi/abs/10.1126/science.aee5778?af=R" TargetMode="External"/><Relationship Id="rId944" Type="http://schemas.openxmlformats.org/officeDocument/2006/relationships/hyperlink" Target="https://doi.org/10.1126/science.aee5778" TargetMode="External"/><Relationship Id="rId945" Type="http://schemas.openxmlformats.org/officeDocument/2006/relationships/hyperlink" Target="https://www.science.org/doi/abs/10.1126/science.aed7607?af=R" TargetMode="External"/><Relationship Id="rId946" Type="http://schemas.openxmlformats.org/officeDocument/2006/relationships/hyperlink" Target="https://doi.org/10.1126/science.aed7607" TargetMode="External"/><Relationship Id="rId947" Type="http://schemas.openxmlformats.org/officeDocument/2006/relationships/hyperlink" Target="https://www.science.org/doi/abs/10.1126/science.aeg0768?af=R" TargetMode="External"/><Relationship Id="rId948" Type="http://schemas.openxmlformats.org/officeDocument/2006/relationships/hyperlink" Target="https://doi.org/10.1126/science.aeg0768" TargetMode="External"/><Relationship Id="rId949" Type="http://schemas.openxmlformats.org/officeDocument/2006/relationships/hyperlink" Target="https://www.science.org/doi/abs/10.1126/science.aee1344?af=R" TargetMode="External"/><Relationship Id="rId950" Type="http://schemas.openxmlformats.org/officeDocument/2006/relationships/hyperlink" Target="https://doi.org/10.1126/science.aee1344" TargetMode="External"/><Relationship Id="rId951" Type="http://schemas.openxmlformats.org/officeDocument/2006/relationships/hyperlink" Target="https://www.pnas.org/doi/abs/10.1073/pnas.2526799123?mi=eymic2&amp;af=R&amp;access=on&amp;content=articlesChapters&amp;publication=pnas&amp;sortBy=Earliest&amp;target=default" TargetMode="External"/><Relationship Id="rId952" Type="http://schemas.openxmlformats.org/officeDocument/2006/relationships/hyperlink" Target="https://doi.org/10.1073/pnas.2526799123" TargetMode="External"/><Relationship Id="rId953" Type="http://schemas.openxmlformats.org/officeDocument/2006/relationships/hyperlink" Target="https://www.pnas.org/doi/abs/10.1073/pnas.2525433123?mi=eymic2&amp;af=R&amp;access=on&amp;content=articlesChapters&amp;publication=pnas&amp;sortBy=Earliest&amp;target=default" TargetMode="External"/><Relationship Id="rId954" Type="http://schemas.openxmlformats.org/officeDocument/2006/relationships/hyperlink" Target="https://doi.org/10.1073/pnas.2525433123" TargetMode="External"/><Relationship Id="rId955" Type="http://schemas.openxmlformats.org/officeDocument/2006/relationships/hyperlink" Target="https://www.pnas.org/doi/abs/10.1073/pnas.2524604123?mi=eymic2&amp;af=R&amp;access=on&amp;content=articlesChapters&amp;publication=pnas&amp;sortBy=Earliest&amp;target=default" TargetMode="External"/><Relationship Id="rId956" Type="http://schemas.openxmlformats.org/officeDocument/2006/relationships/hyperlink" Target="https://doi.org/10.1073/pnas.2524604123" TargetMode="External"/><Relationship Id="rId957" Type="http://schemas.openxmlformats.org/officeDocument/2006/relationships/hyperlink" Target="https://www.pnas.org/doi/abs/10.1073/pnas.2520535123?mi=eymic2&amp;af=R&amp;access=on&amp;content=articlesChapters&amp;publication=pnas&amp;sortBy=Earliest&amp;target=default" TargetMode="External"/><Relationship Id="rId958" Type="http://schemas.openxmlformats.org/officeDocument/2006/relationships/hyperlink" Target="https://doi.org/10.1073/pnas.2520535123" TargetMode="External"/><Relationship Id="rId959" Type="http://schemas.openxmlformats.org/officeDocument/2006/relationships/hyperlink" Target="https://www.pnas.org/doi/abs/10.1073/pnas.2600779123?mi=eymic2&amp;af=R&amp;access=on&amp;content=articlesChapters&amp;publication=pnas&amp;sortBy=Earliest&amp;target=default" TargetMode="External"/><Relationship Id="rId960" Type="http://schemas.openxmlformats.org/officeDocument/2006/relationships/hyperlink" Target="https://doi.org/10.1073/pnas.2600779123" TargetMode="External"/><Relationship Id="rId961" Type="http://schemas.openxmlformats.org/officeDocument/2006/relationships/hyperlink" Target="https://www.pnas.org/doi/abs/10.1073/pnas.2520471123?mi=eymic2&amp;af=R&amp;access=on&amp;content=articlesChapters&amp;publication=pnas&amp;sortBy=Earliest&amp;target=default" TargetMode="External"/><Relationship Id="rId962" Type="http://schemas.openxmlformats.org/officeDocument/2006/relationships/hyperlink" Target="https://doi.org/10.1073/pnas.2520471123" TargetMode="External"/><Relationship Id="rId963" Type="http://schemas.openxmlformats.org/officeDocument/2006/relationships/hyperlink" Target="https://www.pnas.org/doi/abs/10.1073/pnas.2519741123?mi=eymic2&amp;af=R&amp;access=on&amp;content=articlesChapters&amp;publication=pnas&amp;sortBy=Earliest&amp;target=default" TargetMode="External"/><Relationship Id="rId964" Type="http://schemas.openxmlformats.org/officeDocument/2006/relationships/hyperlink" Target="https://doi.org/10.1073/pnas.2519741123" TargetMode="External"/><Relationship Id="rId965" Type="http://schemas.openxmlformats.org/officeDocument/2006/relationships/hyperlink" Target="https://www.pnas.org/doi/abs/10.1073/pnas.2517927123?mi=eymic2&amp;af=R&amp;access=on&amp;content=articlesChapters&amp;publication=pnas&amp;sortBy=Earliest&amp;target=default" TargetMode="External"/><Relationship Id="rId966" Type="http://schemas.openxmlformats.org/officeDocument/2006/relationships/hyperlink" Target="https://doi.org/10.1073/pnas.2517927123" TargetMode="External"/><Relationship Id="rId967" Type="http://schemas.openxmlformats.org/officeDocument/2006/relationships/hyperlink" Target="https://www.pnas.org/doi/abs/10.1073/pnas.2512592123?mi=eymic2&amp;af=R&amp;access=on&amp;content=articlesChapters&amp;publication=pnas&amp;sortBy=Earliest&amp;target=default" TargetMode="External"/><Relationship Id="rId968" Type="http://schemas.openxmlformats.org/officeDocument/2006/relationships/hyperlink" Target="https://doi.org/10.1073/pnas.2512592123" TargetMode="External"/><Relationship Id="rId969" Type="http://schemas.openxmlformats.org/officeDocument/2006/relationships/hyperlink" Target="https://www.pnas.org/doi/abs/10.1073/pnas.2601573123?mi=eymic2&amp;af=R&amp;access=on&amp;content=articlesChapters&amp;publication=pnas&amp;sortBy=Earliest&amp;target=default" TargetMode="External"/><Relationship Id="rId970" Type="http://schemas.openxmlformats.org/officeDocument/2006/relationships/hyperlink" Target="https://doi.org/10.1073/pnas.2601573123" TargetMode="External"/><Relationship Id="rId971" Type="http://schemas.openxmlformats.org/officeDocument/2006/relationships/hyperlink" Target="https://www.pnas.org/doi/abs/10.1073/pnas.2529120123?mi=eymic2&amp;af=R&amp;access=on&amp;content=articlesChapters&amp;publication=pnas&amp;sortBy=Earliest&amp;target=default" TargetMode="External"/><Relationship Id="rId972" Type="http://schemas.openxmlformats.org/officeDocument/2006/relationships/hyperlink" Target="https://doi.org/10.1073/pnas.2529120123" TargetMode="External"/><Relationship Id="rId973" Type="http://schemas.openxmlformats.org/officeDocument/2006/relationships/hyperlink" Target="https://www.science.org/doi/abs/10.1126/science.adt4221?af=R" TargetMode="External"/><Relationship Id="rId974" Type="http://schemas.openxmlformats.org/officeDocument/2006/relationships/hyperlink" Target="https://doi.org/10.1126/science.adt4221" TargetMode="External"/><Relationship Id="rId975" Type="http://schemas.openxmlformats.org/officeDocument/2006/relationships/hyperlink" Target="https://www.science.org/doi/abs/10.1126/science.adv2600?af=R" TargetMode="External"/><Relationship Id="rId976" Type="http://schemas.openxmlformats.org/officeDocument/2006/relationships/hyperlink" Target="https://doi.org/10.1126/science.adv2600" TargetMode="External"/><Relationship Id="rId977" Type="http://schemas.openxmlformats.org/officeDocument/2006/relationships/hyperlink" Target="https://www.science.org/doi/abs/10.1126/science.adx1616?af=R" TargetMode="External"/><Relationship Id="rId978" Type="http://schemas.openxmlformats.org/officeDocument/2006/relationships/hyperlink" Target="https://doi.org/10.1126/science.adx1616" TargetMode="External"/><Relationship Id="rId979" Type="http://schemas.openxmlformats.org/officeDocument/2006/relationships/hyperlink" Target="https://www.science.org/doi/abs/10.1126/science.adx6291?af=R" TargetMode="External"/><Relationship Id="rId980" Type="http://schemas.openxmlformats.org/officeDocument/2006/relationships/hyperlink" Target="https://doi.org/10.1126/science.adx6291" TargetMode="External"/><Relationship Id="rId981" Type="http://schemas.openxmlformats.org/officeDocument/2006/relationships/hyperlink" Target="https://www.pnas.org/doi/abs/10.1073/pnas.2527128123?mi=eymic2&amp;af=R&amp;access=on&amp;content=articlesChapters&amp;publication=pnas&amp;sortBy=Earliest&amp;target=default" TargetMode="External"/><Relationship Id="rId982" Type="http://schemas.openxmlformats.org/officeDocument/2006/relationships/hyperlink" Target="https://doi.org/10.1073/pnas.2527128123" TargetMode="External"/><Relationship Id="rId983" Type="http://schemas.openxmlformats.org/officeDocument/2006/relationships/hyperlink" Target="https://www.science.org/doi/abs/10.1126/science.ady7590?af=R" TargetMode="External"/><Relationship Id="rId984" Type="http://schemas.openxmlformats.org/officeDocument/2006/relationships/hyperlink" Target="https://doi.org/10.1126/science.ady7590" TargetMode="External"/><Relationship Id="rId985" Type="http://schemas.openxmlformats.org/officeDocument/2006/relationships/hyperlink" Target="https://www.pnas.org/doi/abs/10.1073/pnas.2530826123?mi=eymic2&amp;af=R&amp;access=on&amp;content=articlesChapters&amp;publication=pnas&amp;sortBy=Earliest&amp;target=default" TargetMode="External"/><Relationship Id="rId986" Type="http://schemas.openxmlformats.org/officeDocument/2006/relationships/hyperlink" Target="https://doi.org/10.1073/pnas.2530826123" TargetMode="External"/><Relationship Id="rId987" Type="http://schemas.openxmlformats.org/officeDocument/2006/relationships/hyperlink" Target="https://www.science.org/doi/abs/10.1126/science.adz4075?af=R" TargetMode="External"/><Relationship Id="rId988" Type="http://schemas.openxmlformats.org/officeDocument/2006/relationships/hyperlink" Target="https://doi.org/10.1126/science.adz4075" TargetMode="External"/><Relationship Id="rId989" Type="http://schemas.openxmlformats.org/officeDocument/2006/relationships/hyperlink" Target="https://www.science.org/doi/abs/10.1126/science.aee9835?af=R" TargetMode="External"/><Relationship Id="rId990" Type="http://schemas.openxmlformats.org/officeDocument/2006/relationships/hyperlink" Target="https://doi.org/10.1126/science.aee9835" TargetMode="External"/><Relationship Id="rId991" Type="http://schemas.openxmlformats.org/officeDocument/2006/relationships/hyperlink" Target="https://www.pnas.org/doi/abs/10.1073/pnas.2501052123?mi=eymic2&amp;af=R&amp;access=on&amp;content=articlesChapters&amp;publication=pnas&amp;sortBy=Earliest&amp;target=default" TargetMode="External"/><Relationship Id="rId992" Type="http://schemas.openxmlformats.org/officeDocument/2006/relationships/hyperlink" Target="https://doi.org/10.1073/pnas.2501052123" TargetMode="External"/><Relationship Id="rId993" Type="http://schemas.openxmlformats.org/officeDocument/2006/relationships/hyperlink" Target="https://www.science.org/doi/abs/10.1126/science.adx8262?af=R" TargetMode="External"/><Relationship Id="rId994" Type="http://schemas.openxmlformats.org/officeDocument/2006/relationships/hyperlink" Target="https://doi.org/10.1126/science.adx8262" TargetMode="External"/><Relationship Id="rId995" Type="http://schemas.openxmlformats.org/officeDocument/2006/relationships/hyperlink" Target="http://dx.doi.org/10.1021/jacs.5c12264" TargetMode="External"/><Relationship Id="rId996" Type="http://schemas.openxmlformats.org/officeDocument/2006/relationships/hyperlink" Target="https://doi.org/10.1021/jacs.5c12264" TargetMode="External"/><Relationship Id="rId997" Type="http://schemas.openxmlformats.org/officeDocument/2006/relationships/hyperlink" Target="http://dx.doi.org/10.1021/jacs.5c16244" TargetMode="External"/><Relationship Id="rId998" Type="http://schemas.openxmlformats.org/officeDocument/2006/relationships/hyperlink" Target="https://doi.org/10.1021/jacs.5c16244" TargetMode="External"/><Relationship Id="rId999" Type="http://schemas.openxmlformats.org/officeDocument/2006/relationships/hyperlink" Target="http://dx.doi.org/10.1021/jacs.5c22569" TargetMode="External"/><Relationship Id="rId1000" Type="http://schemas.openxmlformats.org/officeDocument/2006/relationships/hyperlink" Target="https://doi.org/10.1021/jacs.5c22569" TargetMode="External"/><Relationship Id="rId1001" Type="http://schemas.openxmlformats.org/officeDocument/2006/relationships/hyperlink" Target="http://dx.doi.org/10.1021/jacs.5c22235" TargetMode="External"/><Relationship Id="rId1002" Type="http://schemas.openxmlformats.org/officeDocument/2006/relationships/hyperlink" Target="https://doi.org/10.1021/jacs.5c22235" TargetMode="External"/><Relationship Id="rId1003" Type="http://schemas.openxmlformats.org/officeDocument/2006/relationships/hyperlink" Target="http://dx.doi.org/10.1021/jacs.5c12712" TargetMode="External"/><Relationship Id="rId1004" Type="http://schemas.openxmlformats.org/officeDocument/2006/relationships/hyperlink" Target="https://doi.org/10.1021/jacs.5c12712" TargetMode="External"/><Relationship Id="rId1005" Type="http://schemas.openxmlformats.org/officeDocument/2006/relationships/hyperlink" Target="http://dx.doi.org/10.1021/jacs.5c22389" TargetMode="External"/><Relationship Id="rId1006" Type="http://schemas.openxmlformats.org/officeDocument/2006/relationships/hyperlink" Target="https://doi.org/10.1021/jacs.5c22389" TargetMode="External"/><Relationship Id="rId1007" Type="http://schemas.openxmlformats.org/officeDocument/2006/relationships/hyperlink" Target="http://dx.doi.org/10.1021/jacs.5c17606" TargetMode="External"/><Relationship Id="rId1008" Type="http://schemas.openxmlformats.org/officeDocument/2006/relationships/hyperlink" Target="https://doi.org/10.1021/jacs.5c17606" TargetMode="External"/><Relationship Id="rId1009" Type="http://schemas.openxmlformats.org/officeDocument/2006/relationships/hyperlink" Target="http://dx.doi.org/10.1021/jacs.5c15670" TargetMode="External"/><Relationship Id="rId1010" Type="http://schemas.openxmlformats.org/officeDocument/2006/relationships/hyperlink" Target="https://doi.org/10.1021/jacs.5c15670" TargetMode="External"/><Relationship Id="rId1011" Type="http://schemas.openxmlformats.org/officeDocument/2006/relationships/hyperlink" Target="http://dx.doi.org/10.1021/jacs.5c17552" TargetMode="External"/><Relationship Id="rId1012" Type="http://schemas.openxmlformats.org/officeDocument/2006/relationships/hyperlink" Target="https://doi.org/10.1021/jacs.5c17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