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Tech Tracking Digest</w:t>
      </w:r>
    </w:p>
    <w:p>
      <w:pPr>
        <w:spacing w:after="280"/>
        <w:jc w:val="center"/>
      </w:pPr>
      <w:r>
        <w:rPr>
          <w:i/>
        </w:rPr>
        <w:t>2026-04-10</w:t>
      </w:r>
    </w:p>
    <w:p>
      <w:pPr>
        <w:spacing w:before="160" w:after="120"/>
      </w:pPr>
      <w:r>
        <w:rPr>
          <w:b/>
          <w:sz w:val="28"/>
        </w:rPr>
        <w:t>【光伏】</w:t>
      </w:r>
    </w:p>
    <w:p>
      <w:pPr>
        <w:spacing w:before="160" w:after="40" w:line="240" w:lineRule="auto"/>
      </w:pPr>
      <w:r>
        <w:rPr>
          <w:b/>
        </w:rPr>
        <w:t xml:space="preserve">[1] </w:t>
      </w:r>
      <w:hyperlink r:id="rId9">
        <w:r>
          <w:rPr>
            <w:color w:val="1155CC"/>
            <w:u w:val="single"/>
          </w:rPr>
          <w:t>通过集成高级故障定位和粒子群优化提高光伏电力的实时交付</w:t>
        </w:r>
      </w:hyperlink>
    </w:p>
    <w:p>
      <w:pPr>
        <w:spacing w:before="0" w:after="80"/>
      </w:pPr>
      <w:r>
        <w:rPr>
          <w:i/>
          <w:sz w:val="20"/>
        </w:rPr>
        <w:t>EN: Improving real-time photovoltaic power delivery through integrated advanced fault localization and particle swarm optimization</w:t>
      </w:r>
    </w:p>
    <w:p>
      <w:pPr>
        <w:spacing w:before="0" w:after="120"/>
      </w:pPr>
      <w:r>
        <w:rPr>
          <w:b/>
        </w:rPr>
        <w:t xml:space="preserve">Source: </w:t>
      </w:r>
      <w:r>
        <w:t>ScienceDirect Publication: Applied Energy</w:t>
      </w:r>
      <w:r>
        <w:t xml:space="preserve">    </w:t>
      </w:r>
      <w:r>
        <w:rPr>
          <w:b/>
        </w:rPr>
        <w:t xml:space="preserve">Pub date: </w:t>
      </w:r>
      <w:r>
        <w:t>2026-04-04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0">
        <w:r>
          <w:rPr>
            <w:color w:val="1155CC"/>
            <w:u w:val="single"/>
          </w:rPr>
          <w:t>PV-MM-diffusion：一种用于超短期概率光伏预测的端到端多模态扩散模型</w:t>
        </w:r>
      </w:hyperlink>
    </w:p>
    <w:p>
      <w:pPr>
        <w:spacing w:before="0" w:after="80"/>
      </w:pPr>
      <w:r>
        <w:rPr>
          <w:i/>
          <w:sz w:val="20"/>
        </w:rPr>
        <w:t>EN: PV-MM-diffusion: An end-to-end multi-modal diffusion model for ultra-short-term probabilistic photovoltaic forecasting</w:t>
      </w:r>
    </w:p>
    <w:p>
      <w:pPr>
        <w:spacing w:before="0" w:after="120"/>
      </w:pPr>
      <w:r>
        <w:rPr>
          <w:b/>
        </w:rPr>
        <w:t xml:space="preserve">Source: </w:t>
      </w:r>
      <w:r>
        <w:t>ScienceDirect Publication: Applied Energy</w:t>
      </w:r>
      <w:r>
        <w:t xml:space="preserve">    </w:t>
      </w:r>
      <w:r>
        <w:rPr>
          <w:b/>
        </w:rPr>
        <w:t xml:space="preserve">Pub date: </w:t>
      </w:r>
      <w:r>
        <w:t>2026-04-04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11">
        <w:r>
          <w:rPr>
            <w:color w:val="1155CC"/>
            <w:u w:val="single"/>
          </w:rPr>
          <w:t>可调节和低酸度的PEDOT:SAM超分子复合空穴传输材料用于高性能全钙钛矿叠层太阳能电池</w:t>
        </w:r>
      </w:hyperlink>
    </w:p>
    <w:p>
      <w:pPr>
        <w:spacing w:before="0" w:after="80"/>
      </w:pPr>
      <w:r>
        <w:rPr>
          <w:i/>
          <w:sz w:val="20"/>
        </w:rPr>
        <w:t>EN: Tunable and Low‐Acidity PEDOT:SAM Supramolecular Complex Hole‐Transport Materials for High‐Performance All‐Perovskite Tandem Solar Cells</w:t>
      </w:r>
    </w:p>
    <w:p>
      <w:pPr>
        <w:spacing w:before="0" w:after="120"/>
      </w:pPr>
      <w:r>
        <w:rPr>
          <w:b/>
        </w:rPr>
        <w:t xml:space="preserve">Source: </w:t>
      </w:r>
      <w:r>
        <w:t>Wiley: Advanced Materials: Table of Contents</w:t>
      </w:r>
      <w:r>
        <w:t xml:space="preserve">    </w:t>
      </w:r>
      <w:r>
        <w:rPr>
          <w:b/>
        </w:rPr>
        <w:t xml:space="preserve">Pub date: </w:t>
      </w:r>
      <w:r>
        <w:t>2026-04-04 07:45:11+00:00</w:t>
      </w:r>
      <w:r>
        <w:t xml:space="preserve">    </w:t>
      </w:r>
      <w:r>
        <w:rPr>
          <w:b/>
        </w:rPr>
        <w:t xml:space="preserve">DOI: </w:t>
      </w:r>
      <w:hyperlink r:id="rId12">
        <w:r>
          <w:rPr>
            <w:color w:val="1155CC"/>
            <w:u w:val="single"/>
          </w:rPr>
          <w:t>10.1002/adma.73011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先进空穴传输材料（HTMs）的发展对于下一代光电子学至关重要。虽然聚（3,4-乙烯二氧噻吩）：聚苯乙烯磺酸盐（PEDOT:PSS）是最广泛使用的HTMs之一，但其固有的酸性和较差的界面稳定性在各种设备中代表了一个普遍的挑战。在全钙钛矿串联太阳能电池（APTSCs）中，这一问题尤为严重，因为PEDOT:PSS加剧了窄带隙（NBG）子电池的不稳定性，严重限制了其操作寿命。在此，我们提出了一种可调节的低酸性超分子复合HTM，PEDOT:SAM，通过一步氧化聚合合成，将EDOT与基于咔唑-磷酸的分子单体结合。这一设计创造了</w:t>
      </w:r>
    </w:p>
    <w:p>
      <w:pPr>
        <w:spacing w:before="0" w:after="200" w:lineRule="auto" w:line="276"/>
      </w:pPr>
      <w:r>
        <w:rPr>
          <w:b/>
        </w:rPr>
        <w:t xml:space="preserve">Abstract (EN): </w:t>
      </w:r>
      <w:r>
        <w:t>The development of advanced hole‐transport materials (HTMs) is critical for next‐generation optoelectronics. While poly(3,4‐ethylenedioxythiophene): polystyrenesulfonate (PEDOT:PSS) is one of the most widely used HTMs, its inherent acidity and poor interfacial stability represent a universal challenge across diverse devices. This issue becomes particularly acute in all‐perovskite tandem solar cells (APTSCs), where the instability of the narrow‐bandgap (NBG) subcell, exacerbated by PEDOT:PSS, severely limits their operational lifetime. Here, we present a tunable and low‐acidity supramolecular complex HTM, PEDOT:SAM, synthesized via a one‐step oxidative polymerization that integrates EDOT with a carbazole‐phosphonic acid‐based molecular monomer. This design creates an adaptive, stress‐relieving interface and a chemically benign environment, effectively suppressing perovskite degradation. Consequently, NBG perovskite solar cells with PEDOT:SAM achieve a power conversion efficiency (PCE) of 23.7%. When integrated into APTSCs, a champion PCE of 28.76% (certified 27.99%) is attained. The tandem devices retain over 80% of their initial PCE after over 1000 h of maximum power point tracking under 1‐sun illumination, starkly outperforming the PEDOT:PSS‐based devices. This work provides a generalizable materials platform to overcome key stability challenges in perovskite photovoltaics and beyond.</w:t>
      </w:r>
    </w:p>
    <w:p>
      <w:pPr>
        <w:spacing w:before="120" w:after="120"/>
      </w:pPr>
      <w:r>
        <w:rPr>
          <w:sz w:val="18"/>
        </w:rPr>
        <w:t>——————————————————————————————————————————————————————————————————————</w:t>
      </w:r>
    </w:p>
    <w:p>
      <w:pPr>
        <w:spacing w:before="160" w:after="40" w:line="240" w:lineRule="auto"/>
      </w:pPr>
      <w:r>
        <w:rPr>
          <w:b/>
        </w:rPr>
        <w:t xml:space="preserve">[4] </w:t>
      </w:r>
      <w:hyperlink r:id="rId13">
        <w:r>
          <w:rPr>
            <w:color w:val="1155CC"/>
            <w:u w:val="single"/>
          </w:rPr>
          <w:t>有机单组分光伏：局域激子与电荷转移电子态相互作用的关键作用</w:t>
        </w:r>
      </w:hyperlink>
    </w:p>
    <w:p>
      <w:pPr>
        <w:spacing w:before="0" w:after="80"/>
      </w:pPr>
      <w:r>
        <w:rPr>
          <w:i/>
          <w:sz w:val="20"/>
        </w:rPr>
        <w:t>EN: Organic Single‐component Photovoltaics: The Critical Role of the Interplay between Local‐exciton and Charge‐transfer Electronic States</w:t>
      </w:r>
    </w:p>
    <w:p>
      <w:pPr>
        <w:spacing w:before="0" w:after="120"/>
      </w:pPr>
      <w:r>
        <w:rPr>
          <w:b/>
        </w:rPr>
        <w:t xml:space="preserve">Source: </w:t>
      </w:r>
      <w:r>
        <w:t>Wiley: Advanced Materials: Table of Contents</w:t>
      </w:r>
      <w:r>
        <w:t xml:space="preserve">    </w:t>
      </w:r>
      <w:r>
        <w:rPr>
          <w:b/>
        </w:rPr>
        <w:t xml:space="preserve">Pub date: </w:t>
      </w:r>
      <w:r>
        <w:t>2026-04-04 08:27:21+00:00</w:t>
      </w:r>
      <w:r>
        <w:t xml:space="preserve">    </w:t>
      </w:r>
      <w:r>
        <w:rPr>
          <w:b/>
        </w:rPr>
        <w:t xml:space="preserve">DOI: </w:t>
      </w:r>
      <w:hyperlink r:id="rId14">
        <w:r>
          <w:rPr>
            <w:color w:val="1155CC"/>
            <w:u w:val="single"/>
          </w:rPr>
          <w:t>10.1002/adma.202523671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非富勒烯受体（NFAs），特别是Y型系列的出现，重塑了有机光伏技术，如今实现了约21%效率的太阳能电池，具有高电荷生成和低电压损失。然而，这些特性的起源仍未完全理解。在此，我们描述了Y6薄膜中最低电子激发态的统一图景，并将其与ITIC和C60薄膜中常见的激发态进行对比。Y6支持通过分子间电子耦合和短π–π接触稳定的混合局部激子（LE）–电荷转移（CT）态，导致在聚集体上离域的类激基态。</w:t>
      </w:r>
    </w:p>
    <w:p>
      <w:pPr>
        <w:spacing w:before="0" w:after="200" w:lineRule="auto" w:line="276"/>
      </w:pPr>
      <w:r>
        <w:rPr>
          <w:b/>
        </w:rPr>
        <w:t xml:space="preserve">Abstract (EN): </w:t>
      </w:r>
      <w:r>
        <w:t>The emergence of non‐fullerene acceptors (NFAs), particularly the Y‐type series, has reshaped organic photovoltaics, nowadays enabling ∼21% efficient solar cells with high charge generation and low voltage loss. Yet, the origin of these properties is still not entirely understood. Here, we describe a unified picture of the lowest electronic excited states in Y6 films and contrast them with those prevalent in ITIC and C</w:t>
      </w:r>
      <w:r>
        <w:rPr>
          <w:vertAlign w:val="subscript"/>
        </w:rPr>
        <w:t>60</w:t>
      </w:r>
      <w:r>
        <w:t>films. Y6 supports hybrid local‐exciton (LE)–charge‐transfer (CT) states stabilized via intermolecular electronic couplings and short</w:t>
      </w:r>
      <w:r>
        <w:t xml:space="preserve"> </w:t>
      </w:r>
      <w:r>
        <w:t>π–π</w:t>
      </w:r>
      <w:r>
        <w:t xml:space="preserve"> </w:t>
      </w:r>
      <w:r>
        <w:t>contacts, which result in excimer‐like states delocalized over aggregates. The large change in dipole moment for the S</w:t>
      </w:r>
      <w:r>
        <w:rPr>
          <w:vertAlign w:val="subscript"/>
        </w:rPr>
        <w:t>0</w:t>
      </w:r>
      <w:r>
        <w:t>→S</w:t>
      </w:r>
      <w:r>
        <w:rPr>
          <w:vertAlign w:val="subscript"/>
        </w:rPr>
        <w:t>1</w:t>
      </w:r>
      <w:r>
        <w:t>transition makes this excitation sensitive to the polarizable environment, with dielectric stabilization red‐shifting S</w:t>
      </w:r>
      <w:r>
        <w:rPr>
          <w:vertAlign w:val="subscript"/>
        </w:rPr>
        <w:t>1</w:t>
      </w:r>
      <w:r>
        <w:t>and bringing LE and CT configurations into near resonance. This polarization‐driven LE–CT hybridization contrasts with the situation in ITIC and C</w:t>
      </w:r>
      <w:r>
        <w:rPr>
          <w:vertAlign w:val="subscript"/>
        </w:rPr>
        <w:t>60</w:t>
      </w:r>
      <w:r>
        <w:t>, where S</w:t>
      </w:r>
      <w:r>
        <w:rPr>
          <w:vertAlign w:val="subscript"/>
        </w:rPr>
        <w:t>1</w:t>
      </w:r>
      <w:r>
        <w:t>remains LE (Frenkel)‐like and CT states lie energetically higher. Also, reports of intrinsic free‐charge photogeneration in neat Y6 and C</w:t>
      </w:r>
      <w:r>
        <w:rPr>
          <w:vertAlign w:val="subscript"/>
        </w:rPr>
        <w:t>60</w:t>
      </w:r>
      <w:r>
        <w:t>films are discussed; devices are found to deliver efficiencies &amp;lt;1% unless aided by transport layers or donor additives. These insights define design rules for NFAs—favoring dipolar transitions, co‐facial packing, and near‐resonant LE‐CT energetics—to realize single‐component photovoltaics with built‐in charge separation.</w:t>
      </w:r>
    </w:p>
    <w:p>
      <w:pPr>
        <w:spacing w:before="120" w:after="120"/>
      </w:pPr>
      <w:r>
        <w:rPr>
          <w:sz w:val="18"/>
        </w:rPr>
        <w:t>——————————————————————————————————————————————————————————————————————</w:t>
      </w:r>
    </w:p>
    <w:p>
      <w:pPr>
        <w:spacing w:before="160" w:after="40" w:line="240" w:lineRule="auto"/>
      </w:pPr>
      <w:r>
        <w:rPr>
          <w:b/>
        </w:rPr>
        <w:t xml:space="preserve">[5] </w:t>
      </w:r>
      <w:hyperlink r:id="rId15">
        <w:r>
          <w:rPr>
            <w:color w:val="1155CC"/>
            <w:u w:val="single"/>
          </w:rPr>
          <w:t>用于高效集中光伏-热光伏系统的可调谐超材料吸收器/发射器</w:t>
        </w:r>
      </w:hyperlink>
    </w:p>
    <w:p>
      <w:pPr>
        <w:spacing w:before="0" w:after="80"/>
      </w:pPr>
      <w:r>
        <w:rPr>
          <w:i/>
          <w:sz w:val="20"/>
        </w:rPr>
        <w:t>EN: Tunable metamaterial absorber/emitter for high-efficiency concentrated photovoltaic-thermophotovoltaic systems</w:t>
      </w:r>
    </w:p>
    <w:p>
      <w:pPr>
        <w:spacing w:before="0" w:after="120"/>
      </w:pPr>
      <w:r>
        <w:rPr>
          <w:b/>
        </w:rPr>
        <w:t xml:space="preserve">Source: </w:t>
      </w:r>
      <w:r>
        <w:t>ScienceDirect Publication: Applied Energy</w:t>
      </w:r>
      <w:r>
        <w:t xml:space="preserve">    </w:t>
      </w:r>
      <w:r>
        <w:rPr>
          <w:b/>
        </w:rPr>
        <w:t xml:space="preserve">Pub date: </w:t>
      </w:r>
      <w:r>
        <w:t>2026-04-05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 </w:t>
      </w:r>
      <w:hyperlink r:id="rId16">
        <w:r>
          <w:rPr>
            <w:color w:val="1155CC"/>
            <w:u w:val="single"/>
          </w:rPr>
          <w:t>通过光谱选择性背涂冷却光伏模块以提高效率</w:t>
        </w:r>
      </w:hyperlink>
    </w:p>
    <w:p>
      <w:pPr>
        <w:spacing w:before="0" w:after="80"/>
      </w:pPr>
      <w:r>
        <w:rPr>
          <w:i/>
          <w:sz w:val="20"/>
        </w:rPr>
        <w:t>EN: Cooling photovoltaic modules for efficiency gains via spectrally selective back-coating</w:t>
      </w:r>
    </w:p>
    <w:p>
      <w:pPr>
        <w:spacing w:before="0" w:after="120"/>
      </w:pPr>
      <w:r>
        <w:rPr>
          <w:b/>
        </w:rPr>
        <w:t xml:space="preserve">Source: </w:t>
      </w:r>
      <w:r>
        <w:t>ScienceDirect Publication: Applied Energy</w:t>
      </w:r>
      <w:r>
        <w:t xml:space="preserve">    </w:t>
      </w:r>
      <w:r>
        <w:rPr>
          <w:b/>
        </w:rPr>
        <w:t xml:space="preserve">Pub date: </w:t>
      </w:r>
      <w:r>
        <w:t>2026-04-05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 </w:t>
      </w:r>
      <w:hyperlink r:id="rId17">
        <w:r>
          <w:rPr>
            <w:color w:val="1155CC"/>
            <w:u w:val="single"/>
          </w:rPr>
          <w:t>有机电子材料的多尺度制造</w:t>
        </w:r>
      </w:hyperlink>
    </w:p>
    <w:p>
      <w:pPr>
        <w:spacing w:before="0" w:after="80"/>
      </w:pPr>
      <w:r>
        <w:rPr>
          <w:i/>
          <w:sz w:val="20"/>
        </w:rPr>
        <w:t>EN: Multiscale Manufacturing of Organic Electronic Materials</w:t>
      </w:r>
    </w:p>
    <w:p>
      <w:pPr>
        <w:spacing w:before="0" w:after="120"/>
      </w:pPr>
      <w:r>
        <w:rPr>
          <w:b/>
        </w:rPr>
        <w:t xml:space="preserve">Source: </w:t>
      </w:r>
      <w:r>
        <w:t>Wiley: Advanced Materials: Table of Contents</w:t>
      </w:r>
      <w:r>
        <w:t xml:space="preserve">    </w:t>
      </w:r>
      <w:r>
        <w:rPr>
          <w:b/>
        </w:rPr>
        <w:t xml:space="preserve">Pub date: </w:t>
      </w:r>
      <w:r>
        <w:t>2026-04-06 09:26:26+00:00</w:t>
      </w:r>
      <w:r>
        <w:t xml:space="preserve">    </w:t>
      </w:r>
      <w:r>
        <w:rPr>
          <w:b/>
        </w:rPr>
        <w:t xml:space="preserve">DOI: </w:t>
      </w:r>
      <w:hyperlink r:id="rId18">
        <w:r>
          <w:rPr>
            <w:color w:val="1155CC"/>
            <w:u w:val="single"/>
          </w:rPr>
          <w:t>10.1002/adma.202509949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有机电子学的应用依赖于可靠的材料制造。由于其多尺度的结构特征，有机电子材料在某些独特应用中面临着与硅基半导体相比的巨大机遇和挑战。理解材料结构、加工和性能之间的关系对于有机功能器件的多尺度制造是非常理想的。最近，研究人员在这一领域取得了显著进展，实现了从分子尺度器件到微/毫米尺度可穿戴系统和宏观有机太阳能电池模块的可靠制造，以满足各种应用场景的特定要求。本综述旨在总结</w:t>
      </w:r>
    </w:p>
    <w:p>
      <w:pPr>
        <w:spacing w:before="0" w:after="200" w:lineRule="auto" w:line="276"/>
      </w:pPr>
      <w:r>
        <w:rPr>
          <w:b/>
        </w:rPr>
        <w:t xml:space="preserve">Abstract (EN): </w:t>
      </w:r>
      <w:r>
        <w:t>The application of organic electronics relies on reliable material manufacture. Owing to their multiscale structural characteristics, organic electronic materials face great opportunities and challenges in some unique applications compared with silicon‐based semiconductors. Understanding the relationships among material structure, processing and properties is highly desirable for the multiscale manufacturing of organic functional devices. Recently, researchers have made significant progress in this field, achieving reliable fabrication across multiple scales, from molecular‐scale devices to micro/milli‐scale wearable systems and macroscale organic solar cell modules, to meet the specific requirements of various application scenarios. This review aims to summarize the latest advancements in multiscale manufacturing of organic electronic materials. It introduces multiscale structures and properties of organic semiconductors, with an emphasis on elucidating the structure–property relationship. Subsequently, different technologies for multiscale manufacturing and their advanced applications in organic electronics are discussed. Finally, potential challenges and prospects for the multiscale manufacture of organic electronic materials are proposed. This review could help in choosing appropriate manufacturing technologies to achieve optimal performance of organic electronic devices based on the properties of organic materials.</w:t>
      </w:r>
    </w:p>
    <w:p>
      <w:pPr>
        <w:spacing w:before="120" w:after="120"/>
      </w:pPr>
      <w:r>
        <w:rPr>
          <w:sz w:val="18"/>
        </w:rPr>
        <w:t>——————————————————————————————————————————————————————————————————————</w:t>
      </w:r>
    </w:p>
    <w:p>
      <w:pPr>
        <w:spacing w:before="160" w:after="40" w:line="240" w:lineRule="auto"/>
      </w:pPr>
      <w:r>
        <w:rPr>
          <w:b/>
        </w:rPr>
        <w:t xml:space="preserve">[8] </w:t>
      </w:r>
      <w:hyperlink r:id="rId19">
        <w:r>
          <w:rPr>
            <w:color w:val="1155CC"/>
            <w:u w:val="single"/>
          </w:rPr>
          <w:t>[ASAP] 协同添加剂策略实现亚100°C CsPbI3 薄膜的制备，用于高效且稳定的全无机钙钛矿太阳能电池</w:t>
        </w:r>
      </w:hyperlink>
    </w:p>
    <w:p>
      <w:pPr>
        <w:spacing w:before="0" w:after="80"/>
      </w:pPr>
      <w:r>
        <w:rPr>
          <w:i/>
          <w:sz w:val="20"/>
        </w:rPr>
        <w:t>EN: [ASAP] Synergistic Additive Strategy Enables Sub-100 °C Fabrication of CsPbI3 Films for Efficient and Stable All-Inorganic Perovskite Solar Cells</w:t>
      </w:r>
    </w:p>
    <w:p>
      <w:pPr>
        <w:spacing w:before="0" w:after="120"/>
      </w:pPr>
      <w:r>
        <w:rPr>
          <w:b/>
        </w:rPr>
        <w:t xml:space="preserve">Source: </w:t>
      </w:r>
      <w:r>
        <w:t>ACS Energy Letters: Latest Articles (ACS Publications)</w:t>
      </w:r>
      <w:r>
        <w:t xml:space="preserve">    </w:t>
      </w:r>
      <w:r>
        <w:rPr>
          <w:b/>
        </w:rPr>
        <w:t xml:space="preserve">Pub date: </w:t>
      </w:r>
      <w:r>
        <w:t>2026-04-07 18:20:52+00:00</w:t>
      </w:r>
      <w:r>
        <w:t xml:space="preserve">    </w:t>
      </w:r>
      <w:r>
        <w:rPr>
          <w:b/>
        </w:rPr>
        <w:t xml:space="preserve">DOI: </w:t>
      </w:r>
      <w:hyperlink r:id="rId20">
        <w:r>
          <w:rPr>
            <w:color w:val="1155CC"/>
            <w:u w:val="single"/>
          </w:rPr>
          <w:t>10.1021/acsenergylett.6c00044</w:t>
        </w:r>
      </w:hyperlink>
    </w:p>
    <w:p>
      <w:pPr>
        <w:spacing w:before="0" w:after="120"/>
      </w:pPr>
      <w:r>
        <w:rPr>
          <w:b/>
        </w:rPr>
        <w:t xml:space="preserve">Notes: </w:t>
      </w:r>
      <w:r>
        <w:t>abstract_source=openalex</w:t>
      </w:r>
    </w:p>
    <w:p>
      <w:pPr>
        <w:spacing w:before="0" w:after="80" w:lineRule="auto" w:line="276"/>
      </w:pPr>
      <w:r>
        <w:rPr>
          <w:b/>
        </w:rPr>
        <w:t xml:space="preserve">摘要（ZH）: </w:t>
      </w:r>
      <w:r>
        <w:t>全无机CsPbI3钙钛矿由于其光电特性和热稳定性而在光伏领域具有潜力。然而，其高成核障碍和热力学不稳定性阻碍了低温结晶，限制了与柔性和串联设备的兼容性。在此，通过结合醋酸铅（PbAc2）和苯磺酸铵（ABS）的协同添加剂策略，实现了在低于100°C下制备γ-CsPbI3。醋酸根阴离子降低了成核能障，而定制的ABS类似物通过螯合和空间位阻稳定了γ相，抑制了八面体倾斜。该工作建立了将添加剂化学与CsPbI3钙钛矿低温结晶联系起来的机制框架，为全</w:t>
      </w:r>
    </w:p>
    <w:p>
      <w:pPr>
        <w:spacing w:before="0" w:after="200" w:lineRule="auto" w:line="276"/>
      </w:pPr>
      <w:r>
        <w:rPr>
          <w:b/>
        </w:rPr>
        <w:t xml:space="preserve">Abstract (EN): </w:t>
      </w:r>
      <w:r>
        <w:t>All-inorganic CsPbI3 perovskite holds promise for photovoltaics owing to its optoelectronic properties and thermal stability. However, its high nucleation barrier and thermodynamic instability hinder low-temperature crystallization, limiting compatibility with flexible and tandem devices. Herein, a synergistic additive strategy combining lead acetate (PbAc2) and ammonium benzenesulfonate (ABS) enables the fabrication of γ-CsPbI3 below 100 °C. Acetate anions lower the nucleation energy barrier, while tailored ABS analogs stabilize the γ-phase via chelation and steric hindrance, suppressing octahedral tilting. This work establishes a mechanistic framework linking additive chemistry to the low-temperature crystallization of CsPbI3 perovskite, providing guidance for the rational design of all-inorganic perovskite formulations toward flexible and tandem photovoltaics. This approach achieves a record power conversion efficiency (PCE) of 16.33% for CsPbI3 solar cells processed at temperatures below 100 °C, and retains 91% of the initial PCE after 600 h in dry air. Furthermore, flexible devices reach 13.53% PCE, demonstrating direct compatibility with flexible substrates.</w:t>
      </w:r>
    </w:p>
    <w:p>
      <w:pPr>
        <w:spacing w:before="120" w:after="120"/>
      </w:pPr>
      <w:r>
        <w:rPr>
          <w:sz w:val="18"/>
        </w:rPr>
        <w:t>——————————————————————————————————————————————————————————————————————</w:t>
      </w:r>
    </w:p>
    <w:p>
      <w:pPr>
        <w:spacing w:before="160" w:after="40" w:line="240" w:lineRule="auto"/>
      </w:pPr>
      <w:r>
        <w:rPr>
          <w:b/>
        </w:rPr>
        <w:t xml:space="preserve">[9] </w:t>
      </w:r>
      <w:hyperlink r:id="rId21">
        <w:r>
          <w:rPr>
            <w:color w:val="1155CC"/>
            <w:u w:val="single"/>
          </w:rPr>
          <w:t>超越快速成核：揭示无抗溶剂钙钛矿制备中溶剂-前体相互作用的作用</w:t>
        </w:r>
      </w:hyperlink>
    </w:p>
    <w:p>
      <w:pPr>
        <w:spacing w:before="0" w:after="80"/>
      </w:pPr>
      <w:r>
        <w:rPr>
          <w:i/>
          <w:sz w:val="20"/>
        </w:rPr>
        <w:t>EN: Beyond Rapid Nucleation: Unveiling the Role of Solvent-Precursor Interactions in Antisolvent-Free Perovskite Fabrication</w:t>
      </w:r>
    </w:p>
    <w:p>
      <w:pPr>
        <w:spacing w:before="0" w:after="120"/>
      </w:pPr>
      <w:r>
        <w:rPr>
          <w:b/>
        </w:rPr>
        <w:t xml:space="preserve">Source: </w:t>
      </w:r>
      <w:r>
        <w:t>RSC - Energy Environ. Sci. latest articles</w:t>
      </w:r>
      <w:r>
        <w:t xml:space="preserve">    </w:t>
      </w:r>
      <w:r>
        <w:rPr>
          <w:b/>
        </w:rPr>
        <w:t xml:space="preserve">Pub date: </w:t>
      </w:r>
      <w:r>
        <w:t>2026-04-07 23:00:00+00:00</w:t>
      </w:r>
    </w:p>
    <w:p>
      <w:pPr>
        <w:spacing w:before="0" w:after="120"/>
      </w:pPr>
      <w:r>
        <w:rPr>
          <w:b/>
        </w:rPr>
        <w:t xml:space="preserve">Notes: </w:t>
      </w:r>
      <w:r>
        <w:t>abstract_source=rsc_html</w:t>
      </w:r>
    </w:p>
    <w:p>
      <w:pPr>
        <w:spacing w:before="0" w:after="80" w:lineRule="auto" w:line="276"/>
      </w:pPr>
      <w:r>
        <w:rPr>
          <w:b/>
        </w:rPr>
        <w:t xml:space="preserve">摘要（ZH）: </w:t>
      </w:r>
      <w:r>
        <w:t>溶液加工的无抗溶剂钙钛矿（AFP）是可扩展光伏（PV）生产的有前途的候选者。然而，实现高质量的AFP薄膜通常需要严格的加工条件，限制了大规模制造的可靠性。在此，我们采用机器学习（ML）来识别调节环境温度（T A）加工窗口的溶剂添加剂。这种方法成功揭示了一种添加剂，使得T A窗口创纪录地宽，从16°C到28°C，且始终保持超过24%的高功率转换效率（PCEs）。从机制上讲，与先前报道的溶剂-碘化铅（PbI 2）相互作用模型相反，我们证明了通过添加剂锚定甲脒（FA）阳离子形成稳定加合物是至关重要的。这</w:t>
      </w:r>
    </w:p>
    <w:p>
      <w:pPr>
        <w:spacing w:before="0" w:after="200" w:lineRule="auto" w:line="276"/>
      </w:pPr>
      <w:r>
        <w:rPr>
          <w:b/>
        </w:rPr>
        <w:t xml:space="preserve">Abstract (EN): </w:t>
      </w:r>
      <w:r>
        <w:t>Solution-processed antisolvent-free perovskites (AFPs) are promising candidates for scalable photovoltaic (PV) production. However, achieving high-quality AFP films typically requires stringent processing conditions, limiting reliability in large-scale manufacturing. Here, we employ machine learning (ML) to identify solvent additives that modulate the ambient temperature (T A ) processing window. This approach successfully reveals an additive that enables a record-wide T A window, from 16 °C to 28 °C, with constantly high power conversion efficiencies (PCEs) exceeding 24%. Mechanistically, in contrast to the previously reported solvent-lead iodide (PbI 2 ) interaction model, we demonstrate that anchoring formamidinium (FA) cations with the additive to form stable adducts is essential. This interaction effectively suppresses crystallization kinetics, facilitating uniform precursor distribution and high-quality film formation. Importantly, these results challenge the conventional crystallization paradigm for solution-processed perovskites, which emphasizes rapid and complete nucleation during the initial stage of film deposition. Instead, we find that a uniform distribution of precursor ions, even without any nucleation, is sufficient to achieve highquality perovskite thin films. This work not only demonstrates an effective ML-guided solvent selection strategy but also provides fundamental insight into the primary crystallization requirements for scalable production of high-quality perovskite PV thin films.</w:t>
      </w:r>
    </w:p>
    <w:p>
      <w:pPr>
        <w:spacing w:before="120" w:after="120"/>
      </w:pPr>
      <w:r>
        <w:rPr>
          <w:sz w:val="18"/>
        </w:rPr>
        <w:t>——————————————————————————————————————————————————————————————————————</w:t>
      </w:r>
    </w:p>
    <w:p>
      <w:pPr>
        <w:spacing w:before="160" w:after="40" w:line="240" w:lineRule="auto"/>
      </w:pPr>
      <w:r>
        <w:rPr>
          <w:b/>
        </w:rPr>
        <w:t xml:space="preserve">[10] </w:t>
      </w:r>
      <w:hyperlink r:id="rId22">
        <w:r>
          <w:rPr>
            <w:color w:val="1155CC"/>
            <w:u w:val="single"/>
          </w:rPr>
          <w:t>一种用于高效有机太阳能电池的供体-受体集成聚合物</w:t>
        </w:r>
      </w:hyperlink>
    </w:p>
    <w:p>
      <w:pPr>
        <w:spacing w:before="0" w:after="80"/>
      </w:pPr>
      <w:r>
        <w:rPr>
          <w:i/>
          <w:sz w:val="20"/>
        </w:rPr>
        <w:t>EN: A donor-acceptor integrated polymer for efficient organic solar cells</w:t>
      </w:r>
    </w:p>
    <w:p>
      <w:pPr>
        <w:spacing w:before="0" w:after="120"/>
      </w:pPr>
      <w:r>
        <w:rPr>
          <w:b/>
        </w:rPr>
        <w:t xml:space="preserve">Source: </w:t>
      </w:r>
      <w:r>
        <w:t>AAAS: Science Advances: Table of Contents</w:t>
      </w:r>
      <w:r>
        <w:t xml:space="preserve">    </w:t>
      </w:r>
      <w:r>
        <w:rPr>
          <w:b/>
        </w:rPr>
        <w:t xml:space="preserve">Pub date: </w:t>
      </w:r>
      <w:r>
        <w:t>2026-04-08 07:00:00+00:00</w:t>
      </w:r>
      <w:r>
        <w:t xml:space="preserve">    </w:t>
      </w:r>
      <w:r>
        <w:rPr>
          <w:b/>
        </w:rPr>
        <w:t xml:space="preserve">DOI: </w:t>
      </w:r>
      <w:hyperlink r:id="rId23">
        <w:r>
          <w:rPr>
            <w:color w:val="1155CC"/>
            <w:u w:val="single"/>
          </w:rPr>
          <w:t>10.1126/sciadv.aec1922</w:t>
        </w:r>
      </w:hyperlink>
    </w:p>
    <w:p>
      <w:pPr>
        <w:spacing w:before="0" w:after="120"/>
      </w:pPr>
      <w:r>
        <w:rPr>
          <w:b/>
        </w:rPr>
        <w:t xml:space="preserve">Notes: </w:t>
      </w:r>
      <w:r>
        <w:t>abstract_source=crossref</w:t>
      </w:r>
    </w:p>
    <w:p>
      <w:pPr>
        <w:spacing w:before="0" w:after="80" w:lineRule="auto" w:line="276"/>
      </w:pPr>
      <w:r>
        <w:rPr>
          <w:b/>
        </w:rPr>
        <w:t xml:space="preserve">摘要（ZH）: </w:t>
      </w:r>
      <w:r>
        <w:t>在此，报道了一种供体-受体集成聚合物PQIC，其特征是具有刚性π-共轭框架，其中Y型小分子受体共价融合到聚合物供体骨架中。PQIC表现出平衡的双极性电荷传输、降低的缺陷密度和高电致发光效率。当作为第三组分加入时，它促进电荷渗透，同时削弱电子-声子耦合并降低缺陷态密度，从而减轻复合损失。因此，基于PQIC的三元有机太阳能电池实现了20.81%的功率转换效率（第三方认证为20.60%）。除了高效率外，器件还表现出优异的稳定性、厚膜耐受性和可扩展性，在初始效率的约85%后保持。</w:t>
      </w:r>
    </w:p>
    <w:p>
      <w:pPr>
        <w:spacing w:before="0" w:after="200" w:lineRule="auto" w:line="276"/>
      </w:pPr>
      <w:r>
        <w:rPr>
          <w:b/>
        </w:rPr>
        <w:t xml:space="preserve">Abstract (EN): </w:t>
      </w:r>
      <w:r>
        <w:t>Here, a donor-acceptor integrated polymer, PQIC, featuring a rigid π-conjugated framework, is reported, in which a Y-type small-molecule acceptor is covalently fused into a polymer donor backbone. PQIC exhibits balanced bipolar charge transport, reduced defect density, and high electroluminescence efficiency. When incorporated as a third component, it facilitates charge percolation, concurrently weakens electron-phonon coupling and lowers defect-state density, thereby alleviating recombination losses. As a result, PQIC-based ternary organic solar cells achieve a power conversion efficiency of 20.81% (third-party certified at 20.60%). In addition to high efficiency, the devices exhibit excellent stability, thick-film tolerance, and scalability, retaining ~85% of their initial efficiency after 2000 hours of maximum power point tracking, delivering 19.11% with a 300-nanometer-thick active layer, and reaching 19.78% for 1–square centimeter devices. These results highlight the potential of PQIC-based ternary systems for advancing organic solar cells.</w:t>
      </w:r>
    </w:p>
    <w:p>
      <w:pPr>
        <w:spacing w:before="120" w:after="120"/>
      </w:pPr>
      <w:r>
        <w:rPr>
          <w:sz w:val="18"/>
        </w:rPr>
        <w:t>——————————————————————————————————————————————————————————————————————</w:t>
      </w:r>
    </w:p>
    <w:p>
      <w:pPr>
        <w:spacing w:before="160" w:after="40" w:line="240" w:lineRule="auto"/>
      </w:pPr>
      <w:r>
        <w:rPr>
          <w:b/>
        </w:rPr>
        <w:t xml:space="preserve">[11] </w:t>
      </w:r>
      <w:hyperlink r:id="rId24">
        <w:r>
          <w:rPr>
            <w:color w:val="1155CC"/>
            <w:u w:val="single"/>
          </w:rPr>
          <w:t>当差的激子解离限制有机太阳能电池中的光电流：为什么低偏移非富勒烯受体混合物不能高效</w:t>
        </w:r>
      </w:hyperlink>
    </w:p>
    <w:p>
      <w:pPr>
        <w:spacing w:before="0" w:after="80"/>
      </w:pPr>
      <w:r>
        <w:rPr>
          <w:i/>
          <w:sz w:val="20"/>
        </w:rPr>
        <w:t>EN: When Poor Exciton Dissociation Limits Photocurrents in Organic Solar Cells: Why Low Offset Non‐Fullerene Acceptor Blends Can't Be Efficient</w:t>
      </w:r>
    </w:p>
    <w:p>
      <w:pPr>
        <w:spacing w:before="0" w:after="120"/>
      </w:pPr>
      <w:r>
        <w:rPr>
          <w:b/>
        </w:rPr>
        <w:t xml:space="preserve">Source: </w:t>
      </w:r>
      <w:r>
        <w:t>Wiley: Advanced Materials: Table of Contents</w:t>
      </w:r>
      <w:r>
        <w:t xml:space="preserve">    </w:t>
      </w:r>
      <w:r>
        <w:rPr>
          <w:b/>
        </w:rPr>
        <w:t xml:space="preserve">Pub date: </w:t>
      </w:r>
      <w:r>
        <w:t>2026-04-08 09:32:36+00:00</w:t>
      </w:r>
      <w:r>
        <w:t xml:space="preserve">    </w:t>
      </w:r>
      <w:r>
        <w:rPr>
          <w:b/>
        </w:rPr>
        <w:t xml:space="preserve">DOI: </w:t>
      </w:r>
      <w:hyperlink r:id="rId25">
        <w:r>
          <w:rPr>
            <w:color w:val="1155CC"/>
            <w:u w:val="single"/>
          </w:rPr>
          <w:t>10.1002/adma.202523631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有机太阳能电池中，供体和受体组分之间的能量偏移决定了光电压和光电流损失之间的权衡这一事实已被广泛认可。然而，需要更深入地理解最终限制低偏移混合物中光电流生成的光物理过程，以便为未来的分子和器件设计提供更有见地的信息。本文从准确确定状态能量和驱动力的困难到低能量偏移引起的自由电荷生成瓶颈，探讨了围绕这一主题的最重要问题。通过实验、分析和理论证据，我们进一步证实了我们的观点，即低偏移混合物中光电流损失的主要原因（如果不是唯一原因）是。</w:t>
      </w:r>
    </w:p>
    <w:p>
      <w:pPr>
        <w:spacing w:before="0" w:after="200" w:lineRule="auto" w:line="276"/>
      </w:pPr>
      <w:r>
        <w:rPr>
          <w:b/>
        </w:rPr>
        <w:t xml:space="preserve">Abstract (EN): </w:t>
      </w:r>
      <w:r>
        <w:t>It is a well‐established fact that the energetic offset between the donor and the acceptor components in organic solar cells dictates the tradeoff between photovoltage and photocurrent losses. Yet, a deeper understanding of the photophysical processes that ultimately limit photocurrent generation in low offset blends is needed for more informed future molecular and device design. This Perspective addresses the most important issues surrounding this topic, from the difficulty of accurately determining state energies and driving forces to bottlenecks in free‐charge generation arising from low energy offsets. Using experimental, analytical, and theoretical evidence, we then substantiate our view that the primary—if not the sole—cause of photocurrent losses in low offset non‐fullerene acceptor blends is the decay of excitons that did not undergo charge transfer. We conclude that the offset between the local exciton and the interfacial charge transfer state must be at least 100 meV, which translates into a frontier orbital offset of approximately 300 meV, similar to what has been proposed for fullerene‐based blends. We discuss the relevance of this finding with regard to the non‐radiative voltage loss of current high‐performance solar cells, and what measures should be taken to reduce this loss without impairing photovoltaic power generation.</w:t>
      </w:r>
    </w:p>
    <w:p>
      <w:pPr>
        <w:spacing w:before="120" w:after="120"/>
      </w:pPr>
      <w:r>
        <w:rPr>
          <w:sz w:val="18"/>
        </w:rPr>
        <w:t>——————————————————————————————————————————————————————————————————————</w:t>
      </w:r>
    </w:p>
    <w:p>
      <w:pPr>
        <w:spacing w:before="160" w:after="120"/>
      </w:pPr>
      <w:r>
        <w:rPr>
          <w:b/>
          <w:sz w:val="28"/>
        </w:rPr>
        <w:t>【正极】</w:t>
      </w:r>
    </w:p>
    <w:p>
      <w:pPr>
        <w:spacing w:before="160" w:after="40" w:line="240" w:lineRule="auto"/>
      </w:pPr>
      <w:r>
        <w:rPr>
          <w:b/>
        </w:rPr>
        <w:t xml:space="preserve">[1] </w:t>
      </w:r>
      <w:hyperlink r:id="rId26">
        <w:r>
          <w:rPr>
            <w:color w:val="1155CC"/>
            <w:u w:val="single"/>
          </w:rPr>
          <w:t>MXenes用于锌离子电池：合成、结构设计和电化学应用</w:t>
        </w:r>
      </w:hyperlink>
    </w:p>
    <w:p>
      <w:pPr>
        <w:spacing w:before="0" w:after="80"/>
      </w:pPr>
      <w:r>
        <w:rPr>
          <w:i/>
          <w:sz w:val="20"/>
        </w:rPr>
        <w:t>EN: MXenes for zinc-ion batteries: Synthesis, structural design, and electrochemical applications</w:t>
      </w:r>
    </w:p>
    <w:p>
      <w:pPr>
        <w:spacing w:before="0" w:after="120"/>
      </w:pPr>
      <w:r>
        <w:rPr>
          <w:b/>
        </w:rPr>
        <w:t xml:space="preserve">Source: </w:t>
      </w:r>
      <w:r>
        <w:t>ScienceDirect Publication: Applied Energy</w:t>
      </w:r>
      <w:r>
        <w:t xml:space="preserve">    </w:t>
      </w:r>
      <w:r>
        <w:rPr>
          <w:b/>
        </w:rPr>
        <w:t xml:space="preserve">Pub date: </w:t>
      </w:r>
      <w:r>
        <w:t>2026-04-04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27">
        <w:r>
          <w:rPr>
            <w:color w:val="1155CC"/>
            <w:u w:val="single"/>
          </w:rPr>
          <w:t>[ASAP] 针对锂离子电池正极材料晶体结构和微观结构演变的战略合成路径</w:t>
        </w:r>
      </w:hyperlink>
    </w:p>
    <w:p>
      <w:pPr>
        <w:spacing w:before="0" w:after="80"/>
      </w:pPr>
      <w:r>
        <w:rPr>
          <w:i/>
          <w:sz w:val="20"/>
        </w:rPr>
        <w:t>EN: [ASAP] Strategic Synthetic Pathway for Tailoring the Crystallographic and Microstructural Evolution of Cathode Materials for Li-Ion Batteries</w:t>
      </w:r>
    </w:p>
    <w:p>
      <w:pPr>
        <w:spacing w:before="0" w:after="120"/>
      </w:pPr>
      <w:r>
        <w:rPr>
          <w:b/>
        </w:rPr>
        <w:t xml:space="preserve">Source: </w:t>
      </w:r>
      <w:r>
        <w:t>ACS Energy Letters: Latest Articles (ACS Publications)</w:t>
      </w:r>
      <w:r>
        <w:t xml:space="preserve">    </w:t>
      </w:r>
      <w:r>
        <w:rPr>
          <w:b/>
        </w:rPr>
        <w:t xml:space="preserve">Pub date: </w:t>
      </w:r>
      <w:r>
        <w:t>2026-04-05 16:38:03+00:00</w:t>
      </w:r>
      <w:r>
        <w:t xml:space="preserve">    </w:t>
      </w:r>
      <w:r>
        <w:rPr>
          <w:b/>
        </w:rPr>
        <w:t xml:space="preserve">DOI: </w:t>
      </w:r>
      <w:hyperlink r:id="rId28">
        <w:r>
          <w:rPr>
            <w:color w:val="1155CC"/>
            <w:u w:val="single"/>
          </w:rPr>
          <w:t>10.1021/acsenergylett.6c00663</w:t>
        </w:r>
      </w:hyperlink>
    </w:p>
    <w:p>
      <w:pPr>
        <w:spacing w:before="0" w:after="120"/>
      </w:pPr>
      <w:r>
        <w:rPr>
          <w:b/>
        </w:rPr>
        <w:t xml:space="preserve">Notes: </w:t>
      </w:r>
      <w:r>
        <w:t>abstract_source=openalex</w:t>
      </w:r>
    </w:p>
    <w:p>
      <w:pPr>
        <w:spacing w:before="0" w:after="80" w:lineRule="auto" w:line="276"/>
      </w:pPr>
      <w:r>
        <w:rPr>
          <w:b/>
        </w:rPr>
        <w:t xml:space="preserve">摘要（ZH）: </w:t>
      </w:r>
      <w:r>
        <w:t>城市空中交通（UAM）需要富镍正极以平衡能量密度、功率和稳定性；然而，由于热要求的冲突，正极材料的合成在优化锂化和微观结构方面遇到了困难。在此，我们提出了一种战略性的两步煅烧方案，功能性地将锂化与结构演变解耦。通过中温锂化的顺序过程，随后冷却和高温煅烧，并通过Nb掺杂控制结构演变，我们制造了一种由细小、径向排列的初级颗粒组成的正极材料。这一策略延缓了完全相变，建立了一个独特的多相结构，其中岩盐纳米域与层状基质共存。</w:t>
      </w:r>
    </w:p>
    <w:p>
      <w:pPr>
        <w:spacing w:before="0" w:after="200" w:lineRule="auto" w:line="276"/>
      </w:pPr>
      <w:r>
        <w:rPr>
          <w:b/>
        </w:rPr>
        <w:t xml:space="preserve">Abstract (EN): </w:t>
      </w:r>
      <w:r>
        <w:t>Urban air mobility (UAM) demands a Ni-rich cathode to balance the energy density, power, and stability; however, the synthesis of the cathode material struggles to optimize lithiation and the microstructure owing to the conflicting thermal requirements. Herein, we propose a strategic two-step calcination protocol that functionally decouples lithiation from structural evolution. Via a sequential process of intermediate-temperature lithiation, followed by cooling and high-temperature calcination with Nb doping to control the structural evolution, we fabricated a cathode material comprising fine, radially aligned primary particles. This strategy retarded complete phase transformation, establishing a unique multiphase structure, wherein rocksalt nanodomains coexisted within a layered matrix. This intentionally preserved intermediate phase facilitated a reversible spinel-like transformation upon charging, providing three-dimensional Li diffusion pathways. The optimized cathode demonstrated long-term power stability under harsh UAM flight profiles. This study presents a systematic approach for tailoring the physicochemical properties by precisely controlling the reaction pathway.</w:t>
      </w:r>
    </w:p>
    <w:p>
      <w:pPr>
        <w:spacing w:before="120" w:after="120"/>
      </w:pPr>
      <w:r>
        <w:rPr>
          <w:sz w:val="18"/>
        </w:rPr>
        <w:t>——————————————————————————————————————————————————————————————————————</w:t>
      </w:r>
    </w:p>
    <w:p>
      <w:pPr>
        <w:spacing w:before="160" w:after="40" w:line="240" w:lineRule="auto"/>
      </w:pPr>
      <w:r>
        <w:rPr>
          <w:b/>
        </w:rPr>
        <w:t xml:space="preserve">[3] </w:t>
      </w:r>
      <w:hyperlink r:id="rId29">
        <w:r>
          <w:rPr>
            <w:color w:val="1155CC"/>
            <w:u w:val="single"/>
          </w:rPr>
          <w:t>电极材料中的晶体水工程：解码结构-性能动态以用于先进的储能设备</w:t>
        </w:r>
      </w:hyperlink>
    </w:p>
    <w:p>
      <w:pPr>
        <w:spacing w:before="0" w:after="80"/>
      </w:pPr>
      <w:r>
        <w:rPr>
          <w:i/>
          <w:sz w:val="20"/>
        </w:rPr>
        <w:t>EN: Crystal Water Engineering in Electrode Materials: Decoding Structure‐Property Dynamics for Advanced Energy Storage Devices</w:t>
      </w:r>
    </w:p>
    <w:p>
      <w:pPr>
        <w:spacing w:before="0" w:after="120"/>
      </w:pPr>
      <w:r>
        <w:rPr>
          <w:b/>
        </w:rPr>
        <w:t xml:space="preserve">Source: </w:t>
      </w:r>
      <w:r>
        <w:t>Wiley: Advanced Energy Materials: Table of Contents</w:t>
      </w:r>
      <w:r>
        <w:t xml:space="preserve">    </w:t>
      </w:r>
      <w:r>
        <w:rPr>
          <w:b/>
        </w:rPr>
        <w:t xml:space="preserve">Pub date: </w:t>
      </w:r>
      <w:r>
        <w:t>2026-04-06 03:11:24+00:00</w:t>
      </w:r>
      <w:r>
        <w:t xml:space="preserve">    </w:t>
      </w:r>
      <w:r>
        <w:rPr>
          <w:b/>
        </w:rPr>
        <w:t xml:space="preserve">DOI: </w:t>
      </w:r>
      <w:hyperlink r:id="rId30">
        <w:r>
          <w:rPr>
            <w:color w:val="1155CC"/>
            <w:u w:val="single"/>
          </w:rPr>
          <w:t>10.1002/aenm.70913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结晶水，传统上被视为一种被动甚至有害的成分，已成为先进储能材料中的一个完整且动态的结构单元。尽管其在调节结构稳定性和离子传输动力学方面起着关键作用，但对不同储能系统中结晶水的独特结构-性能动态的全面理解仍然难以捉摸。在此，本综述系统地解码了结晶水工程的基本机制和多方面应用。我们全面审查了其在单价离子（例如，Li</w:t>
      </w:r>
      <w:r>
        <w:t xml:space="preserve"> </w:t>
      </w:r>
      <w:r>
        <w:t>+</w:t>
      </w:r>
      <w:r>
        <w:t xml:space="preserve"> </w:t>
      </w:r>
      <w:r>
        <w:t>，Na</w:t>
      </w:r>
      <w:r>
        <w:t xml:space="preserve"> </w:t>
      </w:r>
      <w:r>
        <w:t>+</w:t>
      </w:r>
      <w:r>
        <w:t xml:space="preserve"> </w:t>
      </w:r>
      <w:r>
        <w:t>，K</w:t>
      </w:r>
      <w:r>
        <w:t xml:space="preserve"> </w:t>
      </w:r>
      <w:r>
        <w:t>+</w:t>
      </w:r>
      <w:r>
        <w:t xml:space="preserve"> </w:t>
      </w:r>
      <w:r>
        <w:t>）中的定制功能。</w:t>
      </w:r>
    </w:p>
    <w:p>
      <w:pPr>
        <w:spacing w:before="0" w:after="200" w:lineRule="auto" w:line="276"/>
      </w:pPr>
      <w:r>
        <w:rPr>
          <w:b/>
        </w:rPr>
        <w:t xml:space="preserve">Abstract (EN): </w:t>
      </w:r>
      <w:r>
        <w:t>Crystal water, traditionally viewed as a passive or even detrimental component, has emerged as an integral and dynamic structural unit in advanced energy storage materials. Despite its critical role in modulating structural stability and ion transport kinetics, a comprehensive understanding of the distinct structure‐property dynamics of crystal water across diverse energy storage systems remains elusive. Herein, this review systematically decodes the fundamental mechanisms and multifaceted applications of crystal water engineering. We comprehensively examine its tailored functionalities in monovalent‐ion (e.g., Li</w:t>
      </w:r>
      <w:r>
        <w:t xml:space="preserve"> </w:t>
      </w:r>
      <w:r>
        <w:t>+</w:t>
      </w:r>
      <w:r>
        <w:t xml:space="preserve"> </w:t>
      </w:r>
      <w:r>
        <w:t>, Na</w:t>
      </w:r>
      <w:r>
        <w:t xml:space="preserve"> </w:t>
      </w:r>
      <w:r>
        <w:t>+</w:t>
      </w:r>
      <w:r>
        <w:t xml:space="preserve"> </w:t>
      </w:r>
      <w:r>
        <w:t>, K</w:t>
      </w:r>
      <w:r>
        <w:t xml:space="preserve"> </w:t>
      </w:r>
      <w:r>
        <w:t>+</w:t>
      </w:r>
      <w:r>
        <w:t xml:space="preserve"> </w:t>
      </w:r>
      <w:r>
        <w:t>) and multivalent‐ion (e.g., Mg</w:t>
      </w:r>
      <w:r>
        <w:t xml:space="preserve"> </w:t>
      </w:r>
      <w:r>
        <w:t>2+</w:t>
      </w:r>
      <w:r>
        <w:t xml:space="preserve"> </w:t>
      </w:r>
      <w:r>
        <w:t>, Zn</w:t>
      </w:r>
      <w:r>
        <w:t xml:space="preserve"> </w:t>
      </w:r>
      <w:r>
        <w:t>2+</w:t>
      </w:r>
      <w:r>
        <w:t xml:space="preserve"> </w:t>
      </w:r>
      <w:r>
        <w:t>, Ca</w:t>
      </w:r>
      <w:r>
        <w:t xml:space="preserve"> </w:t>
      </w:r>
      <w:r>
        <w:t>2+</w:t>
      </w:r>
      <w:r>
        <w:t xml:space="preserve"> </w:t>
      </w:r>
      <w:r>
        <w:t>) batteries, highlighting distinct mechanistic disparities ranging from mitigating steric hindrance via lattice expansion to shielding electrostatic interactions through solid‐state solvation. The discussion also extends to emerging systems, such as supercapacitors and solid‐state or quasi‐solid‐state electrolytes, where structurally confined water uniquely acts as an ionic lubricant and a rapid ion‐hopping promoter. Finally, critical open questions and emerging opportunities are analyzed, highlighting transformative potential of crystal water in guiding the rational design of next‐generation energy storage materials.</w:t>
      </w:r>
    </w:p>
    <w:p>
      <w:pPr>
        <w:spacing w:before="120" w:after="120"/>
      </w:pPr>
      <w:r>
        <w:rPr>
          <w:sz w:val="18"/>
        </w:rPr>
        <w:t>——————————————————————————————————————————————————————————————————————</w:t>
      </w:r>
    </w:p>
    <w:p>
      <w:pPr>
        <w:spacing w:before="160" w:after="40" w:line="240" w:lineRule="auto"/>
      </w:pPr>
      <w:r>
        <w:rPr>
          <w:b/>
        </w:rPr>
        <w:t xml:space="preserve">[4] </w:t>
      </w:r>
      <w:hyperlink r:id="rId31">
        <w:r>
          <w:rPr>
            <w:color w:val="1155CC"/>
            <w:u w:val="single"/>
          </w:rPr>
          <w:t>[ASAP] 板滑引起的表面纳米台阶在LiCoO2高电压不稳定性中的作用</w:t>
        </w:r>
      </w:hyperlink>
    </w:p>
    <w:p>
      <w:pPr>
        <w:spacing w:before="0" w:after="80"/>
      </w:pPr>
      <w:r>
        <w:rPr>
          <w:i/>
          <w:sz w:val="20"/>
        </w:rPr>
        <w:t>EN: [ASAP] Roles of Slab-Gliding-Induced Surface Nano-Steps in High-Voltage Instability of LiCoO2</w:t>
      </w:r>
    </w:p>
    <w:p>
      <w:pPr>
        <w:spacing w:before="0" w:after="120"/>
      </w:pPr>
      <w:r>
        <w:rPr>
          <w:b/>
        </w:rPr>
        <w:t xml:space="preserve">Source: </w:t>
      </w:r>
      <w:r>
        <w:t>Journal of the American Chemical Society: Latest Articles (ACS Publications)</w:t>
      </w:r>
      <w:r>
        <w:t xml:space="preserve">    </w:t>
      </w:r>
      <w:r>
        <w:rPr>
          <w:b/>
        </w:rPr>
        <w:t xml:space="preserve">Pub date: </w:t>
      </w:r>
      <w:r>
        <w:t>2026-04-06 10:29:04+00:00</w:t>
      </w:r>
      <w:r>
        <w:t xml:space="preserve">    </w:t>
      </w:r>
      <w:r>
        <w:rPr>
          <w:b/>
        </w:rPr>
        <w:t xml:space="preserve">DOI: </w:t>
      </w:r>
      <w:hyperlink r:id="rId32">
        <w:r>
          <w:rPr>
            <w:color w:val="1155CC"/>
            <w:u w:val="single"/>
          </w:rPr>
          <w:t>10.1021/jacs.5c20351</w:t>
        </w:r>
      </w:hyperlink>
    </w:p>
    <w:p>
      <w:pPr>
        <w:spacing w:before="0" w:after="120"/>
      </w:pPr>
      <w:r>
        <w:rPr>
          <w:b/>
        </w:rPr>
        <w:t xml:space="preserve">Notes: </w:t>
      </w:r>
      <w:r>
        <w:t>abstract_source=pubmed</w:t>
      </w:r>
    </w:p>
    <w:p>
      <w:pPr>
        <w:spacing w:before="0" w:after="80" w:lineRule="auto" w:line="276"/>
      </w:pPr>
      <w:r>
        <w:rPr>
          <w:b/>
        </w:rPr>
        <w:t xml:space="preserve">摘要（ZH）: </w:t>
      </w:r>
      <w:r>
        <w:t>在高电压操作下，由于晶格氧（lattice-O）损失导致的快速容量衰减仍然是层状LiCoO2（LCO）正极的一个关键挑战。最近，已经探索了各种表面改性策略来抑制晶格氧损失，但其潜在机制仍存在争议。在此，我们识别出LCO上的滑动诱导表面纳米台阶，并阐明其在驱动晶格氧损失中的作用。这些纳米台阶（每步10-20 nm）是由深度脱锂过程中相变期间局部Co-O层滑动引起的，从而在（003）和（104）平面上暴露出大量活性晶格On-（0 &lt; n &lt; 2）位点，在这些位点上氧空位（OVs）可以以显著降低的形成能形成。因此，这加速了晶格氧损失并促进了氧空位的形成。</w:t>
      </w:r>
    </w:p>
    <w:p>
      <w:pPr>
        <w:spacing w:before="0" w:after="200" w:lineRule="auto" w:line="276"/>
      </w:pPr>
      <w:r>
        <w:rPr>
          <w:b/>
        </w:rPr>
        <w:t xml:space="preserve">Abstract (EN): </w:t>
      </w:r>
      <w:r>
        <w:t>Rapid capacity decay caused by lattice oxygen (lattice-O) loss under high-voltage operation remains a critical challenge for layered LiCoO2 (LCO) cathodes. Recently, various surface modification strategies have been explored to suppress lattice-O loss, yet the underlying mechanisms remain controversial. Herein, we identify slab-gliding-induced surface nanosteps on LCO and elucidate their role in driving lattice-O loss. These nanosteps (10-20 nm per step) are induced by local Co-O slab gliding during phase transitions upon deep delithiation, thereby exposing numerous active lattice On- (0 &lt; n &lt; 2) sites on the (003) and (104) planes, where oxygen vacancies (OVs) can form with significantly reduced formation energies. Consequently, this accelerates lattice-O loss and promotes the formation of a surface Li+-blocking layer, ultimately causing a rapid capacity decay. We further demonstrate that even if a rock-salt (RS) phase forms electrochemically in situ (e-RS) on the LCO surface, it fails to suppress the lattice-O loss due to the emergence of surface nanosteps. In contrast, a prefabricated RS layer (p-RS) with enhanced mechanical robustness effectively inhibits the formation of such nanosteps, thereby intrinsically suppressing lattice-O loss during cycling. This work identifies slab-gliding-induced surface nanosteps as a key structural trigger for lattice-O loss and demonstrates that prefabricated RS coatings offer an effective route to stabilize high-voltage LCO cathodes.</w:t>
      </w:r>
    </w:p>
    <w:p>
      <w:pPr>
        <w:spacing w:before="120" w:after="120"/>
      </w:pPr>
      <w:r>
        <w:rPr>
          <w:sz w:val="18"/>
        </w:rPr>
        <w:t>——————————————————————————————————————————————————————————————————————</w:t>
      </w:r>
    </w:p>
    <w:p>
      <w:pPr>
        <w:spacing w:before="160" w:after="40" w:line="240" w:lineRule="auto"/>
      </w:pPr>
      <w:r>
        <w:rPr>
          <w:b/>
        </w:rPr>
        <w:t xml:space="preserve">[5] </w:t>
      </w:r>
      <w:hyperlink r:id="rId33">
        <w:r>
          <w:rPr>
            <w:color w:val="1155CC"/>
            <w:u w:val="single"/>
          </w:rPr>
          <w:t>电解质诱导的界面/体相双重调节实现Li富集阴极的可忽略容量衰减</w:t>
        </w:r>
      </w:hyperlink>
    </w:p>
    <w:p>
      <w:pPr>
        <w:spacing w:before="0" w:after="80"/>
      </w:pPr>
      <w:r>
        <w:rPr>
          <w:i/>
          <w:sz w:val="20"/>
        </w:rPr>
        <w:t>EN: Electrolyte‐Induced Interfacial/Bulk Dual Regulation Enables Negligible Capacity Decay in Li‐Rich Cathodes</w:t>
      </w:r>
    </w:p>
    <w:p>
      <w:pPr>
        <w:spacing w:before="0" w:after="120"/>
      </w:pPr>
      <w:r>
        <w:rPr>
          <w:b/>
        </w:rPr>
        <w:t xml:space="preserve">Source: </w:t>
      </w:r>
      <w:r>
        <w:t>Wiley: Advanced Materials: Table of Contents</w:t>
      </w:r>
      <w:r>
        <w:t xml:space="preserve">    </w:t>
      </w:r>
      <w:r>
        <w:rPr>
          <w:b/>
        </w:rPr>
        <w:t xml:space="preserve">Pub date: </w:t>
      </w:r>
      <w:r>
        <w:t>2026-04-06 13:16:53+00:00</w:t>
      </w:r>
      <w:r>
        <w:t xml:space="preserve">    </w:t>
      </w:r>
      <w:r>
        <w:rPr>
          <w:b/>
        </w:rPr>
        <w:t xml:space="preserve">DOI: </w:t>
      </w:r>
      <w:hyperlink r:id="rId34">
        <w:r>
          <w:rPr>
            <w:color w:val="1155CC"/>
            <w:u w:val="single"/>
          </w:rPr>
          <w:t>10.1002/adma.72969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富锂锰基氧化物（LRMO）因界面不稳定性和与Jahn‐Teller（J‐T）畸变相关的体结构退化而导致快速容量衰减。此类畸变加速了表面氧活性，触发了不均匀的阴极电解质界面（CEI）形成，并促进了寄生反应。在此，我们开发了一种电解质诱导的界面/体双重调控策略，通过协调的界面/体调控实现了富锂阴极的可忽略容量衰减。原位表征结合界面成分分析证实了薄而均匀且稳固的LiF/LiBO的动态形成</w:t>
      </w:r>
    </w:p>
    <w:p>
      <w:pPr>
        <w:spacing w:before="0" w:after="200" w:lineRule="auto" w:line="276"/>
      </w:pPr>
      <w:r>
        <w:rPr>
          <w:b/>
        </w:rPr>
        <w:t xml:space="preserve">Abstract (EN): </w:t>
      </w:r>
      <w:r>
        <w:t>Lithium‐rich manganese‐based oxides (LRMO) suffer from rapid capacity decay, mainly driven by interfacial instability and bulk structural degradation associated with Jahn‐Teller (J‐T) distortion in Mn</w:t>
      </w:r>
      <w:r>
        <w:t xml:space="preserve"> </w:t>
      </w:r>
      <w:r>
        <w:t>3+</w:t>
      </w:r>
      <w:r>
        <w:t xml:space="preserve"> </w:t>
      </w:r>
      <w:r>
        <w:t>‐rich regions. Such distortion accelerates surface oxygen activity, triggers nonuniform cathode electrolyte interphase (CEI) formation along with promoted parasitic reactions. Herein, we develop an electrolyte‑induced interfacial/bulk dual regulation strategy that enables negligible capacity decay in Li‑rich cathodes via coordinated interfacial/bulk regulation. In situ characterizations combined with interfacial compositional analyses confirm the dynamic formation of a thin, uniform, and robust LiF/LiBO</w:t>
      </w:r>
      <w:r>
        <w:rPr>
          <w:vertAlign w:val="subscript"/>
        </w:rPr>
        <w:t>2</w:t>
      </w:r>
      <w:r>
        <w:t>‐rich CEI, which stabilizes surface oxygen species and suppresses interfacial side reactions. Meanwhile, local structural analyses combined with theoretical calculations reveal that fluorinated molecules regulate Mn into a low‐spin configuration, thereby alleviating J‐T distortion and preventing bulk structural degradation. Benefiting from this dual induced interfacial‐bulk stabilization effect, LRMO||Li cells deliver an initial capacity of 219.6 mAh g</w:t>
      </w:r>
      <w:r>
        <w:t xml:space="preserve"> </w:t>
      </w:r>
      <w:r>
        <w:t>−1</w:t>
      </w:r>
      <w:r>
        <w:t xml:space="preserve"> </w:t>
      </w:r>
      <w:r>
        <w:t>and retain 97.6% of their capacity after 400 cycles. This work provides a new pathway toward electrolyte‐mediated dual stabilization and demonstrates the feasibility of mitigating capacity decay in Li‐rich cathodes via electrolyte‐induced interfacial/bulk regulation.</w:t>
      </w:r>
    </w:p>
    <w:p>
      <w:pPr>
        <w:spacing w:before="120" w:after="120"/>
      </w:pPr>
      <w:r>
        <w:rPr>
          <w:sz w:val="18"/>
        </w:rPr>
        <w:t>——————————————————————————————————————————————————————————————————————</w:t>
      </w:r>
    </w:p>
    <w:p>
      <w:pPr>
        <w:spacing w:before="160" w:after="40" w:line="240" w:lineRule="auto"/>
      </w:pPr>
      <w:r>
        <w:rPr>
          <w:b/>
        </w:rPr>
        <w:t xml:space="preserve">[6] </w:t>
      </w:r>
      <w:hyperlink r:id="rId35">
        <w:r>
          <w:rPr>
            <w:color w:val="1155CC"/>
            <w:u w:val="single"/>
          </w:rPr>
          <w:t>调节界面电场以稳定高电压KVPO4F正极用于可持续钾离子电池</w:t>
        </w:r>
      </w:hyperlink>
    </w:p>
    <w:p>
      <w:pPr>
        <w:spacing w:before="0" w:after="80"/>
      </w:pPr>
      <w:r>
        <w:rPr>
          <w:i/>
          <w:sz w:val="20"/>
        </w:rPr>
        <w:t>EN: Regulating interface electric field to stabilize high-voltage KVPO4F positive electrode for sustainable potassium-ion batteries</w:t>
      </w:r>
    </w:p>
    <w:p>
      <w:pPr>
        <w:spacing w:before="0" w:after="120"/>
      </w:pPr>
      <w:r>
        <w:rPr>
          <w:b/>
        </w:rPr>
        <w:t xml:space="preserve">Source: </w:t>
      </w:r>
      <w:r>
        <w:t>Nature Communications</w:t>
      </w:r>
      <w:r>
        <w:t xml:space="preserve">    </w:t>
      </w:r>
      <w:r>
        <w:rPr>
          <w:b/>
        </w:rPr>
        <w:t xml:space="preserve">Pub date: </w:t>
      </w:r>
      <w:r>
        <w:t>2026-04-07 00:00:00+00:00</w:t>
      </w:r>
      <w:r>
        <w:t xml:space="preserve">    </w:t>
      </w:r>
      <w:r>
        <w:rPr>
          <w:b/>
        </w:rPr>
        <w:t xml:space="preserve">DOI: </w:t>
      </w:r>
      <w:hyperlink r:id="rId36">
        <w:r>
          <w:rPr>
            <w:color w:val="1155CC"/>
            <w:u w:val="single"/>
          </w:rPr>
          <w:t>10.1038/s41467-026-71647-x</w:t>
        </w:r>
      </w:hyperlink>
    </w:p>
    <w:p>
      <w:pPr>
        <w:spacing w:before="0" w:after="120"/>
      </w:pPr>
      <w:r>
        <w:rPr>
          <w:b/>
        </w:rPr>
        <w:t xml:space="preserve">Notes: </w:t>
      </w:r>
      <w:r>
        <w:t>abstract_source=nature_html</w:t>
      </w:r>
    </w:p>
    <w:p>
      <w:pPr>
        <w:spacing w:before="0" w:after="80" w:lineRule="auto" w:line="276"/>
      </w:pPr>
      <w:r>
        <w:rPr>
          <w:b/>
        </w:rPr>
        <w:t xml:space="preserve">摘要（ZH）: </w:t>
      </w:r>
      <w:r>
        <w:t>由于其稳固的三维框架和高工作电压，氟磷酸盐在钾离子电池中引起了广泛关注。然而，其实际应用受到固有限制的制约，包括低导电性和不稳定的正极电解质界面。在此，我们提出了一种界面电场调节策略，以稳定KVPO4F正极材料的正极电解质界面。基于理论计算和原位表征，我们发现增强的界面电场可以同时优化电子和K+的传输，提高晶体结构的稳定性，并促进形成一层薄的（约2.7 nm）、稳定的正极电解质界面层。该设计</w:t>
      </w:r>
    </w:p>
    <w:p>
      <w:pPr>
        <w:spacing w:before="0" w:after="200" w:lineRule="auto" w:line="276"/>
      </w:pPr>
      <w:r>
        <w:rPr>
          <w:b/>
        </w:rPr>
        <w:t xml:space="preserve">Abstract (EN): </w:t>
      </w:r>
      <w:r>
        <w:t>Fluorophosphates have garnered widespread attention in potassium-ion batteries due to their robust three-dimensional frameworks and high operating voltage. However, their practical implementation is restricted by inherent limitations, including low conductivity and an unstable cathode electrolyte interface. Herein, we propose an interfacial electric field regulating strategy to stabilize the cathode electrolyte interface of the KVPO4F positive electrode material. Based on theoretical calculations and in situ characterization, we find that the enhanced interfacial electric field can simultaneously optimize the transport of electrons and K+, improve the stability of the crystal structure, and facilitate the formation of a thin (~2.7 nm), stable cathode electrolyte interface layer. The designed composite material of KVPO4F and nitrogen-doped carbon nanotubes achieves a high specific energy of 454.8 Wh kg−1 (based on the mass of the positive electrode) in the voltage window of 2.0–5.0 V at 0.5 C (1 C = 131 mA g−1). The relevant full cell also exhibits good cycling stability, with a capacity retention of 80.6% after 2000 cycles at 1 C. Furthermore, this interfacial electric field regulation strategy can also be extended to other polyanionic systems such as KFeSO4F and KTiPO4F, demonstrating practical application potential. This study elucidates an interfacial electric field regulation approach and provides alternative insights for the development of high-energy-density and long-cycle-life potassium-ion batteries.</w:t>
      </w:r>
    </w:p>
    <w:p>
      <w:pPr>
        <w:spacing w:before="120" w:after="120"/>
      </w:pPr>
      <w:r>
        <w:rPr>
          <w:sz w:val="18"/>
        </w:rPr>
        <w:t>——————————————————————————————————————————————————————————————————————</w:t>
      </w:r>
    </w:p>
    <w:p>
      <w:pPr>
        <w:spacing w:before="160" w:after="40" w:line="240" w:lineRule="auto"/>
      </w:pPr>
      <w:r>
        <w:rPr>
          <w:b/>
        </w:rPr>
        <w:t xml:space="preserve">[7] </w:t>
      </w:r>
      <w:hyperlink r:id="rId37">
        <w:r>
          <w:rPr>
            <w:color w:val="1155CC"/>
            <w:u w:val="single"/>
          </w:rPr>
          <w:t>具有非平面π扩展骨架的可编程二乙炔桥联环四噻吩用于电化学钠储存</w:t>
        </w:r>
      </w:hyperlink>
    </w:p>
    <w:p>
      <w:pPr>
        <w:spacing w:before="0" w:after="80"/>
      </w:pPr>
      <w:r>
        <w:rPr>
          <w:i/>
          <w:sz w:val="20"/>
        </w:rPr>
        <w:t>EN: Programmable Diacetylene‐Bridged Cyclotetrathiophenes With Nonplanar π‐Expanded Skeleton for Electrochemical Sodium Storage</w:t>
      </w:r>
    </w:p>
    <w:p>
      <w:pPr>
        <w:spacing w:before="0" w:after="120"/>
      </w:pPr>
      <w:r>
        <w:rPr>
          <w:b/>
        </w:rPr>
        <w:t xml:space="preserve">Source: </w:t>
      </w:r>
      <w:r>
        <w:t>Wiley: Angewandte Chemie International Edition: Table of Contents</w:t>
      </w:r>
      <w:r>
        <w:t xml:space="preserve">    </w:t>
      </w:r>
      <w:r>
        <w:rPr>
          <w:b/>
        </w:rPr>
        <w:t xml:space="preserve">Pub date: </w:t>
      </w:r>
      <w:r>
        <w:t>2026-04-07 07:11:33+00:00</w:t>
      </w:r>
      <w:r>
        <w:t xml:space="preserve">    </w:t>
      </w:r>
      <w:r>
        <w:rPr>
          <w:b/>
        </w:rPr>
        <w:t xml:space="preserve">DOI: </w:t>
      </w:r>
      <w:hyperlink r:id="rId38">
        <w:r>
          <w:rPr>
            <w:color w:val="1155CC"/>
            <w:u w:val="single"/>
          </w:rPr>
          <w:t>10.1002/anie.4610174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融合芳香环系统在分子级设计中提供了灵活性，促进了可编程的氧化还原活性，并表现出显著的能量存储性能。然而，平面骨架结构和强π–π堆积显著阻碍了其实际容量和循环稳定性。在此，我们提出了一种新颖的三维（3D）聚合物，二乙炔连接的环四噻吩（3D-PTE-COTh），具有部分晶体结构，其基于噻吩融合的[8]环烯框架和分子内乙炔连接线。这种结构利用了由休克尔规则调节的电化学诱导微型望远镜行为，允许动态构象</w:t>
      </w:r>
    </w:p>
    <w:p>
      <w:pPr>
        <w:spacing w:before="0" w:after="200" w:lineRule="auto" w:line="276"/>
      </w:pPr>
      <w:r>
        <w:rPr>
          <w:b/>
        </w:rPr>
        <w:t xml:space="preserve">Abstract (EN): </w:t>
      </w:r>
      <w:r>
        <w:t>Fused aromatic ring systems offer flexibility in molecular‐level design, facilitating programmable redox activity and exhibiting remarkable energy‐storage performance. Nevertheless, the planar backbone structure and strong π–π stacking significantly impede their practical capacity and cycle stability. Herein, we present a novel three‐dimensional (3D) polymer, diacetylene‐linked cyclic tetrathiophene (</w:t>
      </w:r>
      <w:r>
        <w:t xml:space="preserve"> </w:t>
      </w:r>
      <w:r>
        <w:t>3D‐PTE‐COTh</w:t>
      </w:r>
      <w:r>
        <w:t xml:space="preserve"> </w:t>
      </w:r>
      <w:r>
        <w:t>) with a partial crystalline structure, which is based on the thiophene‐fused [8]cycloene framework and intramolecular acetylene connecting wires. This construction exploits the electrochemically induced micro‐telescopic behavior regulated by Hückel's rule, allowing for dynamic conformational alterations that alleviate π–π stacking effects. Simultaneously, the combination of fused thiophene and graphdiyne‐like linkages improves electronic conductivity and introduces a plethora of electron‐deficient redox‐active sites. As a cathode material, the synergistic sodium storage of the cyclooctatetraene (C</w:t>
      </w:r>
      <w:r>
        <w:rPr>
          <w:vertAlign w:val="subscript"/>
        </w:rPr>
        <w:t>8</w:t>
      </w:r>
      <w:r>
        <w:t>ring), ─C≡C─C≡C─ bonds, and fused‐thiophene enables</w:t>
      </w:r>
      <w:r>
        <w:t xml:space="preserve"> </w:t>
      </w:r>
      <w:r>
        <w:t>3D‐PTE‐COTh</w:t>
      </w:r>
      <w:r>
        <w:t xml:space="preserve"> </w:t>
      </w:r>
      <w:r>
        <w:t>to achieve a high specific capacity of 347.9 mAh g</w:t>
      </w:r>
      <w:r>
        <w:t xml:space="preserve"> </w:t>
      </w:r>
      <w:r>
        <w:t>−1</w:t>
      </w:r>
      <w:r>
        <w:t xml:space="preserve"> </w:t>
      </w:r>
      <w:r>
        <w:t>at 0.5 A g</w:t>
      </w:r>
      <w:r>
        <w:t xml:space="preserve"> </w:t>
      </w:r>
      <w:r>
        <w:t>−1</w:t>
      </w:r>
      <w:r>
        <w:t xml:space="preserve"> </w:t>
      </w:r>
      <w:r>
        <w:t>, thereby presenting new prospects for the design of advanced organic electrode materials.</w:t>
      </w:r>
    </w:p>
    <w:p>
      <w:pPr>
        <w:spacing w:before="120" w:after="120"/>
      </w:pPr>
      <w:r>
        <w:rPr>
          <w:sz w:val="18"/>
        </w:rPr>
        <w:t>——————————————————————————————————————————————————————————————————————</w:t>
      </w:r>
    </w:p>
    <w:p>
      <w:pPr>
        <w:spacing w:before="160" w:after="40" w:line="240" w:lineRule="auto"/>
      </w:pPr>
      <w:r>
        <w:rPr>
          <w:b/>
        </w:rPr>
        <w:t xml:space="preserve">[8] </w:t>
      </w:r>
      <w:hyperlink r:id="rId39">
        <w:r>
          <w:rPr>
            <w:color w:val="1155CC"/>
            <w:u w:val="single"/>
          </w:rPr>
          <w:t>从惰性到活性：打破Mott局域化实现Na4MnFe(PO4)3基正极的高钠储存性能</w:t>
        </w:r>
      </w:hyperlink>
    </w:p>
    <w:p>
      <w:pPr>
        <w:spacing w:before="0" w:after="80"/>
      </w:pPr>
      <w:r>
        <w:rPr>
          <w:i/>
          <w:sz w:val="20"/>
        </w:rPr>
        <w:t>EN: From Inert to Active: Breaking Mott‐localization Enables High Na‐Storage Performance in Na4MnFe(PO4)3‐based Cathode</w:t>
      </w:r>
    </w:p>
    <w:p>
      <w:pPr>
        <w:spacing w:before="0" w:after="120"/>
      </w:pPr>
      <w:r>
        <w:rPr>
          <w:b/>
        </w:rPr>
        <w:t xml:space="preserve">Source: </w:t>
      </w:r>
      <w:r>
        <w:t>Wiley: Advanced Materials: Table of Contents</w:t>
      </w:r>
      <w:r>
        <w:t xml:space="preserve">    </w:t>
      </w:r>
      <w:r>
        <w:rPr>
          <w:b/>
        </w:rPr>
        <w:t xml:space="preserve">Pub date: </w:t>
      </w:r>
      <w:r>
        <w:t>2026-04-07 13:38:20+00:00</w:t>
      </w:r>
      <w:r>
        <w:t xml:space="preserve">    </w:t>
      </w:r>
      <w:r>
        <w:rPr>
          <w:b/>
        </w:rPr>
        <w:t xml:space="preserve">DOI: </w:t>
      </w:r>
      <w:hyperlink r:id="rId40">
        <w:r>
          <w:rPr>
            <w:color w:val="1155CC"/>
            <w:u w:val="single"/>
          </w:rPr>
          <w:t>10.1002/adma.73020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作为钠离子电池的可持续阴极材料，Na4MnFe(PO4)3（NMFP）因其高理论工作电压和成本效益而受到重视。然而，其实际电化学活性与理论预测相悖，表现出显著的低活性。在此，我们揭示这种不活性主要源于Mott局域化，由Mn的高自旋3d5电子构型（t2g3eg2）中的强电子关联驱动。</w:t>
      </w:r>
    </w:p>
    <w:p>
      <w:pPr>
        <w:spacing w:before="0" w:after="200" w:lineRule="auto" w:line="276"/>
      </w:pPr>
      <w:r>
        <w:rPr>
          <w:b/>
        </w:rPr>
        <w:t xml:space="preserve">Abstract (EN): </w:t>
      </w:r>
      <w:r>
        <w:t>As a sustainable cathode material for sodium‐ion batteries, Na</w:t>
      </w:r>
      <w:r>
        <w:rPr>
          <w:vertAlign w:val="subscript"/>
        </w:rPr>
        <w:t>4</w:t>
      </w:r>
      <w:r>
        <w:t>MnFe(PO</w:t>
      </w:r>
      <w:r>
        <w:rPr>
          <w:vertAlign w:val="subscript"/>
        </w:rPr>
        <w:t>4</w:t>
      </w:r>
      <w:r>
        <w:t>)</w:t>
      </w:r>
      <w:r>
        <w:rPr>
          <w:vertAlign w:val="subscript"/>
        </w:rPr>
        <w:t>3</w:t>
      </w:r>
      <w:r>
        <w:t>(NMFP) is prized for high theoretical operating voltage and cost‐effectiveness. However, its practical electrochemical activity is notoriously poor, contradicting theoretical predictions. Here, we reveal that this inactivity stems primarily from Mott localization, driven by strong electron correlations within the high‐spin 3d</w:t>
      </w:r>
      <w:r>
        <w:rPr>
          <w:vertAlign w:val="subscript"/>
        </w:rPr>
        <w:t>5</w:t>
      </w:r>
      <w:r>
        <w:t>electronic configuration (t</w:t>
      </w:r>
      <w:r>
        <w:t xml:space="preserve"> </w:t>
      </w:r>
      <w:r>
        <w:t>2g</w:t>
      </w:r>
      <w:r>
        <w:rPr>
          <w:vertAlign w:val="subscript"/>
        </w:rPr>
        <w:t>3</w:t>
      </w:r>
      <w:r>
        <w:t>e</w:t>
      </w:r>
      <w:r>
        <w:t xml:space="preserve"> </w:t>
      </w:r>
      <w:r>
        <w:t>g</w:t>
      </w:r>
      <w:r>
        <w:rPr>
          <w:vertAlign w:val="subscript"/>
        </w:rPr>
        <w:t>2</w:t>
      </w:r>
      <w:r>
        <w:t>) of Mn</w:t>
      </w:r>
      <w:r>
        <w:t xml:space="preserve"> </w:t>
      </w:r>
      <w:r>
        <w:t>2+</w:t>
      </w:r>
      <w:r>
        <w:t xml:space="preserve"> </w:t>
      </w:r>
      <w:r>
        <w:t>and Fe</w:t>
      </w:r>
      <w:r>
        <w:t xml:space="preserve"> </w:t>
      </w:r>
      <w:r>
        <w:t>3+</w:t>
      </w:r>
      <w:r>
        <w:t xml:space="preserve"> </w:t>
      </w:r>
      <w:r>
        <w:t>. This symmetric, half‐filled state leads to pronounced charge localization, severely suppressing the intrinsic redox activity. To address this limitation, we devised a symmetry‐breaking reconstruction strategy which reorganizes the spin ordering to promote electron delocalization and activates multiple redox couples (Mn</w:t>
      </w:r>
      <w:r>
        <w:t xml:space="preserve"> </w:t>
      </w:r>
      <w:r>
        <w:t>4+</w:t>
      </w:r>
      <w:r>
        <w:t xml:space="preserve"> </w:t>
      </w:r>
      <w:r>
        <w:t>/Mn</w:t>
      </w:r>
      <w:r>
        <w:t xml:space="preserve"> </w:t>
      </w:r>
      <w:r>
        <w:t>3+</w:t>
      </w:r>
      <w:r>
        <w:t xml:space="preserve"> </w:t>
      </w:r>
      <w:r>
        <w:t>, Mn</w:t>
      </w:r>
      <w:r>
        <w:t xml:space="preserve"> </w:t>
      </w:r>
      <w:r>
        <w:t>3+</w:t>
      </w:r>
      <w:r>
        <w:t xml:space="preserve"> </w:t>
      </w:r>
      <w:r>
        <w:t>/Mn</w:t>
      </w:r>
      <w:r>
        <w:t xml:space="preserve"> </w:t>
      </w:r>
      <w:r>
        <w:t>2+</w:t>
      </w:r>
      <w:r>
        <w:t xml:space="preserve"> </w:t>
      </w:r>
      <w:r>
        <w:t>, and Fe</w:t>
      </w:r>
      <w:r>
        <w:t xml:space="preserve"> </w:t>
      </w:r>
      <w:r>
        <w:t>3+</w:t>
      </w:r>
      <w:r>
        <w:t xml:space="preserve"> </w:t>
      </w:r>
      <w:r>
        <w:t>/Fe</w:t>
      </w:r>
      <w:r>
        <w:t xml:space="preserve"> </w:t>
      </w:r>
      <w:r>
        <w:t>2+</w:t>
      </w:r>
      <w:r>
        <w:t xml:space="preserve"> </w:t>
      </w:r>
      <w:r>
        <w:t>). More critically, induce a novel “Na2 dp Na1” migration path for Na</w:t>
      </w:r>
      <w:r>
        <w:t xml:space="preserve"> </w:t>
      </w:r>
      <w:r>
        <w:t>+</w:t>
      </w:r>
      <w:r>
        <w:t xml:space="preserve"> </w:t>
      </w:r>
      <w:r>
        <w:t>, with a remarkably lower energy barrier than those of conventional paths (0.39 vs. 0.98 eV). Consequently, the engineered Na</w:t>
      </w:r>
      <w:r>
        <w:rPr>
          <w:vertAlign w:val="subscript"/>
        </w:rPr>
        <w:t>4</w:t>
      </w:r>
      <w:r>
        <w:t>Mn</w:t>
      </w:r>
      <w:r>
        <w:t xml:space="preserve"> </w:t>
      </w:r>
      <w:r>
        <w:t>0.5</w:t>
      </w:r>
      <w:r>
        <w:t xml:space="preserve"> </w:t>
      </w:r>
      <w:r>
        <w:t>Fe</w:t>
      </w:r>
      <w:r>
        <w:t xml:space="preserve"> </w:t>
      </w:r>
      <w:r>
        <w:t>0.5</w:t>
      </w:r>
      <w:r>
        <w:t xml:space="preserve"> </w:t>
      </w:r>
      <w:r>
        <w:t>Cr</w:t>
      </w:r>
      <w:r>
        <w:t xml:space="preserve"> </w:t>
      </w:r>
      <w:r>
        <w:t>0.5</w:t>
      </w:r>
      <w:r>
        <w:t xml:space="preserve"> </w:t>
      </w:r>
      <w:r>
        <w:t>Ti</w:t>
      </w:r>
      <w:r>
        <w:t xml:space="preserve"> </w:t>
      </w:r>
      <w:r>
        <w:t>0.5</w:t>
      </w:r>
      <w:r>
        <w:t xml:space="preserve"> </w:t>
      </w:r>
      <w:r>
        <w:t>(PO</w:t>
      </w:r>
      <w:r>
        <w:rPr>
          <w:vertAlign w:val="subscript"/>
        </w:rPr>
        <w:t>4</w:t>
      </w:r>
      <w:r>
        <w:t>)</w:t>
      </w:r>
      <w:r>
        <w:rPr>
          <w:vertAlign w:val="subscript"/>
        </w:rPr>
        <w:t>3</w:t>
      </w:r>
      <w:r>
        <w:t>delivers 138.84 mAh g</w:t>
      </w:r>
      <w:r>
        <w:t xml:space="preserve"> </w:t>
      </w:r>
      <w:r>
        <w:t>−1</w:t>
      </w:r>
      <w:r>
        <w:t xml:space="preserve"> </w:t>
      </w:r>
      <w:r>
        <w:t>at 0.1C, which represents a 12.74‐fold breakthrough over the pristine NMFP (10.9 mAh g</w:t>
      </w:r>
      <w:r>
        <w:t xml:space="preserve"> </w:t>
      </w:r>
      <w:r>
        <w:t>−1</w:t>
      </w:r>
      <w:r>
        <w:t xml:space="preserve"> </w:t>
      </w:r>
      <w:r>
        <w:t>). Our findings elucidate symmetry‐breaking as a critical route for activating Mott‐localized states in polyanionic frameworks and establish a new paradigm for designing redox‐active and sustainable cathode materials.</w:t>
      </w:r>
    </w:p>
    <w:p>
      <w:pPr>
        <w:spacing w:before="120" w:after="120"/>
      </w:pPr>
      <w:r>
        <w:rPr>
          <w:sz w:val="18"/>
        </w:rPr>
        <w:t>——————————————————————————————————————————————————————————————————————</w:t>
      </w:r>
    </w:p>
    <w:p>
      <w:pPr>
        <w:spacing w:before="160" w:after="40" w:line="240" w:lineRule="auto"/>
      </w:pPr>
      <w:r>
        <w:rPr>
          <w:b/>
        </w:rPr>
        <w:t xml:space="preserve">[9] </w:t>
      </w:r>
      <w:hyperlink r:id="rId41">
        <w:r>
          <w:rPr>
            <w:color w:val="1155CC"/>
            <w:u w:val="single"/>
          </w:rPr>
          <w:t>[ASAP] 高镍正极的结构演变和热行为：耦合原位 XAS、XRD 和质谱分析</w:t>
        </w:r>
      </w:hyperlink>
    </w:p>
    <w:p>
      <w:pPr>
        <w:spacing w:before="0" w:after="80"/>
      </w:pPr>
      <w:r>
        <w:rPr>
          <w:i/>
          <w:sz w:val="20"/>
        </w:rPr>
        <w:t>EN: [ASAP] Structural Evolution and Thermal Behavior of High-Ni Cathodes: Coupled Operando XAS, XRD, and Mass Spectrometry Analysis</w:t>
      </w:r>
    </w:p>
    <w:p>
      <w:pPr>
        <w:spacing w:before="0" w:after="120"/>
      </w:pPr>
      <w:r>
        <w:rPr>
          <w:b/>
        </w:rPr>
        <w:t xml:space="preserve">Source: </w:t>
      </w:r>
      <w:r>
        <w:t>ACS Energy Letters: Latest Articles (ACS Publications)</w:t>
      </w:r>
      <w:r>
        <w:t xml:space="preserve">    </w:t>
      </w:r>
      <w:r>
        <w:rPr>
          <w:b/>
        </w:rPr>
        <w:t xml:space="preserve">Pub date: </w:t>
      </w:r>
      <w:r>
        <w:t>2026-04-07 19:12:46+00:00</w:t>
      </w:r>
      <w:r>
        <w:t xml:space="preserve">    </w:t>
      </w:r>
      <w:r>
        <w:rPr>
          <w:b/>
        </w:rPr>
        <w:t xml:space="preserve">DOI: </w:t>
      </w:r>
      <w:hyperlink r:id="rId42">
        <w:r>
          <w:rPr>
            <w:color w:val="1155CC"/>
            <w:u w:val="single"/>
          </w:rPr>
          <w:t>10.1021/acsenergylett.6c00367</w:t>
        </w:r>
      </w:hyperlink>
    </w:p>
    <w:p>
      <w:pPr>
        <w:spacing w:before="0" w:after="120"/>
      </w:pPr>
      <w:r>
        <w:rPr>
          <w:b/>
        </w:rPr>
        <w:t xml:space="preserve">Notes: </w:t>
      </w:r>
      <w:r>
        <w:t>abstract_source=openalex</w:t>
      </w:r>
    </w:p>
    <w:p>
      <w:pPr>
        <w:spacing w:before="0" w:after="80" w:lineRule="auto" w:line="276"/>
      </w:pPr>
      <w:r>
        <w:rPr>
          <w:b/>
        </w:rPr>
        <w:t xml:space="preserve">摘要（ZH）: </w:t>
      </w:r>
      <w:r>
        <w:t>理解富镍正极的内在热不稳定性对于阐明锂离子电池的热失控机制至关重要。在此，我们使用时间分辨原位方法研究了无电解质条件下富镍正极的热诱导分解，包括X射线衍射（XRD）、X射线吸收光谱（XAS）和在线质谱（OMS）。结果揭示了加热过程中氧释放、镍氧化还原和结构转变的耦合演变。氧释放在可检测的体相转变之前启动，并与早期结构无序相关，通过（003）L和（104）L反射的演变进行跟踪。在4.8 V（约95% SOC）深度脱锂加速了镍还原并放大了结构i</w:t>
      </w:r>
    </w:p>
    <w:p>
      <w:pPr>
        <w:spacing w:before="0" w:after="200" w:lineRule="auto" w:line="276"/>
      </w:pPr>
      <w:r>
        <w:rPr>
          <w:b/>
        </w:rPr>
        <w:t xml:space="preserve">Abstract (EN): </w:t>
      </w:r>
      <w:r>
        <w:t>Understanding the intrinsic thermal instability of Ni-rich cathodes is critical for elucidating the thermal runaway mechanisms in lithium-ion batteries. Here, we investigate the thermally induced decomposition of Ni-rich cathodes under electrolyte-free conditions using time-resolved operando approaches, including X-ray diffraction (XRD), X-ray absorption spectroscopy (XAS), and online mass spectrometry (OMS). The results reveal a coupled evolution of oxygen release, Ni redox, and structural transformations during heating. Oxygen release is initiated prior to detectable bulk phase transition and correlates with early structural disorder, as tracked by the evolution of the (003)L and (104)L reflections. Deep delithiation at 4.8 V (∼95% SOC) accelerates Ni reduction and amplifies structural instability, leading to approximately 3-fold higher early stage oxygen release compared with the 4.3 V (∼85% SOC) condition. These findings establish a coupling-based framework for understanding cathode-driven thermal instability and provide guidance for improving battery safety.</w:t>
      </w:r>
    </w:p>
    <w:p>
      <w:pPr>
        <w:spacing w:before="120" w:after="120"/>
      </w:pPr>
      <w:r>
        <w:rPr>
          <w:sz w:val="18"/>
        </w:rPr>
        <w:t>——————————————————————————————————————————————————————————————————————</w:t>
      </w:r>
    </w:p>
    <w:p>
      <w:pPr>
        <w:spacing w:before="160" w:after="40" w:line="240" w:lineRule="auto"/>
      </w:pPr>
      <w:r>
        <w:rPr>
          <w:b/>
        </w:rPr>
        <w:t xml:space="preserve">[10] </w:t>
      </w:r>
      <w:hyperlink r:id="rId43">
        <w:r>
          <w:rPr>
            <w:color w:val="1155CC"/>
            <w:u w:val="single"/>
          </w:rPr>
          <w:t>通过全合一薄电极设计和多功能粘合剂的协同作用实现高负载硫正极中 Li+ 传输的均匀化，用于实用的 Li-S 电池</w:t>
        </w:r>
      </w:hyperlink>
    </w:p>
    <w:p>
      <w:pPr>
        <w:spacing w:before="0" w:after="80"/>
      </w:pPr>
      <w:r>
        <w:rPr>
          <w:i/>
          <w:sz w:val="20"/>
        </w:rPr>
        <w:t>EN: Homogenizing Li+ transport in high-loading sulfur cathodes enabled by synergy of all-in-one thin electrode design and a multifunctional binder for practical Li-S batteries</w:t>
      </w:r>
    </w:p>
    <w:p>
      <w:pPr>
        <w:spacing w:before="0" w:after="120"/>
      </w:pPr>
      <w:r>
        <w:rPr>
          <w:b/>
        </w:rPr>
        <w:t xml:space="preserve">Source: </w:t>
      </w:r>
      <w:r>
        <w:t>RSC - Energy Environ. Sci. latest articles</w:t>
      </w:r>
      <w:r>
        <w:t xml:space="preserve">    </w:t>
      </w:r>
      <w:r>
        <w:rPr>
          <w:b/>
        </w:rPr>
        <w:t xml:space="preserve">Pub date: </w:t>
      </w:r>
      <w:r>
        <w:t>2026-04-07 23:00:00+00:00</w:t>
      </w:r>
    </w:p>
    <w:p>
      <w:pPr>
        <w:spacing w:before="0" w:after="120"/>
      </w:pPr>
      <w:r>
        <w:rPr>
          <w:b/>
        </w:rPr>
        <w:t xml:space="preserve">Notes: </w:t>
      </w:r>
      <w:r>
        <w:t>abstract_source=rsc_html</w:t>
      </w:r>
    </w:p>
    <w:p>
      <w:pPr>
        <w:spacing w:before="0" w:after="80" w:lineRule="auto" w:line="276"/>
      </w:pPr>
      <w:r>
        <w:rPr>
          <w:b/>
        </w:rPr>
        <w:t xml:space="preserve">摘要（ZH）: </w:t>
      </w:r>
      <w:r>
        <w:t>实现高面积容量对于高能量密度的锂硫（Li–S）电池至关重要，需要使用高负载硫正极并增加涂层厚度。然而，在厚电极中锂离子（Li+）传输动力学差和多硫化物转化缓慢显著降低了活性材料的利用率，特别是在高充放电速率下。为了解决这些问题，我们提出了一种全合一电极设计，采用多功能粘合剂制造紧凑且薄的高负载硫正极。这种集成设计有效缩短了Li+传输路径，同时加速了Li+扩散速率，从而增强了高负载电极内的Li+均匀性。此外，多功能粘合剂提供了优异的催化活性，促进多硫化物共</w:t>
      </w:r>
    </w:p>
    <w:p>
      <w:pPr>
        <w:spacing w:before="0" w:after="200" w:lineRule="auto" w:line="276"/>
      </w:pPr>
      <w:r>
        <w:rPr>
          <w:b/>
        </w:rPr>
        <w:t xml:space="preserve">Abstract (EN): </w:t>
      </w:r>
      <w:r>
        <w:t>Achieving high areal capacity is essential for high-energy-density Li–S batteries and requires using high-loading sulfur cathodes accompanied with increased coating thickness. However, poor Li+ transfer kinetics in thick electrodes and sluggish polysulfide conversion dramatically decrease active material utilization, particularly at high charge/discharge rates. To address these issues, we propose an all-in-one electrode design that employs a multifunctional binder to fabricate compact and thin high-loading sulfur cathodes. This integrated design effectively shortens Li+ transport path while accelerating Li+ diffusion rate, thereby enhancing Li+ uniformity within the high-loading electrode. In addition, the multifunctional binder provides excellent catalytic activity boosting polysulfide conversion. Consequently, the resultant high-loading sulfur electrode exhibits considerably improved rate performance compared with conventional thick electrodes. Under practical conditions (sulfur loading: 10.4 mg cm−2, sulfur content: 65 wt%, and E/S ratio: 3.6 μL mg−1), the Li–S battery achieves a high areal capacity of 9.01 mAh cm−2. Even with a lean binder content (2.5 wt%), a high-loading Li–S pouch cell exhibits stable cycling over 100 cycles and Ah-level pouch cell can be achieved, demonstrating the practical applicability. This study lights a new route to improve the rate property of practical high-loading sulfur cathodes.</w:t>
      </w:r>
    </w:p>
    <w:p>
      <w:pPr>
        <w:spacing w:before="120" w:after="120"/>
      </w:pPr>
      <w:r>
        <w:rPr>
          <w:sz w:val="18"/>
        </w:rPr>
        <w:t>——————————————————————————————————————————————————————————————————————</w:t>
      </w:r>
    </w:p>
    <w:p>
      <w:pPr>
        <w:spacing w:before="160" w:after="40" w:line="240" w:lineRule="auto"/>
      </w:pPr>
      <w:r>
        <w:rPr>
          <w:b/>
        </w:rPr>
        <w:t xml:space="preserve">[11] </w:t>
      </w:r>
      <w:hyperlink r:id="rId44">
        <w:r>
          <w:rPr>
            <w:color w:val="1155CC"/>
            <w:u w:val="single"/>
          </w:rPr>
          <w:t>竞争性溶剂占位化学实现抗冻水系锌-碘电池的稳健四电子转换</w:t>
        </w:r>
      </w:hyperlink>
    </w:p>
    <w:p>
      <w:pPr>
        <w:spacing w:before="0" w:after="80"/>
      </w:pPr>
      <w:r>
        <w:rPr>
          <w:i/>
          <w:sz w:val="20"/>
        </w:rPr>
        <w:t>EN: Competitive solvent occupation chemistry enabling robust four-electron conversion for anti-freezing aqueous zinc-iodine batteries</w:t>
      </w:r>
    </w:p>
    <w:p>
      <w:pPr>
        <w:spacing w:before="0" w:after="120"/>
      </w:pPr>
      <w:r>
        <w:rPr>
          <w:b/>
        </w:rPr>
        <w:t xml:space="preserve">Source: </w:t>
      </w:r>
      <w:r>
        <w:t>RSC - Energy Environ. Sci. latest articles</w:t>
      </w:r>
      <w:r>
        <w:t xml:space="preserve">    </w:t>
      </w:r>
      <w:r>
        <w:rPr>
          <w:b/>
        </w:rPr>
        <w:t xml:space="preserve">Pub date: </w:t>
      </w:r>
      <w:r>
        <w:t>2026-04-08 23:00:00+00:00</w:t>
      </w:r>
    </w:p>
    <w:p>
      <w:pPr>
        <w:spacing w:before="0" w:after="120"/>
      </w:pPr>
      <w:r>
        <w:rPr>
          <w:b/>
        </w:rPr>
        <w:t xml:space="preserve">Notes: </w:t>
      </w:r>
      <w:r>
        <w:t>abstract_source=rsc_html</w:t>
      </w:r>
    </w:p>
    <w:p>
      <w:pPr>
        <w:spacing w:before="0" w:after="80" w:lineRule="auto" w:line="276"/>
      </w:pPr>
      <w:r>
        <w:rPr>
          <w:b/>
        </w:rPr>
        <w:t xml:space="preserve">摘要（ZH）: </w:t>
      </w:r>
      <w:r>
        <w:t>水系锌-碘电池在可持续能源存储方面具有巨大潜力，但受到多碘化物穿梭和高价碘不稳定性的影响。在低温下，由于不完全转化和缓慢的氧化还原动力学，这些挑战会经历灾难性的放大，削弱了性能和寿命。在此，提出了一种竞争性溶剂占位策略，以实现水系锌-碘电池在宽温度范围内的高可逆四电子转化。熵氢键重构与定制的去溶剂化动力学相结合，调节了I+物种的热力学稳定性和电化学氧化还原深度。该方法实现了接近理论的97.2%的转化深度和410.2 mAh g-1的高可逆容量，其中高p</w:t>
      </w:r>
    </w:p>
    <w:p>
      <w:pPr>
        <w:spacing w:before="0" w:after="200" w:lineRule="auto" w:line="276"/>
      </w:pPr>
      <w:r>
        <w:rPr>
          <w:b/>
        </w:rPr>
        <w:t xml:space="preserve">Abstract (EN): </w:t>
      </w:r>
      <w:r>
        <w:t>Aqueous zinc-iodine batteries hold immense promise for sustainable energy storage, yet suffer from polyiodide shuttling and high-valent iodine instability. Challenges undergo catastrophic amplification at low-temperatures due to incomplete conversion and retarded redox kinetics, undermining performance and longevity. Here, a competitive solvent-occupation strategy is proposed to enable highly reversible four-electron conversion in aqueous zinc-iodine batteries across a wide-temperature range. The entropic hydrogen-bond reconstruction coupled with tailored desolvation dynamics mediates the thermodynamic stability and electrochemical redox depth of I+ species. This approach achieves a near-theoretical conversion depth of 97.2% and a high reversible capacity of 410.2 mAh g-1, where the high plateau at 1.68 V triggered by the I0/I+ couple contributes 51.7% of the total capacity at 1.0 A g-1. Even at -20 ℃, the battery maintains 100.0% capacity retention over 495 continuous days (11890 hours), while preserving stable high-voltage output at 1.55 V. Synergistic spectroscopy-modeling decouples the robust cryogenic mass-electron transfer pathways underlying the near-stoichiometric iodine conversion chemistry. This work pioneers a fundamental framework for designing energetic and temperature-adaptive aqueous zinc-iodine batteries.</w:t>
      </w:r>
    </w:p>
    <w:p>
      <w:pPr>
        <w:spacing w:before="120" w:after="120"/>
      </w:pPr>
      <w:r>
        <w:rPr>
          <w:sz w:val="18"/>
        </w:rPr>
        <w:t>——————————————————————————————————————————————————————————————————————</w:t>
      </w:r>
    </w:p>
    <w:p>
      <w:pPr>
        <w:spacing w:before="160" w:after="40" w:line="240" w:lineRule="auto"/>
      </w:pPr>
      <w:r>
        <w:rPr>
          <w:b/>
        </w:rPr>
        <w:t xml:space="preserve">[12] </w:t>
      </w:r>
      <w:hyperlink r:id="rId45">
        <w:r>
          <w:rPr>
            <w:color w:val="1155CC"/>
            <w:u w:val="single"/>
          </w:rPr>
          <w:t>在极低温条件下的智能共生锂硫电池</w:t>
        </w:r>
      </w:hyperlink>
    </w:p>
    <w:p>
      <w:pPr>
        <w:spacing w:before="0" w:after="80"/>
      </w:pPr>
      <w:r>
        <w:rPr>
          <w:i/>
          <w:sz w:val="20"/>
        </w:rPr>
        <w:t>EN: Smart symbiotic lithium-sulfur batteries under extremely low-temperature conditions</w:t>
      </w:r>
    </w:p>
    <w:p>
      <w:pPr>
        <w:spacing w:before="0" w:after="120"/>
      </w:pPr>
      <w:r>
        <w:rPr>
          <w:b/>
        </w:rPr>
        <w:t xml:space="preserve">Source: </w:t>
      </w:r>
      <w:r>
        <w:t>National Science Review Advance Access</w:t>
      </w:r>
      <w:r>
        <w:t xml:space="preserve">    </w:t>
      </w:r>
      <w:r>
        <w:rPr>
          <w:b/>
        </w:rPr>
        <w:t xml:space="preserve">Pub date: </w:t>
      </w:r>
      <w:r>
        <w:t>2026-04-09 00:00:00+00:00</w:t>
      </w:r>
      <w:r>
        <w:t xml:space="preserve">    </w:t>
      </w:r>
      <w:r>
        <w:rPr>
          <w:b/>
        </w:rPr>
        <w:t xml:space="preserve">DOI: </w:t>
      </w:r>
      <w:hyperlink r:id="rId46">
        <w:r>
          <w:rPr>
            <w:color w:val="1155CC"/>
            <w:u w:val="single"/>
          </w:rPr>
          <w:t>10.1093/nsr/nwag217</w:t>
        </w:r>
      </w:hyperlink>
    </w:p>
    <w:p>
      <w:pPr>
        <w:spacing w:before="0" w:after="120"/>
      </w:pPr>
      <w:r>
        <w:rPr>
          <w:b/>
        </w:rPr>
        <w:t xml:space="preserve">Notes: </w:t>
      </w:r>
      <w:r>
        <w:t>abstract_source=rss_oup</w:t>
      </w:r>
    </w:p>
    <w:p>
      <w:pPr>
        <w:spacing w:before="0" w:after="80" w:lineRule="auto" w:line="276"/>
      </w:pPr>
      <w:r>
        <w:rPr>
          <w:b/>
        </w:rPr>
        <w:t xml:space="preserve">摘要（ZH）: </w:t>
      </w:r>
      <w:r>
        <w:t>锂硫电池（LSBs）在超低温下由于多硫化物转化动力学冻结而发生灾难性失效，目前没有现有技术能够在低于−40°C的条件下实现高能量密度运行。在此，我们报告了一种自我调节的LSB系统，即“智能共生”电池，该系统在界面反应位点激活多场协同（MFSN），以克服低温下的动力学障碍。这直接在量子水平上调节离子/电子的传输和反应位点的自旋电子状态，实现波形充放电曲线，并在第一个平台和第二个平台之间实现3.11的比率（理论值为3.0）。揭示了超理论容量机制——磁场诱导的动力学和界面增强。</w:t>
      </w:r>
    </w:p>
    <w:p>
      <w:pPr>
        <w:spacing w:before="0" w:after="200" w:lineRule="auto" w:line="276"/>
      </w:pPr>
      <w:r>
        <w:rPr>
          <w:b/>
        </w:rPr>
        <w:t xml:space="preserve">Abstract (EN): </w:t>
      </w:r>
      <w:r>
        <w:t>Lithium-sulfur batteries (LSBs) fail catastrophically under ultra-low temperature due to frozen polysulfide conversion kinetics, with no existing technology achieving high-energy-density operation below −40°C. Here, we report a self-regulating LSB system, the “smart symbiosis” cell, that activates multi-field synergy (MFSN) at interface reaction sites to overcome kinetic barriers under low temperature. This directly modulates the transport of ions/electrons and the spin electron states of reaction sites at the quantum level, enabling wave-shaped charge/discharge profiles and achieving a ratio of 3.11 between the first plateau and the second plateau (theoretical value 3.0). The ultra-theoretical capacity mechanism is revealed—magnetic field-induced enhancement of kinetics and interfacial reactions. The pouch cell achieves an energy density of 454.5 Wh kg–1 (based on total system mass) and 219.1 Wh kg–1 (with device consumption) at −80°C. This technology could increase the capacity of batteries by 9.5 times at low temperatures with an energy consumption of ∼0.091%°C–1 of the battery energy, while the conversion retention rate remains as high as 87% after 200 cycles (∼2800 hours), and breaks the lowest temperature record. This new battery system opens the door to extremely wide temperature applications for LSBs, and could be extended to other batteries.</w:t>
      </w:r>
    </w:p>
    <w:p>
      <w:pPr>
        <w:spacing w:before="120" w:after="120"/>
      </w:pPr>
      <w:r>
        <w:rPr>
          <w:sz w:val="18"/>
        </w:rPr>
        <w:t>——————————————————————————————————————————————————————————————————————</w:t>
      </w:r>
    </w:p>
    <w:p>
      <w:pPr>
        <w:spacing w:before="160" w:after="120"/>
      </w:pPr>
      <w:r>
        <w:rPr>
          <w:b/>
          <w:sz w:val="28"/>
        </w:rPr>
        <w:t>【负极】</w:t>
      </w:r>
    </w:p>
    <w:p>
      <w:pPr>
        <w:spacing w:before="160" w:after="40" w:line="240" w:lineRule="auto"/>
      </w:pPr>
      <w:r>
        <w:rPr>
          <w:b/>
        </w:rPr>
        <w:t xml:space="preserve">[1] </w:t>
      </w:r>
      <w:hyperlink r:id="rId47">
        <w:r>
          <w:rPr>
            <w:color w:val="1155CC"/>
            <w:u w:val="single"/>
          </w:rPr>
          <w:t>锌阳极界面工程打破了可持续海水基Zn-I2电池的氯化物腐蚀和四电子氧化还原兼容性困境</w:t>
        </w:r>
      </w:hyperlink>
    </w:p>
    <w:p>
      <w:pPr>
        <w:spacing w:before="0" w:after="80"/>
      </w:pPr>
      <w:r>
        <w:rPr>
          <w:i/>
          <w:sz w:val="20"/>
        </w:rPr>
        <w:t>EN: Zinc Anode Interface Engineering Breaks the Chloride Corrosion and Four‑Electron Redox Compatibility Dilemma for Sustainable Seawater‐Based Zn‐I2 Batteries</w:t>
      </w:r>
    </w:p>
    <w:p>
      <w:pPr>
        <w:spacing w:before="0" w:after="120"/>
      </w:pPr>
      <w:r>
        <w:rPr>
          <w:b/>
        </w:rPr>
        <w:t xml:space="preserve">Source: </w:t>
      </w:r>
      <w:r>
        <w:t>Wiley: Advanced Energy Materials: Table of Contents</w:t>
      </w:r>
      <w:r>
        <w:t xml:space="preserve">    </w:t>
      </w:r>
      <w:r>
        <w:rPr>
          <w:b/>
        </w:rPr>
        <w:t xml:space="preserve">Pub date: </w:t>
      </w:r>
      <w:r>
        <w:t>2026-04-06 03:04:36+00:00</w:t>
      </w:r>
      <w:r>
        <w:t xml:space="preserve">    </w:t>
      </w:r>
      <w:r>
        <w:rPr>
          <w:b/>
        </w:rPr>
        <w:t xml:space="preserve">DOI: </w:t>
      </w:r>
      <w:hyperlink r:id="rId48">
        <w:r>
          <w:rPr>
            <w:color w:val="1155CC"/>
            <w:u w:val="single"/>
          </w:rPr>
          <w:t>10.1002/aenm.70915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使用海水电解质的水系锌-碘（Zn–I2）电池为四电子锌-碘（Zn–I2）电池提供了一条可持续和低成本的能量存储途径，因其固有的安全性和天然氯化物含量稳定了高价碘物种。然而，严重的Cl−诱导的腐蚀和锌阳极的氢气演化与阴极的碘氧化还原化学根本冲突，加剧了枝晶生长并导致电池快速失效。在此，我们提出了一种协同界面工程策略，通过在锌表面构建致密的Ti保护层</w:t>
      </w:r>
    </w:p>
    <w:p>
      <w:pPr>
        <w:spacing w:before="0" w:after="200" w:lineRule="auto" w:line="276"/>
      </w:pPr>
      <w:r>
        <w:rPr>
          <w:b/>
        </w:rPr>
        <w:t xml:space="preserve">Abstract (EN): </w:t>
      </w:r>
      <w:r>
        <w:t>Aqueous zinc–iodine (Zn–I</w:t>
      </w:r>
      <w:r>
        <w:rPr>
          <w:vertAlign w:val="subscript"/>
        </w:rPr>
        <w:t>2</w:t>
      </w:r>
      <w:r>
        <w:t>) batteries using seawater electrolytes offer a promising route toward sustainable and low‐cost energy storage for four‐electron zinc–iodine (Zn–I</w:t>
      </w:r>
      <w:r>
        <w:rPr>
          <w:vertAlign w:val="subscript"/>
        </w:rPr>
        <w:t>2</w:t>
      </w:r>
      <w:r>
        <w:t>) batteries, owing to their inherent safety and natural chloride content that stabilizes high‐valent iodine species. However, severe Cl</w:t>
      </w:r>
      <w:r>
        <w:t xml:space="preserve"> </w:t>
      </w:r>
      <w:r>
        <w:t>−</w:t>
      </w:r>
      <w:r>
        <w:t>‐induced corrosion and hydrogen evolution at the zinc anode fundamentally conflict with the iodine redox chemistry at the cathode, aggravating dendrite growth and leading to rapid battery failure. Herein, we propose a synergistic interfacial engineering strategy by constructing a dense Ti protective layer on zinc metal via magnetron sputtering (Ti@Zn). The Ti layer with desirable Zn‐affinity and Cl</w:t>
      </w:r>
      <w:r>
        <w:t xml:space="preserve"> </w:t>
      </w:r>
      <w:r>
        <w:t>−</w:t>
      </w:r>
      <w:r>
        <w:t>‐repelling properties, synchronously suppresses chloride corrosion, accelerates Zn</w:t>
      </w:r>
      <w:r>
        <w:t xml:space="preserve"> </w:t>
      </w:r>
      <w:r>
        <w:t>2+</w:t>
      </w:r>
      <w:r>
        <w:t xml:space="preserve"> </w:t>
      </w:r>
      <w:r>
        <w:t>migration/desolvation kinetics, and inhibits undesirable side reactions. Thus, uniform Zn</w:t>
      </w:r>
      <w:r>
        <w:t xml:space="preserve"> </w:t>
      </w:r>
      <w:r>
        <w:t>2+</w:t>
      </w:r>
      <w:r>
        <w:t xml:space="preserve"> </w:t>
      </w:r>
      <w:r>
        <w:t>flux and deposition morphology are realized by homogenizing the interfacial electric field. Consequently, the optimized Ti@Zn anode enables high reversibility in both symmetric cells (500 h at 10 mA cm</w:t>
      </w:r>
      <w:r>
        <w:t xml:space="preserve"> </w:t>
      </w:r>
      <w:r>
        <w:t>−2</w:t>
      </w:r>
      <w:r>
        <w:t xml:space="preserve"> </w:t>
      </w:r>
      <w:r>
        <w:t>) and Ti@Zn//Cu cells (Coulombic efficiency of 99.89% for 4000 cycles). Moreover, the Ti@Zn//AC@I</w:t>
      </w:r>
      <w:r>
        <w:rPr>
          <w:vertAlign w:val="subscript"/>
        </w:rPr>
        <w:t>2</w:t>
      </w:r>
      <w:r>
        <w:t>pouch cells display high‐capacity retention ratio of 97.1% at 1 A g</w:t>
      </w:r>
      <w:r>
        <w:t xml:space="preserve"> </w:t>
      </w:r>
      <w:r>
        <w:t>−1</w:t>
      </w:r>
      <w:r>
        <w:t xml:space="preserve"> </w:t>
      </w:r>
      <w:r>
        <w:t>after 850 cycles, and excellent rate capability of 144.5 mAh g</w:t>
      </w:r>
      <w:r>
        <w:t xml:space="preserve"> </w:t>
      </w:r>
      <w:r>
        <w:t>−1</w:t>
      </w:r>
      <w:r>
        <w:t xml:space="preserve"> </w:t>
      </w:r>
      <w:r>
        <w:t>at 5 A g</w:t>
      </w:r>
      <w:r>
        <w:t xml:space="preserve"> </w:t>
      </w:r>
      <w:r>
        <w:t>−1</w:t>
      </w:r>
      <w:r>
        <w:t xml:space="preserve"> </w:t>
      </w:r>
      <w:r>
        <w:t>, demonstrating sustainable four‐electron iodine conversion chemistry.</w:t>
      </w:r>
    </w:p>
    <w:p>
      <w:pPr>
        <w:spacing w:before="120" w:after="120"/>
      </w:pPr>
      <w:r>
        <w:rPr>
          <w:sz w:val="18"/>
        </w:rPr>
        <w:t>——————————————————————————————————————————————————————————————————————</w:t>
      </w:r>
    </w:p>
    <w:p>
      <w:pPr>
        <w:spacing w:before="160" w:after="40" w:line="240" w:lineRule="auto"/>
      </w:pPr>
      <w:r>
        <w:rPr>
          <w:b/>
        </w:rPr>
        <w:t xml:space="preserve">[2] </w:t>
      </w:r>
      <w:hyperlink r:id="rId29">
        <w:r>
          <w:rPr>
            <w:color w:val="1155CC"/>
            <w:u w:val="single"/>
          </w:rPr>
          <w:t>电极材料中的晶体水工程：解码结构-性能动态以用于先进的储能设备</w:t>
        </w:r>
      </w:hyperlink>
    </w:p>
    <w:p>
      <w:pPr>
        <w:spacing w:before="0" w:after="80"/>
      </w:pPr>
      <w:r>
        <w:rPr>
          <w:i/>
          <w:sz w:val="20"/>
        </w:rPr>
        <w:t>EN: Crystal Water Engineering in Electrode Materials: Decoding Structure‐Property Dynamics for Advanced Energy Storage Devices</w:t>
      </w:r>
    </w:p>
    <w:p>
      <w:pPr>
        <w:spacing w:before="0" w:after="120"/>
      </w:pPr>
      <w:r>
        <w:rPr>
          <w:b/>
        </w:rPr>
        <w:t xml:space="preserve">Source: </w:t>
      </w:r>
      <w:r>
        <w:t>Wiley: Advanced Energy Materials: Table of Contents</w:t>
      </w:r>
      <w:r>
        <w:t xml:space="preserve">    </w:t>
      </w:r>
      <w:r>
        <w:rPr>
          <w:b/>
        </w:rPr>
        <w:t xml:space="preserve">Pub date: </w:t>
      </w:r>
      <w:r>
        <w:t>2026-04-06 03:11:24+00:00</w:t>
      </w:r>
      <w:r>
        <w:t xml:space="preserve">    </w:t>
      </w:r>
      <w:r>
        <w:rPr>
          <w:b/>
        </w:rPr>
        <w:t xml:space="preserve">DOI: </w:t>
      </w:r>
      <w:hyperlink r:id="rId30">
        <w:r>
          <w:rPr>
            <w:color w:val="1155CC"/>
            <w:u w:val="single"/>
          </w:rPr>
          <w:t>10.1002/aenm.70913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结晶水，传统上被视为一种被动甚至有害的成分，已成为先进储能材料中的一个完整且动态的结构单元。尽管其在调节结构稳定性和离子传输动力学方面起着关键作用，但对不同储能系统中结晶水的独特结构-性能动态的全面理解仍然难以捉摸。在此，本综述系统地解码了结晶水工程的基本机制和多方面应用。我们全面审查了其在单价离子（例如，Li</w:t>
      </w:r>
      <w:r>
        <w:t xml:space="preserve"> </w:t>
      </w:r>
      <w:r>
        <w:t>+</w:t>
      </w:r>
      <w:r>
        <w:t xml:space="preserve"> </w:t>
      </w:r>
      <w:r>
        <w:t>，Na</w:t>
      </w:r>
      <w:r>
        <w:t xml:space="preserve"> </w:t>
      </w:r>
      <w:r>
        <w:t>+</w:t>
      </w:r>
      <w:r>
        <w:t xml:space="preserve"> </w:t>
      </w:r>
      <w:r>
        <w:t>，K</w:t>
      </w:r>
      <w:r>
        <w:t xml:space="preserve"> </w:t>
      </w:r>
      <w:r>
        <w:t>+</w:t>
      </w:r>
      <w:r>
        <w:t xml:space="preserve"> </w:t>
      </w:r>
      <w:r>
        <w:t>）中的定制功能。</w:t>
      </w:r>
    </w:p>
    <w:p>
      <w:pPr>
        <w:spacing w:before="0" w:after="200" w:lineRule="auto" w:line="276"/>
      </w:pPr>
      <w:r>
        <w:rPr>
          <w:b/>
        </w:rPr>
        <w:t xml:space="preserve">Abstract (EN): </w:t>
      </w:r>
      <w:r>
        <w:t>Crystal water, traditionally viewed as a passive or even detrimental component, has emerged as an integral and dynamic structural unit in advanced energy storage materials. Despite its critical role in modulating structural stability and ion transport kinetics, a comprehensive understanding of the distinct structure‐property dynamics of crystal water across diverse energy storage systems remains elusive. Herein, this review systematically decodes the fundamental mechanisms and multifaceted applications of crystal water engineering. We comprehensively examine its tailored functionalities in monovalent‐ion (e.g., Li</w:t>
      </w:r>
      <w:r>
        <w:t xml:space="preserve"> </w:t>
      </w:r>
      <w:r>
        <w:t>+</w:t>
      </w:r>
      <w:r>
        <w:t xml:space="preserve"> </w:t>
      </w:r>
      <w:r>
        <w:t>, Na</w:t>
      </w:r>
      <w:r>
        <w:t xml:space="preserve"> </w:t>
      </w:r>
      <w:r>
        <w:t>+</w:t>
      </w:r>
      <w:r>
        <w:t xml:space="preserve"> </w:t>
      </w:r>
      <w:r>
        <w:t>, K</w:t>
      </w:r>
      <w:r>
        <w:t xml:space="preserve"> </w:t>
      </w:r>
      <w:r>
        <w:t>+</w:t>
      </w:r>
      <w:r>
        <w:t xml:space="preserve"> </w:t>
      </w:r>
      <w:r>
        <w:t>) and multivalent‐ion (e.g., Mg</w:t>
      </w:r>
      <w:r>
        <w:t xml:space="preserve"> </w:t>
      </w:r>
      <w:r>
        <w:t>2+</w:t>
      </w:r>
      <w:r>
        <w:t xml:space="preserve"> </w:t>
      </w:r>
      <w:r>
        <w:t>, Zn</w:t>
      </w:r>
      <w:r>
        <w:t xml:space="preserve"> </w:t>
      </w:r>
      <w:r>
        <w:t>2+</w:t>
      </w:r>
      <w:r>
        <w:t xml:space="preserve"> </w:t>
      </w:r>
      <w:r>
        <w:t>, Ca</w:t>
      </w:r>
      <w:r>
        <w:t xml:space="preserve"> </w:t>
      </w:r>
      <w:r>
        <w:t>2+</w:t>
      </w:r>
      <w:r>
        <w:t xml:space="preserve"> </w:t>
      </w:r>
      <w:r>
        <w:t>) batteries, highlighting distinct mechanistic disparities ranging from mitigating steric hindrance via lattice expansion to shielding electrostatic interactions through solid‐state solvation. The discussion also extends to emerging systems, such as supercapacitors and solid‐state or quasi‐solid‐state electrolytes, where structurally confined water uniquely acts as an ionic lubricant and a rapid ion‐hopping promoter. Finally, critical open questions and emerging opportunities are analyzed, highlighting transformative potential of crystal water in guiding the rational design of next‐generation energy storage materials.</w:t>
      </w:r>
    </w:p>
    <w:p>
      <w:pPr>
        <w:spacing w:before="120" w:after="120"/>
      </w:pPr>
      <w:r>
        <w:rPr>
          <w:sz w:val="18"/>
        </w:rPr>
        <w:t>——————————————————————————————————————————————————————————————————————</w:t>
      </w:r>
    </w:p>
    <w:p>
      <w:pPr>
        <w:spacing w:before="160" w:after="40" w:line="240" w:lineRule="auto"/>
      </w:pPr>
      <w:r>
        <w:rPr>
          <w:b/>
        </w:rPr>
        <w:t xml:space="preserve">[3] </w:t>
      </w:r>
      <w:hyperlink r:id="rId49">
        <w:r>
          <w:rPr>
            <w:color w:val="1155CC"/>
            <w:u w:val="single"/>
          </w:rPr>
          <w:t>为高倍率和低温钠离子电池定制硬碳的体相和界面环境</w:t>
        </w:r>
      </w:hyperlink>
    </w:p>
    <w:p>
      <w:pPr>
        <w:spacing w:before="0" w:after="80"/>
      </w:pPr>
      <w:r>
        <w:rPr>
          <w:i/>
          <w:sz w:val="20"/>
        </w:rPr>
        <w:t>EN: Tailoring the Bulk and Interfacial Environments of Hard Carbons for High‐Rate and Low‐Temperature Sodium‐Ion Batteries</w:t>
      </w:r>
    </w:p>
    <w:p>
      <w:pPr>
        <w:spacing w:before="0" w:after="120"/>
      </w:pPr>
      <w:r>
        <w:rPr>
          <w:b/>
        </w:rPr>
        <w:t xml:space="preserve">Source: </w:t>
      </w:r>
      <w:r>
        <w:t>Wiley: Advanced Materials: Table of Contents</w:t>
      </w:r>
      <w:r>
        <w:t xml:space="preserve">    </w:t>
      </w:r>
      <w:r>
        <w:rPr>
          <w:b/>
        </w:rPr>
        <w:t xml:space="preserve">Pub date: </w:t>
      </w:r>
      <w:r>
        <w:t>2026-04-06 09:14:38+00:00</w:t>
      </w:r>
      <w:r>
        <w:t xml:space="preserve">    </w:t>
      </w:r>
      <w:r>
        <w:rPr>
          <w:b/>
        </w:rPr>
        <w:t xml:space="preserve">DOI: </w:t>
      </w:r>
      <w:hyperlink r:id="rId50">
        <w:r>
          <w:rPr>
            <w:color w:val="1155CC"/>
            <w:u w:val="single"/>
          </w:rPr>
          <w:t>10.1002/adma.73018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硬碳（HCs）是钠离子电池（SIBs）有前景的负极材料，但由于微观结构缺陷和次优表面化学，存在不可逆的Na+捕获、速率能力不足和低温性能受损的问题。在此，提出了一种原位转化碳化策略，以合成表面低浓度N、P掺杂的硬碳（NP-HCs），用于高倍率和低温SIBs。富含杂原子的聚磷腈均匀涂覆在杨木前体上，三乙胺在促进聚合和前体改性中发挥双重作用。该策略赋予NP-HCs一个定制的界面环境</w:t>
      </w:r>
    </w:p>
    <w:p>
      <w:pPr>
        <w:spacing w:before="0" w:after="200" w:lineRule="auto" w:line="276"/>
      </w:pPr>
      <w:r>
        <w:rPr>
          <w:b/>
        </w:rPr>
        <w:t xml:space="preserve">Abstract (EN): </w:t>
      </w:r>
      <w:r>
        <w:t>Hard carbons (HCs) are promising anodes for sodium‐ion batteries (SIBs) but suffer from irreversible Na</w:t>
      </w:r>
      <w:r>
        <w:t xml:space="preserve"> </w:t>
      </w:r>
      <w:r>
        <w:t>+</w:t>
      </w:r>
      <w:r>
        <w:t xml:space="preserve"> </w:t>
      </w:r>
      <w:r>
        <w:t>trapping, inadequate rate capability, and compromised low‐temperature performance, primarily due to microstructural defects and suboptimal surface chemistry. Herein, an in situ‐transformation carbonization strategy is proposed to synthesize surface low‐concentration N, P‐doped hard carbons (NP‐HCs) for high‐rate and low‐temperature SIBs. A heteroatom‐enriched polyphosphazene is conformally coated onto poplar wood precursors, with triethylamine playing a dual‐function role in facilitating polymerization and precursor modification. This strategy endows the NP‐HCs with a tailored interfacial environment for fast Na</w:t>
      </w:r>
      <w:r>
        <w:t xml:space="preserve"> </w:t>
      </w:r>
      <w:r>
        <w:t>+</w:t>
      </w:r>
      <w:r>
        <w:t xml:space="preserve"> </w:t>
      </w:r>
      <w:r>
        <w:t>desolvation and transport, while establishing a bulk environment featuring abundant closed pores and expanded interlayer spacings. Consequently, NP‐HCs deliver an ultrahigh reversible capacity of 428.8 mAh g</w:t>
      </w:r>
      <w:r>
        <w:t xml:space="preserve"> </w:t>
      </w:r>
      <w:r>
        <w:t>−1</w:t>
      </w:r>
      <w:r>
        <w:t xml:space="preserve"> </w:t>
      </w:r>
      <w:r>
        <w:t>and outstanding rate capability (272.6 mAh g</w:t>
      </w:r>
      <w:r>
        <w:t xml:space="preserve"> </w:t>
      </w:r>
      <w:r>
        <w:t>−1</w:t>
      </w:r>
      <w:r>
        <w:t xml:space="preserve"> </w:t>
      </w:r>
      <w:r>
        <w:t>at 10 C). Notably, remarkable low‐temperature performance is achieved, with exceptional rate capability and cycling stability (93.1% capacity retention over 1200 cycles) at ‐20°C, underscoring their robustness under extreme conditions. Operando/ex situ characterizations coupled with computational studies reveal Na‐storage mechanisms and accelerated kinetics, offering critical insights for high‐performance HCs.</w:t>
      </w:r>
    </w:p>
    <w:p>
      <w:pPr>
        <w:spacing w:before="120" w:after="120"/>
      </w:pPr>
      <w:r>
        <w:rPr>
          <w:sz w:val="18"/>
        </w:rPr>
        <w:t>——————————————————————————————————————————————————————————————————————</w:t>
      </w:r>
    </w:p>
    <w:p>
      <w:pPr>
        <w:spacing w:before="160" w:after="40" w:line="240" w:lineRule="auto"/>
      </w:pPr>
      <w:r>
        <w:rPr>
          <w:b/>
        </w:rPr>
        <w:t xml:space="preserve">[4] </w:t>
      </w:r>
      <w:hyperlink r:id="rId51">
        <w:r>
          <w:rPr>
            <w:color w:val="1155CC"/>
            <w:u w:val="single"/>
          </w:rPr>
          <w:t>水系锌离子电池中锌负极稳定化：挑战与策略的综合评述</w:t>
        </w:r>
      </w:hyperlink>
    </w:p>
    <w:p>
      <w:pPr>
        <w:spacing w:before="0" w:after="80"/>
      </w:pPr>
      <w:r>
        <w:rPr>
          <w:i/>
          <w:sz w:val="20"/>
        </w:rPr>
        <w:t>EN: Zinc Anode Stabilization in Aqueous Zinc‐Ion Batteries: A Comprehensive Review of Challenges and Strategies</w:t>
      </w:r>
    </w:p>
    <w:p>
      <w:pPr>
        <w:spacing w:before="0" w:after="120"/>
      </w:pPr>
      <w:r>
        <w:rPr>
          <w:b/>
        </w:rPr>
        <w:t xml:space="preserve">Source: </w:t>
      </w:r>
      <w:r>
        <w:t>Wiley: Advanced Energy Materials: Table of Contents</w:t>
      </w:r>
      <w:r>
        <w:t xml:space="preserve">    </w:t>
      </w:r>
      <w:r>
        <w:rPr>
          <w:b/>
        </w:rPr>
        <w:t xml:space="preserve">Pub date: </w:t>
      </w:r>
      <w:r>
        <w:t>2026-04-06 13:26:56+00:00</w:t>
      </w:r>
      <w:r>
        <w:t xml:space="preserve">    </w:t>
      </w:r>
      <w:r>
        <w:rPr>
          <w:b/>
        </w:rPr>
        <w:t xml:space="preserve">DOI: </w:t>
      </w:r>
      <w:hyperlink r:id="rId52">
        <w:r>
          <w:rPr>
            <w:color w:val="1155CC"/>
            <w:u w:val="single"/>
          </w:rPr>
          <w:t>10.1002/aenm.70916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水系锌离子电池（AZIBs）是一种有前途的储能技术，因其高理论能量密度、安全性和成本效益而受到广泛关注。然而，其商业化受到锌负极界面问题的阻碍，包括枝晶生长、氢气析出和钝化。本文综述了这些挑战，深入探讨了其电化学起源及相关的负极限制。我们将最近的优化策略分为三个关键领域：电解质工程、负极设计和隔膜改性。具体方法包括调整电解质溶剂化结构、修改锌表面和结构以及功能化隔膜等。</w:t>
      </w:r>
    </w:p>
    <w:p>
      <w:pPr>
        <w:spacing w:before="0" w:after="200" w:lineRule="auto" w:line="276"/>
      </w:pPr>
      <w:r>
        <w:rPr>
          <w:b/>
        </w:rPr>
        <w:t xml:space="preserve">Abstract (EN): </w:t>
      </w:r>
      <w:r>
        <w:t>Aqueous zinc‐ion batteries (AZIBs) are a promising energy storage technology, attracting significant interest for their high theoretical energy density, safety, and cost‐effectiveness. However, their commercialization is hindered by persistent interfacial issues at the zinc anode, including dendrite growth, hydrogen evolution, and passivation. This review provides a systematic examination of these challenges, delving into their electrochemical origins and associated anode limitations. We categorize recent optimization strategies into three key domains: electrolyte engineering, anode design, and separator modification. Specific approaches, such as tailoring electrolyte solvation structures, modifying zinc surface and architecture, and functionalizing separators, are detailed to illustrate their effectiveness in stabilizing the anode interface. Finally, we summarize the prevailing constraints and outline future research directions, aiming to inspire the development of innovative materials and strategies for high‐performance AZIBs.</w:t>
      </w:r>
    </w:p>
    <w:p>
      <w:pPr>
        <w:spacing w:before="120" w:after="120"/>
      </w:pPr>
      <w:r>
        <w:rPr>
          <w:sz w:val="18"/>
        </w:rPr>
        <w:t>——————————————————————————————————————————————————————————————————————</w:t>
      </w:r>
    </w:p>
    <w:p>
      <w:pPr>
        <w:spacing w:before="160" w:after="40" w:line="240" w:lineRule="auto"/>
      </w:pPr>
      <w:r>
        <w:rPr>
          <w:b/>
        </w:rPr>
        <w:t xml:space="preserve">[5] </w:t>
      </w:r>
      <w:hyperlink r:id="rId53">
        <w:r>
          <w:rPr>
            <w:color w:val="1155CC"/>
            <w:u w:val="single"/>
          </w:rPr>
          <w:t>通过分层三相矩阵协同工程体块完整性和界面可逆性以实现稳定的钠金属电池</w:t>
        </w:r>
      </w:hyperlink>
    </w:p>
    <w:p>
      <w:pPr>
        <w:spacing w:before="0" w:after="80"/>
      </w:pPr>
      <w:r>
        <w:rPr>
          <w:i/>
          <w:sz w:val="20"/>
        </w:rPr>
        <w:t>EN: Synergistic Engineering of Bulk Integrity and Interfacial Reversibility via a Hierarchical Triphase Matrix for Stable Na Metal Batteries</w:t>
      </w:r>
    </w:p>
    <w:p>
      <w:pPr>
        <w:spacing w:before="0" w:after="120"/>
      </w:pPr>
      <w:r>
        <w:rPr>
          <w:b/>
        </w:rPr>
        <w:t xml:space="preserve">Source: </w:t>
      </w:r>
      <w:r>
        <w:t>Wiley: Angewandte Chemie International Edition: Table of Contents</w:t>
      </w:r>
      <w:r>
        <w:t xml:space="preserve">    </w:t>
      </w:r>
      <w:r>
        <w:rPr>
          <w:b/>
        </w:rPr>
        <w:t xml:space="preserve">Pub date: </w:t>
      </w:r>
      <w:r>
        <w:t>2026-04-07 08:35:32+00:00</w:t>
      </w:r>
      <w:r>
        <w:t xml:space="preserve">    </w:t>
      </w:r>
      <w:r>
        <w:rPr>
          <w:b/>
        </w:rPr>
        <w:t xml:space="preserve">DOI: </w:t>
      </w:r>
      <w:hyperlink r:id="rId54">
        <w:r>
          <w:rPr>
            <w:color w:val="1155CC"/>
            <w:u w:val="single"/>
          </w:rPr>
          <w:t>10.1002/anie.7470811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大量的体积波动和缓慢的Na+</w:t>
      </w:r>
      <w:r>
        <w:t xml:space="preserve"> </w:t>
      </w:r>
      <w:r>
        <w:t>扩散能力已被确定为触发枝晶不受控生长的关键因素，阻碍了钠金属电池（SMBs）的实际探索。在此，通过一种一石二鸟的策略，通过浸渍2D Bi2O2S纳米片，制备了一种三相Na3Bi/Na2S/Na2O复合阳极（简称BOS-Na），该阳极具有增强的体积机械强度和界面结构稳定性。</w:t>
      </w:r>
    </w:p>
    <w:p>
      <w:pPr>
        <w:spacing w:before="0" w:after="200" w:lineRule="auto" w:line="276"/>
      </w:pPr>
      <w:r>
        <w:rPr>
          <w:b/>
        </w:rPr>
        <w:t xml:space="preserve">Abstract (EN): </w:t>
      </w:r>
      <w:r>
        <w:t>Considerable volume fluctuation and sluggish Na</w:t>
      </w:r>
      <w:r>
        <w:t xml:space="preserve"> </w:t>
      </w:r>
      <w:r>
        <w:t>+</w:t>
      </w:r>
      <w:r>
        <w:t xml:space="preserve"> </w:t>
      </w:r>
      <w:r>
        <w:t>diffusion capability have been identified as the key factors triggering uncontrolled growth of dendrite, hindering the practical exploration of sodium metal batteries (SMBs). Herein, a triphase Na</w:t>
      </w:r>
      <w:r>
        <w:rPr>
          <w:vertAlign w:val="subscript"/>
        </w:rPr>
        <w:t>3</w:t>
      </w:r>
      <w:r>
        <w:t>Bi/Na</w:t>
      </w:r>
      <w:r>
        <w:rPr>
          <w:vertAlign w:val="subscript"/>
        </w:rPr>
        <w:t>2</w:t>
      </w:r>
      <w:r>
        <w:t>S/Na</w:t>
      </w:r>
      <w:r>
        <w:rPr>
          <w:vertAlign w:val="subscript"/>
        </w:rPr>
        <w:t>2</w:t>
      </w:r>
      <w:r>
        <w:t>O composite anode (</w:t>
      </w:r>
      <w:r>
        <w:t xml:space="preserve"> </w:t>
      </w:r>
      <w:r>
        <w:t>abbr</w:t>
      </w:r>
      <w:r>
        <w:t xml:space="preserve"> </w:t>
      </w:r>
      <w:r>
        <w:t>. BOS‐Na), with both enhanced bulk mechanical strength and interfacial structural stability, is fabricated through a two‐birds‐with‐one‐stone strategy by impregnating 2D Bi</w:t>
      </w:r>
      <w:r>
        <w:rPr>
          <w:vertAlign w:val="subscript"/>
        </w:rPr>
        <w:t>2</w:t>
      </w:r>
      <w:r>
        <w:t>O</w:t>
      </w:r>
      <w:r>
        <w:rPr>
          <w:vertAlign w:val="subscript"/>
        </w:rPr>
        <w:t>2</w:t>
      </w:r>
      <w:r>
        <w:t>S nanosheets into molten metallic Na. The formed hierarchical high sodiophilic Na</w:t>
      </w:r>
      <w:r>
        <w:rPr>
          <w:vertAlign w:val="subscript"/>
        </w:rPr>
        <w:t>3</w:t>
      </w:r>
      <w:r>
        <w:t>Bi skeleton not only withstands dramatic volume expansion, improving the structural stability upon long‐term cycling, but also facilitates charge transfer throughout the bulk electrode, lowering the reaction energy barrier. Concurrently, the uniformly distributed Na</w:t>
      </w:r>
      <w:r>
        <w:rPr>
          <w:vertAlign w:val="subscript"/>
        </w:rPr>
        <w:t>2</w:t>
      </w:r>
      <w:r>
        <w:t>S accelerates Na</w:t>
      </w:r>
      <w:r>
        <w:t xml:space="preserve"> </w:t>
      </w:r>
      <w:r>
        <w:t>+</w:t>
      </w:r>
      <w:r>
        <w:t xml:space="preserve"> </w:t>
      </w:r>
      <w:r>
        <w:t>diffusion, regulating ion flux and electrical field on the Na surface, contributing to compact Na</w:t>
      </w:r>
      <w:r>
        <w:t xml:space="preserve"> </w:t>
      </w:r>
      <w:r>
        <w:t>+</w:t>
      </w:r>
      <w:r>
        <w:t xml:space="preserve"> </w:t>
      </w:r>
      <w:r>
        <w:t>deposition. Additionally, the electronically insulating Na</w:t>
      </w:r>
      <w:r>
        <w:rPr>
          <w:vertAlign w:val="subscript"/>
        </w:rPr>
        <w:t>2</w:t>
      </w:r>
      <w:r>
        <w:t>O component on the interface suppresses electron transport between the active material and organic electrolytes, avoiding the occurrence of side reactions and “dead Na”. Crucially, the Na</w:t>
      </w:r>
      <w:r>
        <w:t xml:space="preserve"> </w:t>
      </w:r>
      <w:r>
        <w:t>+</w:t>
      </w:r>
      <w:r>
        <w:t xml:space="preserve"> </w:t>
      </w:r>
      <w:r>
        <w:t>deposition behavior and mechanism are comprehensively revealed through ex situ characterizations, in‐depth XPS analysis, and density functional theory (DFT) calculations. Consequently, the BOS‐Na symmetric cell operates smoothly for 1300 h at 0.5 mA cm</w:t>
      </w:r>
      <w:r>
        <w:t xml:space="preserve"> </w:t>
      </w:r>
      <w:r>
        <w:t>−2</w:t>
      </w:r>
      <w:r>
        <w:t xml:space="preserve"> </w:t>
      </w:r>
      <w:r>
        <w:t>/1 mAh cm</w:t>
      </w:r>
      <w:r>
        <w:t xml:space="preserve"> </w:t>
      </w:r>
      <w:r>
        <w:t>−2</w:t>
      </w:r>
      <w:r>
        <w:t xml:space="preserve"> </w:t>
      </w:r>
      <w:r>
        <w:t>, while the BOS‐Na//NVP full cell also achieves a lifespan of 2000 cycles at 5 A g</w:t>
      </w:r>
      <w:r>
        <w:t xml:space="preserve"> </w:t>
      </w:r>
      <w:r>
        <w:t>−1</w:t>
      </w:r>
      <w:r>
        <w:t xml:space="preserve"> </w:t>
      </w:r>
      <w:r>
        <w:t>.</w:t>
      </w:r>
    </w:p>
    <w:p>
      <w:pPr>
        <w:spacing w:before="120" w:after="120"/>
      </w:pPr>
      <w:r>
        <w:rPr>
          <w:sz w:val="18"/>
        </w:rPr>
        <w:t>——————————————————————————————————————————————————————————————————————</w:t>
      </w:r>
    </w:p>
    <w:p>
      <w:pPr>
        <w:spacing w:before="160" w:after="40" w:line="240" w:lineRule="auto"/>
      </w:pPr>
      <w:r>
        <w:rPr>
          <w:b/>
        </w:rPr>
        <w:t xml:space="preserve">[6] </w:t>
      </w:r>
      <w:hyperlink r:id="rId55">
        <w:r>
          <w:rPr>
            <w:color w:val="1155CC"/>
            <w:u w:val="single"/>
          </w:rPr>
          <w:t>双室温液态金属衍生的非牛顿钾离子电池负极：粘弹性行为的调节</w:t>
        </w:r>
      </w:hyperlink>
    </w:p>
    <w:p>
      <w:pPr>
        <w:spacing w:before="0" w:after="80"/>
      </w:pPr>
      <w:r>
        <w:rPr>
          <w:i/>
          <w:sz w:val="20"/>
        </w:rPr>
        <w:t>EN: Dual Room Temperature Liquid Metal Derived Non‐Newtonian Potassium‐Ion Battery Anode: Regulation of Viscoelastic Behavior</w:t>
      </w:r>
    </w:p>
    <w:p>
      <w:pPr>
        <w:spacing w:before="0" w:after="120"/>
      </w:pPr>
      <w:r>
        <w:rPr>
          <w:b/>
        </w:rPr>
        <w:t xml:space="preserve">Source: </w:t>
      </w:r>
      <w:r>
        <w:t>Wiley: Advanced Energy Materials: Table of Contents</w:t>
      </w:r>
      <w:r>
        <w:t xml:space="preserve">    </w:t>
      </w:r>
      <w:r>
        <w:rPr>
          <w:b/>
        </w:rPr>
        <w:t xml:space="preserve">Pub date: </w:t>
      </w:r>
      <w:r>
        <w:t>2026-04-08 09:27:54+00:00</w:t>
      </w:r>
      <w:r>
        <w:t xml:space="preserve">    </w:t>
      </w:r>
      <w:r>
        <w:rPr>
          <w:b/>
        </w:rPr>
        <w:t xml:space="preserve">DOI: </w:t>
      </w:r>
      <w:hyperlink r:id="rId56">
        <w:r>
          <w:rPr>
            <w:color w:val="1155CC"/>
            <w:u w:val="single"/>
          </w:rPr>
          <w:t>10.1002/aenm.70920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室温液态金属（RTLMs）由于其高导电性和流动性，是碱金属电池的有前景的阳极候选材料，但它们面临着关键挑战，包括高表面张力、过高的粘度和枝晶生长。在此，提出了一种新颖的非牛顿流体电极构建策略，通过NaK合金和GaInSn合金之间的液-液界面反应实现，无需固体支撑。Ga4Na金属间化合物的形成调节了流变特性，使其相比于液-固复合系统具有更快的反应动力学和更优的成分均匀性，同时避免了氧化物/氢氧化物引起的高粘度。值得注意的是，</w:t>
      </w:r>
    </w:p>
    <w:p>
      <w:pPr>
        <w:spacing w:before="0" w:after="200" w:lineRule="auto" w:line="276"/>
      </w:pPr>
      <w:r>
        <w:rPr>
          <w:b/>
        </w:rPr>
        <w:t xml:space="preserve">Abstract (EN): </w:t>
      </w:r>
      <w:r>
        <w:t>Room temperature liquid metals (RTLMs) are promising anode candidates for alkali metal batteries due to their high conductivity and fluidity, but they suffer from critical challenges, including high surface tension, excessive viscosity, and dendrite growth. Herein, a novel non‐Newtonian fluid electrode construction strategy is proposed via liquid‐liquid interfacial reactions between NaK alloy and GaInSn alloy, without solid supports. The formation of Ga</w:t>
      </w:r>
      <w:r>
        <w:rPr>
          <w:vertAlign w:val="subscript"/>
        </w:rPr>
        <w:t>4</w:t>
      </w:r>
      <w:r>
        <w:t>Na intermetallic compounds regulates the rheological properties, enabling faster reaction kinetics and superior compositional uniformity compared to liquid‐solid composite systems, while avoiding oxide/hydroxide induced high viscosity. Notably, the formation of non‐Newtonian fluids through liquid‐liquid reaction induced intermetallic compounds for K‐ion battery anodes is not previously reported. This work provides a new solution to the high surface tension issue of liquid metal anodes, paves the way for dendrite‐free, stable, and low viscosity alkali metal electrodes, and holds significant implications for flexible energy storage devices.</w:t>
      </w:r>
    </w:p>
    <w:p>
      <w:pPr>
        <w:spacing w:before="120" w:after="120"/>
      </w:pPr>
      <w:r>
        <w:rPr>
          <w:sz w:val="18"/>
        </w:rPr>
        <w:t>——————————————————————————————————————————————————————————————————————</w:t>
      </w:r>
    </w:p>
    <w:p>
      <w:pPr>
        <w:spacing w:before="160" w:after="40" w:line="240" w:lineRule="auto"/>
      </w:pPr>
      <w:r>
        <w:rPr>
          <w:b/>
        </w:rPr>
        <w:t xml:space="preserve">[7] </w:t>
      </w:r>
      <w:hyperlink r:id="rId57">
        <w:r>
          <w:rPr>
            <w:color w:val="1155CC"/>
            <w:u w:val="single"/>
          </w:rPr>
          <w:t>[ASAP] 能量密集且耐用的无阳极钠电池的成核和界面化学的协同调控</w:t>
        </w:r>
      </w:hyperlink>
    </w:p>
    <w:p>
      <w:pPr>
        <w:spacing w:before="0" w:after="80"/>
      </w:pPr>
      <w:r>
        <w:rPr>
          <w:i/>
          <w:sz w:val="20"/>
        </w:rPr>
        <w:t>EN: [ASAP] Synergistic Regulation of Nucleation and Interfacial Chemistry for Energy-Dense and Durable Anode-Free Na Batteries</w:t>
      </w:r>
    </w:p>
    <w:p>
      <w:pPr>
        <w:spacing w:before="0" w:after="120"/>
      </w:pPr>
      <w:r>
        <w:rPr>
          <w:b/>
        </w:rPr>
        <w:t xml:space="preserve">Source: </w:t>
      </w:r>
      <w:r>
        <w:t>Journal of the American Chemical Society: Latest Articles (ACS Publications)</w:t>
      </w:r>
      <w:r>
        <w:t xml:space="preserve">    </w:t>
      </w:r>
      <w:r>
        <w:rPr>
          <w:b/>
        </w:rPr>
        <w:t xml:space="preserve">Pub date: </w:t>
      </w:r>
      <w:r>
        <w:t>2026-04-08 13:58:26+00:00</w:t>
      </w:r>
      <w:r>
        <w:t xml:space="preserve">    </w:t>
      </w:r>
      <w:r>
        <w:rPr>
          <w:b/>
        </w:rPr>
        <w:t xml:space="preserve">DOI: </w:t>
      </w:r>
      <w:hyperlink r:id="rId58">
        <w:r>
          <w:rPr>
            <w:color w:val="1155CC"/>
            <w:u w:val="single"/>
          </w:rPr>
          <w:t>10.1021/jacs.6c02019</w:t>
        </w:r>
      </w:hyperlink>
    </w:p>
    <w:p>
      <w:pPr>
        <w:spacing w:before="0" w:after="120"/>
      </w:pPr>
      <w:r>
        <w:rPr>
          <w:b/>
        </w:rPr>
        <w:t xml:space="preserve">Notes: </w:t>
      </w:r>
      <w:r>
        <w:t>abstract_source=openalex</w:t>
      </w:r>
    </w:p>
    <w:p>
      <w:pPr>
        <w:spacing w:before="0" w:after="80" w:lineRule="auto" w:line="276"/>
      </w:pPr>
      <w:r>
        <w:rPr>
          <w:b/>
        </w:rPr>
        <w:t xml:space="preserve">摘要（ZH）: </w:t>
      </w:r>
      <w:r>
        <w:t>无阳极钠电池在实现终极高能量密度方面具有前景，但由于不均匀的钠沉积和不稳定的固体电解质界面（SEI），循环稳定性不佳。在此，我们报告了一种由Sn纳米点和ZnF&lt;sub&gt;2&lt;/sub&gt;纳米片组成的多功能界面层，位于轻质Al集流体上（Sn-ZnF&lt;sub&gt;2&lt;/sub&gt;/Al），以均匀化钠生长并稳定SEI层。丰富的亲钠Sn和ZnF&lt;sub&gt;2&lt;/sub&gt;位点降低了钠成核能垒并均匀化电场分布，进一步引导均匀的钠生长。此外，原位形成的富含NaF的SEI增强了界面稳定性，并作为防止副反应的保护层。因此，协同性能</w:t>
      </w:r>
    </w:p>
    <w:p>
      <w:pPr>
        <w:spacing w:before="0" w:after="200" w:lineRule="auto" w:line="276"/>
      </w:pPr>
      <w:r>
        <w:rPr>
          <w:b/>
        </w:rPr>
        <w:t xml:space="preserve">Abstract (EN): </w:t>
      </w:r>
      <w:r>
        <w:t>Anode-free Na batteries are promising for achieving ultimate high energy density yet experience unsatisfactory cycling stability largely stemming from inhomogeneous Na deposition and an unstable solid electrolyte interphase (SEI). Herein, we report a multifunctional interface layer composed of Sn nanodots and ZnF&lt;sub&gt;2&lt;/sub&gt; nanosheets on a lightweight Al current collector (Sn-ZnF&lt;sub&gt;2&lt;/sub&gt;/Al) to homogenize Na growth and stabilize the SEI layer. The abundant sodiophilic Sn and ZnF&lt;sub&gt;2&lt;/sub&gt; sites reduce Na nucleation energy barriers and uniformize the electric field distribution, further guiding homogeneous Na growth. Moreover, the in situ formed NaF-rich SEI enhances interfacial stability and serves as a protective layer against side reactions. Consequently, synergistic performance improvement is realized with highly reversible Na plating and stripping of around 99.98% at 8.0 mA cm&lt;sup&gt;-2&lt;/sup&gt; and 1.0 mAh cm&lt;sup&gt;-2&lt;/sup&gt; over 4440 cycles. Remarkably, an energy-focused anode-free pouch cell (Sn-ZnF&lt;sub&gt;2&lt;/sub&gt;/Al//Na&lt;sub&gt;3&lt;/sub&gt;V&lt;sub&gt;2&lt;/sub&gt;O&lt;sub&gt;2&lt;/sub&gt;(PO&lt;sub&gt;4&lt;/sub&gt;)&lt;sub&gt;2&lt;/sub&gt;F) exhibits an energy density of 442.9 Wh kg&lt;sup&gt;-1&lt;/sup&gt; (calculated based on active materials of both electrodes) and 80.37% capacity retention after 220 cycles. Meanwhile, a lifetime-focused anode-free pouch cell (Sn-ZnF&lt;sub&gt;2&lt;/sub&gt;/Al//Na&lt;sub&gt;4&lt;/sub&gt;Fe&lt;sub&gt;3&lt;/sub&gt;(PO&lt;sub&gt;4&lt;/sub&gt;)&lt;sub&gt;2&lt;/sub&gt;P&lt;sub&gt;2&lt;/sub&gt;O&lt;sub&gt;7&lt;/sub&gt;) achieves ultrastable cyclability with 80.59% capacity retention over 2600 cycles. This work offers a potentially universal strategy for the development of anode-free Na batteries.</w:t>
      </w:r>
    </w:p>
    <w:p>
      <w:pPr>
        <w:spacing w:before="120" w:after="120"/>
      </w:pPr>
      <w:r>
        <w:rPr>
          <w:sz w:val="18"/>
        </w:rPr>
        <w:t>——————————————————————————————————————————————————————————————————————</w:t>
      </w:r>
    </w:p>
    <w:p>
      <w:pPr>
        <w:spacing w:before="160" w:after="120"/>
      </w:pPr>
      <w:r>
        <w:rPr>
          <w:b/>
          <w:sz w:val="28"/>
        </w:rPr>
        <w:t>【电解质】</w:t>
      </w:r>
    </w:p>
    <w:p>
      <w:pPr>
        <w:spacing w:before="160" w:after="40" w:line="240" w:lineRule="auto"/>
      </w:pPr>
      <w:r>
        <w:rPr>
          <w:b/>
        </w:rPr>
        <w:t xml:space="preserve">[1] </w:t>
      </w:r>
      <w:hyperlink r:id="rId59">
        <w:r>
          <w:rPr>
            <w:color w:val="1155CC"/>
            <w:u w:val="single"/>
          </w:rPr>
          <w:t>通过可聚合的不可燃电解质实现无热失控的安培小时级钠离子电池</w:t>
        </w:r>
      </w:hyperlink>
    </w:p>
    <w:p>
      <w:pPr>
        <w:spacing w:before="0" w:after="80"/>
      </w:pPr>
      <w:r>
        <w:rPr>
          <w:i/>
          <w:sz w:val="20"/>
        </w:rPr>
        <w:t>EN: Thermal runaway-free ampere-hour-level Na-ion battery via polymerizable non-flammable electrolyte</w:t>
      </w:r>
    </w:p>
    <w:p>
      <w:pPr>
        <w:spacing w:before="0" w:after="120"/>
      </w:pPr>
      <w:r>
        <w:rPr>
          <w:b/>
        </w:rPr>
        <w:t xml:space="preserve">Source: </w:t>
      </w:r>
      <w:r>
        <w:t>Nature Energy</w:t>
      </w:r>
      <w:r>
        <w:t xml:space="preserve">    </w:t>
      </w:r>
      <w:r>
        <w:rPr>
          <w:b/>
        </w:rPr>
        <w:t xml:space="preserve">Pub date: </w:t>
      </w:r>
      <w:r>
        <w:t>2026-04-06 00:00:00+00:00</w:t>
      </w:r>
      <w:r>
        <w:t xml:space="preserve">    </w:t>
      </w:r>
      <w:r>
        <w:rPr>
          <w:b/>
        </w:rPr>
        <w:t xml:space="preserve">DOI: </w:t>
      </w:r>
      <w:hyperlink r:id="rId60">
        <w:r>
          <w:rPr>
            <w:color w:val="1155CC"/>
            <w:u w:val="single"/>
          </w:rPr>
          <w:t>10.1038/s41560-026-02032-7</w:t>
        </w:r>
      </w:hyperlink>
    </w:p>
    <w:p>
      <w:pPr>
        <w:spacing w:before="0" w:after="120"/>
      </w:pPr>
      <w:r>
        <w:rPr>
          <w:b/>
        </w:rPr>
        <w:t xml:space="preserve">Notes: </w:t>
      </w:r>
      <w:r>
        <w:t>abstract_source=nature_html</w:t>
      </w:r>
    </w:p>
    <w:p>
      <w:pPr>
        <w:spacing w:before="0" w:after="80" w:lineRule="auto" w:line="276"/>
      </w:pPr>
      <w:r>
        <w:rPr>
          <w:b/>
        </w:rPr>
        <w:t xml:space="preserve">摘要（ZH）: </w:t>
      </w:r>
      <w:r>
        <w:t>安全性是可充电电池在大规模储能应用中的最基本要求。尽管在开发不易燃电解质方面做出了大量努力，但在安培小时级电池中消除热失控仍未实现，而电解质阻燃性与电池安全性之间的关系仍不清楚。在此，我们提出了一种可聚合且不易燃的电解质，它利用了协同的阴阳离子溶剂化效应，并经历热触发聚合。优化的电极-电解质界面和交联屏障被获得，以防止电极之间的机械/化学相互作用，并阻止副反应/还原气体的产生，从而在安培小时级电池中没有热失控。</w:t>
      </w:r>
    </w:p>
    <w:p>
      <w:pPr>
        <w:spacing w:before="0" w:after="200" w:lineRule="auto" w:line="276"/>
      </w:pPr>
      <w:r>
        <w:rPr>
          <w:b/>
        </w:rPr>
        <w:t xml:space="preserve">Abstract (EN): </w:t>
      </w:r>
      <w:r>
        <w:t>Safety is the most basic requirement for the application of rechargeable batteries in large-scale energy storage. Despite extensive efforts in developing non-flammable electrolytes, the elimination of thermal runaway in ampere-hour-level cells remains unachieved, while the correlation between electrolyte flame retardancy and battery safety is still unclear. Here we propose a polymerizable and non-flammable electrolyte, which leverages the synergistic anion–cation solvation effect and undergoes thermally triggered polymerization. The optimized electrode–electrolyte interfacial and a cross-linked barrier were obtained to prevent mechanical/chemical interactions between the electrodes and impede the side reactions/reductive gases generation, leading to no thermal runaway in ampere-hour-level cells. The nail-penetration tests were also passed without smoke, fire or explosion. This work brings an insight of the battery safety beyond non-flammable electrolyte design and paves the way towards safer and more efficient battery systems for energy storage.</w:t>
      </w:r>
    </w:p>
    <w:p>
      <w:pPr>
        <w:spacing w:before="120" w:after="120"/>
      </w:pPr>
      <w:r>
        <w:rPr>
          <w:sz w:val="18"/>
        </w:rPr>
        <w:t>——————————————————————————————————————————————————————————————————————</w:t>
      </w:r>
    </w:p>
    <w:p>
      <w:pPr>
        <w:spacing w:before="160" w:after="40" w:line="240" w:lineRule="auto"/>
      </w:pPr>
      <w:r>
        <w:rPr>
          <w:b/>
        </w:rPr>
        <w:t xml:space="preserve">[2] </w:t>
      </w:r>
      <w:hyperlink r:id="rId61">
        <w:r>
          <w:rPr>
            <w:color w:val="1155CC"/>
            <w:u w:val="single"/>
          </w:rPr>
          <w:t>电解质维持4.5 V Li||NCM811电池在80°C下循环</w:t>
        </w:r>
      </w:hyperlink>
    </w:p>
    <w:p>
      <w:pPr>
        <w:spacing w:before="0" w:after="80"/>
      </w:pPr>
      <w:r>
        <w:rPr>
          <w:i/>
          <w:sz w:val="20"/>
        </w:rPr>
        <w:t>EN: Electrolyte Sustaining 4.5 V Li||NCM811 Batteries Cycled at 80°C</w:t>
      </w:r>
    </w:p>
    <w:p>
      <w:pPr>
        <w:spacing w:before="0" w:after="120"/>
      </w:pPr>
      <w:r>
        <w:rPr>
          <w:b/>
        </w:rPr>
        <w:t xml:space="preserve">Source: </w:t>
      </w:r>
      <w:r>
        <w:t>Wiley: Advanced Energy Materials: Table of Contents</w:t>
      </w:r>
      <w:r>
        <w:t xml:space="preserve">    </w:t>
      </w:r>
      <w:r>
        <w:rPr>
          <w:b/>
        </w:rPr>
        <w:t xml:space="preserve">Pub date: </w:t>
      </w:r>
      <w:r>
        <w:t>2026-04-06 03:08:08+00:00</w:t>
      </w:r>
      <w:r>
        <w:t xml:space="preserve">    </w:t>
      </w:r>
      <w:r>
        <w:rPr>
          <w:b/>
        </w:rPr>
        <w:t xml:space="preserve">DOI: </w:t>
      </w:r>
      <w:hyperlink r:id="rId62">
        <w:r>
          <w:rPr>
            <w:color w:val="1155CC"/>
            <w:u w:val="single"/>
          </w:rPr>
          <w:t>10.1002/aenm.70894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LiNi</w:t>
      </w:r>
      <w:r>
        <w:t xml:space="preserve"> </w:t>
      </w:r>
      <w:r>
        <w:t>0.8</w:t>
      </w:r>
      <w:r>
        <w:t xml:space="preserve"> </w:t>
      </w:r>
      <w:r>
        <w:t>Mn</w:t>
      </w:r>
      <w:r>
        <w:t xml:space="preserve"> </w:t>
      </w:r>
      <w:r>
        <w:t>0.1</w:t>
      </w:r>
      <w:r>
        <w:t xml:space="preserve"> </w:t>
      </w:r>
      <w:r>
        <w:t>Co</w:t>
      </w:r>
      <w:r>
        <w:t xml:space="preserve"> </w:t>
      </w:r>
      <w:r>
        <w:t>0.1</w:t>
      </w:r>
      <w:r>
        <w:t xml:space="preserve"> </w:t>
      </w:r>
      <w:r>
        <w:t>O</w:t>
      </w:r>
      <w:r>
        <w:rPr>
          <w:vertAlign w:val="subscript"/>
        </w:rPr>
        <w:t>2</w:t>
      </w:r>
      <w:r>
        <w:t>（NCM811）基锂金属电池（LMBs）被广泛认为是下一代高能量密度系统的有前途的候选者。然而，在高温和高电压条件下，电解质和电极之间不可避免地会触发严重的界面副反应，极大地阻碍了LMBs的实际发展。在此，通过LiBF的协同调控，在NCM811上形成机械和热稳定的富含LiF/LiB</w:t>
      </w:r>
      <w:r>
        <w:t xml:space="preserve"> </w:t>
      </w:r>
      <w:r>
        <w:t>x</w:t>
      </w:r>
      <w:r>
        <w:t xml:space="preserve"> </w:t>
      </w:r>
      <w:r>
        <w:t>O</w:t>
      </w:r>
      <w:r>
        <w:t xml:space="preserve"> </w:t>
      </w:r>
      <w:r>
        <w:t>y</w:t>
      </w:r>
      <w:r>
        <w:t xml:space="preserve"> </w:t>
      </w:r>
      <w:r>
        <w:t>的CEI。</w:t>
      </w:r>
    </w:p>
    <w:p>
      <w:pPr>
        <w:spacing w:before="0" w:after="200" w:lineRule="auto" w:line="276"/>
      </w:pPr>
      <w:r>
        <w:rPr>
          <w:b/>
        </w:rPr>
        <w:t xml:space="preserve">Abstract (EN): </w:t>
      </w:r>
      <w:r>
        <w:t>LiNi</w:t>
      </w:r>
      <w:r>
        <w:t xml:space="preserve"> </w:t>
      </w:r>
      <w:r>
        <w:t>0.8</w:t>
      </w:r>
      <w:r>
        <w:t xml:space="preserve"> </w:t>
      </w:r>
      <w:r>
        <w:t>Mn</w:t>
      </w:r>
      <w:r>
        <w:t xml:space="preserve"> </w:t>
      </w:r>
      <w:r>
        <w:t>0.1</w:t>
      </w:r>
      <w:r>
        <w:t xml:space="preserve"> </w:t>
      </w:r>
      <w:r>
        <w:t>Co</w:t>
      </w:r>
      <w:r>
        <w:t xml:space="preserve"> </w:t>
      </w:r>
      <w:r>
        <w:t>0.1</w:t>
      </w:r>
      <w:r>
        <w:t xml:space="preserve"> </w:t>
      </w:r>
      <w:r>
        <w:t>O</w:t>
      </w:r>
      <w:r>
        <w:rPr>
          <w:vertAlign w:val="subscript"/>
        </w:rPr>
        <w:t>2</w:t>
      </w:r>
      <w:r>
        <w:t>(NCM811)‐based lithium metal batteries (LMBs) are widely regarded as promising candidates for next‐generation high‐energy‐density systems. However, under high‐temperature and high‐voltage conditions, severe interfacial side reactions between the electrolyte and electrodes are inevitably triggered, substantially impeding the practical development of LMBs. Herein, a mechanically and thermally robust LiF/LiB</w:t>
      </w:r>
      <w:r>
        <w:t xml:space="preserve"> </w:t>
      </w:r>
      <w:r>
        <w:t>x</w:t>
      </w:r>
      <w:r>
        <w:t xml:space="preserve"> </w:t>
      </w:r>
      <w:r>
        <w:t>O</w:t>
      </w:r>
      <w:r>
        <w:t xml:space="preserve"> </w:t>
      </w:r>
      <w:r>
        <w:t>y</w:t>
      </w:r>
      <w:r>
        <w:t xml:space="preserve"> </w:t>
      </w:r>
      <w:r>
        <w:t>‐rich CEI on NCM811 via synergistic regulation of a LiBF</w:t>
      </w:r>
      <w:r>
        <w:rPr>
          <w:vertAlign w:val="subscript"/>
        </w:rPr>
        <w:t>4</w:t>
      </w:r>
      <w:r>
        <w:t>/LiDFOB dual‐salt electrolyte and a functional boron‐containing additive 2,4,6‐tris(3,4,5‐trifluorophenyl)boroxin (TTFPB) is rationally constructed. The LiBF</w:t>
      </w:r>
      <w:r>
        <w:rPr>
          <w:vertAlign w:val="subscript"/>
        </w:rPr>
        <w:t>4</w:t>
      </w:r>
      <w:r>
        <w:t>/LiDFOB dual‐salt system enhances electrolyte thermal and oxidative stability, while TTFPB reconstructs the Li</w:t>
      </w:r>
      <w:r>
        <w:t xml:space="preserve"> </w:t>
      </w:r>
      <w:r>
        <w:t>+</w:t>
      </w:r>
      <w:r>
        <w:t xml:space="preserve"> </w:t>
      </w:r>
      <w:r>
        <w:t>solvation structure by selectively excluding DFOB</w:t>
      </w:r>
      <w:r>
        <w:t xml:space="preserve"> </w:t>
      </w:r>
      <w:r>
        <w:t>−</w:t>
      </w:r>
      <w:r>
        <w:t>from the primary solvation sheath and enriching BF</w:t>
      </w:r>
      <w:r>
        <w:rPr>
          <w:vertAlign w:val="subscript"/>
        </w:rPr>
        <w:t>4</w:t>
      </w:r>
      <w:r>
        <w:t>−</w:t>
      </w:r>
      <w:r>
        <w:t>coordination, thereby inducing an anion‐rich solvation structure. Meanwhile, TTFPB/DFOB</w:t>
      </w:r>
      <w:r>
        <w:t xml:space="preserve"> </w:t>
      </w:r>
      <w:r>
        <w:t>−</w:t>
      </w:r>
      <w:r>
        <w:t>species preferentially decompose at the cathode interphase, generating a uniform and mechanically robust LiF/LiB</w:t>
      </w:r>
      <w:r>
        <w:t xml:space="preserve"> </w:t>
      </w:r>
      <w:r>
        <w:t>x</w:t>
      </w:r>
      <w:r>
        <w:t xml:space="preserve"> </w:t>
      </w:r>
      <w:r>
        <w:t>O</w:t>
      </w:r>
      <w:r>
        <w:t xml:space="preserve"> </w:t>
      </w:r>
      <w:r>
        <w:t>y</w:t>
      </w:r>
      <w:r>
        <w:t xml:space="preserve"> </w:t>
      </w:r>
      <w:r>
        <w:t>‐rich CEI. This stabilized interphase effectively suppresses continuous electrolyte decomposition and mitigates transition‐metals ions (TMs) dissolution, also alleviates cathode phase transitions. Consequently, Li||NCM811 batteries with this electrolyte deliver 80.70% capacity retention after 350 cycles at 4.5 V. Notably, even under extreme operating conditions at 4.5 V and 80°C, the batteries retain 87.50% of their initial capacity after 100 cycles.</w:t>
      </w:r>
    </w:p>
    <w:p>
      <w:pPr>
        <w:spacing w:before="120" w:after="120"/>
      </w:pPr>
      <w:r>
        <w:rPr>
          <w:sz w:val="18"/>
        </w:rPr>
        <w:t>——————————————————————————————————————————————————————————————————————</w:t>
      </w:r>
    </w:p>
    <w:p>
      <w:pPr>
        <w:spacing w:before="160" w:after="40" w:line="240" w:lineRule="auto"/>
      </w:pPr>
      <w:r>
        <w:rPr>
          <w:b/>
        </w:rPr>
        <w:t xml:space="preserve">[3] </w:t>
      </w:r>
      <w:hyperlink r:id="rId29">
        <w:r>
          <w:rPr>
            <w:color w:val="1155CC"/>
            <w:u w:val="single"/>
          </w:rPr>
          <w:t>电极材料中的晶体水工程：解码结构-性能动态以用于先进的储能设备</w:t>
        </w:r>
      </w:hyperlink>
    </w:p>
    <w:p>
      <w:pPr>
        <w:spacing w:before="0" w:after="80"/>
      </w:pPr>
      <w:r>
        <w:rPr>
          <w:i/>
          <w:sz w:val="20"/>
        </w:rPr>
        <w:t>EN: Crystal Water Engineering in Electrode Materials: Decoding Structure‐Property Dynamics for Advanced Energy Storage Devices</w:t>
      </w:r>
    </w:p>
    <w:p>
      <w:pPr>
        <w:spacing w:before="0" w:after="120"/>
      </w:pPr>
      <w:r>
        <w:rPr>
          <w:b/>
        </w:rPr>
        <w:t xml:space="preserve">Source: </w:t>
      </w:r>
      <w:r>
        <w:t>Wiley: Advanced Energy Materials: Table of Contents</w:t>
      </w:r>
      <w:r>
        <w:t xml:space="preserve">    </w:t>
      </w:r>
      <w:r>
        <w:rPr>
          <w:b/>
        </w:rPr>
        <w:t xml:space="preserve">Pub date: </w:t>
      </w:r>
      <w:r>
        <w:t>2026-04-06 03:11:24+00:00</w:t>
      </w:r>
      <w:r>
        <w:t xml:space="preserve">    </w:t>
      </w:r>
      <w:r>
        <w:rPr>
          <w:b/>
        </w:rPr>
        <w:t xml:space="preserve">DOI: </w:t>
      </w:r>
      <w:hyperlink r:id="rId30">
        <w:r>
          <w:rPr>
            <w:color w:val="1155CC"/>
            <w:u w:val="single"/>
          </w:rPr>
          <w:t>10.1002/aenm.70913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结晶水，传统上被视为一种被动甚至有害的成分，已成为先进储能材料中的一个完整且动态的结构单元。尽管其在调节结构稳定性和离子传输动力学方面起着关键作用，但对不同储能系统中结晶水的独特结构-性能动态的全面理解仍然难以捉摸。在此，本综述系统地解码了结晶水工程的基本机制和多方面应用。我们全面审查了其在单价离子（例如，Li</w:t>
      </w:r>
      <w:r>
        <w:t xml:space="preserve"> </w:t>
      </w:r>
      <w:r>
        <w:t>+</w:t>
      </w:r>
      <w:r>
        <w:t xml:space="preserve"> </w:t>
      </w:r>
      <w:r>
        <w:t>，Na</w:t>
      </w:r>
      <w:r>
        <w:t xml:space="preserve"> </w:t>
      </w:r>
      <w:r>
        <w:t>+</w:t>
      </w:r>
      <w:r>
        <w:t xml:space="preserve"> </w:t>
      </w:r>
      <w:r>
        <w:t>，K</w:t>
      </w:r>
      <w:r>
        <w:t xml:space="preserve"> </w:t>
      </w:r>
      <w:r>
        <w:t>+</w:t>
      </w:r>
      <w:r>
        <w:t xml:space="preserve"> </w:t>
      </w:r>
      <w:r>
        <w:t>）中的定制功能。</w:t>
      </w:r>
    </w:p>
    <w:p>
      <w:pPr>
        <w:spacing w:before="0" w:after="200" w:lineRule="auto" w:line="276"/>
      </w:pPr>
      <w:r>
        <w:rPr>
          <w:b/>
        </w:rPr>
        <w:t xml:space="preserve">Abstract (EN): </w:t>
      </w:r>
      <w:r>
        <w:t>Crystal water, traditionally viewed as a passive or even detrimental component, has emerged as an integral and dynamic structural unit in advanced energy storage materials. Despite its critical role in modulating structural stability and ion transport kinetics, a comprehensive understanding of the distinct structure‐property dynamics of crystal water across diverse energy storage systems remains elusive. Herein, this review systematically decodes the fundamental mechanisms and multifaceted applications of crystal water engineering. We comprehensively examine its tailored functionalities in monovalent‐ion (e.g., Li</w:t>
      </w:r>
      <w:r>
        <w:t xml:space="preserve"> </w:t>
      </w:r>
      <w:r>
        <w:t>+</w:t>
      </w:r>
      <w:r>
        <w:t xml:space="preserve"> </w:t>
      </w:r>
      <w:r>
        <w:t>, Na</w:t>
      </w:r>
      <w:r>
        <w:t xml:space="preserve"> </w:t>
      </w:r>
      <w:r>
        <w:t>+</w:t>
      </w:r>
      <w:r>
        <w:t xml:space="preserve"> </w:t>
      </w:r>
      <w:r>
        <w:t>, K</w:t>
      </w:r>
      <w:r>
        <w:t xml:space="preserve"> </w:t>
      </w:r>
      <w:r>
        <w:t>+</w:t>
      </w:r>
      <w:r>
        <w:t xml:space="preserve"> </w:t>
      </w:r>
      <w:r>
        <w:t>) and multivalent‐ion (e.g., Mg</w:t>
      </w:r>
      <w:r>
        <w:t xml:space="preserve"> </w:t>
      </w:r>
      <w:r>
        <w:t>2+</w:t>
      </w:r>
      <w:r>
        <w:t xml:space="preserve"> </w:t>
      </w:r>
      <w:r>
        <w:t>, Zn</w:t>
      </w:r>
      <w:r>
        <w:t xml:space="preserve"> </w:t>
      </w:r>
      <w:r>
        <w:t>2+</w:t>
      </w:r>
      <w:r>
        <w:t xml:space="preserve"> </w:t>
      </w:r>
      <w:r>
        <w:t>, Ca</w:t>
      </w:r>
      <w:r>
        <w:t xml:space="preserve"> </w:t>
      </w:r>
      <w:r>
        <w:t>2+</w:t>
      </w:r>
      <w:r>
        <w:t xml:space="preserve"> </w:t>
      </w:r>
      <w:r>
        <w:t>) batteries, highlighting distinct mechanistic disparities ranging from mitigating steric hindrance via lattice expansion to shielding electrostatic interactions through solid‐state solvation. The discussion also extends to emerging systems, such as supercapacitors and solid‐state or quasi‐solid‐state electrolytes, where structurally confined water uniquely acts as an ionic lubricant and a rapid ion‐hopping promoter. Finally, critical open questions and emerging opportunities are analyzed, highlighting transformative potential of crystal water in guiding the rational design of next‐generation energy storage materials.</w:t>
      </w:r>
    </w:p>
    <w:p>
      <w:pPr>
        <w:spacing w:before="120" w:after="120"/>
      </w:pPr>
      <w:r>
        <w:rPr>
          <w:sz w:val="18"/>
        </w:rPr>
        <w:t>——————————————————————————————————————————————————————————————————————</w:t>
      </w:r>
    </w:p>
    <w:p>
      <w:pPr>
        <w:spacing w:before="160" w:after="40" w:line="240" w:lineRule="auto"/>
      </w:pPr>
      <w:r>
        <w:rPr>
          <w:b/>
        </w:rPr>
        <w:t xml:space="preserve">[4] </w:t>
      </w:r>
      <w:hyperlink r:id="rId63">
        <w:r>
          <w:rPr>
            <w:color w:val="1155CC"/>
            <w:u w:val="single"/>
          </w:rPr>
          <w:t>多级人工智能框架加速水系电池电解质设计</w:t>
        </w:r>
      </w:hyperlink>
    </w:p>
    <w:p>
      <w:pPr>
        <w:spacing w:before="0" w:after="80"/>
      </w:pPr>
      <w:r>
        <w:rPr>
          <w:i/>
          <w:sz w:val="20"/>
        </w:rPr>
        <w:t>EN: Multilevel Artificial Intelligent Framework Accelerates Electrolytes Design for Aqueous Batteries</w:t>
      </w:r>
    </w:p>
    <w:p>
      <w:pPr>
        <w:spacing w:before="0" w:after="120"/>
      </w:pPr>
      <w:r>
        <w:rPr>
          <w:b/>
        </w:rPr>
        <w:t xml:space="preserve">Source: </w:t>
      </w:r>
      <w:r>
        <w:t>Wiley: Angewandte Chemie International Edition: Table of Contents</w:t>
      </w:r>
      <w:r>
        <w:t xml:space="preserve">    </w:t>
      </w:r>
      <w:r>
        <w:rPr>
          <w:b/>
        </w:rPr>
        <w:t xml:space="preserve">Pub date: </w:t>
      </w:r>
      <w:r>
        <w:t>2026-04-06 03:18:14+00:00</w:t>
      </w:r>
      <w:r>
        <w:t xml:space="preserve">    </w:t>
      </w:r>
      <w:r>
        <w:rPr>
          <w:b/>
        </w:rPr>
        <w:t xml:space="preserve">DOI: </w:t>
      </w:r>
      <w:hyperlink r:id="rId64">
        <w:r>
          <w:rPr>
            <w:color w:val="1155CC"/>
            <w:u w:val="single"/>
          </w:rPr>
          <w:t>10.1002/anie.5593105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缺乏明确的指导来设计具有宽电化学稳定窗口（ESW）和强抗氢析出反应（HER）能力的新型水系电解质，阻碍了安全且高能量的水系电池（ABs）的发展。尽管通过揭示复杂模式推进了科学发现，机器学习在电解质设计中仍然具有挑战性，因为复杂的添加剂配方、溶剂化相互作用和耦合性能指标需要化学可解释的工作流程。在此，开发了一种多层次人工智能（AI）框架，用于加速ABs的电解质设计。首先应用多任务神经网络来建立水系电解质的元素特征</w:t>
      </w:r>
    </w:p>
    <w:p>
      <w:pPr>
        <w:spacing w:before="0" w:after="200" w:lineRule="auto" w:line="276"/>
      </w:pPr>
      <w:r>
        <w:rPr>
          <w:b/>
        </w:rPr>
        <w:t xml:space="preserve">Abstract (EN): </w:t>
      </w:r>
      <w:r>
        <w:t>The lack of clear guidance for designing novel aqueous electrolytes with wide electrochemical stability window (ESW) and strong resistance to hydrogen evolution reactions (HER) has hindered the development of safe and energetic aqueous batteries (ABs). Despite advancing scientific discovery by uncovering complex patterns, machine learning remains challenging for electrolyte design, owing to intricate additive formulations, solvation interactions, and coupled performance metrics, demanding chemically interpretable workflows. Herein, a multilevel artificial intelligent (AI) framework is developed for accelerated electrolyte design for ABs. The multi‐task neural network is first applied to establish the elemental features of aqueous electrolytes with wide ESW, followed by a classification‐regression model to identify additives with strong HER inhibition effect. Unsupervised learning combined with molecular dynamics simulations further provides a chemical explanation. Particularly, the elaborated additives with large polar topological structures reduce HER activity and expand ESW by enhancing the water confinement effect. As a proof of concept, experimental analyses further validate the long lifespan, evidenced by symmetric‐cell cycling beyond 1100 h and more than 2500 cycles in Zn||VO</w:t>
      </w:r>
      <w:r>
        <w:rPr>
          <w:vertAlign w:val="subscript"/>
        </w:rPr>
        <w:t>2</w:t>
      </w:r>
      <w:r>
        <w:t>full cells, along with the reliable operation of a 1.66 Ah punch‐type device. This multilevel AI framework integrated with experimental validations should accelerate and rationalize the development of ABs.</w:t>
      </w:r>
    </w:p>
    <w:p>
      <w:pPr>
        <w:spacing w:before="120" w:after="120"/>
      </w:pPr>
      <w:r>
        <w:rPr>
          <w:sz w:val="18"/>
        </w:rPr>
        <w:t>——————————————————————————————————————————————————————————————————————</w:t>
      </w:r>
    </w:p>
    <w:p>
      <w:pPr>
        <w:spacing w:before="160" w:after="40" w:line="240" w:lineRule="auto"/>
      </w:pPr>
      <w:r>
        <w:rPr>
          <w:b/>
        </w:rPr>
        <w:t xml:space="preserve">[5] </w:t>
      </w:r>
      <w:hyperlink r:id="rId65">
        <w:r>
          <w:rPr>
            <w:color w:val="1155CC"/>
            <w:u w:val="single"/>
          </w:rPr>
          <w:t>生物聚合物电解质的界面-体相协同调控用于先进的锌-碘电池的四电子I−/I0/I+转化</w:t>
        </w:r>
      </w:hyperlink>
    </w:p>
    <w:p>
      <w:pPr>
        <w:spacing w:before="0" w:after="80"/>
      </w:pPr>
      <w:r>
        <w:rPr>
          <w:i/>
          <w:sz w:val="20"/>
        </w:rPr>
        <w:t>EN: Synergistic Interface‐Bulk Regulation of Biopolymer Electrolytes for Advanced Zn‐Iodine Batteries With Four‐Electron I−/I0/I+ Conversion</w:t>
      </w:r>
    </w:p>
    <w:p>
      <w:pPr>
        <w:spacing w:before="0" w:after="120"/>
      </w:pPr>
      <w:r>
        <w:rPr>
          <w:b/>
        </w:rPr>
        <w:t xml:space="preserve">Source: </w:t>
      </w:r>
      <w:r>
        <w:t>Wiley: Angewandte Chemie International Edition: Table of Contents</w:t>
      </w:r>
      <w:r>
        <w:t xml:space="preserve">    </w:t>
      </w:r>
      <w:r>
        <w:rPr>
          <w:b/>
        </w:rPr>
        <w:t xml:space="preserve">Pub date: </w:t>
      </w:r>
      <w:r>
        <w:t>2026-04-06 03:20:44+00:00</w:t>
      </w:r>
      <w:r>
        <w:t xml:space="preserve">    </w:t>
      </w:r>
      <w:r>
        <w:rPr>
          <w:b/>
        </w:rPr>
        <w:t xml:space="preserve">DOI: </w:t>
      </w:r>
      <w:hyperlink r:id="rId66">
        <w:r>
          <w:rPr>
            <w:color w:val="1155CC"/>
            <w:u w:val="single"/>
          </w:rPr>
          <w:t>10.1002/anie.8430459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水系锌||碘电池（AZIBs）依赖于高效的I</w:t>
      </w:r>
      <w:r>
        <w:t xml:space="preserve"> </w:t>
      </w:r>
      <w:r>
        <w:t>−</w:t>
      </w:r>
      <w:r>
        <w:t>/I</w:t>
      </w:r>
      <w:r>
        <w:rPr>
          <w:vertAlign w:val="subscript"/>
        </w:rPr>
        <w:t>0</w:t>
      </w:r>
      <w:r>
        <w:t>/I</w:t>
      </w:r>
      <w:r>
        <w:t xml:space="preserve"> </w:t>
      </w:r>
      <w:r>
        <w:t>+</w:t>
      </w:r>
      <w:r>
        <w:t xml:space="preserve"> </w:t>
      </w:r>
      <w:r>
        <w:t>转换化学，提供高理论能量密度。然而，其实际应用受到多碘化物（I</w:t>
      </w:r>
      <w:r>
        <w:rPr>
          <w:vertAlign w:val="subscript"/>
        </w:rPr>
        <w:t>3</w:t>
      </w:r>
      <w:r>
        <w:t>−</w:t>
      </w:r>
      <w:r>
        <w:t>和I</w:t>
      </w:r>
      <w:r>
        <w:rPr>
          <w:vertAlign w:val="subscript"/>
        </w:rPr>
        <w:t>5</w:t>
      </w:r>
      <w:r>
        <w:t>−</w:t>
      </w:r>
      <w:r>
        <w:t>）穿梭效应、碘阴极的I</w:t>
      </w:r>
      <w:r>
        <w:t xml:space="preserve"> </w:t>
      </w:r>
      <w:r>
        <w:t>+</w:t>
      </w:r>
      <w:r>
        <w:t xml:space="preserve"> </w:t>
      </w:r>
      <w:r>
        <w:t>水解以及锌阳极的差可逆性的阻碍。为了解决这些挑战，我们提出了一种使用带相反电荷的生物聚合物的协同界面-体相调控策略。一个带负电荷的</w:t>
      </w:r>
    </w:p>
    <w:p>
      <w:pPr>
        <w:spacing w:before="0" w:after="200" w:lineRule="auto" w:line="276"/>
      </w:pPr>
      <w:r>
        <w:rPr>
          <w:b/>
        </w:rPr>
        <w:t xml:space="preserve">Abstract (EN): </w:t>
      </w:r>
      <w:r>
        <w:t>Aqueous zinc||iodine batteries (AZIBs), which rely on the efficient I</w:t>
      </w:r>
      <w:r>
        <w:t xml:space="preserve"> </w:t>
      </w:r>
      <w:r>
        <w:t>−</w:t>
      </w:r>
      <w:r>
        <w:t>/I</w:t>
      </w:r>
      <w:r>
        <w:rPr>
          <w:vertAlign w:val="subscript"/>
        </w:rPr>
        <w:t>0</w:t>
      </w:r>
      <w:r>
        <w:t>/I</w:t>
      </w:r>
      <w:r>
        <w:t xml:space="preserve"> </w:t>
      </w:r>
      <w:r>
        <w:t>+</w:t>
      </w:r>
      <w:r>
        <w:t xml:space="preserve"> </w:t>
      </w:r>
      <w:r>
        <w:t>conversion chemistry, offer high theoretical energy density. However, their practical application is hindered by the polyiodide (I</w:t>
      </w:r>
      <w:r>
        <w:rPr>
          <w:vertAlign w:val="subscript"/>
        </w:rPr>
        <w:t>3</w:t>
      </w:r>
      <w:r>
        <w:t>−</w:t>
      </w:r>
      <w:r>
        <w:t>and I</w:t>
      </w:r>
      <w:r>
        <w:rPr>
          <w:vertAlign w:val="subscript"/>
        </w:rPr>
        <w:t>5</w:t>
      </w:r>
      <w:r>
        <w:t>−</w:t>
      </w:r>
      <w:r>
        <w:t>) shuttle effect, I</w:t>
      </w:r>
      <w:r>
        <w:t xml:space="preserve"> </w:t>
      </w:r>
      <w:r>
        <w:t>+</w:t>
      </w:r>
      <w:r>
        <w:t xml:space="preserve"> </w:t>
      </w:r>
      <w:r>
        <w:t>hydrolysis at the iodine cathode, and poor reversibility at the Zn anode. To address these challenges, we propose a synergistic interface–bulk regulation strategy using oppositely charged biopolymers. A negatively charged sodium alginate (SA) hydrogel serves as the bulk electrolyte matrix, while positively charged quaternized chitosan (qChi) is introduced as a functional additive. In this system, the abundant carboxyl groups along the SA chains not only facilitate uniform Zn</w:t>
      </w:r>
      <w:r>
        <w:t xml:space="preserve"> </w:t>
      </w:r>
      <w:r>
        <w:t>2+</w:t>
      </w:r>
      <w:r>
        <w:t xml:space="preserve"> </w:t>
      </w:r>
      <w:r>
        <w:t>deposition but also electrostatically repel polyiodides. Meanwhile, the amine and quaternary ammonium groups along the qChi chains can strongly bind polyiodides and ICl</w:t>
      </w:r>
      <w:r>
        <w:rPr>
          <w:vertAlign w:val="subscript"/>
        </w:rPr>
        <w:t>2</w:t>
      </w:r>
      <w:r>
        <w:t>−</w:t>
      </w:r>
      <w:r>
        <w:t>species via ionic interactions, thereby effectively suppressing the shuttle effect and stabilizing I</w:t>
      </w:r>
      <w:r>
        <w:t xml:space="preserve"> </w:t>
      </w:r>
      <w:r>
        <w:t>+</w:t>
      </w:r>
      <w:r>
        <w:t xml:space="preserve"> </w:t>
      </w:r>
      <w:r>
        <w:t>against hydrolysis. Consequently, highly durable two‐electron and four‐electron AZIBs are achieved, delivering remarkable cycling lifespans of 20 000 and 10 000 cycles with ultralow capacity decay rates of 0.00054% per cycle and 0.17% per hundred cycles, respectively. Notably, the AZIBs also maintain excellent performance in a natural seawater‐based electrolyte, highlighting their potential as sustainable and high‐performance energy storage systems.</w:t>
      </w:r>
    </w:p>
    <w:p>
      <w:pPr>
        <w:spacing w:before="120" w:after="120"/>
      </w:pPr>
      <w:r>
        <w:rPr>
          <w:sz w:val="18"/>
        </w:rPr>
        <w:t>——————————————————————————————————————————————————————————————————————</w:t>
      </w:r>
    </w:p>
    <w:p>
      <w:pPr>
        <w:spacing w:before="160" w:after="40" w:line="240" w:lineRule="auto"/>
      </w:pPr>
      <w:r>
        <w:rPr>
          <w:b/>
        </w:rPr>
        <w:t xml:space="preserve">[6] </w:t>
      </w:r>
      <w:hyperlink r:id="rId67">
        <w:r>
          <w:rPr>
            <w:color w:val="1155CC"/>
            <w:u w:val="single"/>
          </w:rPr>
          <w:t>异氰酸酯化学实现了钾金属电池稳定的电极-电解质界面</w:t>
        </w:r>
      </w:hyperlink>
    </w:p>
    <w:p>
      <w:pPr>
        <w:spacing w:before="0" w:after="80"/>
      </w:pPr>
      <w:r>
        <w:rPr>
          <w:i/>
          <w:sz w:val="20"/>
        </w:rPr>
        <w:t>EN: Isocyanate Chemistry Enables a Stable Electrode‐Electrolyte Interface for Potassium Metal Batteries</w:t>
      </w:r>
    </w:p>
    <w:p>
      <w:pPr>
        <w:spacing w:before="0" w:after="120"/>
      </w:pPr>
      <w:r>
        <w:rPr>
          <w:b/>
        </w:rPr>
        <w:t xml:space="preserve">Source: </w:t>
      </w:r>
      <w:r>
        <w:t>Wiley: Advanced Energy Materials: Table of Contents</w:t>
      </w:r>
      <w:r>
        <w:t xml:space="preserve">    </w:t>
      </w:r>
      <w:r>
        <w:rPr>
          <w:b/>
        </w:rPr>
        <w:t xml:space="preserve">Pub date: </w:t>
      </w:r>
      <w:r>
        <w:t>2026-04-06 07:40:32+00:00</w:t>
      </w:r>
      <w:r>
        <w:t xml:space="preserve">    </w:t>
      </w:r>
      <w:r>
        <w:rPr>
          <w:b/>
        </w:rPr>
        <w:t xml:space="preserve">DOI: </w:t>
      </w:r>
      <w:hyperlink r:id="rId68">
        <w:r>
          <w:rPr>
            <w:color w:val="1155CC"/>
            <w:u w:val="single"/>
          </w:rPr>
          <w:t>10.1002/aenm.70912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钾金属电池（KMBs）目前被认为是实现高能量密度的最有前途的储能设备之一。然而，一些不可避免的挑战，包括金属钾的高反应性、枝晶生长和巨大的体积膨胀，对钾金属电池造成了沉重的负担。在此，首次提出了一种异氰酸酯分子——4-（三氟甲氧基）苯基异氰酸酯（TPI）来调整KMBs中的电解质溶剂化结构和界面化学。所获得的电解质表现出增强的离子电导率、优异的电极润湿性和高交换电流密度。由于能级差异，TPI优先接受或捐赠电子并经历再</w:t>
      </w:r>
    </w:p>
    <w:p>
      <w:pPr>
        <w:spacing w:before="0" w:after="200" w:lineRule="auto" w:line="276"/>
      </w:pPr>
      <w:r>
        <w:rPr>
          <w:b/>
        </w:rPr>
        <w:t xml:space="preserve">Abstract (EN): </w:t>
      </w:r>
      <w:r>
        <w:t>Potassium metal batteries (KMBs) have currently been regarded as one of the most promising energy storage devices for achieving high energy density. However, some inevitable challenges including high reactivity of metallic potassium, dendrite growth, and huge volume expansion impose a heavy burden on potassium metal batteries. Herein, an isocyanate molecule – 4‐(trifluoromethoxy)phenyl isocyanate (TPI) is proposed to tailor the electrolyte solvation structure and interfacial chemistry in KMBs for the first time. The as‐obtained electrolyte exhibits enhanced ionic conductivity, excellent electrode wettability and high exchange current density. Due to the energy levels difference, TPI preferentially accepts or donates electrons and undergoes redox reactions faster, thereby reducing the excessive decomposition of solvent molecules. Moreover, its inherent excellent film‐forming property could form a protective layer at the electrode interface, effectively inhibiting the electrolyte decomposition and the adverse reactions caused by potassium metal. When assembled symmetrical batteries, at a current density of 0.5 mA cm</w:t>
      </w:r>
      <w:r>
        <w:t xml:space="preserve"> </w:t>
      </w:r>
      <w:r>
        <w:t>−2</w:t>
      </w:r>
      <w:r>
        <w:t xml:space="preserve"> </w:t>
      </w:r>
      <w:r>
        <w:t>and 0.5 mAh cm</w:t>
      </w:r>
      <w:r>
        <w:t xml:space="preserve"> </w:t>
      </w:r>
      <w:r>
        <w:t>−2</w:t>
      </w:r>
      <w:r>
        <w:t xml:space="preserve"> </w:t>
      </w:r>
      <w:r>
        <w:t>, the electrolyte could stably run for more than 1400 h. The PTCDA||K full‐cells could cycle 2000 times with good stability, and the Coulombic efficiency remained at approximately 99.84%. This strategy presents a promising pathway toward achieving performance metrics in KMBs.</w:t>
      </w:r>
    </w:p>
    <w:p>
      <w:pPr>
        <w:spacing w:before="120" w:after="120"/>
      </w:pPr>
      <w:r>
        <w:rPr>
          <w:sz w:val="18"/>
        </w:rPr>
        <w:t>——————————————————————————————————————————————————————————————————————</w:t>
      </w:r>
    </w:p>
    <w:p>
      <w:pPr>
        <w:spacing w:before="160" w:after="40" w:line="240" w:lineRule="auto"/>
      </w:pPr>
      <w:r>
        <w:rPr>
          <w:b/>
        </w:rPr>
        <w:t xml:space="preserve">[7] </w:t>
      </w:r>
      <w:hyperlink r:id="rId69">
        <w:r>
          <w:rPr>
            <w:color w:val="1155CC"/>
            <w:u w:val="single"/>
          </w:rPr>
          <w:t>[ASAP] 由磺酸盐立体化学实现超高稳定性和超质子导电性的二维Cr(III)基金属有机框架</w:t>
        </w:r>
      </w:hyperlink>
    </w:p>
    <w:p>
      <w:pPr>
        <w:spacing w:before="0" w:after="80"/>
      </w:pPr>
      <w:r>
        <w:rPr>
          <w:i/>
          <w:sz w:val="20"/>
        </w:rPr>
        <w:t>EN: [ASAP] Two-Dimensional Cr(III)-Based Metal–Organic Framework with Ultrahigh Stability and Superprotonic Conductivity Enabled by Sulfonate Stereochemistry</w:t>
      </w:r>
    </w:p>
    <w:p>
      <w:pPr>
        <w:spacing w:before="0" w:after="120"/>
      </w:pPr>
      <w:r>
        <w:rPr>
          <w:b/>
        </w:rPr>
        <w:t xml:space="preserve">Source: </w:t>
      </w:r>
      <w:r>
        <w:t>Journal of the American Chemical Society: Latest Articles (ACS Publications)</w:t>
      </w:r>
      <w:r>
        <w:t xml:space="preserve">    </w:t>
      </w:r>
      <w:r>
        <w:rPr>
          <w:b/>
        </w:rPr>
        <w:t xml:space="preserve">Pub date: </w:t>
      </w:r>
      <w:r>
        <w:t>2026-04-06 14:55:31+00:00</w:t>
      </w:r>
      <w:r>
        <w:t xml:space="preserve">    </w:t>
      </w:r>
      <w:r>
        <w:rPr>
          <w:b/>
        </w:rPr>
        <w:t xml:space="preserve">DOI: </w:t>
      </w:r>
      <w:hyperlink r:id="rId70">
        <w:r>
          <w:rPr>
            <w:color w:val="1155CC"/>
            <w:u w:val="single"/>
          </w:rPr>
          <w:t>10.1021/jacs.6c00925</w:t>
        </w:r>
      </w:hyperlink>
    </w:p>
    <w:p>
      <w:pPr>
        <w:spacing w:before="0" w:after="120"/>
      </w:pPr>
      <w:r>
        <w:rPr>
          <w:b/>
        </w:rPr>
        <w:t xml:space="preserve">Notes: </w:t>
      </w:r>
      <w:r>
        <w:t>abstract_source=openalex</w:t>
      </w:r>
    </w:p>
    <w:p>
      <w:pPr>
        <w:spacing w:before="0" w:after="80" w:lineRule="auto" w:line="276"/>
      </w:pPr>
      <w:r>
        <w:rPr>
          <w:b/>
        </w:rPr>
        <w:t xml:space="preserve">摘要（ZH）: </w:t>
      </w:r>
      <w:r>
        <w:t>质子导电二维金属有机框架（2D MOFs）是电化学技术中有吸引力的固体电解质，但同时实现超质子导电性和稳健性仍然是一个巨大的挑战。在此，我们报道了一种通过立体化学引导的磺酸盐连接体设计实现的无溶剂合成的2D Cr(III)-MOF，TGU-80(Cr)。三维电子衍射揭示了一种双齿磺酸盐配位模式，保留了每个磺酸盐上的一个非配位氧原子，形成有利于水合和氢键网络的氧密集纳米通道。这些通道支持快速质子传输，在90 °C和100% RH下提供高达5.61 × 10&lt;sup&gt;-2&lt;/sup&gt; S cm&lt;sup&gt;-1&lt;/sup&gt;的导电率，据我们所知，这是其中之一。</w:t>
      </w:r>
    </w:p>
    <w:p>
      <w:pPr>
        <w:spacing w:before="0" w:after="200" w:lineRule="auto" w:line="276"/>
      </w:pPr>
      <w:r>
        <w:rPr>
          <w:b/>
        </w:rPr>
        <w:t xml:space="preserve">Abstract (EN): </w:t>
      </w:r>
      <w:r>
        <w:t>Proton-conducting two-dimensional metal-organic frameworks (2D MOFs) are attractive solid electrolytes for electrochemical technologies, yet simultaneously achieving superprotonic conductivity and robustness remains highly challenging. Here, we report TGU-80(Cr), a 2D Cr(III)-MOF synthesized via a solvent-free route enabled by a stereochemistry-guided sulfonate-linker design. Three-dimensional electron diffraction reveals a bidentate sulfonate coordination motif that preserves one noncoordinating O atom on every sulfonate, furnishing O-dense nanochannels that favor hydration and hydrogen-bonding networks. These channels support fast proton transport, delivering a conductivity up to 5.61 × 10&lt;sup&gt;-2&lt;/sup&gt; S cm&lt;sup&gt;-1&lt;/sup&gt; at 90 °C and 100% RH, which, to the best of our knowledge, is among the highest reported for additive-free proton-conducting 2D MOFs. Owing to inert Cr-O bonds and extensive interlayer hydrogen bonding, TGU-80(Cr) also exhibits exceptional chemical stability from strongly acidic media to 1 M NaOH. This work not only establishes an unprecedented 2D Cr-MOF that combines ultrahigh stability with superprotonic conductivity but also expands the design and synthesis strategies for low-dimensional reticular materials via the green solvent-free route.</w:t>
      </w:r>
    </w:p>
    <w:p>
      <w:pPr>
        <w:spacing w:before="120" w:after="120"/>
      </w:pPr>
      <w:r>
        <w:rPr>
          <w:sz w:val="18"/>
        </w:rPr>
        <w:t>——————————————————————————————————————————————————————————————————————</w:t>
      </w:r>
    </w:p>
    <w:p>
      <w:pPr>
        <w:spacing w:before="160" w:after="40" w:line="240" w:lineRule="auto"/>
      </w:pPr>
      <w:r>
        <w:rPr>
          <w:b/>
        </w:rPr>
        <w:t xml:space="preserve">[8] </w:t>
      </w:r>
      <w:hyperlink r:id="rId71">
        <w:r>
          <w:rPr>
            <w:color w:val="1155CC"/>
            <w:u w:val="single"/>
          </w:rPr>
          <w:t>[ASAP] 全固态钾金属电池用结晶钾吡啶酸盐电解质的分子设计</w:t>
        </w:r>
      </w:hyperlink>
    </w:p>
    <w:p>
      <w:pPr>
        <w:spacing w:before="0" w:after="80"/>
      </w:pPr>
      <w:r>
        <w:rPr>
          <w:i/>
          <w:sz w:val="20"/>
        </w:rPr>
        <w:t>EN: [ASAP] Molecular Design of Crystalline Potassium Pyridonate Electrolytes for All-Solid-State Potassium Metal Batteries</w:t>
      </w:r>
    </w:p>
    <w:p>
      <w:pPr>
        <w:spacing w:before="0" w:after="120"/>
      </w:pPr>
      <w:r>
        <w:rPr>
          <w:b/>
        </w:rPr>
        <w:t xml:space="preserve">Source: </w:t>
      </w:r>
      <w:r>
        <w:t>Journal of the American Chemical Society: Latest Articles (ACS Publications)</w:t>
      </w:r>
      <w:r>
        <w:t xml:space="preserve">    </w:t>
      </w:r>
      <w:r>
        <w:rPr>
          <w:b/>
        </w:rPr>
        <w:t xml:space="preserve">Pub date: </w:t>
      </w:r>
      <w:r>
        <w:t>2026-04-06 15:46:43+00:00</w:t>
      </w:r>
      <w:r>
        <w:t xml:space="preserve">    </w:t>
      </w:r>
      <w:r>
        <w:rPr>
          <w:b/>
        </w:rPr>
        <w:t xml:space="preserve">DOI: </w:t>
      </w:r>
      <w:hyperlink r:id="rId72">
        <w:r>
          <w:rPr>
            <w:color w:val="1155CC"/>
            <w:u w:val="single"/>
          </w:rPr>
          <w:t>10.1021/jacs.5c19440</w:t>
        </w:r>
      </w:hyperlink>
    </w:p>
    <w:p>
      <w:pPr>
        <w:spacing w:before="0" w:after="120"/>
      </w:pPr>
      <w:r>
        <w:rPr>
          <w:b/>
        </w:rPr>
        <w:t xml:space="preserve">Notes: </w:t>
      </w:r>
      <w:r>
        <w:t>abstract_source=openalex</w:t>
      </w:r>
    </w:p>
    <w:p>
      <w:pPr>
        <w:spacing w:before="0" w:after="80" w:lineRule="auto" w:line="276"/>
      </w:pPr>
      <w:r>
        <w:rPr>
          <w:b/>
        </w:rPr>
        <w:t xml:space="preserve">摘要（ZH）: </w:t>
      </w:r>
      <w:r>
        <w:t>全固态钾金属电池（PMBs）因其自然丰富性和高理论能量密度而成为锂电池的有前途的替代品。然而，效率高的PMBs的发展仍然受到缺乏合适电解质的阻碍。因此，探索用于PMBs的固态电解质（SSEs）至关重要。与无机SSEs相比，开发原始有机钾盐基SSEs的研究仍然极为稀少。在此，通过采用“杂芳香辅助迁移”方法，通过在苯氧基环中引入氮原子，设计了结晶有机钾盐（即钾吡啶酸盐）作为SSEs。具体而言，通过调节N的位置，“K缺乏”&lt;i&gt;间&lt;/i&gt;-KOC&lt;sub&gt;5&lt;/sub&gt;H&lt;sub&gt;4&lt;/sub&gt;的异构体</w:t>
      </w:r>
    </w:p>
    <w:p>
      <w:pPr>
        <w:spacing w:before="0" w:after="200" w:lineRule="auto" w:line="276"/>
      </w:pPr>
      <w:r>
        <w:rPr>
          <w:b/>
        </w:rPr>
        <w:t xml:space="preserve">Abstract (EN): </w:t>
      </w:r>
      <w:r>
        <w:t>All-solid-state potassium metal batteries (PMBs) emerge as promising alternatives to lithium batteries owing to their natural abundance and high theoretical energy density. Nevertheless, the advancement of efficient PMBs is still hindered by the lack of suitable electrolytes. Therefore, exploring solid-state electrolytes (SSEs) for PMBs is critical. Compared with inorganic SSEs, research on developing pristine organic potassium salt-based SSEs remains extremely sparse. Herein, a "Heteroaromatic-Assisted Migration" approach was employed to design crystalline organic potassium salts (i.e., potassium pyridonates) as SSEs by incorporating a nitrogen atom into the phenoxide ring. Specifically, through tuning the position of N, the isomer of "K-deficient" &lt;i&gt;meta&lt;/i&gt;-KOC&lt;sub&gt;5&lt;/sub&gt;H&lt;sub&gt;4&lt;/sub&gt;N achieves an ionic conductivity of 0.22 mS cm&lt;sup&gt;-1&lt;/sup&gt; at 90 °C with an ion transference number (&lt;i&gt;t&lt;/i&gt;&lt;sub&gt;i&lt;/sub&gt;) higher than 0.99, ranking among the highest conductivity reported. Meanwhile, it demonstrates outstanding thermal stability (&gt;240 °C), air tolerance, and low Young's modulus, which enable high stability, scalable synthesis, and ease of molding. The crystal structure of &lt;i&gt;meta&lt;/i&gt;-KOC&lt;sub&gt;5&lt;/sub&gt;H&lt;sub&gt;4&lt;/sub&gt;N is determined as a monoclinic lattice with the space group of &lt;i&gt;P&lt;/i&gt;2&lt;sub&gt;1&lt;/sub&gt;/&lt;i&gt;m&lt;/i&gt; (no. 11), where unsaturated K-ion coordination and flexible layered structure are observed. We successfully demonstrated the first all-solid-state PMB prototype using this organic salt. Both experimental and first-principles calculations reveal that ion diffusion occurs via defect-mediated mechanisms within the layered flexible lattice. Compared with the inorganic SSEs, the present study opens up a new avenue for fabricating safe and facile organic electrolyte materials.</w:t>
      </w:r>
    </w:p>
    <w:p>
      <w:pPr>
        <w:spacing w:before="120" w:after="120"/>
      </w:pPr>
      <w:r>
        <w:rPr>
          <w:sz w:val="18"/>
        </w:rPr>
        <w:t>——————————————————————————————————————————————————————————————————————</w:t>
      </w:r>
    </w:p>
    <w:p>
      <w:pPr>
        <w:spacing w:before="160" w:after="40" w:line="240" w:lineRule="auto"/>
      </w:pPr>
      <w:r>
        <w:rPr>
          <w:b/>
        </w:rPr>
        <w:t xml:space="preserve">[9] </w:t>
      </w:r>
      <w:hyperlink r:id="rId73">
        <w:r>
          <w:rPr>
            <w:color w:val="1155CC"/>
            <w:u w:val="single"/>
          </w:rPr>
          <w:t>具有阴离子桥接二次溶剂化鞘的水性电解质溶液用于高效锌金属电池</w:t>
        </w:r>
      </w:hyperlink>
    </w:p>
    <w:p>
      <w:pPr>
        <w:spacing w:before="0" w:after="80"/>
      </w:pPr>
      <w:r>
        <w:rPr>
          <w:i/>
          <w:sz w:val="20"/>
        </w:rPr>
        <w:t>EN: Aqueous electrolyte solutions with anion-bridged secondary solvation sheaths for highly efficient zinc metal batteries</w:t>
      </w:r>
    </w:p>
    <w:p>
      <w:pPr>
        <w:spacing w:before="0" w:after="120"/>
      </w:pPr>
      <w:r>
        <w:rPr>
          <w:b/>
        </w:rPr>
        <w:t xml:space="preserve">Source: </w:t>
      </w:r>
      <w:r>
        <w:t>Nature Nanotechnology</w:t>
      </w:r>
      <w:r>
        <w:t xml:space="preserve">    </w:t>
      </w:r>
      <w:r>
        <w:rPr>
          <w:b/>
        </w:rPr>
        <w:t xml:space="preserve">Pub date: </w:t>
      </w:r>
      <w:r>
        <w:t>2026-04-07 00:00:00+00:00</w:t>
      </w:r>
      <w:r>
        <w:t xml:space="preserve">    </w:t>
      </w:r>
      <w:r>
        <w:rPr>
          <w:b/>
        </w:rPr>
        <w:t xml:space="preserve">DOI: </w:t>
      </w:r>
      <w:hyperlink r:id="rId74">
        <w:r>
          <w:rPr>
            <w:color w:val="1155CC"/>
            <w:u w:val="single"/>
          </w:rPr>
          <w:t>10.1038/s41565-026-02148-7</w:t>
        </w:r>
      </w:hyperlink>
    </w:p>
    <w:p>
      <w:pPr>
        <w:spacing w:before="0" w:after="120"/>
      </w:pPr>
      <w:r>
        <w:rPr>
          <w:b/>
        </w:rPr>
        <w:t xml:space="preserve">Notes: </w:t>
      </w:r>
      <w:r>
        <w:t>abstract_source=nature_html</w:t>
      </w:r>
    </w:p>
    <w:p>
      <w:pPr>
        <w:spacing w:before="0" w:after="80" w:lineRule="auto" w:line="276"/>
      </w:pPr>
      <w:r>
        <w:rPr>
          <w:b/>
        </w:rPr>
        <w:t xml:space="preserve">摘要（ZH）: </w:t>
      </w:r>
      <w:r>
        <w:t>水系锌金属电池是适合安全电网储能的低成本电化学装置。然而，水分解和锌枝晶的形成对其库仑效率产生不利影响。传统的水系电解质溶液，浓度约为1 M，具有成本效益并表现出高体积离子电导率，但无法形成稳定的固体电解质界面。水中盐和水-有机混合电解质溶液可以形成稳健的固体电解质界面，但它们在动力学上效率不高且成本效益不佳。在此，为了规避这些问题，我们设计了使用几种具有不同供体数的盐的不同浓度的水系电解质溶液，以将阴离子配位扩展到次溶剂化鞘中。我们展示了盐-</w:t>
      </w:r>
    </w:p>
    <w:p>
      <w:pPr>
        <w:spacing w:before="0" w:after="200" w:lineRule="auto" w:line="276"/>
      </w:pPr>
      <w:r>
        <w:rPr>
          <w:b/>
        </w:rPr>
        <w:t xml:space="preserve">Abstract (EN): </w:t>
      </w:r>
      <w:r>
        <w:t>Aqueous zinc metal batteries are low-cost electrochemical devices suitable for safe grid energy storage. However, water decomposition and Zn dendrite formation detrimentally affect their coulombic efficiency. Conventional aqueous electrolyte solutions, with a concentration around 1 M, are cost-effective and exhibit high bulk ionic conductivity but cannot form a stable solid electrolyte interphase. Water-in-salt and aqueous–organic hybrid electrolyte solutions can form robust solid electrolyte interphases, but they are not kinetically efficient and cost-effective. Here, to circumvent these issues, we design variously concentrated aqueous electrolyte solutions using several salts with different donor numbers to extend anion coordination into the secondary solvation sheath. We show that salt-derived anions with donor number &gt; 18 enter the Zn2+ first solvation sheath, and ensure a strong binding energy between the Zn2+(H2O)5-anion nanometric clusters and water molecules in the secondary solvation sheath. In particular, 2 M aqueous electrolyte solutions containing fluorinated anions exhibit bulk ionic conductivities of 26–35 mS cm−1 at 25 °C and form a ZnF2-rich solid electrolyte interphase. When tested in Zn||NaV3O8·1.5H2O Swagelok cells, the best-performing electrolyte solution enables an average coulombic efficiency of 99.99% for 1,000 cycles at 1.5 mA cm−2, corresponding to an initial specific energy of 130 Wh kg−1 (based on the combined weight of the positive and negative electrodes).</w:t>
      </w:r>
    </w:p>
    <w:p>
      <w:pPr>
        <w:spacing w:before="120" w:after="120"/>
      </w:pPr>
      <w:r>
        <w:rPr>
          <w:sz w:val="18"/>
        </w:rPr>
        <w:t>——————————————————————————————————————————————————————————————————————</w:t>
      </w:r>
    </w:p>
    <w:p>
      <w:pPr>
        <w:spacing w:before="160" w:after="40" w:line="240" w:lineRule="auto"/>
      </w:pPr>
      <w:r>
        <w:rPr>
          <w:b/>
        </w:rPr>
        <w:t xml:space="preserve">[10] </w:t>
      </w:r>
      <w:hyperlink r:id="rId75">
        <w:r>
          <w:rPr>
            <w:color w:val="1155CC"/>
            <w:u w:val="single"/>
          </w:rPr>
          <w:t>水系质子电池的机制见解</w:t>
        </w:r>
      </w:hyperlink>
    </w:p>
    <w:p>
      <w:pPr>
        <w:spacing w:before="0" w:after="80"/>
      </w:pPr>
      <w:r>
        <w:rPr>
          <w:i/>
          <w:sz w:val="20"/>
        </w:rPr>
        <w:t>EN: Mechanistic Insights Into Aqueous Proton Batteries</w:t>
      </w:r>
    </w:p>
    <w:p>
      <w:pPr>
        <w:spacing w:before="0" w:after="120"/>
      </w:pPr>
      <w:r>
        <w:rPr>
          <w:b/>
        </w:rPr>
        <w:t xml:space="preserve">Source: </w:t>
      </w:r>
      <w:r>
        <w:t>Wiley: Advanced Energy Materials: Table of Contents</w:t>
      </w:r>
      <w:r>
        <w:t xml:space="preserve">    </w:t>
      </w:r>
      <w:r>
        <w:rPr>
          <w:b/>
        </w:rPr>
        <w:t xml:space="preserve">Pub date: </w:t>
      </w:r>
      <w:r>
        <w:t>2026-04-08 07:45:18+00:00</w:t>
      </w:r>
      <w:r>
        <w:t xml:space="preserve">    </w:t>
      </w:r>
      <w:r>
        <w:rPr>
          <w:b/>
        </w:rPr>
        <w:t xml:space="preserve">DOI: </w:t>
      </w:r>
      <w:hyperlink r:id="rId76">
        <w:r>
          <w:rPr>
            <w:color w:val="1155CC"/>
            <w:u w:val="single"/>
          </w:rPr>
          <w:t>10.1002/aenm.202506399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电池储能系统对于实现碳中和的可持续能源资源开发至关重要。质子作为电荷载体，相较于其他金属和非金属离子具有巨大的优势，如最低的摩尔质量、最小的离子尺寸和高离子电导率。因此，水系质子电池（APBs）具有显著的电能和化学能转换效率，成为先进的电池技术。在水系电解质中，质子来源于H</w:t>
      </w:r>
      <w:r>
        <w:rPr>
          <w:vertAlign w:val="subscript"/>
        </w:rPr>
        <w:t>2</w:t>
      </w:r>
      <w:r>
        <w:t>O，使得APBs具有快速扩散动力学、大容量、长循环寿命和经济效益。本综述系统地强调了APBs的发展。</w:t>
      </w:r>
    </w:p>
    <w:p>
      <w:pPr>
        <w:spacing w:before="0" w:after="200" w:lineRule="auto" w:line="276"/>
      </w:pPr>
      <w:r>
        <w:rPr>
          <w:b/>
        </w:rPr>
        <w:t xml:space="preserve">Abstract (EN): </w:t>
      </w:r>
      <w:r>
        <w:t>Battery energy storage systems are imperative to the development of sustainable energy resources for carbon neutrality. Protons, as charge carriers, have tremendous advantages over other metallic and non‐metallic ions, such as the lowest molar mass, minimal ionic size, and high ionic conductivity. Thus, aqueous proton batteries (APBs) have remarkable electric and chemical energy conversion efficiency, becoming an advanced battery technology. In aqueous electrolytes, protons are derived from H</w:t>
      </w:r>
      <w:r>
        <w:rPr>
          <w:vertAlign w:val="subscript"/>
        </w:rPr>
        <w:t>2</w:t>
      </w:r>
      <w:r>
        <w:t>O, enabling APBs with fast diffusion kinetics, large capacity, long cycle life, and economic effectiveness. The development of APBs is systematically highlighted in this review. The highly appealing features of proton battery chemistry are discussed, followed by a detailed exploration of proton storage materials, and an in‐depth insight into six distinct proton storage mechanisms in APBs, including proton/hydrogen gas catalytic reactions, proton intercalation reactions, proton conversion reactions, proton coordination reactions, pseudocapacitive proton storage reactions, and hydrogen storage reactions. The challenges of APBs in grid‐scale energy storage are summarized, and the future development directions are prospected. This review offers mechanistic insight into the development of high‐performance proton storage materials and the design of promising APBs.</w:t>
      </w:r>
    </w:p>
    <w:p>
      <w:pPr>
        <w:spacing w:before="120" w:after="120"/>
      </w:pPr>
      <w:r>
        <w:rPr>
          <w:sz w:val="18"/>
        </w:rPr>
        <w:t>——————————————————————————————————————————————————————————————————————</w:t>
      </w:r>
    </w:p>
    <w:p>
      <w:pPr>
        <w:spacing w:before="160" w:after="40" w:line="240" w:lineRule="auto"/>
      </w:pPr>
      <w:r>
        <w:rPr>
          <w:b/>
        </w:rPr>
        <w:t xml:space="preserve">[11] </w:t>
      </w:r>
      <w:hyperlink r:id="rId77">
        <w:r>
          <w:rPr>
            <w:color w:val="1155CC"/>
            <w:u w:val="single"/>
          </w:rPr>
          <w:t>数据驱动的阳离子工程指导可持续水系锌电池化学的电解质设计</w:t>
        </w:r>
      </w:hyperlink>
    </w:p>
    <w:p>
      <w:pPr>
        <w:spacing w:before="0" w:after="80"/>
      </w:pPr>
      <w:r>
        <w:rPr>
          <w:i/>
          <w:sz w:val="20"/>
        </w:rPr>
        <w:t>EN: Data‐Driven Cation Engineering Guides Electrolyte Design for Sustainable Aqueous Zinc Battery Chemistries</w:t>
      </w:r>
    </w:p>
    <w:p>
      <w:pPr>
        <w:spacing w:before="0" w:after="120"/>
      </w:pPr>
      <w:r>
        <w:rPr>
          <w:b/>
        </w:rPr>
        <w:t xml:space="preserve">Source: </w:t>
      </w:r>
      <w:r>
        <w:t>Wiley: Advanced Materials: Table of Contents</w:t>
      </w:r>
      <w:r>
        <w:t xml:space="preserve">    </w:t>
      </w:r>
      <w:r>
        <w:rPr>
          <w:b/>
        </w:rPr>
        <w:t xml:space="preserve">Pub date: </w:t>
      </w:r>
      <w:r>
        <w:t>2026-04-08 09:10:27+00:00</w:t>
      </w:r>
      <w:r>
        <w:t xml:space="preserve">    </w:t>
      </w:r>
      <w:r>
        <w:rPr>
          <w:b/>
        </w:rPr>
        <w:t xml:space="preserve">DOI: </w:t>
      </w:r>
      <w:hyperlink r:id="rId78">
        <w:r>
          <w:rPr>
            <w:color w:val="1155CC"/>
            <w:u w:val="single"/>
          </w:rPr>
          <w:t>10.1002/adma.202522059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于其高理论容量和多样的氧化还原化学性质，钒氧化物已成为锌基电池的有吸引力的阴极材料。然而，它们在水性电解质中的持续溶解仍然是一个长期存在的挑战，阻碍了实际应用。本文开发了一种阳离子工程电解质策略，该策略由数据驱动框架支持，集成了密度泛函理论（DFT）计算、基于离散小波变换（DWT）的多尺度分析和差异特征提取，以有效筛选潜在的异质阳离子及其组合，并进行客观统计量化，同时最大限度地减少试错实验和选择偏差。作为概念验证，</w:t>
      </w:r>
    </w:p>
    <w:p>
      <w:pPr>
        <w:spacing w:before="0" w:after="200" w:lineRule="auto" w:line="276"/>
      </w:pPr>
      <w:r>
        <w:rPr>
          <w:b/>
        </w:rPr>
        <w:t xml:space="preserve">Abstract (EN): </w:t>
      </w:r>
      <w:r>
        <w:t>Vanadium oxides have emerged as attractive cathode materials for zinc‐based batteries owing to their high theoretical capacity and versatile redox chemistry. Nevertheless, their persistent dissolution in aqueous electrolytes remains a long‐standing challenge, hindering real‐world implementation. Here, we develop a cation‐engineered electrolyte strategy enabled by a data‐driven framework that integrates density functional theory (DFT) calculations, discrete wavelet transform (DWT)‐based multi‐scale analysis, and differential feature extraction, to efficiently screen potential hetero‐cations and their combinations with objective statistic quantification, while minimizing trial‐and‐error experimentation and selection bias. As a proof of concept, the Zn/VO</w:t>
      </w:r>
      <w:r>
        <w:t xml:space="preserve"> </w:t>
      </w:r>
      <w:r>
        <w:t>x</w:t>
      </w:r>
      <w:r>
        <w:t xml:space="preserve"> </w:t>
      </w:r>
      <w:r>
        <w:t>batteries with the predicted Na</w:t>
      </w:r>
      <w:r>
        <w:t xml:space="preserve"> </w:t>
      </w:r>
      <w:r>
        <w:t>+</w:t>
      </w:r>
      <w:r>
        <w:t xml:space="preserve"> </w:t>
      </w:r>
      <w:r>
        <w:t>‐Mg</w:t>
      </w:r>
      <w:r>
        <w:t xml:space="preserve"> </w:t>
      </w:r>
      <w:r>
        <w:t>2+</w:t>
      </w:r>
      <w:r>
        <w:t xml:space="preserve"> </w:t>
      </w:r>
      <w:r>
        <w:t>‐Zn</w:t>
      </w:r>
      <w:r>
        <w:t xml:space="preserve"> </w:t>
      </w:r>
      <w:r>
        <w:t>2+</w:t>
      </w:r>
      <w:r>
        <w:t xml:space="preserve"> </w:t>
      </w:r>
      <w:r>
        <w:t>tri‐cation electrolyte (NMZ) achieved exceptional reversibility and record‐long cycling stability, sustaining 500 cycles at 0.2 A g</w:t>
      </w:r>
      <w:r>
        <w:t xml:space="preserve"> </w:t>
      </w:r>
      <w:r>
        <w:t>−1</w:t>
      </w:r>
      <w:r>
        <w:t xml:space="preserve"> </w:t>
      </w:r>
      <w:r>
        <w:t>(1400 h) and 10,000 cycles at 5 A g</w:t>
      </w:r>
      <w:r>
        <w:t xml:space="preserve"> </w:t>
      </w:r>
      <w:r>
        <w:t>−1</w:t>
      </w:r>
      <w:r>
        <w:t xml:space="preserve"> </w:t>
      </w:r>
      <w:r>
        <w:t>. The tri‐cation electrolyte successfully triggers a potential‐driven sequential ion insertion pathway involving Na</w:t>
      </w:r>
      <w:r>
        <w:t xml:space="preserve"> </w:t>
      </w:r>
      <w:r>
        <w:t>+</w:t>
      </w:r>
      <w:r>
        <w:t xml:space="preserve"> </w:t>
      </w:r>
      <w:r>
        <w:t>, Mg</w:t>
      </w:r>
      <w:r>
        <w:t xml:space="preserve"> </w:t>
      </w:r>
      <w:r>
        <w:t>2+</w:t>
      </w:r>
      <w:r>
        <w:t xml:space="preserve"> </w:t>
      </w:r>
      <w:r>
        <w:t>, and Zn</w:t>
      </w:r>
      <w:r>
        <w:t xml:space="preserve"> </w:t>
      </w:r>
      <w:r>
        <w:t>2+</w:t>
      </w:r>
      <w:r>
        <w:t xml:space="preserve"> </w:t>
      </w:r>
      <w:r>
        <w:t>, thereby fundamentally suppressing proton intercalation above 1.3 V and hydrated Zn</w:t>
      </w:r>
      <w:r>
        <w:t xml:space="preserve"> </w:t>
      </w:r>
      <w:r>
        <w:t>2+</w:t>
      </w:r>
      <w:r>
        <w:t xml:space="preserve"> </w:t>
      </w:r>
      <w:r>
        <w:t>insertion near 1.0 V (vs Zn</w:t>
      </w:r>
      <w:r>
        <w:t xml:space="preserve"> </w:t>
      </w:r>
      <w:r>
        <w:t>2+</w:t>
      </w:r>
      <w:r>
        <w:t xml:space="preserve"> </w:t>
      </w:r>
      <w:r>
        <w:t>/Zn). This work not only provides valuable data‐driven insights into ion‐engineering electrochemistry for regulating insertion stability but also uncovers critical ion‐related factors that are frequently overlooked. This approach establishes a reusable and statistically robust framework for guiding research across diverse battery chemistries.</w:t>
      </w:r>
    </w:p>
    <w:p>
      <w:pPr>
        <w:spacing w:before="120" w:after="120"/>
      </w:pPr>
      <w:r>
        <w:rPr>
          <w:sz w:val="18"/>
        </w:rPr>
        <w:t>——————————————————————————————————————————————————————————————————————</w:t>
      </w:r>
    </w:p>
    <w:p>
      <w:pPr>
        <w:spacing w:before="160" w:after="40" w:line="240" w:lineRule="auto"/>
      </w:pPr>
      <w:r>
        <w:rPr>
          <w:b/>
        </w:rPr>
        <w:t xml:space="preserve">[12] </w:t>
      </w:r>
      <w:hyperlink r:id="rId79">
        <w:r>
          <w:rPr>
            <w:color w:val="1155CC"/>
            <w:u w:val="single"/>
          </w:rPr>
          <w:t>[ASAP] 通过形成熵调节电解质溶剂化结构的热力学平衡以适应宽温度范围的锂离子电池</w:t>
        </w:r>
      </w:hyperlink>
    </w:p>
    <w:p>
      <w:pPr>
        <w:spacing w:before="0" w:after="80"/>
      </w:pPr>
      <w:r>
        <w:rPr>
          <w:i/>
          <w:sz w:val="20"/>
        </w:rPr>
        <w:t>EN: [ASAP] Tuning the Thermodynamic Equilibrium of Electrolyte Solvation Structures via Formation Entropy for Wide-Temperature Lithium-Ion Batteries</w:t>
      </w:r>
    </w:p>
    <w:p>
      <w:pPr>
        <w:spacing w:before="0" w:after="120"/>
      </w:pPr>
      <w:r>
        <w:rPr>
          <w:b/>
        </w:rPr>
        <w:t xml:space="preserve">Source: </w:t>
      </w:r>
      <w:r>
        <w:t>Journal of the American Chemical Society: Latest Articles (ACS Publications)</w:t>
      </w:r>
      <w:r>
        <w:t xml:space="preserve">    </w:t>
      </w:r>
      <w:r>
        <w:rPr>
          <w:b/>
        </w:rPr>
        <w:t xml:space="preserve">Pub date: </w:t>
      </w:r>
      <w:r>
        <w:t>2026-04-08 15:13:04+00:00</w:t>
      </w:r>
      <w:r>
        <w:t xml:space="preserve">    </w:t>
      </w:r>
      <w:r>
        <w:rPr>
          <w:b/>
        </w:rPr>
        <w:t xml:space="preserve">DOI: </w:t>
      </w:r>
      <w:hyperlink r:id="rId80">
        <w:r>
          <w:rPr>
            <w:color w:val="1155CC"/>
            <w:u w:val="single"/>
          </w:rPr>
          <w:t>10.1021/jacs.5c23302</w:t>
        </w:r>
      </w:hyperlink>
    </w:p>
    <w:p>
      <w:pPr>
        <w:spacing w:before="0" w:after="120"/>
      </w:pPr>
      <w:r>
        <w:rPr>
          <w:b/>
        </w:rPr>
        <w:t xml:space="preserve">Notes: </w:t>
      </w:r>
      <w:r>
        <w:t>abstract_source=openalex</w:t>
      </w:r>
    </w:p>
    <w:p>
      <w:pPr>
        <w:spacing w:before="0" w:after="80" w:lineRule="auto" w:line="276"/>
      </w:pPr>
      <w:r>
        <w:rPr>
          <w:b/>
        </w:rPr>
        <w:t xml:space="preserve">摘要（ZH）: </w:t>
      </w:r>
      <w:r>
        <w:t>富阴离子的溶剂化结构对于电解质在建立稳定的电极-电解质界面和促进快速Li&lt;sup&gt;+&lt;/sup&gt;传输动力学方面至关重要。然而，即使是精心设计的溶剂化结构也可能对温度变化敏感，从而在宽温度范围内损害电池的长期循环稳定性。在此，我们通过利用基于形成熵（∂Δ&lt;i&gt;G&lt;/i&gt;/∂&lt;i&gt;T&lt;/i&gt; = -Δ&lt;i&gt;S&lt;/i&gt;）的Li&lt;sup&gt;+&lt;/sup&gt;在溶剂化结构中的离子溶剂化/结合平衡，设计了一种温度独立的富阴离子溶剂化结构的电解质。该策略有效地稳定了富阴离子的溶剂化结构，并确保形成稳固的无机界面</w:t>
      </w:r>
    </w:p>
    <w:p>
      <w:pPr>
        <w:spacing w:before="0" w:after="200" w:lineRule="auto" w:line="276"/>
      </w:pPr>
      <w:r>
        <w:rPr>
          <w:b/>
        </w:rPr>
        <w:t xml:space="preserve">Abstract (EN): </w:t>
      </w:r>
      <w:r>
        <w:t>An anion-enriched solvation structure is crucial for electrolytes in establishing stable electrode-electrolyte interfaces and facilitating rapid Li&lt;sup&gt;+&lt;/sup&gt; transport kinetics. However, even a well-designed solvation structure can be sensitive to temperature variations, compromising the long-term cycling stability of batteries over wide temperature ranges. Herein, we design an electrolyte with temperature-independent anion-enriched solvation structures, by leveraging the ionic solvation/association equilibrium of Li&lt;sup&gt;+&lt;/sup&gt; in solvation structures based on the formation entropy (∂Δ&lt;i&gt;G&lt;/i&gt;/∂&lt;i&gt;T&lt;/i&gt; = -Δ&lt;i&gt;S&lt;/i&gt;) counterbalancing of the mixed salts. This strategy effectively stabilizes the anion-enriched solvation structure and ensures the formation of robust inorganic interphases over a wide temperature range. Specifically, the electrolyte enables stable operation of Li||LiNi&lt;sub&gt;0.8&lt;/sub&gt;Mn&lt;sub&gt;0.1&lt;/sub&gt;Co&lt;sub&gt;0.1&lt;/sub&gt;O&lt;sub&gt;2&lt;/sub&gt; cells from -70 to 80 °C at a high charging voltage of 4.6 V, maintaining long-term cycling stability with no observable capacity decay over 1000 cycles at -20 °C. Further toward practical application, 4.5 V Ah-level Si/C||LiNi&lt;sub&gt;0.9&lt;/sub&gt;Mn&lt;sub&gt;0.05&lt;/sub&gt;Co&lt;sub&gt;0.05&lt;/sub&gt;O&lt;sub&gt;2&lt;/sub&gt; pouch cells achieve 92% capacity retention after 500 cycles over 250 days of operation at -20 °C. This work underscores the critical importance of understanding solvation structures from a thermodynamic perspective for the rational design of electrolytes, enabling their efficient implementation in batteries and other electrochemical systems.</w:t>
      </w:r>
    </w:p>
    <w:p>
      <w:pPr>
        <w:spacing w:before="120" w:after="120"/>
      </w:pPr>
      <w:r>
        <w:rPr>
          <w:sz w:val="18"/>
        </w:rPr>
        <w:t>——————————————————————————————————————————————————————————————————————</w:t>
      </w:r>
    </w:p>
    <w:p>
      <w:pPr>
        <w:spacing w:before="160" w:after="40" w:line="240" w:lineRule="auto"/>
      </w:pPr>
      <w:r>
        <w:rPr>
          <w:b/>
        </w:rPr>
        <w:t xml:space="preserve">[13] </w:t>
      </w:r>
      <w:hyperlink r:id="rId81">
        <w:r>
          <w:rPr>
            <w:color w:val="1155CC"/>
            <w:u w:val="single"/>
          </w:rPr>
          <w:t>作者更正：用于高功率和长循环石榴石基准固态锂金属电池的多孔碲中间层</w:t>
        </w:r>
      </w:hyperlink>
    </w:p>
    <w:p>
      <w:pPr>
        <w:spacing w:before="0" w:after="80"/>
      </w:pPr>
      <w:r>
        <w:rPr>
          <w:i/>
          <w:sz w:val="20"/>
        </w:rPr>
        <w:t>EN: Author Correction: A porous tellurium interlayer for high-power and long-cycling garnet-based quasi-solid-state lithium-metal batteries</w:t>
      </w:r>
    </w:p>
    <w:p>
      <w:pPr>
        <w:spacing w:before="0" w:after="120"/>
      </w:pPr>
      <w:r>
        <w:rPr>
          <w:b/>
        </w:rPr>
        <w:t xml:space="preserve">Source: </w:t>
      </w:r>
      <w:r>
        <w:t>Nature Communications</w:t>
      </w:r>
      <w:r>
        <w:t xml:space="preserve">    </w:t>
      </w:r>
      <w:r>
        <w:rPr>
          <w:b/>
        </w:rPr>
        <w:t xml:space="preserve">Pub date: </w:t>
      </w:r>
      <w:r>
        <w:t>2026-04-09 00:00:00+00:00</w:t>
      </w:r>
      <w:r>
        <w:t xml:space="preserve">    </w:t>
      </w:r>
      <w:r>
        <w:rPr>
          <w:b/>
        </w:rPr>
        <w:t xml:space="preserve">DOI: </w:t>
      </w:r>
      <w:hyperlink r:id="rId82">
        <w:r>
          <w:rPr>
            <w:color w:val="1155CC"/>
            <w:u w:val="single"/>
          </w:rPr>
          <w:t>10.1038/s41467-026-71811-3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 </w:t>
      </w:r>
      <w:hyperlink r:id="rId83">
        <w:r>
          <w:rPr>
            <w:color w:val="1155CC"/>
            <w:u w:val="single"/>
          </w:rPr>
          <w:t>[ASAP] 电解质浓度在多硫化物穿梭和锂硫电池电化学性能中的作用</w:t>
        </w:r>
      </w:hyperlink>
    </w:p>
    <w:p>
      <w:pPr>
        <w:spacing w:before="0" w:after="80"/>
      </w:pPr>
      <w:r>
        <w:rPr>
          <w:i/>
          <w:sz w:val="20"/>
        </w:rPr>
        <w:t>EN: [ASAP] Role of the Electrolyte Concentration in Polysulfide Shuttle and Electrochemical Performance of Lithium–Sulfur Batteries</w:t>
      </w:r>
    </w:p>
    <w:p>
      <w:pPr>
        <w:spacing w:before="0" w:after="120"/>
      </w:pPr>
      <w:r>
        <w:rPr>
          <w:b/>
        </w:rPr>
        <w:t xml:space="preserve">Source: </w:t>
      </w:r>
      <w:r>
        <w:t>ACS Energy Letters: Latest Articles (ACS Publications)</w:t>
      </w:r>
      <w:r>
        <w:t xml:space="preserve">    </w:t>
      </w:r>
      <w:r>
        <w:rPr>
          <w:b/>
        </w:rPr>
        <w:t xml:space="preserve">Pub date: </w:t>
      </w:r>
      <w:r>
        <w:t>2026-04-09 12:00:10+00:00</w:t>
      </w:r>
      <w:r>
        <w:t xml:space="preserve">    </w:t>
      </w:r>
      <w:r>
        <w:rPr>
          <w:b/>
        </w:rPr>
        <w:t xml:space="preserve">DOI: </w:t>
      </w:r>
      <w:hyperlink r:id="rId84">
        <w:r>
          <w:rPr>
            <w:color w:val="1155CC"/>
            <w:u w:val="single"/>
          </w:rPr>
          <w:t>10.1021/acsenergylett.6c00391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120"/>
      </w:pPr>
      <w:r>
        <w:rPr>
          <w:b/>
          <w:sz w:val="28"/>
        </w:rPr>
        <w:t>【非活性材料等】</w:t>
      </w:r>
    </w:p>
    <w:p>
      <w:pPr>
        <w:spacing w:before="160" w:after="40" w:line="240" w:lineRule="auto"/>
      </w:pPr>
      <w:r>
        <w:rPr>
          <w:b/>
        </w:rPr>
        <w:t xml:space="preserve">[1] </w:t>
      </w:r>
      <w:hyperlink r:id="rId85">
        <w:r>
          <w:rPr>
            <w:color w:val="1155CC"/>
            <w:u w:val="single"/>
          </w:rPr>
          <w:t>磁场对锂电池快速充电多循环老化的建模影响</w:t>
        </w:r>
      </w:hyperlink>
    </w:p>
    <w:p>
      <w:pPr>
        <w:spacing w:before="0" w:after="80"/>
      </w:pPr>
      <w:r>
        <w:rPr>
          <w:i/>
          <w:sz w:val="20"/>
        </w:rPr>
        <w:t>EN: Modeling effect of magnetic field on multicycle aging under fast charging of lithium battery</w:t>
      </w:r>
    </w:p>
    <w:p>
      <w:pPr>
        <w:spacing w:before="0" w:after="120"/>
      </w:pPr>
      <w:r>
        <w:rPr>
          <w:b/>
        </w:rPr>
        <w:t xml:space="preserve">Source: </w:t>
      </w:r>
      <w:r>
        <w:t>ScienceDirect Publication: Applied Energy</w:t>
      </w:r>
      <w:r>
        <w:t xml:space="preserve">    </w:t>
      </w:r>
      <w:r>
        <w:rPr>
          <w:b/>
        </w:rPr>
        <w:t xml:space="preserve">Pub date: </w:t>
      </w:r>
      <w:r>
        <w:t>2026-04-04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86">
        <w:r>
          <w:rPr>
            <w:color w:val="1155CC"/>
            <w:u w:val="single"/>
          </w:rPr>
          <w:t>一种直接阴极回收的液态金属途径</w:t>
        </w:r>
      </w:hyperlink>
    </w:p>
    <w:p>
      <w:pPr>
        <w:spacing w:before="0" w:after="80"/>
      </w:pPr>
      <w:r>
        <w:rPr>
          <w:i/>
          <w:sz w:val="20"/>
        </w:rPr>
        <w:t>EN: A liquid-metal route to direct cathode recycling</w:t>
      </w:r>
    </w:p>
    <w:p>
      <w:pPr>
        <w:spacing w:before="0" w:after="120"/>
      </w:pPr>
      <w:r>
        <w:rPr>
          <w:b/>
        </w:rPr>
        <w:t xml:space="preserve">Source: </w:t>
      </w:r>
      <w:r>
        <w:t>National Science Review Advance Access</w:t>
      </w:r>
      <w:r>
        <w:t xml:space="preserve">    </w:t>
      </w:r>
      <w:r>
        <w:rPr>
          <w:b/>
        </w:rPr>
        <w:t xml:space="preserve">Pub date: </w:t>
      </w:r>
      <w:r>
        <w:t>2026-04-06 00:00:00+00:00</w:t>
      </w:r>
      <w:r>
        <w:t xml:space="preserve">    </w:t>
      </w:r>
      <w:r>
        <w:rPr>
          <w:b/>
        </w:rPr>
        <w:t xml:space="preserve">DOI: </w:t>
      </w:r>
      <w:hyperlink r:id="rId87">
        <w:r>
          <w:rPr>
            <w:color w:val="1155CC"/>
            <w:u w:val="single"/>
          </w:rPr>
          <w:t>10.1093/nsr/nwag213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88">
        <w:r>
          <w:rPr>
            <w:color w:val="1155CC"/>
            <w:u w:val="single"/>
          </w:rPr>
          <w:t>环苯并因宏环：客体捕获及其在能源技术中的应用</w:t>
        </w:r>
      </w:hyperlink>
    </w:p>
    <w:p>
      <w:pPr>
        <w:spacing w:before="0" w:after="80"/>
      </w:pPr>
      <w:r>
        <w:rPr>
          <w:i/>
          <w:sz w:val="20"/>
        </w:rPr>
        <w:t>EN: Cyclobenzoin Macrocycles: Guest Capture and Applications in Energy Technologies</w:t>
      </w:r>
    </w:p>
    <w:p>
      <w:pPr>
        <w:spacing w:before="0" w:after="120"/>
      </w:pPr>
      <w:r>
        <w:rPr>
          <w:b/>
        </w:rPr>
        <w:t xml:space="preserve">Source: </w:t>
      </w:r>
      <w:r>
        <w:t>Wiley: Angewandte Chemie International Edition: Table of Contents</w:t>
      </w:r>
      <w:r>
        <w:t xml:space="preserve">    </w:t>
      </w:r>
      <w:r>
        <w:rPr>
          <w:b/>
        </w:rPr>
        <w:t xml:space="preserve">Pub date: </w:t>
      </w:r>
      <w:r>
        <w:t>2026-04-06 03:17:10+00:00</w:t>
      </w:r>
      <w:r>
        <w:t xml:space="preserve">    </w:t>
      </w:r>
      <w:r>
        <w:rPr>
          <w:b/>
        </w:rPr>
        <w:t xml:space="preserve">DOI: </w:t>
      </w:r>
      <w:hyperlink r:id="rId89">
        <w:r>
          <w:rPr>
            <w:color w:val="1155CC"/>
            <w:u w:val="single"/>
          </w:rPr>
          <w:t>10.1002/anie.7124073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环苯甲醛是通过芳香二醛的苯甲醛缩合制备的有机大环。这些化合物很容易衍生化为近十种其他大环类，提供了各种超分子手段，用于在溶液和固态中结合环境和能源相关的物种。四聚环四苯甲醛及其酯类已被证明可以在其方形中央空腔中结合CO</w:t>
      </w:r>
      <w:r>
        <w:rPr>
          <w:vertAlign w:val="subscript"/>
        </w:rPr>
        <w:t>2</w:t>
      </w:r>
      <w:r>
        <w:t>和其他线性客体，从而使其与不同几何形状的竞争物种分离。锥形环三苯甲醛酯通过会聚的[C–H···阴离子]相互作用与无机阴离子结合。氧化的环四苯甲醛—环四苯甲酰—既是一个有用的化合物</w:t>
      </w:r>
    </w:p>
    <w:p>
      <w:pPr>
        <w:spacing w:before="0" w:after="200" w:lineRule="auto" w:line="276"/>
      </w:pPr>
      <w:r>
        <w:rPr>
          <w:b/>
        </w:rPr>
        <w:t xml:space="preserve">Abstract (EN): </w:t>
      </w:r>
      <w:r>
        <w:t>Cyclobenzoins are organic macrocycles prepared by the benzoin condensation of aromatic dialdehydes. These compounds are easily derivatized into close to a dozen other macrocycle classes, which offer various supramolecular handles for the binding of environmentally and energy‐relevant species in the solution and the solid state. Tetrameric cyclotetrabenzoins and their esters have been shown to bind CO</w:t>
      </w:r>
      <w:r>
        <w:rPr>
          <w:vertAlign w:val="subscript"/>
        </w:rPr>
        <w:t>2</w:t>
      </w:r>
      <w:r>
        <w:t>and other linear guests in their square‐shaped central cavity, allowing their separation from competing species of different geometry. Cone‐shaped cyclotribenzoin esters engage inorganic anions through convergent [C–H···anion] interactions. Oxidized cyclotetrabenzoin—cyclotetrabenzil—is both a useful component of organic Li‐ion battery architectures and a versatile synthetic precursor to other macrocycle classes through various ketone/NH</w:t>
      </w:r>
      <w:r>
        <w:rPr>
          <w:vertAlign w:val="subscript"/>
        </w:rPr>
        <w:t>2</w:t>
      </w:r>
      <w:r>
        <w:t>condensation reaction. Hydrazones prepared by condensing cyclotetrabenzil with arylhydrazines have been shown to bind iodine from a variety of environments with capacities up to 4.15 g g</w:t>
      </w:r>
      <w:r>
        <w:t xml:space="preserve"> </w:t>
      </w:r>
      <w:r>
        <w:t>−1</w:t>
      </w:r>
      <w:r>
        <w:t xml:space="preserve"> </w:t>
      </w:r>
      <w:r>
        <w:t>. Cyclotetrabenzil oximes have been studied in separations of C</w:t>
      </w:r>
      <w:r>
        <w:rPr>
          <w:vertAlign w:val="subscript"/>
        </w:rPr>
        <w:t>2</w:t>
      </w:r>
      <w:r>
        <w:t>and C</w:t>
      </w:r>
      <w:r>
        <w:rPr>
          <w:vertAlign w:val="subscript"/>
        </w:rPr>
        <w:t>3</w:t>
      </w:r>
      <w:r>
        <w:t>hydrocarbons, showing marked preferences for alkynes. New azaacene, cycloglycoluril, and azolophane derivatives prepared from cyclobenzils have been examined as optoelectronic materials, precursors to cucurbituril extended frameworks, and model systems for the studies of global aromaticity, respectively. This Minireview will summarize the cyclobenzoin research during the past decade and offer insights into possible future directions.</w:t>
      </w:r>
    </w:p>
    <w:p>
      <w:pPr>
        <w:spacing w:before="120" w:after="120"/>
      </w:pPr>
      <w:r>
        <w:rPr>
          <w:sz w:val="18"/>
        </w:rPr>
        <w:t>——————————————————————————————————————————————————————————————————————</w:t>
      </w:r>
    </w:p>
    <w:p>
      <w:pPr>
        <w:spacing w:before="160" w:after="40" w:line="240" w:lineRule="auto"/>
      </w:pPr>
      <w:r>
        <w:rPr>
          <w:b/>
        </w:rPr>
        <w:t xml:space="preserve">[4] </w:t>
      </w:r>
      <w:hyperlink r:id="rId90">
        <w:r>
          <w:rPr>
            <w:color w:val="1155CC"/>
            <w:u w:val="single"/>
          </w:rPr>
          <w:t>将缺陷视为资产：用于升值回收废旧锂离子电池正极材料</w:t>
        </w:r>
      </w:hyperlink>
    </w:p>
    <w:p>
      <w:pPr>
        <w:spacing w:before="0" w:after="80"/>
      </w:pPr>
      <w:r>
        <w:rPr>
          <w:i/>
          <w:sz w:val="20"/>
        </w:rPr>
        <w:t>EN: Defects as Assets for Upcycling Spent Lithium‐Ion Battery Cathode Materials</w:t>
      </w:r>
    </w:p>
    <w:p>
      <w:pPr>
        <w:spacing w:before="0" w:after="120"/>
      </w:pPr>
      <w:r>
        <w:rPr>
          <w:b/>
        </w:rPr>
        <w:t xml:space="preserve">Source: </w:t>
      </w:r>
      <w:r>
        <w:t>Wiley: Angewandte Chemie International Edition: Table of Contents</w:t>
      </w:r>
      <w:r>
        <w:t xml:space="preserve">    </w:t>
      </w:r>
      <w:r>
        <w:rPr>
          <w:b/>
        </w:rPr>
        <w:t xml:space="preserve">Pub date: </w:t>
      </w:r>
      <w:r>
        <w:t>2026-04-07 10:09:35+00:00</w:t>
      </w:r>
      <w:r>
        <w:t xml:space="preserve">    </w:t>
      </w:r>
      <w:r>
        <w:rPr>
          <w:b/>
        </w:rPr>
        <w:t xml:space="preserve">DOI: </w:t>
      </w:r>
      <w:hyperlink r:id="rId91">
        <w:r>
          <w:rPr>
            <w:color w:val="1155CC"/>
            <w:u w:val="single"/>
          </w:rPr>
          <w:t>10.1002/anie.8894259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锂离子电池的快速部署加剧了报废电池的积累，带来了环境风险和资源挑战。传统的回收途径主要依赖于能量和化学密集的冶金过程，将电极材料降级为低价值产品。最近，直接再生策略出现，旨在恢复退化的电极；然而，它们满足下一代电池性能需求的能力仍然有限。在本综述中，我们从缺陷中心的角度重新审视废旧锂离子电池材料的升级回收，将退化引起的缺陷从负担转变为功能设计资产。我们分析了老化电极中的分层缺陷景观</w:t>
      </w:r>
    </w:p>
    <w:p>
      <w:pPr>
        <w:spacing w:before="0" w:after="200" w:lineRule="auto" w:line="276"/>
      </w:pPr>
      <w:r>
        <w:rPr>
          <w:b/>
        </w:rPr>
        <w:t xml:space="preserve">Abstract (EN): </w:t>
      </w:r>
      <w:r>
        <w:t>The rapid deployment of lithium‐ion batteries has intensified the accumulation of end‐of‐life cells, posing both environmental risks and resource challenges. Conventional recycling routes largely rely on energy‐ and chemical‐intensive metallurgical processes that downcycle electrode materials into low‐value products. More recently, direct regeneration strategies have emerged to restore degraded electrodes; however, their ability to meet the performance demands of next‐generation batteries remains limited. In this review, we present a defect‐centric perspective on the upcycling of spent lithium‐ion battery materials, reframing degradation‐induced defects from liabilities into functional design assets. We analyze the hierarchical defect landscapes in aged electrodes, spanning atomic‐scale vacancies, surface and subsurface lattice distortions, and particle‐scale cracking and pulverization, and discuss how these intrinsic defects can be harnessed to enable targeted reconstruction through doping, compositional tuning, surface modification, and crystal‐structure reconfiguration. By correlating defect characteristics with reconstruction pathways and electrochemical outcomes, we highlight emerging strategies that transform low‐value waste materials into high‐performance electrodes. Finally, we discuss key challenges associated with scalability, compositional control and performance consistency, and outline future directions for defect‐driven upcycling toward a sustainable and circular battery economy.</w:t>
      </w:r>
    </w:p>
    <w:p>
      <w:pPr>
        <w:spacing w:before="120" w:after="120"/>
      </w:pPr>
      <w:r>
        <w:rPr>
          <w:sz w:val="18"/>
        </w:rPr>
        <w:t>——————————————————————————————————————————————————————————————————————</w:t>
      </w:r>
    </w:p>
    <w:p>
      <w:pPr>
        <w:spacing w:before="160" w:after="40" w:line="240" w:lineRule="auto"/>
      </w:pPr>
      <w:r>
        <w:rPr>
          <w:b/>
        </w:rPr>
        <w:t xml:space="preserve">[5] </w:t>
      </w:r>
      <w:hyperlink r:id="rId92">
        <w:r>
          <w:rPr>
            <w:color w:val="1155CC"/>
            <w:u w:val="single"/>
          </w:rPr>
          <w:t>长循环水系锌电池的集流体设计原则，最小化负极使用</w:t>
        </w:r>
      </w:hyperlink>
    </w:p>
    <w:p>
      <w:pPr>
        <w:spacing w:before="0" w:after="80"/>
      </w:pPr>
      <w:r>
        <w:rPr>
          <w:i/>
          <w:sz w:val="20"/>
        </w:rPr>
        <w:t>EN: Current Collector Design Principle for Long‐Cycling Aqueous Zinc Batteries With Minimal Anode Usage</w:t>
      </w:r>
    </w:p>
    <w:p>
      <w:pPr>
        <w:spacing w:before="0" w:after="120"/>
      </w:pPr>
      <w:r>
        <w:rPr>
          <w:b/>
        </w:rPr>
        <w:t xml:space="preserve">Source: </w:t>
      </w:r>
      <w:r>
        <w:t>Wiley: Angewandte Chemie International Edition: Table of Contents</w:t>
      </w:r>
      <w:r>
        <w:t xml:space="preserve">    </w:t>
      </w:r>
      <w:r>
        <w:rPr>
          <w:b/>
        </w:rPr>
        <w:t xml:space="preserve">Pub date: </w:t>
      </w:r>
      <w:r>
        <w:t>2026-04-08 09:31:11+00:00</w:t>
      </w:r>
      <w:r>
        <w:t xml:space="preserve">    </w:t>
      </w:r>
      <w:r>
        <w:rPr>
          <w:b/>
        </w:rPr>
        <w:t xml:space="preserve">DOI: </w:t>
      </w:r>
      <w:hyperlink r:id="rId93">
        <w:r>
          <w:rPr>
            <w:color w:val="1155CC"/>
            <w:u w:val="single"/>
          </w:rPr>
          <w:t>10.1002/anie.1269101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基于锌（Zn）的水系电化学系统承诺低成本、高安全性和简单性，但由于锌枝晶生长而面临充电能力差的问题。枝晶形成和锌电极利用率差的根本原因被确定为竞争性的氢析出反应（HER）及其绝缘副产物的共沉积，后者恶化了锌电沉积的成核和生长。通过研究基底材料的影响，我们分类了HER和锌还原的热力学和动力学效应及其对锌可逆性的影响。受益于这一指导原则，我们开发了一种多功能石墨涂层铜集电器，显著抑制了HE。</w:t>
      </w:r>
    </w:p>
    <w:p>
      <w:pPr>
        <w:spacing w:before="0" w:after="200" w:lineRule="auto" w:line="276"/>
      </w:pPr>
      <w:r>
        <w:rPr>
          <w:b/>
        </w:rPr>
        <w:t xml:space="preserve">Abstract (EN): </w:t>
      </w:r>
      <w:r>
        <w:t>Zinc (Zn)‐based aqueous electrochemical systems promise low‐cost, high safety, and simplicity, yet they struggle with poor rechargeability due to dendritic Zn growth. The root cause of dendrite formation and poor utilization of Zn electrodes is identified as the competitive hydrogen evolution reaction (HER) and its co‐deposition of insulating side‐products, the latter deteriorating both the nucleation and growth of Zn electrodeposition. By investigating the effect of substrate materials, we classified the thermodynamic and kinetic effects of both HER and Zn reduction and their influence on Zn reversibility. Benefitting from this guideline, we developed a multifunctional graphite‐coated copper current collector that significantly suppresses HER while maintaining good affinity with Zn deposition. The substrate design enhances Zn reversibility to 99.95% with 1‐time excessive Zn design, and endows an aqueous Zn//AC supercapacitor with over 400 000 cycles and a high‐areal‐capacity Zn‐MnO</w:t>
      </w:r>
      <w:r>
        <w:rPr>
          <w:vertAlign w:val="subscript"/>
        </w:rPr>
        <w:t>2</w:t>
      </w:r>
      <w:r>
        <w:t>battery with a low N/P ratio.</w:t>
      </w:r>
    </w:p>
    <w:p>
      <w:pPr>
        <w:spacing w:before="120" w:after="120"/>
      </w:pPr>
      <w:r>
        <w:rPr>
          <w:sz w:val="18"/>
        </w:rPr>
        <w:t>——————————————————————————————————————————————————————————————————————</w:t>
      </w:r>
    </w:p>
    <w:p>
      <w:pPr>
        <w:spacing w:before="160" w:after="40" w:line="240" w:lineRule="auto"/>
      </w:pPr>
      <w:r>
        <w:rPr>
          <w:b/>
        </w:rPr>
        <w:t xml:space="preserve">[6] </w:t>
      </w:r>
      <w:hyperlink r:id="rId94">
        <w:r>
          <w:rPr>
            <w:color w:val="1155CC"/>
            <w:u w:val="single"/>
          </w:rPr>
          <w:t>电动汽车电池的二次寿命和回收路径：经济性如何依赖于化学、加工和应用</w:t>
        </w:r>
      </w:hyperlink>
    </w:p>
    <w:p>
      <w:pPr>
        <w:spacing w:before="0" w:after="80"/>
      </w:pPr>
      <w:r>
        <w:rPr>
          <w:i/>
          <w:sz w:val="20"/>
        </w:rPr>
        <w:t>EN: Electric-vehicle battery second-life and recycling pathways: How economics depend on chemistry, processing, and application</w:t>
      </w:r>
    </w:p>
    <w:p>
      <w:pPr>
        <w:spacing w:before="0" w:after="120"/>
      </w:pPr>
      <w:r>
        <w:rPr>
          <w:b/>
        </w:rPr>
        <w:t xml:space="preserve">Source: </w:t>
      </w:r>
      <w:r>
        <w:t>ScienceDirect Publication: Applied Energy</w:t>
      </w:r>
      <w:r>
        <w:t xml:space="preserve">    </w:t>
      </w:r>
      <w:r>
        <w:rPr>
          <w:b/>
        </w:rPr>
        <w:t xml:space="preserve">Pub date: </w:t>
      </w:r>
      <w:r>
        <w:t>2026-04-09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120"/>
      </w:pPr>
      <w:r>
        <w:rPr>
          <w:b/>
          <w:sz w:val="28"/>
        </w:rPr>
        <w:t>【其他储能器件】</w:t>
      </w:r>
    </w:p>
    <w:p>
      <w:pPr>
        <w:spacing w:before="160" w:after="40" w:line="240" w:lineRule="auto"/>
      </w:pPr>
      <w:r>
        <w:rPr>
          <w:b/>
        </w:rPr>
        <w:t xml:space="preserve">[1] </w:t>
      </w:r>
      <w:hyperlink r:id="rId95">
        <w:r>
          <w:rPr>
            <w:color w:val="1155CC"/>
            <w:u w:val="single"/>
          </w:rPr>
          <w:t>[ASAP] 具有创纪录体积容量和长寿命的融合醌-吡嗪基水性流动电池负极液</w:t>
        </w:r>
      </w:hyperlink>
    </w:p>
    <w:p>
      <w:pPr>
        <w:spacing w:before="0" w:after="80"/>
      </w:pPr>
      <w:r>
        <w:rPr>
          <w:i/>
          <w:sz w:val="20"/>
        </w:rPr>
        <w:t>EN: [ASAP] A Fused Quinone–Pyrazine-Based Aqueous Flow Battery Negolyte with Record Volumetric Capacity and Long Lifetime</w:t>
      </w:r>
    </w:p>
    <w:p>
      <w:pPr>
        <w:spacing w:before="0" w:after="120"/>
      </w:pPr>
      <w:r>
        <w:rPr>
          <w:b/>
        </w:rPr>
        <w:t xml:space="preserve">Source: </w:t>
      </w:r>
      <w:r>
        <w:t>Journal of the American Chemical Society: Latest Articles (ACS Publications)</w:t>
      </w:r>
      <w:r>
        <w:t xml:space="preserve">    </w:t>
      </w:r>
      <w:r>
        <w:rPr>
          <w:b/>
        </w:rPr>
        <w:t xml:space="preserve">Pub date: </w:t>
      </w:r>
      <w:r>
        <w:t>2026-04-07 15:17:35+00:00</w:t>
      </w:r>
      <w:r>
        <w:t xml:space="preserve">    </w:t>
      </w:r>
      <w:r>
        <w:rPr>
          <w:b/>
        </w:rPr>
        <w:t xml:space="preserve">DOI: </w:t>
      </w:r>
      <w:hyperlink r:id="rId96">
        <w:r>
          <w:rPr>
            <w:color w:val="1155CC"/>
            <w:u w:val="single"/>
          </w:rPr>
          <w:t>10.1021/jacs.5c19391</w:t>
        </w:r>
      </w:hyperlink>
    </w:p>
    <w:p>
      <w:pPr>
        <w:spacing w:before="0" w:after="120"/>
      </w:pPr>
      <w:r>
        <w:rPr>
          <w:b/>
        </w:rPr>
        <w:t xml:space="preserve">Notes: </w:t>
      </w:r>
      <w:r>
        <w:t>abstract_source=pubmed</w:t>
      </w:r>
    </w:p>
    <w:p>
      <w:pPr>
        <w:spacing w:before="0" w:after="80" w:lineRule="auto" w:line="276"/>
      </w:pPr>
      <w:r>
        <w:rPr>
          <w:b/>
        </w:rPr>
        <w:t xml:space="preserve">摘要（ZH）: </w:t>
      </w:r>
      <w:r>
        <w:t>水性有机液流电池在储存间歇性可再生能源产生的大量电力方面具有巨大潜力。为了实现所需的特性，包括氧化还原电位、溶解度和稳定性，已经在定制现有氧化还原核心方面做出了巨大努力。在此，我们融合醌-吡嗪氧化还原基序，创造出独特的四电子氧化还原核心，然后用水溶性基团修饰它，得到2,2'-((6,11-二氧-6,11-二氢苯并[b]苯嗪-2,3-二基)双(氧基))二丙酸（DCNQBP），其实现了创纪录的高体积容量121 Ah L-1和低至0.018% day-1的时间衰减率。通过使用原位pH和IR监测、循环伏安法、NMR和DFT计算，我们揭示了DCNQBP经历了四电子转移机制，其中C═N</w:t>
      </w:r>
    </w:p>
    <w:p>
      <w:pPr>
        <w:spacing w:before="0" w:after="200" w:lineRule="auto" w:line="276"/>
      </w:pPr>
      <w:r>
        <w:rPr>
          <w:b/>
        </w:rPr>
        <w:t xml:space="preserve">Abstract (EN): </w:t>
      </w:r>
      <w:r>
        <w:t>Aqueous organic flow batteries hold great promise to store the massive electricity generated from intermittent renewables. Tremendous efforts have been made in tailoring existing redox cores to achieve the desired properties, including redox potentials, solubility, and stability. Here, we fuse quinone-pyrazine redox motifs to create a unique four-electron redox core, then decorate it with water-solubilizing groups to yield 2,2'-((6,11-dioxo-6,11-dihydrobenzo[b]phenazine-2,3-diyl)bis(oxy))dipropionic acid (DCNQBP), which achieves a record-high volumetric capacity of 121 Ah L-1 and a temporal fade rate as low as 0.018% day-1. Employing in situ pH and IR monitoring, cyclic voltammetry, NMR, and DFT calculations, we reveal that DCNQBP undergoes a four-electron transfer mechanism, with the C═N groups of the pyrazine ring and the C═O groups of the quinone ring alternately uptaking electrons, differing from parent quinone and pyrazine derivatives. Detailed experimental and theoretical analyses indicate that the minor decomposition results from hydrolysis-induced chain cleavage. Avoiding deep discharge effectively slows down the decomposition and prolongs the lifetime. The work establishes a strategy of fusing redox motifs to create new redox platforms with doubled electron-storing capacity and markedly improved structural stability.</w:t>
      </w:r>
    </w:p>
    <w:p>
      <w:pPr>
        <w:spacing w:before="120" w:after="120"/>
      </w:pPr>
      <w:r>
        <w:rPr>
          <w:sz w:val="18"/>
        </w:rPr>
        <w:t>——————————————————————————————————————————————————————————————————————</w:t>
      </w:r>
    </w:p>
    <w:p>
      <w:pPr>
        <w:spacing w:before="160" w:after="40" w:line="240" w:lineRule="auto"/>
      </w:pPr>
      <w:r>
        <w:rPr>
          <w:b/>
        </w:rPr>
        <w:t xml:space="preserve">[2] </w:t>
      </w:r>
      <w:hyperlink r:id="rId97">
        <w:r>
          <w:rPr>
            <w:color w:val="1155CC"/>
            <w:u w:val="single"/>
          </w:rPr>
          <w:t>多样水系电池系统的合理应用映射</w:t>
        </w:r>
      </w:hyperlink>
    </w:p>
    <w:p>
      <w:pPr>
        <w:spacing w:before="0" w:after="80"/>
      </w:pPr>
      <w:r>
        <w:rPr>
          <w:i/>
          <w:sz w:val="20"/>
        </w:rPr>
        <w:t>EN: Rational Application Mapping of Diverse Aqueous Battery Systems</w:t>
      </w:r>
    </w:p>
    <w:p>
      <w:pPr>
        <w:spacing w:before="0" w:after="120"/>
      </w:pPr>
      <w:r>
        <w:rPr>
          <w:b/>
        </w:rPr>
        <w:t xml:space="preserve">Source: </w:t>
      </w:r>
      <w:r>
        <w:t>RSC - Energy Environ. Sci. latest articles</w:t>
      </w:r>
      <w:r>
        <w:t xml:space="preserve">    </w:t>
      </w:r>
      <w:r>
        <w:rPr>
          <w:b/>
        </w:rPr>
        <w:t xml:space="preserve">Pub date: </w:t>
      </w:r>
      <w:r>
        <w:t>2026-04-07 23:00:00+00:00</w:t>
      </w:r>
    </w:p>
    <w:p>
      <w:pPr>
        <w:spacing w:before="0" w:after="120"/>
      </w:pPr>
      <w:r>
        <w:rPr>
          <w:b/>
        </w:rPr>
        <w:t xml:space="preserve">Notes: </w:t>
      </w:r>
      <w:r>
        <w:t>abstract_source=rsc_html</w:t>
      </w:r>
    </w:p>
    <w:p>
      <w:pPr>
        <w:spacing w:before="0" w:after="80" w:lineRule="auto" w:line="276"/>
      </w:pPr>
      <w:r>
        <w:rPr>
          <w:b/>
        </w:rPr>
        <w:t xml:space="preserve">摘要（ZH）: </w:t>
      </w:r>
      <w:r>
        <w:t>水系电池因其固有的安全性和低成本，被认为是大规模和高安全性需求的储能的有前途的候选者。然而，锂铁磷酸盐技术的快速发展和激烈的市场竞争导致性能提升和成本降低，大大缩小了水系系统的商业空间。在本综述中，我们强调了系统性绘制水系电池技术以重振其发展并明确其技术定位的迫切需要。我们首先从水基电解质的角度分析其共同特征。然后系统地比较了商业化系统(铅酸、流动和碱性锌电池)和非商业化化学(含水Li-</w:t>
      </w:r>
    </w:p>
    <w:p>
      <w:pPr>
        <w:spacing w:before="0" w:after="200" w:lineRule="auto" w:line="276"/>
      </w:pPr>
      <w:r>
        <w:rPr>
          <w:b/>
        </w:rPr>
        <w:t xml:space="preserve">Abstract (EN): </w:t>
      </w:r>
      <w:r>
        <w:t>Aqueous batteries, known for inherent safety and low cost, have been considered promising candidates for large-scale and high-safety-demand energy storage. However, the rapid advancement and fierce market competition of lithium iron phosphate technologies have led to enhanced performance and lower costs, substantially shrinking the commercial space for aqueous systems. In this Review, we highlight the pressing need for a systematic mapping of aqueous battery technologies to reinvigorate their development and clarify their technological positioning. We begin by analyzing their shared characteristics from the standpoint of water-based electrolytes. We then systematically compare commercialized systems (lead-acid, flow, and alkaline Zn batteries) and noncommercialized chemistries (aqueous Li-/Na-/Zn-/H-ion batteries), highlighting their advantages, limitations, and technological bottlenecks. Furthermore, we propose eight actual application scenarios and match them with appropriate aqueous battery types based on industrial requirements.Our analysis also reveals previously underappreciated internal competition among aqueous systems, particularly among lead-acid, Zn-ion, and Na-ion systems, the necessity for clearer functional differentiation. This work reshapes the understanding of aqueous battery application landscapes and aims to catalyze their accelerated deployment in safe, low-cost, and scalable energy storage.</w:t>
      </w:r>
    </w:p>
    <w:p>
      <w:pPr>
        <w:spacing w:before="120" w:after="120"/>
      </w:pPr>
      <w:r>
        <w:rPr>
          <w:sz w:val="18"/>
        </w:rPr>
        <w:t>——————————————————————————————————————————————————————————————————————</w:t>
      </w:r>
    </w:p>
    <w:p>
      <w:pPr>
        <w:spacing w:before="160" w:after="40" w:line="240" w:lineRule="auto"/>
      </w:pPr>
      <w:r>
        <w:rPr>
          <w:b/>
        </w:rPr>
        <w:t xml:space="preserve">[3] </w:t>
      </w:r>
      <w:hyperlink r:id="rId98">
        <w:r>
          <w:rPr>
            <w:color w:val="1155CC"/>
            <w:u w:val="single"/>
          </w:rPr>
          <w:t>抑制Sn(Ⅱ)歧化反应以实现耐用的锡金属水系电池</w:t>
        </w:r>
      </w:hyperlink>
    </w:p>
    <w:p>
      <w:pPr>
        <w:spacing w:before="0" w:after="80"/>
      </w:pPr>
      <w:r>
        <w:rPr>
          <w:i/>
          <w:sz w:val="20"/>
        </w:rPr>
        <w:t>EN: Inhibition of Sn(Ⅱ) disproportionation for durable tin-metal aqueous batteries</w:t>
      </w:r>
    </w:p>
    <w:p>
      <w:pPr>
        <w:spacing w:before="0" w:after="120"/>
      </w:pPr>
      <w:r>
        <w:rPr>
          <w:b/>
        </w:rPr>
        <w:t xml:space="preserve">Source: </w:t>
      </w:r>
      <w:r>
        <w:t>Joule</w:t>
      </w:r>
      <w:r>
        <w:t xml:space="preserve">    </w:t>
      </w:r>
      <w:r>
        <w:rPr>
          <w:b/>
        </w:rPr>
        <w:t xml:space="preserve">Pub date: </w:t>
      </w:r>
      <w:r>
        <w:t>2026-04-08 00:00:00+00:00</w:t>
      </w:r>
      <w:r>
        <w:t xml:space="preserve">    </w:t>
      </w:r>
      <w:r>
        <w:rPr>
          <w:b/>
        </w:rPr>
        <w:t xml:space="preserve">DOI: </w:t>
      </w:r>
      <w:hyperlink r:id="rId99">
        <w:r>
          <w:rPr>
            <w:color w:val="1155CC"/>
            <w:u w:val="single"/>
          </w:rPr>
          <w:t>10.1016/j.joule.2026.102422</w:t>
        </w:r>
      </w:hyperlink>
    </w:p>
    <w:p>
      <w:pPr>
        <w:spacing w:before="0" w:after="120"/>
      </w:pPr>
      <w:r>
        <w:rPr>
          <w:b/>
        </w:rPr>
        <w:t xml:space="preserve">Notes: </w:t>
      </w:r>
      <w:r>
        <w:t>abstract_source=rss_cell</w:t>
      </w:r>
    </w:p>
    <w:p>
      <w:pPr>
        <w:spacing w:before="0" w:after="80" w:lineRule="auto" w:line="276"/>
      </w:pPr>
      <w:r>
        <w:rPr>
          <w:b/>
        </w:rPr>
        <w:t xml:space="preserve">摘要（ZH）: </w:t>
      </w:r>
      <w:r>
        <w:t>Sn(II)歧化通过消耗活性物质和形成非活性产物削弱碱性锡电池。破坏羟基桥的电解质稳定了Sn(OH)3−单体并抑制副反应，从而实现均匀的锡沉积和耐用的Sn//Fe流动电池，具有高功率密度和长循环寿命。</w:t>
      </w:r>
    </w:p>
    <w:p>
      <w:pPr>
        <w:spacing w:before="0" w:after="200" w:lineRule="auto" w:line="276"/>
      </w:pPr>
      <w:r>
        <w:rPr>
          <w:b/>
        </w:rPr>
        <w:t xml:space="preserve">Abstract (EN): </w:t>
      </w:r>
      <w:r>
        <w:t>Sn(II) disproportionation undermines alkaline tin batteries by consuming active species and forming inactive products. A hydroxy-bridge-disrupting electrolyte stabilizes Sn(OH)3− monomers and suppresses side reactions, enabling uniform tin deposition and durable Sn//Fe flow batteries with high power density and long cycle life.</w:t>
      </w:r>
    </w:p>
    <w:p>
      <w:pPr>
        <w:spacing w:before="120" w:after="120"/>
      </w:pPr>
      <w:r>
        <w:rPr>
          <w:sz w:val="18"/>
        </w:rPr>
        <w:t>——————————————————————————————————————————————————————————————————————</w:t>
      </w:r>
    </w:p>
    <w:p>
      <w:pPr>
        <w:spacing w:before="160" w:after="40" w:line="240" w:lineRule="auto"/>
      </w:pPr>
      <w:r>
        <w:rPr>
          <w:b/>
        </w:rPr>
        <w:t xml:space="preserve">[4] </w:t>
      </w:r>
      <w:hyperlink r:id="rId100">
        <w:r>
          <w:rPr>
            <w:color w:val="1155CC"/>
            <w:u w:val="single"/>
          </w:rPr>
          <w:t>通过d轨道占据工程实现高性能锌空气电池的Sabatier甜点</w:t>
        </w:r>
      </w:hyperlink>
    </w:p>
    <w:p>
      <w:pPr>
        <w:spacing w:before="0" w:after="80"/>
      </w:pPr>
      <w:r>
        <w:rPr>
          <w:i/>
          <w:sz w:val="20"/>
        </w:rPr>
        <w:t>EN: Attaining the Sabatier Sweet Spot via d‐Orbital Occupancy Engineering for High‐Performance Zn–Air Batteries</w:t>
      </w:r>
    </w:p>
    <w:p>
      <w:pPr>
        <w:spacing w:before="0" w:after="120"/>
      </w:pPr>
      <w:r>
        <w:rPr>
          <w:b/>
        </w:rPr>
        <w:t xml:space="preserve">Source: </w:t>
      </w:r>
      <w:r>
        <w:t>Wiley: Advanced Energy Materials: Table of Contents</w:t>
      </w:r>
      <w:r>
        <w:t xml:space="preserve">    </w:t>
      </w:r>
      <w:r>
        <w:rPr>
          <w:b/>
        </w:rPr>
        <w:t xml:space="preserve">Pub date: </w:t>
      </w:r>
      <w:r>
        <w:t>2026-04-08 07:46:54+00:00</w:t>
      </w:r>
      <w:r>
        <w:t xml:space="preserve">    </w:t>
      </w:r>
      <w:r>
        <w:rPr>
          <w:b/>
        </w:rPr>
        <w:t xml:space="preserve">DOI: </w:t>
      </w:r>
      <w:hyperlink r:id="rId101">
        <w:r>
          <w:rPr>
            <w:color w:val="1155CC"/>
            <w:u w:val="single"/>
          </w:rPr>
          <w:t>10.1002/aenm.202506489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萨巴蒂尔最佳值附近精确控制氧中间体的结合对于设计高性能氧电催化剂用于锌空气电池（ZABs）至关重要。在CoFe双金属合金中，Co纳米簇主要驱动氧析出反应（OER），而Fe位点促进氧还原反应（ORR），尽管存在动力学限制。因此，实现优越的氧活性需要通过工程化异质界面合理调节d轨道占据。本文报道了一种双N源辅助的部分氮化策略，该策略原位形成Co</w:t>
      </w:r>
      <w:r>
        <w:rPr>
          <w:vertAlign w:val="subscript"/>
        </w:rPr>
        <w:t>4</w:t>
      </w:r>
      <w:r>
        <w:t>N邻近CoFe合金（CNFC-3），在N掺杂石墨碳管中形成明确的异质界面。</w:t>
      </w:r>
    </w:p>
    <w:p>
      <w:pPr>
        <w:spacing w:before="0" w:after="200" w:lineRule="auto" w:line="276"/>
      </w:pPr>
      <w:r>
        <w:rPr>
          <w:b/>
        </w:rPr>
        <w:t xml:space="preserve">Abstract (EN): </w:t>
      </w:r>
      <w:r>
        <w:t>Precise control of oxygen‐intermediate binding near the Sabatier optimum is crucial for designing high‐performance oxygen electrocatalysts for zinc–air batteries (ZABs). In CoFe bimetallic alloys, Co nanoclusters predominantly drive the oxygen evolution reaction (OER), while Fe sites promote the oxygen reduction reaction (ORR), albeit with kinetic limitations. Achieving superior oxygen activity thus demands rational modulation of d‐orbital occupancy via engineered heterointerfaces. Herein, we report a dual N‐source‐assisted partial nitridation strategy that in situ forms Co</w:t>
      </w:r>
      <w:r>
        <w:rPr>
          <w:vertAlign w:val="subscript"/>
        </w:rPr>
        <w:t>4</w:t>
      </w:r>
      <w:r>
        <w:t>N adjacent to the CoFe alloy (CNFC‐3), resulting in a well‐defined heterointerfacial interface within N‐doped graphitic carbon tubes. Combined experimental and theoretical analyses reveal that orbital coupling between nitride and alloy species optimizes oxygen intermediate adsorption, expediting *OH formation for ORR and *OOH formation for OER. This synergy results in an ultra‐low oxygen overpotential (Δ</w:t>
      </w:r>
      <w:r>
        <w:t xml:space="preserve"> </w:t>
      </w:r>
      <w:r>
        <w:t>E</w:t>
      </w:r>
      <w:r>
        <w:t xml:space="preserve"> </w:t>
      </w:r>
      <w:r>
        <w:t>≈ 0.631 V) and nearly 4‐electron selectivity. Notably, CNFC‐3‐based liquid ZABs deliver a high‐power density of ≈201 mW cm</w:t>
      </w:r>
      <w:r>
        <w:t xml:space="preserve"> </w:t>
      </w:r>
      <w:r>
        <w:t>−2</w:t>
      </w:r>
      <w:r>
        <w:t xml:space="preserve"> </w:t>
      </w:r>
      <w:r>
        <w:t>and a specific capacity of 812 mAh g</w:t>
      </w:r>
      <w:r>
        <w:t xml:space="preserve"> </w:t>
      </w:r>
      <w:r>
        <w:t>Zn</w:t>
      </w:r>
      <w:r>
        <w:t xml:space="preserve"> </w:t>
      </w:r>
      <w:r>
        <w:t>−1</w:t>
      </w:r>
      <w:r>
        <w:t xml:space="preserve"> </w:t>
      </w:r>
      <w:r>
        <w:t>. At larger scales, ZABs incorporating the same catalyst also demonstrate promising performance. Furthermore, flexible ZABs employing NTA‐modified P‐P‐N gel exhibit temperature resilience, dendrite suppression, and robust durability under high current densities, indicating their potential for next‐generation alternative batteries.</w:t>
      </w:r>
    </w:p>
    <w:p>
      <w:pPr>
        <w:spacing w:before="120" w:after="120"/>
      </w:pPr>
      <w:r>
        <w:rPr>
          <w:sz w:val="18"/>
        </w:rPr>
        <w:t>——————————————————————————————————————————————————————————————————————</w:t>
      </w:r>
    </w:p>
    <w:p>
      <w:pPr>
        <w:spacing w:before="160" w:after="120"/>
      </w:pPr>
      <w:r>
        <w:rPr>
          <w:b/>
          <w:sz w:val="28"/>
        </w:rPr>
        <w:t>【热能】</w:t>
      </w:r>
    </w:p>
    <w:p>
      <w:pPr>
        <w:spacing w:before="160" w:after="40" w:line="240" w:lineRule="auto"/>
      </w:pPr>
      <w:r>
        <w:rPr>
          <w:b/>
        </w:rPr>
        <w:t xml:space="preserve">[1] </w:t>
      </w:r>
      <w:hyperlink r:id="rId102">
        <w:r>
          <w:rPr>
            <w:color w:val="1155CC"/>
            <w:u w:val="single"/>
          </w:rPr>
          <w:t>通过可逆流体相循环进行高温热化学能量存储：综述</w:t>
        </w:r>
      </w:hyperlink>
    </w:p>
    <w:p>
      <w:pPr>
        <w:spacing w:before="0" w:after="80"/>
      </w:pPr>
      <w:r>
        <w:rPr>
          <w:i/>
          <w:sz w:val="20"/>
        </w:rPr>
        <w:t>EN: High-temperature thermochemical energy storage via reversible fluid-phase based cycles: A review</w:t>
      </w:r>
    </w:p>
    <w:p>
      <w:pPr>
        <w:spacing w:before="0" w:after="120"/>
      </w:pPr>
      <w:r>
        <w:rPr>
          <w:b/>
        </w:rPr>
        <w:t xml:space="preserve">Source: </w:t>
      </w:r>
      <w:r>
        <w:t>ScienceDirect Publication: Applied Energy</w:t>
      </w:r>
      <w:r>
        <w:t xml:space="preserve">    </w:t>
      </w:r>
      <w:r>
        <w:rPr>
          <w:b/>
        </w:rPr>
        <w:t xml:space="preserve">Pub date: </w:t>
      </w:r>
      <w:r>
        <w:t>2026-04-04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03">
        <w:r>
          <w:rPr>
            <w:color w:val="1155CC"/>
            <w:u w:val="single"/>
          </w:rPr>
          <w:t>用于多向热传输和电热能量转换的超厚层间耦合还原氧化石墨烯薄膜</w:t>
        </w:r>
      </w:hyperlink>
    </w:p>
    <w:p>
      <w:pPr>
        <w:spacing w:before="0" w:after="80"/>
      </w:pPr>
      <w:r>
        <w:rPr>
          <w:i/>
          <w:sz w:val="20"/>
        </w:rPr>
        <w:t>EN: Ultrathick Interlayer Coupled Reduced Graphene Oxide Films for Multidirectional Heat Transport and Electrothermal Energy Conversion</w:t>
      </w:r>
    </w:p>
    <w:p>
      <w:pPr>
        <w:spacing w:before="0" w:after="120"/>
      </w:pPr>
      <w:r>
        <w:rPr>
          <w:b/>
        </w:rPr>
        <w:t xml:space="preserve">Source: </w:t>
      </w:r>
      <w:r>
        <w:t>Wiley: Advanced Energy Materials: Table of Contents</w:t>
      </w:r>
      <w:r>
        <w:t xml:space="preserve">    </w:t>
      </w:r>
      <w:r>
        <w:rPr>
          <w:b/>
        </w:rPr>
        <w:t xml:space="preserve">Pub date: </w:t>
      </w:r>
      <w:r>
        <w:t>2026-04-06 05:52:20+00:00</w:t>
      </w:r>
      <w:r>
        <w:t xml:space="preserve">    </w:t>
      </w:r>
      <w:r>
        <w:rPr>
          <w:b/>
        </w:rPr>
        <w:t xml:space="preserve">DOI: </w:t>
      </w:r>
      <w:hyperlink r:id="rId104">
        <w:r>
          <w:rPr>
            <w:color w:val="1155CC"/>
            <w:u w:val="single"/>
          </w:rPr>
          <w:t>10.1002/aenm.70909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高功率电子设备的高效热管理仍然是一个关键挑战，因为能够承受极端热通量（&gt;1000 W·cm−2）的材料有限。尽管单层石墨烯片表现出卓越的内在热导率，但堆叠的石墨烯薄膜由于范德华相互作用较弱而遭受严重的热各向异性和较差的面外热传输。在此，我们报告了一种可扩展的策略，通过在堆叠层之间形成共价碳键，构建层间耦合的还原氧化石墨烯（rGO）薄膜。首先，通过亲核芳香化反应，部分氧化的GO薄膜与控制的羟基密度通过芳基醚桥连接。</w:t>
      </w:r>
    </w:p>
    <w:p>
      <w:pPr>
        <w:spacing w:before="0" w:after="200" w:lineRule="auto" w:line="276"/>
      </w:pPr>
      <w:r>
        <w:rPr>
          <w:b/>
        </w:rPr>
        <w:t xml:space="preserve">Abstract (EN): </w:t>
      </w:r>
      <w:r>
        <w:t>Efficient thermal management remains a key challenge for high‐power electronics due to the limited availability of materials capable of withstanding extreme heat fluxes (&amp;gt;1000 W·cm</w:t>
      </w:r>
      <w:r>
        <w:t xml:space="preserve"> </w:t>
      </w:r>
      <w:r>
        <w:t>−2</w:t>
      </w:r>
      <w:r>
        <w:t xml:space="preserve"> </w:t>
      </w:r>
      <w:r>
        <w:t>). Although individual graphene sheets exhibit exceptional intrinsic thermal conductivities, stacked graphene films suffer from severe thermal anisotropy and poor through‐plane heat transport because of the weak van der Waals interactions. Here, we report a scalable strategy to construct interlayer‐coupled reduced graphene oxide (rGO) films with covalent carbon bonding across stacking layers. Partially oxidized GO films with controlled hydroxyl densities are first connected by aryl ether bridges via nucleophilic aromatic substitution, which transform into robust carbon linkages upon graphitization. A representative 200 µm‐thick film simultaneously exhibits high in‐plane and through‐plane thermal conductivities of 1465 ± 63 and 14.0 ± 1.2 W·m</w:t>
      </w:r>
      <w:r>
        <w:t xml:space="preserve"> </w:t>
      </w:r>
      <w:r>
        <w:t>−1</w:t>
      </w:r>
      <w:r>
        <w:t xml:space="preserve"> </w:t>
      </w:r>
      <w:r>
        <w:t>·K</w:t>
      </w:r>
      <w:r>
        <w:t xml:space="preserve"> </w:t>
      </w:r>
      <w:r>
        <w:t>−1</w:t>
      </w:r>
      <w:r>
        <w:t xml:space="preserve"> </w:t>
      </w:r>
      <w:r>
        <w:t>, respectively. Comparable performance is retained at a thickness of 300 µm and temperatures up to 250°C. Under an extreme heat flux of 1200 W·cm</w:t>
      </w:r>
      <w:r>
        <w:t xml:space="preserve"> </w:t>
      </w:r>
      <w:r>
        <w:t>−2</w:t>
      </w:r>
      <w:r>
        <w:t xml:space="preserve"> </w:t>
      </w:r>
      <w:r>
        <w:t>, the film lowers its temperature by 110°C within 20 s and shows excellent cycling stability. The high thermal and electrical conductivities also enable fast, uniform, and durable electrothermal heating. This work provides a practical route to overcoming the intrinsic anisotropy of graphene assemblies for advanced thermal management applications.</w:t>
      </w:r>
    </w:p>
    <w:p>
      <w:pPr>
        <w:spacing w:before="120" w:after="120"/>
      </w:pPr>
      <w:r>
        <w:rPr>
          <w:sz w:val="18"/>
        </w:rPr>
        <w:t>——————————————————————————————————————————————————————————————————————</w:t>
      </w:r>
    </w:p>
    <w:p>
      <w:pPr>
        <w:spacing w:before="160" w:after="40" w:line="240" w:lineRule="auto"/>
      </w:pPr>
      <w:r>
        <w:rPr>
          <w:b/>
        </w:rPr>
        <w:t xml:space="preserve">[3] </w:t>
      </w:r>
      <w:hyperlink r:id="rId105">
        <w:r>
          <w:rPr>
            <w:color w:val="1155CC"/>
            <w:u w:val="single"/>
          </w:rPr>
          <w:t>用于飞秒激光书写冰铁电向列相的热电流协同作用</w:t>
        </w:r>
      </w:hyperlink>
    </w:p>
    <w:p>
      <w:pPr>
        <w:spacing w:before="0" w:after="80"/>
      </w:pPr>
      <w:r>
        <w:rPr>
          <w:i/>
          <w:sz w:val="20"/>
        </w:rPr>
        <w:t>EN: Thermoelectric-flow synergy for femtosecond laser writing of iced ferroelectric nematics</w:t>
      </w:r>
    </w:p>
    <w:p>
      <w:pPr>
        <w:spacing w:before="0" w:after="120"/>
      </w:pPr>
      <w:r>
        <w:rPr>
          <w:b/>
        </w:rPr>
        <w:t xml:space="preserve">Source: </w:t>
      </w:r>
      <w:r>
        <w:t>Matter</w:t>
      </w:r>
      <w:r>
        <w:t xml:space="preserve">    </w:t>
      </w:r>
      <w:r>
        <w:rPr>
          <w:b/>
        </w:rPr>
        <w:t xml:space="preserve">Pub date: </w:t>
      </w:r>
      <w:r>
        <w:t>2026-04-08 00:00:00+00:00</w:t>
      </w:r>
      <w:r>
        <w:t xml:space="preserve">    </w:t>
      </w:r>
      <w:r>
        <w:rPr>
          <w:b/>
        </w:rPr>
        <w:t xml:space="preserve">DOI: </w:t>
      </w:r>
      <w:hyperlink r:id="rId106">
        <w:r>
          <w:rPr>
            <w:color w:val="1155CC"/>
            <w:u w:val="single"/>
          </w:rPr>
          <w:t>10.1016/j.matt.2026.102766</w:t>
        </w:r>
      </w:hyperlink>
    </w:p>
    <w:p>
      <w:pPr>
        <w:spacing w:before="0" w:after="120"/>
      </w:pPr>
      <w:r>
        <w:rPr>
          <w:b/>
        </w:rPr>
        <w:t xml:space="preserve">Notes: </w:t>
      </w:r>
      <w:r>
        <w:t>abstract_source=rss_cell</w:t>
      </w:r>
    </w:p>
    <w:p>
      <w:pPr>
        <w:spacing w:before="0" w:after="80" w:lineRule="auto" w:line="276"/>
      </w:pPr>
      <w:r>
        <w:rPr>
          <w:b/>
        </w:rPr>
        <w:t xml:space="preserve">摘要（ZH）: </w:t>
      </w:r>
      <w:r>
        <w:t>虽然新兴的铁电流体在先进光子学中具有潜力，但在室温“冰冻”状态下的图案化仍然是一个主要挑战。在此，作者展示了飞秒激光直接写入可以通过利用热电和流动效应的协同作用精确地设计极性域。这种方法将以前无法图案化的材料转变为复杂非线性光学器件的多功能平台。他们的工作建立了一种稳健的策略，用于编程非线性光子超材料。</w:t>
      </w:r>
    </w:p>
    <w:p>
      <w:pPr>
        <w:spacing w:before="0" w:after="200" w:lineRule="auto" w:line="276"/>
      </w:pPr>
      <w:r>
        <w:rPr>
          <w:b/>
        </w:rPr>
        <w:t xml:space="preserve">Abstract (EN): </w:t>
      </w:r>
      <w:r>
        <w:t>While the emerging ferroelectric fluids hold promise for advanced photonics, patterning their room-temperature “iced” state has remained a major challenge. Here, the authors demonstrate that femtosecond laser direct writing can precisely engineer polar domains by exploiting a synergy of thermoelectric and flow effects. This approach transforms the previously unpatternable material into a versatile platform for complex nonlinear optical devices. Their work establishes a robust strategy for programming nonlinear photonic metamaterials.</w:t>
      </w:r>
    </w:p>
    <w:p>
      <w:pPr>
        <w:spacing w:before="120" w:after="120"/>
      </w:pPr>
      <w:r>
        <w:rPr>
          <w:sz w:val="18"/>
        </w:rPr>
        <w:t>——————————————————————————————————————————————————————————————————————</w:t>
      </w:r>
    </w:p>
    <w:p>
      <w:pPr>
        <w:spacing w:before="160" w:after="40" w:line="240" w:lineRule="auto"/>
      </w:pPr>
      <w:r>
        <w:rPr>
          <w:b/>
        </w:rPr>
        <w:t xml:space="preserve">[4] </w:t>
      </w:r>
      <w:hyperlink r:id="rId107">
        <w:r>
          <w:rPr>
            <w:color w:val="1155CC"/>
            <w:u w:val="single"/>
          </w:rPr>
          <w:t>在全有机柔性热电材料中实现声子玻璃电子晶体行为</w:t>
        </w:r>
      </w:hyperlink>
    </w:p>
    <w:p>
      <w:pPr>
        <w:spacing w:before="0" w:after="80"/>
      </w:pPr>
      <w:r>
        <w:rPr>
          <w:i/>
          <w:sz w:val="20"/>
        </w:rPr>
        <w:t>EN: Achieving Phonon‐Glass Electron‐Crystal Behavior in Fully Organic Flexible Thermoelectrics</w:t>
      </w:r>
    </w:p>
    <w:p>
      <w:pPr>
        <w:spacing w:before="0" w:after="120"/>
      </w:pPr>
      <w:r>
        <w:rPr>
          <w:b/>
        </w:rPr>
        <w:t xml:space="preserve">Source: </w:t>
      </w:r>
      <w:r>
        <w:t>Wiley: Advanced Energy Materials: Table of Contents</w:t>
      </w:r>
      <w:r>
        <w:t xml:space="preserve">    </w:t>
      </w:r>
      <w:r>
        <w:rPr>
          <w:b/>
        </w:rPr>
        <w:t xml:space="preserve">Pub date: </w:t>
      </w:r>
      <w:r>
        <w:t>2026-04-08 07:24:05+00:00</w:t>
      </w:r>
      <w:r>
        <w:t xml:space="preserve">    </w:t>
      </w:r>
      <w:r>
        <w:rPr>
          <w:b/>
        </w:rPr>
        <w:t xml:space="preserve">DOI: </w:t>
      </w:r>
      <w:hyperlink r:id="rId108">
        <w:r>
          <w:rPr>
            <w:color w:val="1155CC"/>
            <w:u w:val="single"/>
          </w:rPr>
          <w:t>10.1002/aenm.70927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实现声子玻璃电子晶体（PGEC）行为，即结合金属般的电荷传输和玻璃般的热传导，是提高热电效率的关键策略。尽管这一范式已在无机材料中实现，但其在有机系统中的应用仍未被探索，而有机系统因其在柔性和可穿戴设备中的吸引力而备受关注。在此，通过将聚乙烯醇（PVA）引入导电的聚（3,4-乙烯二氧噻吩）：聚（苯乙烯磺酸盐）（PEDOT:PSS）基质中，实现了完全有机的PGEC行为。优化的复合材料表现出半金属的电子传输和接近理论最低值的超低热导率。因此，显著提高的功率因数</w:t>
      </w:r>
    </w:p>
    <w:p>
      <w:pPr>
        <w:spacing w:before="0" w:after="200" w:lineRule="auto" w:line="276"/>
      </w:pPr>
      <w:r>
        <w:rPr>
          <w:b/>
        </w:rPr>
        <w:t xml:space="preserve">Abstract (EN): </w:t>
      </w:r>
      <w:r>
        <w:t>Realizing phonon‐glass electron‐crystal (PGEC) behavior, which combines metal‐like charge transport with glass‐like thermal conduction, is a key strategy for advancing thermoelectric efficiency. Although this paradigm has been implemented in inorganic materials, its translation into organic systems, which are attractive for flexible and wearable devices, remains unexplored. Here, a fully organic route to PGEC behavior is achieved by incorporating polyvinyl alcohol (PVA) into a conductive poly(3,4‐ethylenedioxythiophene):poly(styrenesulfonate) (PEDOT:PSS) matrix. The optimized composite exhibits semi‐metallic electronic transport and ultralow thermal conductivity close to its theoretical minimum. Hence, a substantially improved power factor of 74.5 µW m</w:t>
      </w:r>
      <w:r>
        <w:t xml:space="preserve"> </w:t>
      </w:r>
      <w:r>
        <w:t>−1</w:t>
      </w:r>
      <w:r>
        <w:t xml:space="preserve"> </w:t>
      </w:r>
      <w:r>
        <w:t>K</w:t>
      </w:r>
      <w:r>
        <w:t xml:space="preserve"> </w:t>
      </w:r>
      <w:r>
        <w:t>−2</w:t>
      </w:r>
      <w:r>
        <w:t xml:space="preserve"> </w:t>
      </w:r>
      <w:r>
        <w:t>and a maximum figure of merit of 0.10 are attained at 300 K, which are among the highest values reported for practical micrometer‐thick PEDOT:PSS films. The performance originates from hierarchical structural evolution in which PEDOT domains preserve delocalized conduction, while PVA nano‐crystalline phases and interfacial acoustic mismatch selectively scatter phonons. In contrast to inorganic fillers, the all‐organic composite maintains excellent flexibility, retaining more than 99.5% of its initial electrical conductivity after 20 000 bending cycles at a radius of 4.3 mm. These findings establish design principles for organic thermoelectrics and highlight their potential in high‐performance, self‐powered wearable devices.</w:t>
      </w:r>
    </w:p>
    <w:p>
      <w:pPr>
        <w:spacing w:before="120" w:after="120"/>
      </w:pPr>
      <w:r>
        <w:rPr>
          <w:sz w:val="18"/>
        </w:rPr>
        <w:t>——————————————————————————————————————————————————————————————————————</w:t>
      </w:r>
    </w:p>
    <w:p>
      <w:pPr>
        <w:spacing w:before="160" w:after="40" w:line="240" w:lineRule="auto"/>
      </w:pPr>
      <w:r>
        <w:rPr>
          <w:b/>
        </w:rPr>
        <w:t xml:space="preserve">[5] </w:t>
      </w:r>
      <w:hyperlink r:id="rId109">
        <w:r>
          <w:rPr>
            <w:color w:val="1155CC"/>
            <w:u w:val="single"/>
          </w:rPr>
          <w:t>基于监测建筑数据的瑞士建筑自下而上热泵灵活性估算</w:t>
        </w:r>
      </w:hyperlink>
    </w:p>
    <w:p>
      <w:pPr>
        <w:spacing w:before="0" w:after="80"/>
      </w:pPr>
      <w:r>
        <w:rPr>
          <w:i/>
          <w:sz w:val="20"/>
        </w:rPr>
        <w:t>EN: Bottom-up heat pump flexibility estimation for Swiss buildings considering monitored building data</w:t>
      </w:r>
    </w:p>
    <w:p>
      <w:pPr>
        <w:spacing w:before="0" w:after="120"/>
      </w:pPr>
      <w:r>
        <w:rPr>
          <w:b/>
        </w:rPr>
        <w:t xml:space="preserve">Source: </w:t>
      </w:r>
      <w:r>
        <w:t>ScienceDirect Publication: Applied Energy</w:t>
      </w:r>
      <w:r>
        <w:t xml:space="preserve">    </w:t>
      </w:r>
      <w:r>
        <w:rPr>
          <w:b/>
        </w:rPr>
        <w:t xml:space="preserve">Pub date: </w:t>
      </w:r>
      <w:r>
        <w:t>2026-04-09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120"/>
      </w:pPr>
      <w:r>
        <w:rPr>
          <w:b/>
          <w:sz w:val="28"/>
        </w:rPr>
        <w:t>【核能】</w:t>
      </w:r>
    </w:p>
    <w:p>
      <w:pPr>
        <w:spacing w:before="160" w:after="40" w:line="240" w:lineRule="auto"/>
      </w:pPr>
      <w:r>
        <w:rPr>
          <w:b/>
        </w:rPr>
        <w:t xml:space="preserve">[1] </w:t>
      </w:r>
      <w:hyperlink r:id="rId110">
        <w:r>
          <w:rPr>
            <w:color w:val="1155CC"/>
            <w:u w:val="single"/>
          </w:rPr>
          <w:t>印尼核矿物管理的综合制度模型</w:t>
        </w:r>
      </w:hyperlink>
    </w:p>
    <w:p>
      <w:pPr>
        <w:spacing w:before="0" w:after="80"/>
      </w:pPr>
      <w:r>
        <w:rPr>
          <w:i/>
          <w:sz w:val="20"/>
        </w:rPr>
        <w:t>EN: Toward an integrated institutional model for nuclear mineral management in Indonesia</w:t>
      </w:r>
    </w:p>
    <w:p>
      <w:pPr>
        <w:spacing w:before="0" w:after="120"/>
      </w:pPr>
      <w:r>
        <w:rPr>
          <w:b/>
        </w:rPr>
        <w:t xml:space="preserve">Source: </w:t>
      </w:r>
      <w:r>
        <w:t>ScienceDirect Publication: Energy Policy</w:t>
      </w:r>
      <w:r>
        <w:t xml:space="preserve">    </w:t>
      </w:r>
      <w:r>
        <w:rPr>
          <w:b/>
        </w:rPr>
        <w:t xml:space="preserve">Pub date: </w:t>
      </w:r>
      <w:r>
        <w:t>2026-04-04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11">
        <w:r>
          <w:rPr>
            <w:color w:val="1155CC"/>
            <w:u w:val="single"/>
          </w:rPr>
          <w:t>火星任务瞄准核推进——在紧迫的期限内</w:t>
        </w:r>
      </w:hyperlink>
    </w:p>
    <w:p>
      <w:pPr>
        <w:spacing w:before="0" w:after="80"/>
      </w:pPr>
      <w:r>
        <w:rPr>
          <w:i/>
          <w:sz w:val="20"/>
        </w:rPr>
        <w:t>EN: Mars mission aims for nuclear propulsion—on a tight deadline</w:t>
      </w:r>
    </w:p>
    <w:p>
      <w:pPr>
        <w:spacing w:before="0" w:after="120"/>
      </w:pPr>
      <w:r>
        <w:rPr>
          <w:b/>
        </w:rPr>
        <w:t xml:space="preserve">Source: </w:t>
      </w:r>
      <w:r>
        <w:t>AAAS: Science: Table of Contents</w:t>
      </w:r>
      <w:r>
        <w:t xml:space="preserve">    </w:t>
      </w:r>
      <w:r>
        <w:rPr>
          <w:b/>
        </w:rPr>
        <w:t xml:space="preserve">Pub date: </w:t>
      </w:r>
      <w:r>
        <w:t>2026-04-09 06:00:02+00:00</w:t>
      </w:r>
      <w:r>
        <w:t xml:space="preserve">    </w:t>
      </w:r>
      <w:r>
        <w:rPr>
          <w:b/>
        </w:rPr>
        <w:t xml:space="preserve">DOI: </w:t>
      </w:r>
      <w:hyperlink r:id="rId112">
        <w:r>
          <w:rPr>
            <w:color w:val="1155CC"/>
            <w:u w:val="single"/>
          </w:rPr>
          <w:t>10.1126/science.aeh8585</w:t>
        </w:r>
      </w:hyperlink>
    </w:p>
    <w:p>
      <w:pPr>
        <w:spacing w:before="0" w:after="120"/>
      </w:pPr>
      <w:r>
        <w:rPr>
          <w:b/>
        </w:rPr>
        <w:t xml:space="preserve">Notes: </w:t>
      </w:r>
      <w:r>
        <w:t>abstract_source=crossref</w:t>
      </w:r>
    </w:p>
    <w:p>
      <w:pPr>
        <w:spacing w:before="0" w:after="80" w:lineRule="auto" w:line="276"/>
      </w:pPr>
      <w:r>
        <w:rPr>
          <w:b/>
        </w:rPr>
        <w:t xml:space="preserve">摘要（ZH）: </w:t>
      </w:r>
      <w:r>
        <w:t>裂变动力的太空飞行，这一60年的梦想，将极大推动太阳系的探索</w:t>
      </w:r>
    </w:p>
    <w:p>
      <w:pPr>
        <w:spacing w:before="0" w:after="200" w:lineRule="auto" w:line="276"/>
      </w:pPr>
      <w:r>
        <w:rPr>
          <w:b/>
        </w:rPr>
        <w:t xml:space="preserve">Abstract (EN): </w:t>
      </w:r>
      <w:r>
        <w:t>Fission-powered space flight, a 60-year dream, would supercharge Solar System exploration</w:t>
      </w:r>
    </w:p>
    <w:p>
      <w:pPr>
        <w:spacing w:before="120" w:after="120"/>
      </w:pPr>
      <w:r>
        <w:rPr>
          <w:sz w:val="18"/>
        </w:rPr>
        <w:t>——————————————————————————————————————————————————————————————————————</w:t>
      </w:r>
    </w:p>
    <w:p>
      <w:pPr>
        <w:spacing w:before="160" w:after="120"/>
      </w:pPr>
      <w:r>
        <w:rPr>
          <w:b/>
          <w:sz w:val="28"/>
        </w:rPr>
        <w:t>【氢氨醇】</w:t>
      </w:r>
    </w:p>
    <w:p>
      <w:pPr>
        <w:spacing w:before="160" w:after="40" w:line="240" w:lineRule="auto"/>
      </w:pPr>
      <w:r>
        <w:rPr>
          <w:b/>
        </w:rPr>
        <w:t xml:space="preserve">[1] </w:t>
      </w:r>
      <w:hyperlink r:id="rId113">
        <w:r>
          <w:rPr>
            <w:color w:val="1155CC"/>
            <w:u w:val="single"/>
          </w:rPr>
          <w:t>多尺度电场将电荷引导至单原子钴位点以进行光催化H2生产</w:t>
        </w:r>
      </w:hyperlink>
    </w:p>
    <w:p>
      <w:pPr>
        <w:spacing w:before="0" w:after="80"/>
      </w:pPr>
      <w:r>
        <w:rPr>
          <w:i/>
          <w:sz w:val="20"/>
        </w:rPr>
        <w:t>EN: Multiscale electric fields direct charges to single-atom cobalt sites for photocatalytic H2 production</w:t>
      </w:r>
    </w:p>
    <w:p>
      <w:pPr>
        <w:spacing w:before="0" w:after="120"/>
      </w:pPr>
      <w:r>
        <w:rPr>
          <w:b/>
        </w:rPr>
        <w:t xml:space="preserve">Source: </w:t>
      </w:r>
      <w:r>
        <w:t>Nature Communications</w:t>
      </w:r>
      <w:r>
        <w:t xml:space="preserve">    </w:t>
      </w:r>
      <w:r>
        <w:rPr>
          <w:b/>
        </w:rPr>
        <w:t xml:space="preserve">Pub date: </w:t>
      </w:r>
      <w:r>
        <w:t>2026-04-04 00:00:00+00:00</w:t>
      </w:r>
      <w:r>
        <w:t xml:space="preserve">    </w:t>
      </w:r>
      <w:r>
        <w:rPr>
          <w:b/>
        </w:rPr>
        <w:t xml:space="preserve">DOI: </w:t>
      </w:r>
      <w:hyperlink r:id="rId114">
        <w:r>
          <w:rPr>
            <w:color w:val="1155CC"/>
            <w:u w:val="single"/>
          </w:rPr>
          <w:t>10.1038/s41467-026-71416-w</w:t>
        </w:r>
      </w:hyperlink>
    </w:p>
    <w:p>
      <w:pPr>
        <w:spacing w:before="0" w:after="120"/>
      </w:pPr>
      <w:r>
        <w:rPr>
          <w:b/>
        </w:rPr>
        <w:t xml:space="preserve">Notes: </w:t>
      </w:r>
      <w:r>
        <w:t>abstract_source=nature_html</w:t>
      </w:r>
    </w:p>
    <w:p>
      <w:pPr>
        <w:spacing w:before="0" w:after="80" w:lineRule="auto" w:line="276"/>
      </w:pPr>
      <w:r>
        <w:rPr>
          <w:b/>
        </w:rPr>
        <w:t xml:space="preserve">摘要（ZH）: </w:t>
      </w:r>
      <w:r>
        <w:t>共价有机框架的光催化效率通常受到电荷分离不良和催化位点不可达的限制。在此，我们通过配位导向组装构建仿生“肺泡-层板”异质结构来克服这些挑战。这一策略同时将块状共价有机框架剥离成有序层片，并创建原子级Co-N/O桥，锚定高密度、原子分散的钴位点。关键是，这种结构自发生成多尺度电场，结合了用于电荷分离的强界面场和用于定向电子传输的结构内电势梯度。这个电场驱动的矢量电荷流将电子输送到催化位点，实现了竞争性</w:t>
      </w:r>
    </w:p>
    <w:p>
      <w:pPr>
        <w:spacing w:before="0" w:after="200" w:lineRule="auto" w:line="276"/>
      </w:pPr>
      <w:r>
        <w:rPr>
          <w:b/>
        </w:rPr>
        <w:t xml:space="preserve">Abstract (EN): </w:t>
      </w:r>
      <w:r>
        <w:t>The photocatalytic efficiency of covalent organic frameworks is often limited by poor charge separation and inaccessible catalytic sites. Here, we overcome these challenges by constructing a biomimetic “alveoli-on-lamina” heterostructure through coordination-directed assembly. This strategy concurrently exfoliates a bulk covalent organic framework into ordered lamellae and creates atomic-scale Co-N/O bridges, anchoring high-density, atomically dispersed cobalt sites. Crucially, this architecture spontaneously generates a multi-scale electric field, integrating a strong interfacial field for charge separation with an intra-structure potential gradient for directional electron transport. This field-driven vectorial charge flow delivers electrons to the catalytic sites, enabling a competitive photocatalytic performance: a hydrogen evolution rate of 534.6 mmol g-1 h-1 under standard irradiation without noble metals, an apparent quantum yield of 90.2% at 500 nm, and retained stability. This work demonstrates that engineering built-in electric fields across multiple scales is a valuable paradigm for advanced solar-to-fuel conversion.</w:t>
      </w:r>
    </w:p>
    <w:p>
      <w:pPr>
        <w:spacing w:before="120" w:after="120"/>
      </w:pPr>
      <w:r>
        <w:rPr>
          <w:sz w:val="18"/>
        </w:rPr>
        <w:t>——————————————————————————————————————————————————————————————————————</w:t>
      </w:r>
    </w:p>
    <w:p>
      <w:pPr>
        <w:spacing w:before="160" w:after="40" w:line="240" w:lineRule="auto"/>
      </w:pPr>
      <w:r>
        <w:rPr>
          <w:b/>
        </w:rPr>
        <w:t xml:space="preserve">[2] </w:t>
      </w:r>
      <w:hyperlink r:id="rId115">
        <w:r>
          <w:rPr>
            <w:color w:val="1155CC"/>
            <w:u w:val="single"/>
          </w:rPr>
          <w:t>用于长途重型应用的燃料电池电动车动力系统和能量管理的物理信息替代辅助协同优化</w:t>
        </w:r>
      </w:hyperlink>
    </w:p>
    <w:p>
      <w:pPr>
        <w:spacing w:before="0" w:after="80"/>
      </w:pPr>
      <w:r>
        <w:rPr>
          <w:i/>
          <w:sz w:val="20"/>
        </w:rPr>
        <w:t>EN: Physics-informed surrogate-assisted co-optimization of fuel cell electric vehicle powertrain and energy management for long-haul heavy-duty applications</w:t>
      </w:r>
    </w:p>
    <w:p>
      <w:pPr>
        <w:spacing w:before="0" w:after="120"/>
      </w:pPr>
      <w:r>
        <w:rPr>
          <w:b/>
        </w:rPr>
        <w:t xml:space="preserve">Source: </w:t>
      </w:r>
      <w:r>
        <w:t>ScienceDirect Publication: Applied Energy</w:t>
      </w:r>
      <w:r>
        <w:t xml:space="preserve">    </w:t>
      </w:r>
      <w:r>
        <w:rPr>
          <w:b/>
        </w:rPr>
        <w:t xml:space="preserve">Pub date: </w:t>
      </w:r>
      <w:r>
        <w:t>2026-04-04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116">
        <w:r>
          <w:rPr>
            <w:color w:val="1155CC"/>
            <w:u w:val="single"/>
          </w:rPr>
          <w:t>制浆造纸环境中的氢气生产策略——关于工艺、挑战和经济性的综述</w:t>
        </w:r>
      </w:hyperlink>
    </w:p>
    <w:p>
      <w:pPr>
        <w:spacing w:before="0" w:after="80"/>
      </w:pPr>
      <w:r>
        <w:rPr>
          <w:i/>
          <w:sz w:val="20"/>
        </w:rPr>
        <w:t>EN: Hydrogen production strategies in pulp and papermaking environment- a review on processes, challenges and economics</w:t>
      </w:r>
    </w:p>
    <w:p>
      <w:pPr>
        <w:spacing w:before="0" w:after="120"/>
      </w:pPr>
      <w:r>
        <w:rPr>
          <w:b/>
        </w:rPr>
        <w:t xml:space="preserve">Source: </w:t>
      </w:r>
      <w:r>
        <w:t>ScienceDirect Publication: Applied Energy</w:t>
      </w:r>
      <w:r>
        <w:t xml:space="preserve">    </w:t>
      </w:r>
      <w:r>
        <w:rPr>
          <w:b/>
        </w:rPr>
        <w:t xml:space="preserve">Pub date: </w:t>
      </w:r>
      <w:r>
        <w:t>2026-04-04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117">
        <w:r>
          <w:rPr>
            <w:color w:val="1155CC"/>
            <w:u w:val="single"/>
          </w:rPr>
          <w:t>盐穴氢气储存关键操作参数的设计原则</w:t>
        </w:r>
      </w:hyperlink>
    </w:p>
    <w:p>
      <w:pPr>
        <w:spacing w:before="0" w:after="80"/>
      </w:pPr>
      <w:r>
        <w:rPr>
          <w:i/>
          <w:sz w:val="20"/>
        </w:rPr>
        <w:t>EN: Design principles for key operational parameters of salt cavern hydrogen storage</w:t>
      </w:r>
    </w:p>
    <w:p>
      <w:pPr>
        <w:spacing w:before="0" w:after="120"/>
      </w:pPr>
      <w:r>
        <w:rPr>
          <w:b/>
        </w:rPr>
        <w:t xml:space="preserve">Source: </w:t>
      </w:r>
      <w:r>
        <w:t>ScienceDirect Publication: Applied Energy</w:t>
      </w:r>
      <w:r>
        <w:t xml:space="preserve">    </w:t>
      </w:r>
      <w:r>
        <w:rPr>
          <w:b/>
        </w:rPr>
        <w:t xml:space="preserve">Pub date: </w:t>
      </w:r>
      <w:r>
        <w:t>2026-04-04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 </w:t>
      </w:r>
      <w:hyperlink r:id="rId118">
        <w:r>
          <w:rPr>
            <w:color w:val="1155CC"/>
            <w:u w:val="single"/>
          </w:rPr>
          <w:t>氨-氢协同动力系统的建模与多目标优化</w:t>
        </w:r>
      </w:hyperlink>
    </w:p>
    <w:p>
      <w:pPr>
        <w:spacing w:before="0" w:after="80"/>
      </w:pPr>
      <w:r>
        <w:rPr>
          <w:i/>
          <w:sz w:val="20"/>
        </w:rPr>
        <w:t>EN: Modeling and multi-objective optimization of an Ammonia-hydrogen synergy power system</w:t>
      </w:r>
    </w:p>
    <w:p>
      <w:pPr>
        <w:spacing w:before="0" w:after="120"/>
      </w:pPr>
      <w:r>
        <w:rPr>
          <w:b/>
        </w:rPr>
        <w:t xml:space="preserve">Source: </w:t>
      </w:r>
      <w:r>
        <w:t>ScienceDirect Publication: Applied Energy</w:t>
      </w:r>
      <w:r>
        <w:t xml:space="preserve">    </w:t>
      </w:r>
      <w:r>
        <w:rPr>
          <w:b/>
        </w:rPr>
        <w:t xml:space="preserve">Pub date: </w:t>
      </w:r>
      <w:r>
        <w:t>2026-04-04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 </w:t>
      </w:r>
      <w:hyperlink r:id="rId119">
        <w:r>
          <w:rPr>
            <w:color w:val="1155CC"/>
            <w:u w:val="single"/>
          </w:rPr>
          <w:t>水电解槽氢气生产传质增强研究进展综述</w:t>
        </w:r>
      </w:hyperlink>
    </w:p>
    <w:p>
      <w:pPr>
        <w:spacing w:before="0" w:after="80"/>
      </w:pPr>
      <w:r>
        <w:rPr>
          <w:i/>
          <w:sz w:val="20"/>
        </w:rPr>
        <w:t>EN: A review of research progress in mass transfer enhancement of water electrolyzer for hydrogen production</w:t>
      </w:r>
    </w:p>
    <w:p>
      <w:pPr>
        <w:spacing w:before="0" w:after="120"/>
      </w:pPr>
      <w:r>
        <w:rPr>
          <w:b/>
        </w:rPr>
        <w:t xml:space="preserve">Source: </w:t>
      </w:r>
      <w:r>
        <w:t>ScienceDirect Publication: Applied Energy</w:t>
      </w:r>
      <w:r>
        <w:t xml:space="preserve">    </w:t>
      </w:r>
      <w:r>
        <w:rPr>
          <w:b/>
        </w:rPr>
        <w:t xml:space="preserve">Pub date: </w:t>
      </w:r>
      <w:r>
        <w:t>2026-04-04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 </w:t>
      </w:r>
      <w:hyperlink r:id="rId120">
        <w:r>
          <w:rPr>
            <w:color w:val="1155CC"/>
            <w:u w:val="single"/>
          </w:rPr>
          <w:t>大型电-热-氢综合可再生能源基地的多能分布鲁棒优化调度策略</w:t>
        </w:r>
      </w:hyperlink>
    </w:p>
    <w:p>
      <w:pPr>
        <w:spacing w:before="0" w:after="80"/>
      </w:pPr>
      <w:r>
        <w:rPr>
          <w:i/>
          <w:sz w:val="20"/>
        </w:rPr>
        <w:t>EN: Multi-energy distributionally robust optimisation scheduling strategy for large-scale electricity-heat-hydrogen integrated renewable energy bases</w:t>
      </w:r>
    </w:p>
    <w:p>
      <w:pPr>
        <w:spacing w:before="0" w:after="120"/>
      </w:pPr>
      <w:r>
        <w:rPr>
          <w:b/>
        </w:rPr>
        <w:t xml:space="preserve">Source: </w:t>
      </w:r>
      <w:r>
        <w:t>ScienceDirect Publication: Applied Energy</w:t>
      </w:r>
      <w:r>
        <w:t xml:space="preserve">    </w:t>
      </w:r>
      <w:r>
        <w:rPr>
          <w:b/>
        </w:rPr>
        <w:t xml:space="preserve">Pub date: </w:t>
      </w:r>
      <w:r>
        <w:t>2026-04-04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 </w:t>
      </w:r>
      <w:hyperlink r:id="rId121">
        <w:r>
          <w:rPr>
            <w:color w:val="1155CC"/>
            <w:u w:val="single"/>
          </w:rPr>
          <w:t>废热增值用于氢气生产：技术、挑战和实现净零路径的元分析综述</w:t>
        </w:r>
      </w:hyperlink>
    </w:p>
    <w:p>
      <w:pPr>
        <w:spacing w:before="0" w:after="80"/>
      </w:pPr>
      <w:r>
        <w:rPr>
          <w:i/>
          <w:sz w:val="20"/>
        </w:rPr>
        <w:t>EN: Waste heat valorization for hydrogen production: a meta-analytic review of technologies, challenges, and paths to net-zero</w:t>
      </w:r>
    </w:p>
    <w:p>
      <w:pPr>
        <w:spacing w:before="0" w:after="120"/>
      </w:pPr>
      <w:r>
        <w:rPr>
          <w:b/>
        </w:rPr>
        <w:t xml:space="preserve">Source: </w:t>
      </w:r>
      <w:r>
        <w:t>ScienceDirect Publication: Applied Energy</w:t>
      </w:r>
      <w:r>
        <w:t xml:space="preserve">    </w:t>
      </w:r>
      <w:r>
        <w:rPr>
          <w:b/>
        </w:rPr>
        <w:t xml:space="preserve">Pub date: </w:t>
      </w:r>
      <w:r>
        <w:t>2026-04-05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 </w:t>
      </w:r>
      <w:hyperlink r:id="rId122">
        <w:r>
          <w:rPr>
            <w:color w:val="1155CC"/>
            <w:u w:val="single"/>
          </w:rPr>
          <w:t>基于PCB分段温度测量的PEMFC热分布动态和参数优化研究</w:t>
        </w:r>
      </w:hyperlink>
    </w:p>
    <w:p>
      <w:pPr>
        <w:spacing w:before="0" w:after="80"/>
      </w:pPr>
      <w:r>
        <w:rPr>
          <w:i/>
          <w:sz w:val="20"/>
        </w:rPr>
        <w:t>EN: Investigation of thermal distribution dynamics and parameter optimization in PEMFC based on PCB segmented temperature measurement</w:t>
      </w:r>
    </w:p>
    <w:p>
      <w:pPr>
        <w:spacing w:before="0" w:after="120"/>
      </w:pPr>
      <w:r>
        <w:rPr>
          <w:b/>
        </w:rPr>
        <w:t xml:space="preserve">Source: </w:t>
      </w:r>
      <w:r>
        <w:t>ScienceDirect Publication: Applied Energy</w:t>
      </w:r>
      <w:r>
        <w:t xml:space="preserve">    </w:t>
      </w:r>
      <w:r>
        <w:rPr>
          <w:b/>
        </w:rPr>
        <w:t xml:space="preserve">Pub date: </w:t>
      </w:r>
      <w:r>
        <w:t>2026-04-05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 </w:t>
      </w:r>
      <w:hyperlink r:id="rId123">
        <w:r>
          <w:rPr>
            <w:color w:val="1155CC"/>
            <w:u w:val="single"/>
          </w:rPr>
          <w:t>质子交换膜燃料电池超低催化剂负载下流道结构的自适应优化设计</w:t>
        </w:r>
      </w:hyperlink>
    </w:p>
    <w:p>
      <w:pPr>
        <w:spacing w:before="0" w:after="80"/>
      </w:pPr>
      <w:r>
        <w:rPr>
          <w:i/>
          <w:sz w:val="20"/>
        </w:rPr>
        <w:t>EN: Self-adaptive optimization design of flow channel structure for proton exchange membrane fuel cells with ultra-low catalyst loadings</w:t>
      </w:r>
    </w:p>
    <w:p>
      <w:pPr>
        <w:spacing w:before="0" w:after="120"/>
      </w:pPr>
      <w:r>
        <w:rPr>
          <w:b/>
        </w:rPr>
        <w:t xml:space="preserve">Source: </w:t>
      </w:r>
      <w:r>
        <w:t>ScienceDirect Publication: Applied Energy</w:t>
      </w:r>
      <w:r>
        <w:t xml:space="preserve">    </w:t>
      </w:r>
      <w:r>
        <w:rPr>
          <w:b/>
        </w:rPr>
        <w:t xml:space="preserve">Pub date: </w:t>
      </w:r>
      <w:r>
        <w:t>2026-04-05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 </w:t>
      </w:r>
      <w:hyperlink r:id="rId124">
        <w:r>
          <w:rPr>
            <w:color w:val="1155CC"/>
            <w:u w:val="single"/>
          </w:rPr>
          <w:t>区域飞机PEMFC混合推进系统的综合优化：设计、尺寸和操作策略</w:t>
        </w:r>
      </w:hyperlink>
    </w:p>
    <w:p>
      <w:pPr>
        <w:spacing w:before="0" w:after="80"/>
      </w:pPr>
      <w:r>
        <w:rPr>
          <w:i/>
          <w:sz w:val="20"/>
        </w:rPr>
        <w:t>EN: Comprehensive optimization of PEMFC hybrid propulsion systems for regional aircraft: Design, sizing, and operational strategy</w:t>
      </w:r>
    </w:p>
    <w:p>
      <w:pPr>
        <w:spacing w:before="0" w:after="120"/>
      </w:pPr>
      <w:r>
        <w:rPr>
          <w:b/>
        </w:rPr>
        <w:t xml:space="preserve">Source: </w:t>
      </w:r>
      <w:r>
        <w:t>ScienceDirect Publication: Applied Energy</w:t>
      </w:r>
      <w:r>
        <w:t xml:space="preserve">    </w:t>
      </w:r>
      <w:r>
        <w:rPr>
          <w:b/>
        </w:rPr>
        <w:t xml:space="preserve">Pub date: </w:t>
      </w:r>
      <w:r>
        <w:t>2026-04-05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 </w:t>
      </w:r>
      <w:hyperlink r:id="rId125">
        <w:r>
          <w:rPr>
            <w:color w:val="1155CC"/>
            <w:u w:val="single"/>
          </w:rPr>
          <w:t>团聚体模型催化剂结构参数对PEM水电解槽性能影响的研究</w:t>
        </w:r>
      </w:hyperlink>
    </w:p>
    <w:p>
      <w:pPr>
        <w:spacing w:before="0" w:after="80"/>
      </w:pPr>
      <w:r>
        <w:rPr>
          <w:i/>
          <w:sz w:val="20"/>
        </w:rPr>
        <w:t>EN: Investigation of the effects of the catalyst structure parameter of an agglomerate model on the performance of a PEM water electrolyzer</w:t>
      </w:r>
    </w:p>
    <w:p>
      <w:pPr>
        <w:spacing w:before="0" w:after="120"/>
      </w:pPr>
      <w:r>
        <w:rPr>
          <w:b/>
        </w:rPr>
        <w:t xml:space="preserve">Source: </w:t>
      </w:r>
      <w:r>
        <w:t>ScienceDirect Publication: Applied Energy</w:t>
      </w:r>
      <w:r>
        <w:t xml:space="preserve">    </w:t>
      </w:r>
      <w:r>
        <w:rPr>
          <w:b/>
        </w:rPr>
        <w:t xml:space="preserve">Pub date: </w:t>
      </w:r>
      <w:r>
        <w:t>2026-04-07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[13] </w:t>
      </w:r>
      <w:hyperlink r:id="rId126">
        <w:r>
          <w:rPr>
            <w:color w:val="1155CC"/>
            <w:u w:val="single"/>
          </w:rPr>
          <w:t>将氢解离和溢出位点整合到铂限域SAPO‐34沸石中解锁高效CO2加氢生成轻烷烃</w:t>
        </w:r>
      </w:hyperlink>
    </w:p>
    <w:p>
      <w:pPr>
        <w:spacing w:before="0" w:after="80"/>
      </w:pPr>
      <w:r>
        <w:rPr>
          <w:i/>
          <w:sz w:val="20"/>
        </w:rPr>
        <w:t>EN: Integrating Hydrogen Dissociation and Spillover Sites Into Platinum Confined SAPO‐34 Zeolite Unlocks Efficient CO2 Hydrogenation to Light Alkanes</w:t>
      </w:r>
    </w:p>
    <w:p>
      <w:pPr>
        <w:spacing w:before="0" w:after="120"/>
      </w:pPr>
      <w:r>
        <w:rPr>
          <w:b/>
        </w:rPr>
        <w:t xml:space="preserve">Source: </w:t>
      </w:r>
      <w:r>
        <w:t>Wiley: Angewandte Chemie International Edition: Table of Contents</w:t>
      </w:r>
      <w:r>
        <w:t xml:space="preserve">    </w:t>
      </w:r>
      <w:r>
        <w:rPr>
          <w:b/>
        </w:rPr>
        <w:t xml:space="preserve">Pub date: </w:t>
      </w:r>
      <w:r>
        <w:t>2026-04-07 08:55:56+00:00</w:t>
      </w:r>
      <w:r>
        <w:t xml:space="preserve">    </w:t>
      </w:r>
      <w:r>
        <w:rPr>
          <w:b/>
        </w:rPr>
        <w:t xml:space="preserve">DOI: </w:t>
      </w:r>
      <w:hyperlink r:id="rId127">
        <w:r>
          <w:rPr>
            <w:color w:val="1155CC"/>
            <w:u w:val="single"/>
          </w:rPr>
          <w:t>10.1002/anie.2445993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大气中CO</w:t>
      </w:r>
      <w:r>
        <w:rPr>
          <w:vertAlign w:val="subscript"/>
        </w:rPr>
        <w:t>2</w:t>
      </w:r>
      <w:r>
        <w:t>浓度的降低需要通过直接氢化转化为轻烷烃（C</w:t>
      </w:r>
      <w:r>
        <w:rPr>
          <w:vertAlign w:val="subscript"/>
        </w:rPr>
        <w:t>2</w:t>
      </w:r>
      <w:r>
        <w:rPr>
          <w:vertAlign w:val="subscript"/>
        </w:rPr>
        <w:t>0</w:t>
      </w:r>
      <w:r>
        <w:t>‐C</w:t>
      </w:r>
      <w:r>
        <w:rPr>
          <w:vertAlign w:val="subscript"/>
        </w:rPr>
        <w:t>4</w:t>
      </w:r>
      <w:r>
        <w:rPr>
          <w:vertAlign w:val="subscript"/>
        </w:rPr>
        <w:t>0</w:t>
      </w:r>
      <w:r>
        <w:t>）的可持续化学转化策略，使用氧化物/沸石（OXZEO）双功能催化剂。先前的研究表明，具有强酸性的SSZ‐13铝硅酸盐作为沸石组分促进氢转移以生成烷烃，但也加速了结焦/失活，而具有中等酸性的SAPO‐34硅铝磷酸盐大大提高了催化稳定性，但烷烃选择性不足。在此，我们设计了一种新的OXZEO双功能催化剂。</w:t>
      </w:r>
    </w:p>
    <w:p>
      <w:pPr>
        <w:spacing w:before="0" w:after="200" w:lineRule="auto" w:line="276"/>
      </w:pPr>
      <w:r>
        <w:rPr>
          <w:b/>
        </w:rPr>
        <w:t xml:space="preserve">Abstract (EN): </w:t>
      </w:r>
      <w:r>
        <w:t>The depressing of atmospheric CO</w:t>
      </w:r>
      <w:r>
        <w:rPr>
          <w:vertAlign w:val="subscript"/>
        </w:rPr>
        <w:t>2</w:t>
      </w:r>
      <w:r>
        <w:t>concentration necessitates sustainable chemical conversion strategies by direct hydrogenation to light alkanes (C</w:t>
      </w:r>
      <w:r>
        <w:rPr>
          <w:vertAlign w:val="subscript"/>
        </w:rPr>
        <w:t>2</w:t>
      </w:r>
      <w:r>
        <w:rPr>
          <w:vertAlign w:val="subscript"/>
        </w:rPr>
        <w:t>0</w:t>
      </w:r>
      <w:r>
        <w:t>‐C</w:t>
      </w:r>
      <w:r>
        <w:rPr>
          <w:vertAlign w:val="subscript"/>
        </w:rPr>
        <w:t>4</w:t>
      </w:r>
      <w:r>
        <w:rPr>
          <w:vertAlign w:val="subscript"/>
        </w:rPr>
        <w:t>0</w:t>
      </w:r>
      <w:r>
        <w:t>) over oxide/zeolite (OXZEO) bifunctional catalyst. Prior studies demonstrated that SSZ‐13 aluminosilicate with strong acidity as zeolite component promotes hydrogen transfer to yield alkanes but also accelerates coking/deactivation, while SAPO‐34 silicoaluminophosphate with moderate acidity greatly improves the catalytic stability but yields insufficient alkane selectivity. Herein, we designed a new OXZEO bifunctional catalytic system based on trace Platinum species (0.11 wt.%) confined within SAPO‐34 coupling with ZnZrO</w:t>
      </w:r>
      <w:r>
        <w:t xml:space="preserve"> </w:t>
      </w:r>
      <w:r>
        <w:t>x</w:t>
      </w:r>
      <w:r>
        <w:t xml:space="preserve"> </w:t>
      </w:r>
      <w:r>
        <w:t>solid solution (ZnZrO</w:t>
      </w:r>
      <w:r>
        <w:t xml:space="preserve"> </w:t>
      </w:r>
      <w:r>
        <w:t>x</w:t>
      </w:r>
      <w:r>
        <w:t xml:space="preserve"> </w:t>
      </w:r>
      <w:r>
        <w:t>/Pt@SAPO‐34), achieving a high CO</w:t>
      </w:r>
      <w:r>
        <w:rPr>
          <w:vertAlign w:val="subscript"/>
        </w:rPr>
        <w:t>2</w:t>
      </w:r>
      <w:r>
        <w:t>conversion (46.1%) with C</w:t>
      </w:r>
      <w:r>
        <w:rPr>
          <w:vertAlign w:val="subscript"/>
        </w:rPr>
        <w:t>2</w:t>
      </w:r>
      <w:r>
        <w:rPr>
          <w:vertAlign w:val="subscript"/>
        </w:rPr>
        <w:t>0</w:t>
      </w:r>
      <w:r>
        <w:t>‐C</w:t>
      </w:r>
      <w:r>
        <w:rPr>
          <w:vertAlign w:val="subscript"/>
        </w:rPr>
        <w:t>4</w:t>
      </w:r>
      <w:r>
        <w:rPr>
          <w:vertAlign w:val="subscript"/>
        </w:rPr>
        <w:t>0</w:t>
      </w:r>
      <w:r>
        <w:t>selectivity (94.1%), and giving a superior stable lifetime over 200 h. The excellent catalytic performance is attributed to the confined hydrogen spillover mechanism over Pt species in SAPO‐34 that suppresses carbon deposition and enables efficient H</w:t>
      </w:r>
      <w:r>
        <w:rPr>
          <w:vertAlign w:val="subscript"/>
        </w:rPr>
        <w:t>2</w:t>
      </w:r>
      <w:r>
        <w:t>dissociation and spillover to significantly promote light olefin hydrogenation to corresponding alkanes.</w:t>
      </w:r>
    </w:p>
    <w:p>
      <w:pPr>
        <w:spacing w:before="120" w:after="120"/>
      </w:pPr>
      <w:r>
        <w:rPr>
          <w:sz w:val="18"/>
        </w:rPr>
        <w:t>——————————————————————————————————————————————————————————————————————</w:t>
      </w:r>
    </w:p>
    <w:p>
      <w:pPr>
        <w:spacing w:before="160" w:after="40" w:line="240" w:lineRule="auto"/>
      </w:pPr>
      <w:r>
        <w:rPr>
          <w:b/>
        </w:rPr>
        <w:t xml:space="preserve">[14] </w:t>
      </w:r>
      <w:hyperlink r:id="rId128">
        <w:r>
          <w:rPr>
            <w:color w:val="1155CC"/>
            <w:u w:val="single"/>
          </w:rPr>
          <w:t>晶格羟基辅助的铂单原子催化剂用于甲醇水重整制氢</w:t>
        </w:r>
      </w:hyperlink>
    </w:p>
    <w:p>
      <w:pPr>
        <w:spacing w:before="0" w:after="80"/>
      </w:pPr>
      <w:r>
        <w:rPr>
          <w:i/>
          <w:sz w:val="20"/>
        </w:rPr>
        <w:t>EN: Lattice Hydroxyl‐Assisted Platinum Single Atom Catalyst Toward Hydrogen Production From Methanol Aqueous Reforming</w:t>
      </w:r>
    </w:p>
    <w:p>
      <w:pPr>
        <w:spacing w:before="0" w:after="120"/>
      </w:pPr>
      <w:r>
        <w:rPr>
          <w:b/>
        </w:rPr>
        <w:t xml:space="preserve">Source: </w:t>
      </w:r>
      <w:r>
        <w:t>Wiley: Angewandte Chemie International Edition: Table of Contents</w:t>
      </w:r>
      <w:r>
        <w:t xml:space="preserve">    </w:t>
      </w:r>
      <w:r>
        <w:rPr>
          <w:b/>
        </w:rPr>
        <w:t xml:space="preserve">Pub date: </w:t>
      </w:r>
      <w:r>
        <w:t>2026-04-07 08:56:30+00:00</w:t>
      </w:r>
      <w:r>
        <w:t xml:space="preserve">    </w:t>
      </w:r>
      <w:r>
        <w:rPr>
          <w:b/>
        </w:rPr>
        <w:t xml:space="preserve">DOI: </w:t>
      </w:r>
      <w:hyperlink r:id="rId129">
        <w:r>
          <w:rPr>
            <w:color w:val="1155CC"/>
            <w:u w:val="single"/>
          </w:rPr>
          <w:t>10.1002/anie.4185228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甲醇水溶液重整反应（APRM）提供了一种绿色清洁的氢气生产途径，其中高效催化剂的结构设计和制备仍然是一个挑战。在此，我们报道了一种负载在多孔羟基氧化镧上的铂催化剂，该催化剂通过甘氨酸燃烧法制备，然后进行还原处理。优化的0.8%Pt/La催化剂，其特征是Pt单原子分散在La</w:t>
      </w:r>
      <w:r>
        <w:rPr>
          <w:vertAlign w:val="subscript"/>
        </w:rPr>
        <w:t>2</w:t>
      </w:r>
      <w:r>
        <w:t>(OH)</w:t>
      </w:r>
      <w:r>
        <w:rPr>
          <w:vertAlign w:val="subscript"/>
        </w:rPr>
        <w:t>2</w:t>
      </w:r>
      <w:r>
        <w:t xml:space="preserve"> </w:t>
      </w:r>
      <w:r>
        <w:t>x</w:t>
      </w:r>
      <w:r>
        <w:t xml:space="preserve"> </w:t>
      </w:r>
      <w:r>
        <w:t>O</w:t>
      </w:r>
      <w:r>
        <w:t xml:space="preserve"> </w:t>
      </w:r>
      <w:r>
        <w:t>3‐2</w:t>
      </w:r>
      <w:r>
        <w:t xml:space="preserve"> </w:t>
      </w:r>
      <w:r>
        <w:t>x</w:t>
      </w:r>
      <w:r>
        <w:t xml:space="preserve"> </w:t>
      </w:r>
      <w:r>
        <w:t>载体上，表现出非凡的</w:t>
      </w:r>
    </w:p>
    <w:p>
      <w:pPr>
        <w:spacing w:before="0" w:after="200" w:lineRule="auto" w:line="276"/>
      </w:pPr>
      <w:r>
        <w:rPr>
          <w:b/>
        </w:rPr>
        <w:t xml:space="preserve">Abstract (EN): </w:t>
      </w:r>
      <w:r>
        <w:t>Methanol aqueous reforming reaction (APRM) provides a green and clean route towards hydrogen production, in which the structure design and preparation of efficient catalysts remains a challenge. Herein, we report a platinum catalyst supported on the porous hydroxyl lanthanum oxide, which is prepared via glycine combustion method followed by a reduction process. The optimized 0.8%Pt/La catalyst, which is featured by Pt single‐atom dispersed on a La</w:t>
      </w:r>
      <w:r>
        <w:rPr>
          <w:vertAlign w:val="subscript"/>
        </w:rPr>
        <w:t>2</w:t>
      </w:r>
      <w:r>
        <w:t>(OH)</w:t>
      </w:r>
      <w:r>
        <w:rPr>
          <w:vertAlign w:val="subscript"/>
        </w:rPr>
        <w:t>2</w:t>
      </w:r>
      <w:r>
        <w:t xml:space="preserve"> </w:t>
      </w:r>
      <w:r>
        <w:t>x</w:t>
      </w:r>
      <w:r>
        <w:t xml:space="preserve"> </w:t>
      </w:r>
      <w:r>
        <w:t>O</w:t>
      </w:r>
      <w:r>
        <w:t xml:space="preserve"> </w:t>
      </w:r>
      <w:r>
        <w:t>3‐2</w:t>
      </w:r>
      <w:r>
        <w:t xml:space="preserve"> </w:t>
      </w:r>
      <w:r>
        <w:t>x</w:t>
      </w:r>
      <w:r>
        <w:t xml:space="preserve"> </w:t>
      </w:r>
      <w:r>
        <w:t>support, exhibits an extraordinary catalytic performance towards APRM. A H</w:t>
      </w:r>
      <w:r>
        <w:rPr>
          <w:vertAlign w:val="subscript"/>
        </w:rPr>
        <w:t>2</w:t>
      </w:r>
      <w:r>
        <w:t>production rate of 7672 µmol</w:t>
      </w:r>
      <w:r>
        <w:t xml:space="preserve"> </w:t>
      </w:r>
      <w:r>
        <w:t>H2</w:t>
      </w:r>
      <w:r>
        <w:t xml:space="preserve"> </w:t>
      </w:r>
      <w:r>
        <w:t>g</w:t>
      </w:r>
      <w:r>
        <w:t xml:space="preserve"> </w:t>
      </w:r>
      <w:r>
        <w:t>cat</w:t>
      </w:r>
      <w:r>
        <w:t xml:space="preserve"> </w:t>
      </w:r>
      <w:r>
        <w:t>−1</w:t>
      </w:r>
      <w:r>
        <w:t xml:space="preserve"> </w:t>
      </w:r>
      <w:r>
        <w:t>min</w:t>
      </w:r>
      <w:r>
        <w:t xml:space="preserve"> </w:t>
      </w:r>
      <w:r>
        <w:t>−1</w:t>
      </w:r>
      <w:r>
        <w:t xml:space="preserve"> </w:t>
      </w:r>
      <w:r>
        <w:t>and an average turnover frequency (ATOF) of 11973 h</w:t>
      </w:r>
      <w:r>
        <w:t xml:space="preserve"> </w:t>
      </w:r>
      <w:r>
        <w:t>‒1</w:t>
      </w:r>
      <w:r>
        <w:t xml:space="preserve"> </w:t>
      </w:r>
      <w:r>
        <w:t>are obtained, which is preponderant to the state‐of‐the‐art catalysts. An in‐depth investigation based on kinetic isotope analysis, in situ spectroscopy characterizations and theoretical calculations substantiates that Pt single atom coordinated with adjacent lattice hydroxyl (OH</w:t>
      </w:r>
      <w:r>
        <w:t xml:space="preserve"> </w:t>
      </w:r>
      <w:r>
        <w:t>L</w:t>
      </w:r>
      <w:r>
        <w:t xml:space="preserve"> </w:t>
      </w:r>
      <w:r>
        <w:t>) with electron transfer from Pt to support serves as the intrinsic active site, in which the Pt</w:t>
      </w:r>
      <w:r>
        <w:t xml:space="preserve"> </w:t>
      </w:r>
      <w:r>
        <w:t>δ</w:t>
      </w:r>
      <w:r>
        <w:t xml:space="preserve"> </w:t>
      </w:r>
      <w:r>
        <w:t>+</w:t>
      </w:r>
      <w:r>
        <w:t xml:space="preserve"> </w:t>
      </w:r>
      <w:r>
        <w:t>site promotes the dehydrogenation of methoxyl whilst lattice hydroxyl directly participates in the oxidative coupling process (CH</w:t>
      </w:r>
      <w:r>
        <w:rPr>
          <w:vertAlign w:val="subscript"/>
        </w:rPr>
        <w:t>2</w:t>
      </w:r>
      <w:r>
        <w:t>O* + OH</w:t>
      </w:r>
      <w:r>
        <w:t xml:space="preserve"> </w:t>
      </w:r>
      <w:r>
        <w:t>L</w:t>
      </w:r>
      <w:r>
        <w:t xml:space="preserve"> </w:t>
      </w:r>
      <w:r>
        <w:t>→ CH</w:t>
      </w:r>
      <w:r>
        <w:rPr>
          <w:vertAlign w:val="subscript"/>
        </w:rPr>
        <w:t>2</w:t>
      </w:r>
      <w:r>
        <w:t>OOH*). Furthermore, the Pt</w:t>
      </w:r>
      <w:r>
        <w:t xml:space="preserve"> </w:t>
      </w:r>
      <w:r>
        <w:t>δ</w:t>
      </w:r>
      <w:r>
        <w:t xml:space="preserve"> </w:t>
      </w:r>
      <w:r>
        <w:t>+</w:t>
      </w:r>
      <w:r>
        <w:t xml:space="preserve"> </w:t>
      </w:r>
      <w:r>
        <w:t>−(OH</w:t>
      </w:r>
      <w:r>
        <w:t xml:space="preserve"> </w:t>
      </w:r>
      <w:r>
        <w:t>L</w:t>
      </w:r>
      <w:r>
        <w:t xml:space="preserve"> </w:t>
      </w:r>
      <w:r>
        <w:t>)</w:t>
      </w:r>
      <w:r>
        <w:t xml:space="preserve"> </w:t>
      </w:r>
      <w:r>
        <w:t>x</w:t>
      </w:r>
      <w:r>
        <w:t xml:space="preserve"> </w:t>
      </w:r>
      <w:r>
        <w:t>−La interface sites can remarkably reduce the energy barrier of CH</w:t>
      </w:r>
      <w:r>
        <w:rPr>
          <w:vertAlign w:val="subscript"/>
        </w:rPr>
        <w:t>2</w:t>
      </w:r>
      <w:r>
        <w:t>OOH* dehydrogenation (rate‐determining step), and the resulting hydroxyl vacancies can boost H</w:t>
      </w:r>
      <w:r>
        <w:rPr>
          <w:vertAlign w:val="subscript"/>
        </w:rPr>
        <w:t>2</w:t>
      </w:r>
      <w:r>
        <w:t>O dissociation to recover consumed OH</w:t>
      </w:r>
      <w:r>
        <w:t xml:space="preserve"> </w:t>
      </w:r>
      <w:r>
        <w:t>L</w:t>
      </w:r>
      <w:r>
        <w:t xml:space="preserve"> </w:t>
      </w:r>
      <w:r>
        <w:t>, accounting for the exceptional catalytic performance.</w:t>
      </w:r>
    </w:p>
    <w:p>
      <w:pPr>
        <w:spacing w:before="120" w:after="120"/>
      </w:pPr>
      <w:r>
        <w:rPr>
          <w:sz w:val="18"/>
        </w:rPr>
        <w:t>——————————————————————————————————————————————————————————————————————</w:t>
      </w:r>
    </w:p>
    <w:p>
      <w:pPr>
        <w:spacing w:before="160" w:after="40" w:line="240" w:lineRule="auto"/>
      </w:pPr>
      <w:r>
        <w:rPr>
          <w:b/>
        </w:rPr>
        <w:t xml:space="preserve">[15] </w:t>
      </w:r>
      <w:hyperlink r:id="rId130">
        <w:r>
          <w:rPr>
            <w:color w:val="1155CC"/>
            <w:u w:val="single"/>
          </w:rPr>
          <w:t>解决阴离子交换膜燃料电池中二氧化碳的挑战</w:t>
        </w:r>
      </w:hyperlink>
    </w:p>
    <w:p>
      <w:pPr>
        <w:spacing w:before="0" w:after="80"/>
      </w:pPr>
      <w:r>
        <w:rPr>
          <w:i/>
          <w:sz w:val="20"/>
        </w:rPr>
        <w:t>EN: Addressing the challenge of carbon dioxide in anion-exchange membrane fuel cells</w:t>
      </w:r>
    </w:p>
    <w:p>
      <w:pPr>
        <w:spacing w:before="0" w:after="120"/>
      </w:pPr>
      <w:r>
        <w:rPr>
          <w:b/>
        </w:rPr>
        <w:t xml:space="preserve">Source: </w:t>
      </w:r>
      <w:r>
        <w:t>Nature Energy</w:t>
      </w:r>
      <w:r>
        <w:t xml:space="preserve">    </w:t>
      </w:r>
      <w:r>
        <w:rPr>
          <w:b/>
        </w:rPr>
        <w:t xml:space="preserve">Pub date: </w:t>
      </w:r>
      <w:r>
        <w:t>2026-04-08 00:00:00+00:00</w:t>
      </w:r>
      <w:r>
        <w:t xml:space="preserve">    </w:t>
      </w:r>
      <w:r>
        <w:rPr>
          <w:b/>
        </w:rPr>
        <w:t xml:space="preserve">DOI: </w:t>
      </w:r>
      <w:hyperlink r:id="rId131">
        <w:r>
          <w:rPr>
            <w:color w:val="1155CC"/>
            <w:u w:val="single"/>
          </w:rPr>
          <w:t>10.1038/s41560-026-01999-7</w:t>
        </w:r>
      </w:hyperlink>
    </w:p>
    <w:p>
      <w:pPr>
        <w:spacing w:before="0" w:after="120"/>
      </w:pPr>
      <w:r>
        <w:rPr>
          <w:b/>
        </w:rPr>
        <w:t xml:space="preserve">Notes: </w:t>
      </w:r>
      <w:r>
        <w:t>abstract_source=nature_html</w:t>
      </w:r>
    </w:p>
    <w:p>
      <w:pPr>
        <w:spacing w:before="0" w:after="80" w:lineRule="auto" w:line="276"/>
      </w:pPr>
      <w:r>
        <w:rPr>
          <w:b/>
        </w:rPr>
        <w:t xml:space="preserve">摘要（ZH）: </w:t>
      </w:r>
      <w:r>
        <w:t>使用含CO2的环境空气进料操作阴离子交换膜燃料电池（AEMFCs）通常被视为一个困难的挑战，对电池性能有害，因为CO2与在阴极产生的氢氧根离子反应，形成（碳酸氢）碳酸盐离子，降低AEM的离子电导率。在这篇观点文章中，我们讨论了CO2在操作中的AEMFCs中的影响，这涉及多阴离子传输、浓度极化、反扩散、水分布变化、阳离子稳定性和局部pH变化的复杂相互作用。我们认为CO2的负面影响可以被管理以最小化，甚至可以加以利用。我们引入了两个概念：CO2管理和CO2的正稳定效应。第一个类似于水管理效应，重新</w:t>
      </w:r>
    </w:p>
    <w:p>
      <w:pPr>
        <w:spacing w:before="0" w:after="200" w:lineRule="auto" w:line="276"/>
      </w:pPr>
      <w:r>
        <w:rPr>
          <w:b/>
        </w:rPr>
        <w:t xml:space="preserve">Abstract (EN): </w:t>
      </w:r>
      <w:r>
        <w:t>Operating anion-exchange membrane fuel cells (AEMFCs) with CO2-containing ambient-air feed is conventionally seen as a difficult challenge detrimental to cell performance, because CO2 reacts with hydroxide ions generated at the cathode, forming (bi)carbonate ions that reduce AEM ionic conductivity. In this Perspective, we discuss the effect of CO2 in operando AEMFCs, which involves a complex interplay of multi-anion transport, concentration polarization, back-diffusion, changes in water distribution, cation stability and variations in local pH. We argue that the negative effects of CO2 may be managed to minimize them, and even exploited to advantage. We introduce two concepts: CO2 management and the positive stabilizing effect of CO2. The first, analogous to the water-management effect, relates to phenomena and strategies to balance, transport and utilize CO2-related species to enhance AEMFC performance. The second, although counterintuitive, relates to the potentially positive effects that CO2 may impart to ambient-air cell operation, in particular towards improving long-term performance stability.</w:t>
      </w:r>
    </w:p>
    <w:p>
      <w:pPr>
        <w:spacing w:before="120" w:after="120"/>
      </w:pPr>
      <w:r>
        <w:rPr>
          <w:sz w:val="18"/>
        </w:rPr>
        <w:t>——————————————————————————————————————————————————————————————————————</w:t>
      </w:r>
    </w:p>
    <w:p>
      <w:pPr>
        <w:spacing w:before="160" w:after="40" w:line="240" w:lineRule="auto"/>
      </w:pPr>
      <w:r>
        <w:rPr>
          <w:b/>
        </w:rPr>
        <w:t xml:space="preserve">[16] </w:t>
      </w:r>
      <w:hyperlink r:id="rId132">
        <w:r>
          <w:rPr>
            <w:color w:val="1155CC"/>
            <w:u w:val="single"/>
          </w:rPr>
          <w:t>数据驱动的直接氨固体氧化物燃料电池性能和热稳定性多目标优化</w:t>
        </w:r>
      </w:hyperlink>
    </w:p>
    <w:p>
      <w:pPr>
        <w:spacing w:before="0" w:after="80"/>
      </w:pPr>
      <w:r>
        <w:rPr>
          <w:i/>
          <w:sz w:val="20"/>
        </w:rPr>
        <w:t>EN: Data-driven multi-objective optimization of performance and thermal stability in direct ammonia solid oxide fuel cells</w:t>
      </w:r>
    </w:p>
    <w:p>
      <w:pPr>
        <w:spacing w:before="0" w:after="120"/>
      </w:pPr>
      <w:r>
        <w:rPr>
          <w:b/>
        </w:rPr>
        <w:t xml:space="preserve">Source: </w:t>
      </w:r>
      <w:r>
        <w:t>ScienceDirect Publication: Applied Energy</w:t>
      </w:r>
      <w:r>
        <w:t xml:space="preserve">    </w:t>
      </w:r>
      <w:r>
        <w:rPr>
          <w:b/>
        </w:rPr>
        <w:t xml:space="preserve">Pub date: </w:t>
      </w:r>
      <w:r>
        <w:t>2026-04-08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 </w:t>
      </w:r>
      <w:hyperlink r:id="rId133">
        <w:r>
          <w:rPr>
            <w:color w:val="1155CC"/>
            <w:u w:val="single"/>
          </w:rPr>
          <w:t>通过双溢出介导的高效电催化硝酸盐还原为氨在Co掺杂的Sr2CuWO6双钙钛矿上</w:t>
        </w:r>
      </w:hyperlink>
    </w:p>
    <w:p>
      <w:pPr>
        <w:spacing w:before="0" w:after="80"/>
      </w:pPr>
      <w:r>
        <w:rPr>
          <w:i/>
          <w:sz w:val="20"/>
        </w:rPr>
        <w:t>EN: Dual–Spillover Mediated Highly Efficient Electrocatalytic Nitrate Reduction to Ammonia Over Co–Doped Sr2CuWO6 Double Perovskite</w:t>
      </w:r>
    </w:p>
    <w:p>
      <w:pPr>
        <w:spacing w:before="0" w:after="120"/>
      </w:pPr>
      <w:r>
        <w:rPr>
          <w:b/>
        </w:rPr>
        <w:t xml:space="preserve">Source: </w:t>
      </w:r>
      <w:r>
        <w:t>Wiley: Advanced Energy Materials: Table of Contents</w:t>
      </w:r>
      <w:r>
        <w:t xml:space="preserve">    </w:t>
      </w:r>
      <w:r>
        <w:rPr>
          <w:b/>
        </w:rPr>
        <w:t xml:space="preserve">Pub date: </w:t>
      </w:r>
      <w:r>
        <w:t>2026-04-08 07:36:43+00:00</w:t>
      </w:r>
      <w:r>
        <w:t xml:space="preserve">    </w:t>
      </w:r>
      <w:r>
        <w:rPr>
          <w:b/>
        </w:rPr>
        <w:t xml:space="preserve">DOI: </w:t>
      </w:r>
      <w:hyperlink r:id="rId134">
        <w:r>
          <w:rPr>
            <w:color w:val="1155CC"/>
            <w:u w:val="single"/>
          </w:rPr>
          <w:t>10.1002/aenm.70928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电催化硝酸盐还原反应（NO</w:t>
      </w:r>
      <w:r>
        <w:rPr>
          <w:vertAlign w:val="subscript"/>
        </w:rPr>
        <w:t>3</w:t>
      </w:r>
      <w:r>
        <w:t>RR）提供了一条绿色途径，同时减轻硝酸盐污染并解决哈伯–博世氨（NH</w:t>
      </w:r>
      <w:r>
        <w:rPr>
          <w:vertAlign w:val="subscript"/>
        </w:rPr>
        <w:t>3</w:t>
      </w:r>
      <w:r>
        <w:t>）合成的不可持续性。然而，高性能NO</w:t>
      </w:r>
      <w:r>
        <w:rPr>
          <w:vertAlign w:val="subscript"/>
        </w:rPr>
        <w:t>3</w:t>
      </w:r>
      <w:r>
        <w:t>RR催化剂的开发受到不适当的活性位点间距、功能协同不足和缓慢的多质子耦合多电子转移动力学的困扰。在此，我们设计了Co掺杂的Sr</w:t>
      </w:r>
      <w:r>
        <w:rPr>
          <w:vertAlign w:val="subscript"/>
        </w:rPr>
        <w:t>2</w:t>
      </w:r>
      <w:r>
        <w:t>CuWO</w:t>
      </w:r>
      <w:r>
        <w:rPr>
          <w:vertAlign w:val="subscript"/>
        </w:rPr>
        <w:t>6</w:t>
      </w:r>
      <w:r>
        <w:t>双钙钛矿催化剂，以优化活性位点间距并构建功能互补的活性</w:t>
      </w:r>
    </w:p>
    <w:p>
      <w:pPr>
        <w:spacing w:before="0" w:after="200" w:lineRule="auto" w:line="276"/>
      </w:pPr>
      <w:r>
        <w:rPr>
          <w:b/>
        </w:rPr>
        <w:t xml:space="preserve">Abstract (EN): </w:t>
      </w:r>
      <w:r>
        <w:t>Electrocatalytic nitrate reduction reaction (NO</w:t>
      </w:r>
      <w:r>
        <w:rPr>
          <w:vertAlign w:val="subscript"/>
        </w:rPr>
        <w:t>3</w:t>
      </w:r>
      <w:r>
        <w:t>RR) provides a green route to concurrently mitigate nitrate pollution and address the unsustainability of Haber–Bosch ammonia (NH</w:t>
      </w:r>
      <w:r>
        <w:rPr>
          <w:vertAlign w:val="subscript"/>
        </w:rPr>
        <w:t>3</w:t>
      </w:r>
      <w:r>
        <w:t>) synthesis. However, the development of high–performance NO</w:t>
      </w:r>
      <w:r>
        <w:rPr>
          <w:vertAlign w:val="subscript"/>
        </w:rPr>
        <w:t>3</w:t>
      </w:r>
      <w:r>
        <w:t>RR catalysts is plagued by inappropriate active site spacing, insufficient functional synergy, and sluggish multi–proton–coupled multi–electron transfer kinetics. Herein, we design Co–doped Sr</w:t>
      </w:r>
      <w:r>
        <w:rPr>
          <w:vertAlign w:val="subscript"/>
        </w:rPr>
        <w:t>2</w:t>
      </w:r>
      <w:r>
        <w:t>CuWO</w:t>
      </w:r>
      <w:r>
        <w:rPr>
          <w:vertAlign w:val="subscript"/>
        </w:rPr>
        <w:t>6</w:t>
      </w:r>
      <w:r>
        <w:t>double perovskite catalysts to optimize active site spacing and construct functionally complementary active sites for efficient NO</w:t>
      </w:r>
      <w:r>
        <w:rPr>
          <w:vertAlign w:val="subscript"/>
        </w:rPr>
        <w:t>3</w:t>
      </w:r>
      <w:r>
        <w:t>RR. Experimental and theoretical results reveal a synergistic dual–spillover mechanism: the dominant NO</w:t>
      </w:r>
      <w:r>
        <w:rPr>
          <w:vertAlign w:val="subscript"/>
        </w:rPr>
        <w:t>3</w:t>
      </w:r>
      <w:r>
        <w:t>−</w:t>
      </w:r>
      <w:r>
        <w:t>adsorption and initial activation (NO</w:t>
      </w:r>
      <w:r>
        <w:rPr>
          <w:vertAlign w:val="subscript"/>
        </w:rPr>
        <w:t>3</w:t>
      </w:r>
      <w:r>
        <w:t>−</w:t>
      </w:r>
      <w:r>
        <w:t>→NO</w:t>
      </w:r>
      <w:r>
        <w:rPr>
          <w:vertAlign w:val="subscript"/>
        </w:rPr>
        <w:t>2</w:t>
      </w:r>
      <w:r>
        <w:t>−</w:t>
      </w:r>
      <w:r>
        <w:t>) on Cu sites are promoted by active hydrogen (</w:t>
      </w:r>
      <w:r>
        <w:t xml:space="preserve"> </w:t>
      </w:r>
      <w:r>
        <w:t>*</w:t>
      </w:r>
      <w:r>
        <w:t xml:space="preserve"> </w:t>
      </w:r>
      <w:r>
        <w:t>H) from water dissociation on Co sites via hydrogen spillover, whereas the generated</w:t>
      </w:r>
      <w:r>
        <w:t xml:space="preserve"> </w:t>
      </w:r>
      <w:r>
        <w:t>*</w:t>
      </w:r>
      <w:r>
        <w:t xml:space="preserve"> </w:t>
      </w:r>
      <w:r>
        <w:t>NO</w:t>
      </w:r>
      <w:r>
        <w:rPr>
          <w:vertAlign w:val="subscript"/>
        </w:rPr>
        <w:t>2</w:t>
      </w:r>
      <w:r>
        <w:t>intermediates from Cu sites diffuse to Co sites via intermediate spillover for further hydrogenation to NH</w:t>
      </w:r>
      <w:r>
        <w:rPr>
          <w:vertAlign w:val="subscript"/>
        </w:rPr>
        <w:t>3</w:t>
      </w:r>
      <w:r>
        <w:t>due to the enhanced</w:t>
      </w:r>
      <w:r>
        <w:t xml:space="preserve"> </w:t>
      </w:r>
      <w:r>
        <w:t>*</w:t>
      </w:r>
      <w:r>
        <w:t xml:space="preserve"> </w:t>
      </w:r>
      <w:r>
        <w:t>NO</w:t>
      </w:r>
      <w:r>
        <w:rPr>
          <w:vertAlign w:val="subscript"/>
        </w:rPr>
        <w:t>2</w:t>
      </w:r>
      <w:r>
        <w:t>adsorption on Co sites. As expected, the optimal Sr</w:t>
      </w:r>
      <w:r>
        <w:rPr>
          <w:vertAlign w:val="subscript"/>
        </w:rPr>
        <w:t>2</w:t>
      </w:r>
      <w:r>
        <w:t>Cu</w:t>
      </w:r>
      <w:r>
        <w:t xml:space="preserve"> </w:t>
      </w:r>
      <w:r>
        <w:t>0.7</w:t>
      </w:r>
      <w:r>
        <w:t xml:space="preserve"> </w:t>
      </w:r>
      <w:r>
        <w:t>Co</w:t>
      </w:r>
      <w:r>
        <w:t xml:space="preserve"> </w:t>
      </w:r>
      <w:r>
        <w:t>0.3</w:t>
      </w:r>
      <w:r>
        <w:t xml:space="preserve"> </w:t>
      </w:r>
      <w:r>
        <w:t>WO</w:t>
      </w:r>
      <w:r>
        <w:rPr>
          <w:vertAlign w:val="subscript"/>
        </w:rPr>
        <w:t>6</w:t>
      </w:r>
      <w:r>
        <w:t>achieves an exceptional NH</w:t>
      </w:r>
      <w:r>
        <w:rPr>
          <w:vertAlign w:val="subscript"/>
        </w:rPr>
        <w:t>3</w:t>
      </w:r>
      <w:r>
        <w:t>yield rate of 47.2 mg h</w:t>
      </w:r>
      <w:r>
        <w:t xml:space="preserve"> </w:t>
      </w:r>
      <w:r>
        <w:t>−</w:t>
      </w:r>
      <w:r>
        <w:rPr>
          <w:vertAlign w:val="subscript"/>
        </w:rPr>
        <w:t>1</w:t>
      </w:r>
      <w:r>
        <w:t>mg</w:t>
      </w:r>
      <w:r>
        <w:t xml:space="preserve"> </w:t>
      </w:r>
      <w:r>
        <w:t>cat</w:t>
      </w:r>
      <w:r>
        <w:t xml:space="preserve"> </w:t>
      </w:r>
      <w:r>
        <w:t>−1</w:t>
      </w:r>
      <w:r>
        <w:t xml:space="preserve"> </w:t>
      </w:r>
      <w:r>
        <w:t>with a Faradaic efficiency (FE) of 93 % at −0.7 V (vs. RHE). This work establishes a rational cation doping strategy for constructing functionally complementary active sites in double perovskites, shedding light on the structure–activity relationship and guiding the design of advanced NO</w:t>
      </w:r>
      <w:r>
        <w:rPr>
          <w:vertAlign w:val="subscript"/>
        </w:rPr>
        <w:t>3</w:t>
      </w:r>
      <w:r>
        <w:t>RR catalysts for sustainable NH</w:t>
      </w:r>
      <w:r>
        <w:rPr>
          <w:vertAlign w:val="subscript"/>
        </w:rPr>
        <w:t>3</w:t>
      </w:r>
      <w:r>
        <w:t>synthesis and nitrate remediation.</w:t>
      </w:r>
    </w:p>
    <w:p>
      <w:pPr>
        <w:spacing w:before="120" w:after="120"/>
      </w:pPr>
      <w:r>
        <w:rPr>
          <w:sz w:val="18"/>
        </w:rPr>
        <w:t>——————————————————————————————————————————————————————————————————————</w:t>
      </w:r>
    </w:p>
    <w:p>
      <w:pPr>
        <w:spacing w:before="160" w:after="40" w:line="240" w:lineRule="auto"/>
      </w:pPr>
      <w:r>
        <w:rPr>
          <w:b/>
        </w:rPr>
        <w:t xml:space="preserve">[18] </w:t>
      </w:r>
      <w:hyperlink r:id="rId135">
        <w:r>
          <w:rPr>
            <w:color w:val="1155CC"/>
            <w:u w:val="single"/>
          </w:rPr>
          <w:t>离子方酸共价有机框架的质子化与双重增强内建电场用于高效光催化产氢</w:t>
        </w:r>
      </w:hyperlink>
    </w:p>
    <w:p>
      <w:pPr>
        <w:spacing w:before="0" w:after="80"/>
      </w:pPr>
      <w:r>
        <w:rPr>
          <w:i/>
          <w:sz w:val="20"/>
        </w:rPr>
        <w:t>EN: Protonation of Ionic Squaraine Covalent Organic Frameworks With Double Reinforced Built‐In Electrical Field for Efficient Photocatalytic Hydrogen Evolution</w:t>
      </w:r>
    </w:p>
    <w:p>
      <w:pPr>
        <w:spacing w:before="0" w:after="120"/>
      </w:pPr>
      <w:r>
        <w:rPr>
          <w:b/>
        </w:rPr>
        <w:t xml:space="preserve">Source: </w:t>
      </w:r>
      <w:r>
        <w:t>Wiley: Advanced Energy Materials: Table of Contents</w:t>
      </w:r>
      <w:r>
        <w:t xml:space="preserve">    </w:t>
      </w:r>
      <w:r>
        <w:rPr>
          <w:b/>
        </w:rPr>
        <w:t xml:space="preserve">Pub date: </w:t>
      </w:r>
      <w:r>
        <w:t>2026-04-08 07:40:28+00:00</w:t>
      </w:r>
      <w:r>
        <w:t xml:space="preserve">    </w:t>
      </w:r>
      <w:r>
        <w:rPr>
          <w:b/>
        </w:rPr>
        <w:t xml:space="preserve">DOI: </w:t>
      </w:r>
      <w:hyperlink r:id="rId136">
        <w:r>
          <w:rPr>
            <w:color w:val="1155CC"/>
            <w:u w:val="single"/>
          </w:rPr>
          <w:t>10.1002/aenm.70917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电荷分离和迁移效率低严重限制了二维共价有机框架（2D COFs）在将太阳能转化为各种化学品中的实际应用。为了解决这个问题，设计并开发了一种离子构建块，方酸四醛（SQ-4CHO），用于制造二维亚胺</w:t>
      </w:r>
      <w:r>
        <w:t xml:space="preserve"> </w:t>
      </w:r>
      <w:r>
        <w:t>kgm</w:t>
      </w:r>
      <w:r>
        <w:t xml:space="preserve"> </w:t>
      </w:r>
      <w:r>
        <w:t>COFs。离子方酸单元的极化效应和COFs的质子化亚胺键诱导了双重增强的内建电场的产生，从而实现了高效的电荷分离和迁移。除了调节光吸收能力外，这两个离子位点使COFs具有优良的亲水性，降低的激子结合</w:t>
      </w:r>
    </w:p>
    <w:p>
      <w:pPr>
        <w:spacing w:before="0" w:after="200" w:lineRule="auto" w:line="276"/>
      </w:pPr>
      <w:r>
        <w:rPr>
          <w:b/>
        </w:rPr>
        <w:t xml:space="preserve">Abstract (EN): </w:t>
      </w:r>
      <w:r>
        <w:t>Low efficiency of charge separation and migration seriously restrain the practical application of 2D covalent organic frameworks (2D COFs) in the conversion of solar energy into various chemicals. To address this issue, an ionic building block, squaraine tetraaldehyde (SQ‐4CHO), has been designed and developed for fabricating 2D imine</w:t>
      </w:r>
      <w:r>
        <w:t xml:space="preserve"> </w:t>
      </w:r>
      <w:r>
        <w:t>kgm</w:t>
      </w:r>
      <w:r>
        <w:t xml:space="preserve"> </w:t>
      </w:r>
      <w:r>
        <w:t>COFs. The polarization effect from ionic squaraine units and the protonated imine bonds of COFs induces the generation of double‐reinforced built‐in electrical field and thus the efficient charge separation and migration. In addition to the modulation of light absorption capability, these two ionic sites make COFs with excellent hydrophilicity, reduced exciton binding energy, and the photo‐induced charge transfer from squaraine to protonated imine for the hydrogen evolution according to the in situ X‐ray Photoelectron Spectroscopy (XPS) and theoretical investigations. In particular, USTB‐63 exhibits an impressive hydrogen evolution reaction (HER) rate as high as 66.8 mmol g</w:t>
      </w:r>
      <w:r>
        <w:t xml:space="preserve"> </w:t>
      </w:r>
      <w:r>
        <w:t>−1</w:t>
      </w:r>
      <w:r>
        <w:t xml:space="preserve"> </w:t>
      </w:r>
      <w:r>
        <w:t>h</w:t>
      </w:r>
      <w:r>
        <w:t xml:space="preserve"> </w:t>
      </w:r>
      <w:r>
        <w:t>−1</w:t>
      </w:r>
      <w:r>
        <w:t xml:space="preserve"> </w:t>
      </w:r>
      <w:r>
        <w:t>with the help of a 3 wt.% Pt cocatalyst under visible light illumination. The present results open a new gate to establish the high‐performance HER photocatalysts by introducing the multiple ionic sites to enhance the charge separation efficiency.</w:t>
      </w:r>
    </w:p>
    <w:p>
      <w:pPr>
        <w:spacing w:before="120" w:after="120"/>
      </w:pPr>
      <w:r>
        <w:rPr>
          <w:sz w:val="18"/>
        </w:rPr>
        <w:t>——————————————————————————————————————————————————————————————————————</w:t>
      </w:r>
    </w:p>
    <w:p>
      <w:pPr>
        <w:spacing w:before="160" w:after="40" w:line="240" w:lineRule="auto"/>
      </w:pPr>
      <w:r>
        <w:rPr>
          <w:b/>
        </w:rPr>
        <w:t xml:space="preserve">[19] </w:t>
      </w:r>
      <w:hyperlink r:id="rId137">
        <w:r>
          <w:rPr>
            <w:color w:val="1155CC"/>
            <w:u w:val="single"/>
          </w:rPr>
          <w:t>从微观机制到直接海水电解的宏观工程</w:t>
        </w:r>
      </w:hyperlink>
    </w:p>
    <w:p>
      <w:pPr>
        <w:spacing w:before="0" w:after="80"/>
      </w:pPr>
      <w:r>
        <w:rPr>
          <w:i/>
          <w:sz w:val="20"/>
        </w:rPr>
        <w:t>EN: From micromechanisms to macro-engineering in direct seawater electrolysis</w:t>
      </w:r>
    </w:p>
    <w:p>
      <w:pPr>
        <w:spacing w:before="0" w:after="120"/>
      </w:pPr>
      <w:r>
        <w:rPr>
          <w:b/>
        </w:rPr>
        <w:t xml:space="preserve">Source: </w:t>
      </w:r>
      <w:r>
        <w:t>Nature Reviews Clean Technology</w:t>
      </w:r>
      <w:r>
        <w:t xml:space="preserve">    </w:t>
      </w:r>
      <w:r>
        <w:rPr>
          <w:b/>
        </w:rPr>
        <w:t xml:space="preserve">Pub date: </w:t>
      </w:r>
      <w:r>
        <w:t>2026-04-09 00:00:00+00:00</w:t>
      </w:r>
      <w:r>
        <w:t xml:space="preserve">    </w:t>
      </w:r>
      <w:r>
        <w:rPr>
          <w:b/>
        </w:rPr>
        <w:t xml:space="preserve">DOI: </w:t>
      </w:r>
      <w:hyperlink r:id="rId138">
        <w:r>
          <w:rPr>
            <w:color w:val="1155CC"/>
            <w:u w:val="single"/>
          </w:rPr>
          <w:t>10.1038/s44359-026-00160-7</w:t>
        </w:r>
      </w:hyperlink>
    </w:p>
    <w:p>
      <w:pPr>
        <w:spacing w:before="0" w:after="120"/>
      </w:pPr>
      <w:r>
        <w:rPr>
          <w:b/>
        </w:rPr>
        <w:t xml:space="preserve">Notes: </w:t>
      </w:r>
      <w:r>
        <w:t>abstract_source=nature_html</w:t>
      </w:r>
    </w:p>
    <w:p>
      <w:pPr>
        <w:spacing w:before="0" w:after="80" w:lineRule="auto" w:line="276"/>
      </w:pPr>
      <w:r>
        <w:rPr>
          <w:b/>
        </w:rPr>
        <w:t xml:space="preserve">摘要（ZH）: </w:t>
      </w:r>
      <w:r>
        <w:t>直接海水电解可以利用海水和海上可再生能源生产氢气。然而，海水成分和动态的复杂性阻碍了从实验室规模突破到工业规模的过渡。在这篇展望中，我们考察了海水的静态和动态方面，并讨论了扩大直接海水电解的四个关键策略：电催化剂工程、非对称电解、孔径筛选和相变迁移。为了在工业电流密度（400 mA cm–2，持续10,000小时）和大规模氢气生产能力（386 l h–1，持续3,200小时）下实现长期稳定运行，挑战包括催化剂放大和性能维护、物质选择和非对称电解的成本、离子</w:t>
      </w:r>
    </w:p>
    <w:p>
      <w:pPr>
        <w:spacing w:before="0" w:after="200" w:lineRule="auto" w:line="276"/>
      </w:pPr>
      <w:r>
        <w:rPr>
          <w:b/>
        </w:rPr>
        <w:t xml:space="preserve">Abstract (EN): </w:t>
      </w:r>
      <w:r>
        <w:t>Direct seawater electrolysis can use seawater and offshore renewable energy to produce hydrogen. However, the complexity of the composition and dynamics of seawater has hindered the transition from laboratory-scale breakthroughs to industrial scale. In this Perspective, we examine static and dynamic aspects of seawater and discuss four key strategies for scaling direct seawater electrolysis: electrocatalyst engineering, asymmetric electrolysis, aperture screening and phase-transition migration. To achieve long-term stable operation at industrial current densities (400 mA cm–2 for 10,000 h) and large-scale hydrogen production capacity (386 l h–1 for 3,200 h), challenges such as catalyst scale-up and performance maintenance, substance selection and the cost of asymmetric electrolysis, ion penetration and concentration polarization of osmotic membranes, and the driving force of phase-transition migration and membrane fouling need to be addressed at the technical and system levels. Technologies should integrate ion blocking with optimization of catalysts and membrane materials to achieve efficient and stable seawater electrolysis. In addition, to bridge the laboratory-to-industry gap of direct seawater electrolysis, it is necessary to customize an assessment framework that covers system design, sensitive conditions analysis and real-world validation based on the real ocean conditions.</w:t>
      </w:r>
    </w:p>
    <w:p>
      <w:pPr>
        <w:spacing w:before="120" w:after="120"/>
      </w:pPr>
      <w:r>
        <w:rPr>
          <w:sz w:val="18"/>
        </w:rPr>
        <w:t>——————————————————————————————————————————————————————————————————————</w:t>
      </w:r>
    </w:p>
    <w:p>
      <w:pPr>
        <w:spacing w:before="160" w:after="120"/>
      </w:pPr>
      <w:r>
        <w:rPr>
          <w:b/>
          <w:sz w:val="28"/>
        </w:rPr>
        <w:t>【产业降碳】</w:t>
      </w:r>
    </w:p>
    <w:p>
      <w:pPr>
        <w:spacing w:before="160" w:after="40" w:line="240" w:lineRule="auto"/>
      </w:pPr>
      <w:r>
        <w:rPr>
          <w:b/>
        </w:rPr>
        <w:t xml:space="preserve">[1] </w:t>
      </w:r>
      <w:hyperlink r:id="rId139">
        <w:r>
          <w:rPr>
            <w:color w:val="1155CC"/>
            <w:u w:val="single"/>
          </w:rPr>
          <w:t>在正确的轨道上：脱碳欧洲铁路网络的成本最优选择</w:t>
        </w:r>
      </w:hyperlink>
    </w:p>
    <w:p>
      <w:pPr>
        <w:spacing w:before="0" w:after="80"/>
      </w:pPr>
      <w:r>
        <w:rPr>
          <w:i/>
          <w:sz w:val="20"/>
        </w:rPr>
        <w:t>EN: On the right track: Cost-optimal choices to decarbonize the European railway network</w:t>
      </w:r>
    </w:p>
    <w:p>
      <w:pPr>
        <w:spacing w:before="0" w:after="120"/>
      </w:pPr>
      <w:r>
        <w:rPr>
          <w:b/>
        </w:rPr>
        <w:t xml:space="preserve">Source: </w:t>
      </w:r>
      <w:r>
        <w:t>ScienceDirect Publication: Applied Energy</w:t>
      </w:r>
      <w:r>
        <w:t xml:space="preserve">    </w:t>
      </w:r>
      <w:r>
        <w:rPr>
          <w:b/>
        </w:rPr>
        <w:t xml:space="preserve">Pub date: </w:t>
      </w:r>
      <w:r>
        <w:t>2026-04-08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40">
        <w:r>
          <w:rPr>
            <w:color w:val="1155CC"/>
            <w:u w:val="single"/>
          </w:rPr>
          <w:t>基于测量的评估揭示了中国污水处理甲烷排放的关键驱动因素和减排潜力</w:t>
        </w:r>
      </w:hyperlink>
    </w:p>
    <w:p>
      <w:pPr>
        <w:spacing w:before="0" w:after="80"/>
      </w:pPr>
      <w:r>
        <w:rPr>
          <w:i/>
          <w:sz w:val="20"/>
        </w:rPr>
        <w:t>EN: Measurement-based assessment reveals key drivers and mitigation potential of methane emissions from China’s wastewater treatment</w:t>
      </w:r>
    </w:p>
    <w:p>
      <w:pPr>
        <w:spacing w:before="0" w:after="120"/>
      </w:pPr>
      <w:r>
        <w:rPr>
          <w:b/>
        </w:rPr>
        <w:t xml:space="preserve">Source: </w:t>
      </w:r>
      <w:r>
        <w:t>AAAS: Science Advances: Table of Contents</w:t>
      </w:r>
      <w:r>
        <w:t xml:space="preserve">    </w:t>
      </w:r>
      <w:r>
        <w:rPr>
          <w:b/>
        </w:rPr>
        <w:t xml:space="preserve">Pub date: </w:t>
      </w:r>
      <w:r>
        <w:t>2026-04-08 07:00:00+00:00</w:t>
      </w:r>
      <w:r>
        <w:t xml:space="preserve">    </w:t>
      </w:r>
      <w:r>
        <w:rPr>
          <w:b/>
        </w:rPr>
        <w:t xml:space="preserve">DOI: </w:t>
      </w:r>
      <w:hyperlink r:id="rId141">
        <w:r>
          <w:rPr>
            <w:color w:val="1155CC"/>
            <w:u w:val="single"/>
          </w:rPr>
          <w:t>10.1126/sciadv.aec0536</w:t>
        </w:r>
      </w:hyperlink>
    </w:p>
    <w:p>
      <w:pPr>
        <w:spacing w:before="0" w:after="120"/>
      </w:pPr>
      <w:r>
        <w:rPr>
          <w:b/>
        </w:rPr>
        <w:t xml:space="preserve">Notes: </w:t>
      </w:r>
      <w:r>
        <w:t>abstract_source=crossref</w:t>
      </w:r>
    </w:p>
    <w:p>
      <w:pPr>
        <w:spacing w:before="0" w:after="80" w:lineRule="auto" w:line="276"/>
      </w:pPr>
      <w:r>
        <w:rPr>
          <w:b/>
        </w:rPr>
        <w:t xml:space="preserve">摘要（ZH）: </w:t>
      </w:r>
      <w:r>
        <w:t>废水处理是人为甲烷（CH</w:t>
      </w:r>
      <w:r>
        <w:rPr>
          <w:vertAlign w:val="subscript"/>
        </w:rPr>
        <w:t>4</w:t>
      </w:r>
      <w:r>
        <w:t>）的一个日益重要但量化不足的来源。本文基于对中国五个气候经济区的105个废水处理厂（WWTPs）的大气测量，报告了设施级别的排放情况，这是迄今为止最大的数据集。我们发现排放因子主要由有机负荷和浓度驱动。使用更新的设施级排放因子，我们的分析显示，由于有机负荷的增加，自2003年以来，中国WWTP的排放量每年增长12%，到2023年达到254 ± 26 Gg CH</w:t>
      </w:r>
      <w:r>
        <w:rPr>
          <w:vertAlign w:val="subscript"/>
        </w:rPr>
        <w:t>4</w:t>
      </w:r>
      <w:r>
        <w:t>年</w:t>
      </w:r>
      <w:r>
        <w:t xml:space="preserve"> </w:t>
      </w:r>
      <w:r>
        <w:t>−1</w:t>
      </w:r>
      <w:r>
        <w:t xml:space="preserve"> </w:t>
      </w:r>
      <w:r>
        <w:t>。然而，WWTP的快速扩张降低了平均排放因子</w:t>
      </w:r>
    </w:p>
    <w:p>
      <w:pPr>
        <w:spacing w:before="0" w:after="200" w:lineRule="auto" w:line="276"/>
      </w:pPr>
      <w:r>
        <w:rPr>
          <w:b/>
        </w:rPr>
        <w:t xml:space="preserve">Abstract (EN): </w:t>
      </w:r>
      <w:r>
        <w:t>Wastewater treatment is an increasingly important yet poorly quantified source of anthropogenic methane (CH</w:t>
      </w:r>
      <w:r>
        <w:rPr>
          <w:vertAlign w:val="subscript"/>
        </w:rPr>
        <w:t>4</w:t>
      </w:r>
      <w:r>
        <w:t>). Here we report facility-level emissions based on atmospheric measurements from 105 wastewater treatment plants (WWTPs) across five climatic-economic regions in China—the largest dataset to date. We found that emission factors are primarily driven by organic load and concentration. Using updated facility-level emission factors, our analysis shows that emissions from Chinese WWTP, driven by rising organic loads, grew by 12% per year since 2003, reaching 254 ± 26 Gg CH</w:t>
      </w:r>
      <w:r>
        <w:rPr>
          <w:vertAlign w:val="subscript"/>
        </w:rPr>
        <w:t>4</w:t>
      </w:r>
      <w:r>
        <w:t>year</w:t>
      </w:r>
      <w:r>
        <w:t xml:space="preserve"> </w:t>
      </w:r>
      <w:r>
        <w:t>−1</w:t>
      </w:r>
      <w:r>
        <w:t xml:space="preserve"> </w:t>
      </w:r>
      <w:r>
        <w:t>in 2023. However, the rapid expansion of WWTPs lowered the average emission factor for the urban domestic wastewater sector, limiting total emissions growth to 32% over the same period. Scenario modeling suggests that, under current technology, emissions will peak around 2040. Deploying low-emission configurations and CH</w:t>
      </w:r>
      <w:r>
        <w:rPr>
          <w:vertAlign w:val="subscript"/>
        </w:rPr>
        <w:t>4</w:t>
      </w:r>
      <w:r>
        <w:t>recovery technologies could advance the peak by 15 years and reduce 2040 emissions by 23%. Incorporating such measures into China’s decarbonization strategy will be essential for achieving climate mitigation goals.</w:t>
      </w:r>
    </w:p>
    <w:p>
      <w:pPr>
        <w:spacing w:before="120" w:after="120"/>
      </w:pPr>
      <w:r>
        <w:rPr>
          <w:sz w:val="18"/>
        </w:rPr>
        <w:t>——————————————————————————————————————————————————————————————————————</w:t>
      </w:r>
    </w:p>
    <w:p>
      <w:pPr>
        <w:spacing w:before="160" w:after="40" w:line="240" w:lineRule="auto"/>
      </w:pPr>
      <w:r>
        <w:rPr>
          <w:b/>
        </w:rPr>
        <w:t xml:space="preserve">[3] </w:t>
      </w:r>
      <w:hyperlink r:id="rId142">
        <w:r>
          <w:rPr>
            <w:color w:val="1155CC"/>
            <w:u w:val="single"/>
          </w:rPr>
          <w:t>可再生合成原油以减缓碳排放和化石燃料依赖</w:t>
        </w:r>
      </w:hyperlink>
    </w:p>
    <w:p>
      <w:pPr>
        <w:spacing w:before="0" w:after="80"/>
      </w:pPr>
      <w:r>
        <w:rPr>
          <w:i/>
          <w:sz w:val="20"/>
        </w:rPr>
        <w:t>EN: Renewable synthetic crude oil to mitigate carbon emissions and fossil fuel dependency</w:t>
      </w:r>
    </w:p>
    <w:p>
      <w:pPr>
        <w:spacing w:before="0" w:after="120"/>
      </w:pPr>
      <w:r>
        <w:rPr>
          <w:b/>
        </w:rPr>
        <w:t xml:space="preserve">Source: </w:t>
      </w:r>
      <w:r>
        <w:t>RSC - Energy Environ. Sci. latest articles</w:t>
      </w:r>
      <w:r>
        <w:t xml:space="preserve">    </w:t>
      </w:r>
      <w:r>
        <w:rPr>
          <w:b/>
        </w:rPr>
        <w:t xml:space="preserve">Pub date: </w:t>
      </w:r>
      <w:r>
        <w:t>2026-04-08 23:00:00+00:00</w:t>
      </w:r>
    </w:p>
    <w:p>
      <w:pPr>
        <w:spacing w:before="0" w:after="120"/>
      </w:pPr>
      <w:r>
        <w:rPr>
          <w:b/>
        </w:rPr>
        <w:t xml:space="preserve">Notes: </w:t>
      </w:r>
      <w:r>
        <w:t>abstract_source=rsc_html</w:t>
      </w:r>
    </w:p>
    <w:p>
      <w:pPr>
        <w:spacing w:before="0" w:after="80" w:lineRule="auto" w:line="276"/>
      </w:pPr>
      <w:r>
        <w:rPr>
          <w:b/>
        </w:rPr>
        <w:t xml:space="preserve">摘要（ZH）: </w:t>
      </w:r>
      <w:r>
        <w:t>当前全球对原油的依赖对环境构成威胁，进而使一些经济体容易受到供应中断和价格高峰的影响。同时，新兴低技术成熟度水平（TRL）可再生碳基解决方案所需的高成本和大量投资是其采用的主要障碍。作为替代方案，我们在此量化了一种高TRL选项的未充分开发潜力，即基于可再生碳源的合成原油去化石化燃料和化学品，这种方案可以更容易地整合到当前基础设施中，并有可能在成本上具有竞争力。评估全球八大经济体，我们发现来自沼气和森林残留物的生物合成原油可以替代大量原油需求，减少碳排放</w:t>
      </w:r>
    </w:p>
    <w:p>
      <w:pPr>
        <w:spacing w:before="0" w:after="200" w:lineRule="auto" w:line="276"/>
      </w:pPr>
      <w:r>
        <w:rPr>
          <w:b/>
        </w:rPr>
        <w:t xml:space="preserve">Abstract (EN): </w:t>
      </w:r>
      <w:r>
        <w:t>Current global dependence on crude oil poses a threat to the environment, making in turn some economies vulnerable to supply disruptions and price peaks. Meanwhile, the high cost and large investments required by emerging low technology-readiness-levels (TRL) renewable carbon-based solutions are major obstacles towards their adoption. Alternatively, here we quantify the underexplored potential of a high-TRL option to defossilise fuels and chemicals based on synthetic crude oil from renewable carbon sources, which could be more easily integrated into current infrastructure and potentially become cost-competitive. Assessing the eight largest economies worldwide, we find that bio syncrude from biogas and forest residues could replace large shares of crude oil demand, reducing carbon emissions substantially while decreasing fossil fuels dependency and potentially entailing low green premiums depending on local feedstock and energy prices. The proposed strategy could, thus, enhance energy security and strategic autonomy in countries lacking fossil resources while cutting greenhouse gas emissions and leveraging current infrastructure, potentially positioning syncrude as a strategic 21st-century commodity that could complement other defossilisation technologies.</w:t>
      </w:r>
    </w:p>
    <w:p>
      <w:pPr>
        <w:spacing w:before="120" w:after="120"/>
      </w:pPr>
      <w:r>
        <w:rPr>
          <w:sz w:val="18"/>
        </w:rPr>
        <w:t>——————————————————————————————————————————————————————————————————————</w:t>
      </w:r>
    </w:p>
    <w:p>
      <w:pPr>
        <w:spacing w:before="160" w:after="120"/>
      </w:pPr>
      <w:r>
        <w:rPr>
          <w:b/>
          <w:sz w:val="28"/>
        </w:rPr>
        <w:t>【CCUS】</w:t>
      </w:r>
    </w:p>
    <w:p>
      <w:pPr>
        <w:spacing w:before="160" w:after="40" w:line="240" w:lineRule="auto"/>
      </w:pPr>
      <w:r>
        <w:rPr>
          <w:b/>
        </w:rPr>
        <w:t xml:space="preserve">[1] </w:t>
      </w:r>
      <w:hyperlink r:id="rId143">
        <w:r>
          <w:rPr>
            <w:color w:val="1155CC"/>
            <w:u w:val="single"/>
          </w:rPr>
          <w:t>[ASAP] 单原子催化剂上的介观疏水微环境工程用于引导CO2光还原为CH4</w:t>
        </w:r>
      </w:hyperlink>
    </w:p>
    <w:p>
      <w:pPr>
        <w:spacing w:before="0" w:after="80"/>
      </w:pPr>
      <w:r>
        <w:rPr>
          <w:i/>
          <w:sz w:val="20"/>
        </w:rPr>
        <w:t>EN: [ASAP] Mesoscopic Hydrophobic Microenvironment Engineering on a Single-Atom Catalyst for Steering CO2 Photoreduction to CH4</w:t>
      </w:r>
    </w:p>
    <w:p>
      <w:pPr>
        <w:spacing w:before="0" w:after="120"/>
      </w:pPr>
      <w:r>
        <w:rPr>
          <w:b/>
        </w:rPr>
        <w:t xml:space="preserve">Source: </w:t>
      </w:r>
      <w:r>
        <w:t>Journal of the American Chemical Society: Latest Articles (ACS Publications)</w:t>
      </w:r>
      <w:r>
        <w:t xml:space="preserve">    </w:t>
      </w:r>
      <w:r>
        <w:rPr>
          <w:b/>
        </w:rPr>
        <w:t xml:space="preserve">Pub date: </w:t>
      </w:r>
      <w:r>
        <w:t>2026-04-05 18:11:44+00:00</w:t>
      </w:r>
      <w:r>
        <w:t xml:space="preserve">    </w:t>
      </w:r>
      <w:r>
        <w:rPr>
          <w:b/>
        </w:rPr>
        <w:t xml:space="preserve">DOI: </w:t>
      </w:r>
      <w:hyperlink r:id="rId144">
        <w:r>
          <w:rPr>
            <w:color w:val="1155CC"/>
            <w:u w:val="single"/>
          </w:rPr>
          <w:t>10.1021/jacs.6c01672</w:t>
        </w:r>
      </w:hyperlink>
    </w:p>
    <w:p>
      <w:pPr>
        <w:spacing w:before="0" w:after="120"/>
      </w:pPr>
      <w:r>
        <w:rPr>
          <w:b/>
        </w:rPr>
        <w:t xml:space="preserve">Notes: </w:t>
      </w:r>
      <w:r>
        <w:t>abstract_source=pubmed</w:t>
      </w:r>
    </w:p>
    <w:p>
      <w:pPr>
        <w:spacing w:before="0" w:after="80" w:lineRule="auto" w:line="276"/>
      </w:pPr>
      <w:r>
        <w:rPr>
          <w:b/>
        </w:rPr>
        <w:t xml:space="preserve">摘要（ZH）: </w:t>
      </w:r>
      <w:r>
        <w:t>CO2选择性光还原为CH4因竞争性水吸附和*CO中间体的易脱附而面临巨大挑战。在此，我们通过单原子催化剂的介观工程解决了这一双重挑战，该催化剂具有Cu-C位点，将表面转变为疏水环境。这个工程化界面不仅排斥大量水以确保CO2的有效进入，还利用受限的水簇来稳定CO2分子。关键是，有限元模拟显示，晶格畸变引起的表面粗糙度有效阻碍了CO分子的扩散，导致活性Cu位点周围*CO中间体的局部富集。这种物理限制效应与电子π-反捐赠协同作用</w:t>
      </w:r>
    </w:p>
    <w:p>
      <w:pPr>
        <w:spacing w:before="0" w:after="200" w:lineRule="auto" w:line="276"/>
      </w:pPr>
      <w:r>
        <w:rPr>
          <w:b/>
        </w:rPr>
        <w:t xml:space="preserve">Abstract (EN): </w:t>
      </w:r>
      <w:r>
        <w:t>The selective photoreduction of CO2 to CH4 is notoriously challenged by competitive water adsorption and the facile desorption of the *CO intermediate. Herein, we tackle this dual challenge through the mesoscopic engineering of a single-atom catalyst with Cu-C sites, which transforms the surface into a hydrophobic environment. This engineered interface not only repels bulk water to ensure efficient CO2 access but also leverages confined water clusters to stabilize CO2 molecules. Crucially, finite element simulations reveal that the lattice distortion-induced surface roughness effectively hinders the diffusion of CO molecules, leading to a localized enrichment of the *CO intermediate around the active Cu sites. This physical confinement effect, synergizing with the electronic π-backdonation from Cu, suppresses premature desorption of the *CO intermediate and promotes its further reduction. Consequently, the catalyst achieves a high CH4 selectivity of 98.43% and a production rate of 16.43 μmol g-1 h-1, with notable activity preserved even under 700 nm irradiation. This work underscores that governing the mass transport of key intermediates at the mesoscale is a decisive design principle for steering catalytic selectivity.</w:t>
      </w:r>
    </w:p>
    <w:p>
      <w:pPr>
        <w:spacing w:before="120" w:after="120"/>
      </w:pPr>
      <w:r>
        <w:rPr>
          <w:sz w:val="18"/>
        </w:rPr>
        <w:t>——————————————————————————————————————————————————————————————————————</w:t>
      </w:r>
    </w:p>
    <w:p>
      <w:pPr>
        <w:spacing w:before="160" w:after="40" w:line="240" w:lineRule="auto"/>
      </w:pPr>
      <w:r>
        <w:rPr>
          <w:b/>
        </w:rPr>
        <w:t xml:space="preserve">[2] </w:t>
      </w:r>
      <w:hyperlink r:id="rId145">
        <w:r>
          <w:rPr>
            <w:color w:val="1155CC"/>
            <w:u w:val="single"/>
          </w:rPr>
          <w:t>等离子体增强的CO2加氢催化耐久性</w:t>
        </w:r>
      </w:hyperlink>
    </w:p>
    <w:p>
      <w:pPr>
        <w:spacing w:before="0" w:after="80"/>
      </w:pPr>
      <w:r>
        <w:rPr>
          <w:i/>
          <w:sz w:val="20"/>
        </w:rPr>
        <w:t>EN: Plasmonic Enhanced Catalytic Durability of CO2 Hydrogenation</w:t>
      </w:r>
    </w:p>
    <w:p>
      <w:pPr>
        <w:spacing w:before="0" w:after="120"/>
      </w:pPr>
      <w:r>
        <w:rPr>
          <w:b/>
        </w:rPr>
        <w:t xml:space="preserve">Source: </w:t>
      </w:r>
      <w:r>
        <w:t>Wiley: Advanced Energy Materials: Table of Contents</w:t>
      </w:r>
      <w:r>
        <w:t xml:space="preserve">    </w:t>
      </w:r>
      <w:r>
        <w:rPr>
          <w:b/>
        </w:rPr>
        <w:t xml:space="preserve">Pub date: </w:t>
      </w:r>
      <w:r>
        <w:t>2026-04-06 03:11:50+00:00</w:t>
      </w:r>
      <w:r>
        <w:t xml:space="preserve">    </w:t>
      </w:r>
      <w:r>
        <w:rPr>
          <w:b/>
        </w:rPr>
        <w:t xml:space="preserve">DOI: </w:t>
      </w:r>
      <w:hyperlink r:id="rId146">
        <w:r>
          <w:rPr>
            <w:color w:val="1155CC"/>
            <w:u w:val="single"/>
          </w:rPr>
          <w:t>10.1002/aenm.202506631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太阳能驱动的二氧化碳（CO</w:t>
      </w:r>
      <w:r>
        <w:rPr>
          <w:vertAlign w:val="subscript"/>
        </w:rPr>
        <w:t>2</w:t>
      </w:r>
      <w:r>
        <w:t>）加氢代表了一种生产具有负碳足迹的增值化学品/燃料的有前途的途径。等离子体催化由于其协同利用热化学和光化学而受到广泛关注，这得益于多种热效应和/或非热效应，包括高效的太阳能收集、局部加热、局部电场和热载流子激发。在此，采用金属钴纳米线阵列作为等离子体催化剂，证明了通过光激发的等离子体局部电场有效改善了CO</w:t>
      </w:r>
      <w:r>
        <w:rPr>
          <w:vertAlign w:val="subscript"/>
        </w:rPr>
        <w:t>2</w:t>
      </w:r>
      <w:r>
        <w:t>加氢的反应动力学。</w:t>
      </w:r>
    </w:p>
    <w:p>
      <w:pPr>
        <w:spacing w:before="0" w:after="200" w:lineRule="auto" w:line="276"/>
      </w:pPr>
      <w:r>
        <w:rPr>
          <w:b/>
        </w:rPr>
        <w:t xml:space="preserve">Abstract (EN): </w:t>
      </w:r>
      <w:r>
        <w:t>Solar‐driven carbon dioxide (CO</w:t>
      </w:r>
      <w:r>
        <w:rPr>
          <w:vertAlign w:val="subscript"/>
        </w:rPr>
        <w:t>2</w:t>
      </w:r>
      <w:r>
        <w:t>) hydrogenation represents a promising route for producing value‐added chemicals/fuels with a negative carbon footprint. Plasmonic catalysis attracts significant attention as it synergistically employs thermochemistry and photochemistry, facilitated by multiple thermal and/or nonthermal effects, including efficient solar energy harvesting, localized heating, localized electric field, and hot carrier excitations. Herein, a metallic cobalt nanowire array is employed as the plasmonic catalyst to demonstrate that the reaction kinetics of CO</w:t>
      </w:r>
      <w:r>
        <w:rPr>
          <w:vertAlign w:val="subscript"/>
        </w:rPr>
        <w:t>2</w:t>
      </w:r>
      <w:r>
        <w:t>hydrogenation are effectively improved by light‐excited plasmonic localized electric field through regulating the binding strength of reactive intermediates. Theoretical simulations and operando spectroscopic data further reveal that the catalytic durability is significantly enhanced compared to traditional thermocatalysis because of the localized electric field‐assisted suppression of coking deactivation. This work presents the first demonstration of plasmonic‐enhanced catalytic durability, delivering key mechanistic insights for the future design of efficient and stable plasmonic catalysts.</w:t>
      </w:r>
    </w:p>
    <w:p>
      <w:pPr>
        <w:spacing w:before="120" w:after="120"/>
      </w:pPr>
      <w:r>
        <w:rPr>
          <w:sz w:val="18"/>
        </w:rPr>
        <w:t>——————————————————————————————————————————————————————————————————————</w:t>
      </w:r>
    </w:p>
    <w:p>
      <w:pPr>
        <w:spacing w:before="160" w:after="40" w:line="240" w:lineRule="auto"/>
      </w:pPr>
      <w:r>
        <w:rPr>
          <w:b/>
        </w:rPr>
        <w:t xml:space="preserve">[3] </w:t>
      </w:r>
      <w:hyperlink r:id="rId147">
        <w:r>
          <w:rPr>
            <w:color w:val="1155CC"/>
            <w:u w:val="single"/>
          </w:rPr>
          <w:t>原子铁位点的自旋态调制在酸性介质中实现高效CO2电还原</w:t>
        </w:r>
      </w:hyperlink>
    </w:p>
    <w:p>
      <w:pPr>
        <w:spacing w:before="0" w:after="80"/>
      </w:pPr>
      <w:r>
        <w:rPr>
          <w:i/>
          <w:sz w:val="20"/>
        </w:rPr>
        <w:t>EN: Spin‐State Modulation of Atomic Iron Sites Enables Efficient CO2 Electroreduction in Acid Medium</w:t>
      </w:r>
    </w:p>
    <w:p>
      <w:pPr>
        <w:spacing w:before="0" w:after="120"/>
      </w:pPr>
      <w:r>
        <w:rPr>
          <w:b/>
        </w:rPr>
        <w:t xml:space="preserve">Source: </w:t>
      </w:r>
      <w:r>
        <w:t>Wiley: Angewandte Chemie International Edition: Table of Contents</w:t>
      </w:r>
      <w:r>
        <w:t xml:space="preserve">    </w:t>
      </w:r>
      <w:r>
        <w:rPr>
          <w:b/>
        </w:rPr>
        <w:t xml:space="preserve">Pub date: </w:t>
      </w:r>
      <w:r>
        <w:t>2026-04-06 03:24:26+00:00</w:t>
      </w:r>
      <w:r>
        <w:t xml:space="preserve">    </w:t>
      </w:r>
      <w:r>
        <w:rPr>
          <w:b/>
        </w:rPr>
        <w:t xml:space="preserve">DOI: </w:t>
      </w:r>
      <w:hyperlink r:id="rId148">
        <w:r>
          <w:rPr>
            <w:color w:val="1155CC"/>
            <w:u w:val="single"/>
          </w:rPr>
          <w:t>10.1002/anie.9239759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在酸性条件下进行电化学二氧化碳（CO</w:t>
      </w:r>
      <w:r>
        <w:rPr>
          <w:vertAlign w:val="subscript"/>
        </w:rPr>
        <w:t>2</w:t>
      </w:r>
      <w:r>
        <w:t>）还原（CO</w:t>
      </w:r>
      <w:r>
        <w:rPr>
          <w:vertAlign w:val="subscript"/>
        </w:rPr>
        <w:t>2</w:t>
      </w:r>
      <w:r>
        <w:t>RR）不仅可以实现高CO</w:t>
      </w:r>
      <w:r>
        <w:rPr>
          <w:vertAlign w:val="subscript"/>
        </w:rPr>
        <w:t>2</w:t>
      </w:r>
      <w:r>
        <w:t>利用率，还能减少界面（生物）碳酸盐的形成。然而，酸性环境往往有利于竞争的氢气析出反应（HER），从而降低CO</w:t>
      </w:r>
      <w:r>
        <w:rPr>
          <w:vertAlign w:val="subscript"/>
        </w:rPr>
        <w:t>2</w:t>
      </w:r>
      <w:r>
        <w:t>还原的整体能量效率。在此，我们使用轴向氧配位来调节铁-氮-碳位点的自旋状态，从低自旋（LS，t</w:t>
      </w:r>
      <w:r>
        <w:t xml:space="preserve"> </w:t>
      </w:r>
      <w:r>
        <w:t>2g</w:t>
      </w:r>
      <w:r>
        <w:rPr>
          <w:vertAlign w:val="subscript"/>
        </w:rPr>
        <w:t>5</w:t>
      </w:r>
      <w:r>
        <w:t>e</w:t>
      </w:r>
      <w:r>
        <w:t xml:space="preserve"> </w:t>
      </w:r>
      <w:r>
        <w:t>g</w:t>
      </w:r>
      <w:r>
        <w:rPr>
          <w:vertAlign w:val="subscript"/>
        </w:rPr>
        <w:t>0</w:t>
      </w:r>
      <w:r>
        <w:t>）转变为...</w:t>
      </w:r>
    </w:p>
    <w:p>
      <w:pPr>
        <w:spacing w:before="0" w:after="200" w:lineRule="auto" w:line="276"/>
      </w:pPr>
      <w:r>
        <w:rPr>
          <w:b/>
        </w:rPr>
        <w:t xml:space="preserve">Abstract (EN): </w:t>
      </w:r>
      <w:r>
        <w:t>Electrochemical carbon dioxide (CO</w:t>
      </w:r>
      <w:r>
        <w:rPr>
          <w:vertAlign w:val="subscript"/>
        </w:rPr>
        <w:t>2</w:t>
      </w:r>
      <w:r>
        <w:t>) reduction (CO</w:t>
      </w:r>
      <w:r>
        <w:rPr>
          <w:vertAlign w:val="subscript"/>
        </w:rPr>
        <w:t>2</w:t>
      </w:r>
      <w:r>
        <w:t>RR) in acidic conditions not only enables high CO</w:t>
      </w:r>
      <w:r>
        <w:rPr>
          <w:vertAlign w:val="subscript"/>
        </w:rPr>
        <w:t>2</w:t>
      </w:r>
      <w:r>
        <w:t>utilization but also reduces the formation of interfacial (bi)carbonate. However, the acidic environment tends to favor the competing hydrogen evolution reaction (HER), which lowers the overall energy efficiency of CO</w:t>
      </w:r>
      <w:r>
        <w:rPr>
          <w:vertAlign w:val="subscript"/>
        </w:rPr>
        <w:t>2</w:t>
      </w:r>
      <w:r>
        <w:t>reduction. Here, we use axial oxygen coordination to tune the spin state of iron‐nitrogen‐carbon sites, shifting from the low‐spin (LS, t</w:t>
      </w:r>
      <w:r>
        <w:t xml:space="preserve"> </w:t>
      </w:r>
      <w:r>
        <w:t>2g</w:t>
      </w:r>
      <w:r>
        <w:rPr>
          <w:vertAlign w:val="subscript"/>
        </w:rPr>
        <w:t>5</w:t>
      </w:r>
      <w:r>
        <w:t>e</w:t>
      </w:r>
      <w:r>
        <w:t xml:space="preserve"> </w:t>
      </w:r>
      <w:r>
        <w:t>g</w:t>
      </w:r>
      <w:r>
        <w:rPr>
          <w:vertAlign w:val="subscript"/>
        </w:rPr>
        <w:t>0</w:t>
      </w:r>
      <w:r>
        <w:t>) to the medium‐spin (MS, t</w:t>
      </w:r>
      <w:r>
        <w:t xml:space="preserve"> </w:t>
      </w:r>
      <w:r>
        <w:t>2g</w:t>
      </w:r>
      <w:r>
        <w:rPr>
          <w:vertAlign w:val="subscript"/>
        </w:rPr>
        <w:t>4</w:t>
      </w:r>
      <w:r>
        <w:t>e</w:t>
      </w:r>
      <w:r>
        <w:t xml:space="preserve"> </w:t>
      </w:r>
      <w:r>
        <w:t>g</w:t>
      </w:r>
      <w:r>
        <w:rPr>
          <w:vertAlign w:val="subscript"/>
        </w:rPr>
        <w:t>1</w:t>
      </w:r>
      <w:r>
        <w:t>) state. Experimental results and theoretical simulations show that this medium‐spin structure results in spin‐electron filling of the 𝜎∗ orbital, weakening the interfacial attraction of H</w:t>
      </w:r>
      <w:r>
        <w:rPr>
          <w:vertAlign w:val="subscript"/>
        </w:rPr>
        <w:t>3</w:t>
      </w:r>
      <w:r>
        <w:t>O</w:t>
      </w:r>
      <w:r>
        <w:t xml:space="preserve"> </w:t>
      </w:r>
      <w:r>
        <w:t>+</w:t>
      </w:r>
      <w:r>
        <w:t xml:space="preserve"> </w:t>
      </w:r>
      <w:r>
        <w:t>, significantly inhibiting HER, and reducing the *CO desorption energy; thus, CO</w:t>
      </w:r>
      <w:r>
        <w:rPr>
          <w:vertAlign w:val="subscript"/>
        </w:rPr>
        <w:t>2</w:t>
      </w:r>
      <w:r>
        <w:t>RR performance in acidic media is greatly improved. The designed Fe−N</w:t>
      </w:r>
      <w:r>
        <w:rPr>
          <w:vertAlign w:val="subscript"/>
        </w:rPr>
        <w:t>4</w:t>
      </w:r>
      <w:r>
        <w:t>O structure achieves a mass activity of 76.17 A mg</w:t>
      </w:r>
      <w:r>
        <w:t xml:space="preserve"> </w:t>
      </w:r>
      <w:r>
        <w:t>Fe</w:t>
      </w:r>
      <w:r>
        <w:t xml:space="preserve"> </w:t>
      </w:r>
      <w:r>
        <w:t>−1</w:t>
      </w:r>
      <w:r>
        <w:t xml:space="preserve"> </w:t>
      </w:r>
      <w:r>
        <w:t>and CO current densities of approximately 335 mA cm</w:t>
      </w:r>
      <w:r>
        <w:t xml:space="preserve"> </w:t>
      </w:r>
      <w:r>
        <w:t>−2</w:t>
      </w:r>
      <w:r>
        <w:t xml:space="preserve"> </w:t>
      </w:r>
      <w:r>
        <w:t>in acidic conditions, far exceeding those of Fe−N</w:t>
      </w:r>
      <w:r>
        <w:rPr>
          <w:vertAlign w:val="subscript"/>
        </w:rPr>
        <w:t>4</w:t>
      </w:r>
      <w:r>
        <w:t>(7.86 mA cm</w:t>
      </w:r>
      <w:r>
        <w:t xml:space="preserve"> </w:t>
      </w:r>
      <w:r>
        <w:t>−2</w:t>
      </w:r>
      <w:r>
        <w:t xml:space="preserve"> </w:t>
      </w:r>
      <w:r>
        <w:t>). Meanwhile, the catalyst reaches a high</w:t>
      </w:r>
      <w:r>
        <w:t xml:space="preserve"> </w:t>
      </w:r>
      <w:r>
        <w:t>j</w:t>
      </w:r>
      <w:r>
        <w:t xml:space="preserve"> </w:t>
      </w:r>
      <w:r>
        <w:t>CO</w:t>
      </w:r>
      <w:r>
        <w:t xml:space="preserve"> </w:t>
      </w:r>
      <w:r>
        <w:t>of 324.55 mA cm</w:t>
      </w:r>
      <w:r>
        <w:t xml:space="preserve"> </w:t>
      </w:r>
      <w:r>
        <w:t>−2</w:t>
      </w:r>
      <w:r>
        <w:t xml:space="preserve"> </w:t>
      </w:r>
      <w:r>
        <w:t>, 80.97% CO</w:t>
      </w:r>
      <w:r>
        <w:rPr>
          <w:vertAlign w:val="subscript"/>
        </w:rPr>
        <w:t>2</w:t>
      </w:r>
      <w:r>
        <w:t>utilization efficiency, and an energy efficiency of 36.89% in a self‐designed proton‐exchange‐membrane porous‐solid‐electrolyte reactor. This work highlights the spin‐manipulation mechanism for enhancing acidic CO</w:t>
      </w:r>
      <w:r>
        <w:rPr>
          <w:vertAlign w:val="subscript"/>
        </w:rPr>
        <w:t>2</w:t>
      </w:r>
      <w:r>
        <w:t>RR performance.</w:t>
      </w:r>
    </w:p>
    <w:p>
      <w:pPr>
        <w:spacing w:before="120" w:after="120"/>
      </w:pPr>
      <w:r>
        <w:rPr>
          <w:sz w:val="18"/>
        </w:rPr>
        <w:t>——————————————————————————————————————————————————————————————————————</w:t>
      </w:r>
    </w:p>
    <w:p>
      <w:pPr>
        <w:spacing w:before="160" w:after="40" w:line="240" w:lineRule="auto"/>
      </w:pPr>
      <w:r>
        <w:rPr>
          <w:b/>
        </w:rPr>
        <w:t xml:space="preserve">[4] </w:t>
      </w:r>
      <w:hyperlink r:id="rId149">
        <w:r>
          <w:rPr>
            <w:color w:val="1155CC"/>
            <w:u w:val="single"/>
          </w:rPr>
          <w:t>[ASAP] 使用氧化还原可切换的碳硼烷进行可调节的CO2捕获和释放</w:t>
        </w:r>
      </w:hyperlink>
    </w:p>
    <w:p>
      <w:pPr>
        <w:spacing w:before="0" w:after="80"/>
      </w:pPr>
      <w:r>
        <w:rPr>
          <w:i/>
          <w:sz w:val="20"/>
        </w:rPr>
        <w:t>EN: [ASAP] Tunable CO2 Capture and Release Using Redox-Switchable Carboranes</w:t>
      </w:r>
    </w:p>
    <w:p>
      <w:pPr>
        <w:spacing w:before="0" w:after="120"/>
      </w:pPr>
      <w:r>
        <w:rPr>
          <w:b/>
        </w:rPr>
        <w:t xml:space="preserve">Source: </w:t>
      </w:r>
      <w:r>
        <w:t>Journal of the American Chemical Society: Latest Articles (ACS Publications)</w:t>
      </w:r>
      <w:r>
        <w:t xml:space="preserve">    </w:t>
      </w:r>
      <w:r>
        <w:rPr>
          <w:b/>
        </w:rPr>
        <w:t xml:space="preserve">Pub date: </w:t>
      </w:r>
      <w:r>
        <w:t>2026-04-06 11:53:27+00:00</w:t>
      </w:r>
      <w:r>
        <w:t xml:space="preserve">    </w:t>
      </w:r>
      <w:r>
        <w:rPr>
          <w:b/>
        </w:rPr>
        <w:t xml:space="preserve">DOI: </w:t>
      </w:r>
      <w:hyperlink r:id="rId150">
        <w:r>
          <w:rPr>
            <w:color w:val="1155CC"/>
            <w:u w:val="single"/>
          </w:rPr>
          <w:t>10.1021/jacs.5c22507</w:t>
        </w:r>
      </w:hyperlink>
    </w:p>
    <w:p>
      <w:pPr>
        <w:spacing w:before="0" w:after="120"/>
      </w:pPr>
      <w:r>
        <w:rPr>
          <w:b/>
        </w:rPr>
        <w:t xml:space="preserve">Notes: </w:t>
      </w:r>
      <w:r>
        <w:t>abstract_source=pubmed</w:t>
      </w:r>
    </w:p>
    <w:p>
      <w:pPr>
        <w:spacing w:before="0" w:after="80" w:lineRule="auto" w:line="276"/>
      </w:pPr>
      <w:r>
        <w:rPr>
          <w:b/>
        </w:rPr>
        <w:t xml:space="preserve">摘要（ZH）: </w:t>
      </w:r>
      <w:r>
        <w:t>我们报告了使用氧化还原可切换的碳硼烷用于可调节和可逆捕获CO2。合成了两种取代的1-PR2-2-BR'2-邻碳硼烷（记为R/R'Cb），其中含有路易斯酸（LA）和路易斯碱（LB）基团。这些是含有较弱LB/LA基团的Ph/CyCb和含有较强LB/LA基团的tBu/C6F5Cb。虽然这些的closo形式对CO2不活泼，但使用KC8还原产生了活泼的nido物种。还原化合物[K(18-c-6)]2[Ph/CyCb]（18-c-6 = 18-冠-6）捕获并还原CO2生成笼附加甲酸盐物种[K(18-c-6)]2[Ph/CyCb-HCO2]。相比之下，nido化合物[K(18-c-6)]2[tBu/C6F5Cb]弱捕获CO2生成物种[K(18-c-6)]2[tBu/C6F5Cb-CO2]，其中认为CO2捕获发生在P和K+中心之间。这是</w:t>
      </w:r>
    </w:p>
    <w:p>
      <w:pPr>
        <w:spacing w:before="0" w:after="200" w:lineRule="auto" w:line="276"/>
      </w:pPr>
      <w:r>
        <w:rPr>
          <w:b/>
        </w:rPr>
        <w:t xml:space="preserve">Abstract (EN): </w:t>
      </w:r>
      <w:r>
        <w:t>We report the use of redox-switchable carboranes for the tunable and reversible capture of CO2. Two substituted 1-PR2-2-BR'2-ortho-carboranes (denoted R/R'Cb) with Lewis acid (LA) and Lewis base (LB) groups were synthesized. These were Ph/CyCb containing weaker LB/LA groups, and tBu/C6F5Cb with stronger LB/LA groups. While closo forms of these were unreactive to CO2, reduction using KC8 yielded reactive nido species. The reduced compound, [K(18-c-6)]2[Ph/CyCb] (18-c-6 = 18-crown-6), captured and reduced CO2 to generate the cage-appended formate species, [K(18-c-6)]2[Ph/CyCb-HCO2]. In contrast, the nido compound, [K(18-c-6)]2[tBu/C6F5Cb], weakly captured CO2 to generate the species [K(18-c-6)]2[tBu/C6F5Cb-CO2], wherein CO2 capture was thought to occur between the P and K+ centers. This was structurally confirmed by performing the reaction with added Li+ to generate the strongly activated P-C(O)O-Li species, [Li]1.5[K]0.5[tBu/C6F5Cb-CO2]. This also provided an avenue to tune CO2 binding constants by controlling the addition of added alkali cations to the solution. Using the encapsulated nido species, [K(kryp)]2[tBu/C6F5Cb] (kryp = kryptofix 2,2,2), binding constants (K) were calculated upon the addition of 1 equiv of [M][TFSI] (M = Li, Na, K; TFSI = bis(trifluoromethanesulfonyl)imide) and resulted in log K values of: 5.5 (Li+), 4.5 (Na+), and 3.4 (K+). Binding constants with &gt;1.0 equiv. M+ were qualitatively similar, whereas lower values were observed with &lt;1.0 equiv of M+. Chemical oxidation of the CO2-captured products also led to CO2 release. Together, these results open avenues to redox-controlled CO2 capture/release coupled with tunable CO2 capture binding constants, significant areas of interest in carbon capture technologies.</w:t>
      </w:r>
    </w:p>
    <w:p>
      <w:pPr>
        <w:spacing w:before="120" w:after="120"/>
      </w:pPr>
      <w:r>
        <w:rPr>
          <w:sz w:val="18"/>
        </w:rPr>
        <w:t>——————————————————————————————————————————————————————————————————————</w:t>
      </w:r>
    </w:p>
    <w:p>
      <w:pPr>
        <w:spacing w:before="160" w:after="40" w:line="240" w:lineRule="auto"/>
      </w:pPr>
      <w:r>
        <w:rPr>
          <w:b/>
        </w:rPr>
        <w:t xml:space="preserve">[5] </w:t>
      </w:r>
      <w:hyperlink r:id="rId151">
        <w:r>
          <w:rPr>
            <w:color w:val="1155CC"/>
            <w:u w:val="single"/>
          </w:rPr>
          <w:t>[ASAP] 有机膜修饰铜电极增强CO2还原并抑制模拟烟道气中的O2还原</w:t>
        </w:r>
      </w:hyperlink>
    </w:p>
    <w:p>
      <w:pPr>
        <w:spacing w:before="0" w:after="80"/>
      </w:pPr>
      <w:r>
        <w:rPr>
          <w:i/>
          <w:sz w:val="20"/>
        </w:rPr>
        <w:t>EN: [ASAP] Organic Film-Modified Copper Electrodes Enhance CO2 Reduction and Inhibit O2 Reduction with Simulated Flue Gas</w:t>
      </w:r>
    </w:p>
    <w:p>
      <w:pPr>
        <w:spacing w:before="0" w:after="120"/>
      </w:pPr>
      <w:r>
        <w:rPr>
          <w:b/>
        </w:rPr>
        <w:t xml:space="preserve">Source: </w:t>
      </w:r>
      <w:r>
        <w:t>ACS Energy Letters: Latest Articles (ACS Publications)</w:t>
      </w:r>
      <w:r>
        <w:t xml:space="preserve">    </w:t>
      </w:r>
      <w:r>
        <w:rPr>
          <w:b/>
        </w:rPr>
        <w:t xml:space="preserve">Pub date: </w:t>
      </w:r>
      <w:r>
        <w:t>2026-04-06 17:35:25+00:00</w:t>
      </w:r>
      <w:r>
        <w:t xml:space="preserve">    </w:t>
      </w:r>
      <w:r>
        <w:rPr>
          <w:b/>
        </w:rPr>
        <w:t xml:space="preserve">DOI: </w:t>
      </w:r>
      <w:hyperlink r:id="rId152">
        <w:r>
          <w:rPr>
            <w:color w:val="1155CC"/>
            <w:u w:val="single"/>
          </w:rPr>
          <w:t>10.1021/acsenergylett.6c00692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 </w:t>
      </w:r>
      <w:hyperlink r:id="rId153">
        <w:r>
          <w:rPr>
            <w:color w:val="1155CC"/>
            <w:u w:val="single"/>
          </w:rPr>
          <w:t>[ASAP] 在基于隔膜的膜电极组件中实现高效酸性CO2电解并抑制交叉</w:t>
        </w:r>
      </w:hyperlink>
    </w:p>
    <w:p>
      <w:pPr>
        <w:spacing w:before="0" w:after="80"/>
      </w:pPr>
      <w:r>
        <w:rPr>
          <w:i/>
          <w:sz w:val="20"/>
        </w:rPr>
        <w:t>EN: [ASAP] Efficient Acidic CO2 Electrolysis with Suppressed Crossover in a Separator-Based Membrane Electrode Assembly</w:t>
      </w:r>
    </w:p>
    <w:p>
      <w:pPr>
        <w:spacing w:before="0" w:after="120"/>
      </w:pPr>
      <w:r>
        <w:rPr>
          <w:b/>
        </w:rPr>
        <w:t xml:space="preserve">Source: </w:t>
      </w:r>
      <w:r>
        <w:t>Journal of the American Chemical Society: Latest Articles (ACS Publications)</w:t>
      </w:r>
      <w:r>
        <w:t xml:space="preserve">    </w:t>
      </w:r>
      <w:r>
        <w:rPr>
          <w:b/>
        </w:rPr>
        <w:t xml:space="preserve">Pub date: </w:t>
      </w:r>
      <w:r>
        <w:t>2026-04-07 13:32:36+00:00</w:t>
      </w:r>
      <w:r>
        <w:t xml:space="preserve">    </w:t>
      </w:r>
      <w:r>
        <w:rPr>
          <w:b/>
        </w:rPr>
        <w:t xml:space="preserve">DOI: </w:t>
      </w:r>
      <w:hyperlink r:id="rId154">
        <w:r>
          <w:rPr>
            <w:color w:val="1155CC"/>
            <w:u w:val="single"/>
          </w:rPr>
          <w:t>10.1021/jacs.5c23098</w:t>
        </w:r>
      </w:hyperlink>
    </w:p>
    <w:p>
      <w:pPr>
        <w:spacing w:before="0" w:after="120"/>
      </w:pPr>
      <w:r>
        <w:rPr>
          <w:b/>
        </w:rPr>
        <w:t xml:space="preserve">Notes: </w:t>
      </w:r>
      <w:r>
        <w:t>abstract_source=pubmed</w:t>
      </w:r>
    </w:p>
    <w:p>
      <w:pPr>
        <w:spacing w:before="0" w:after="80" w:lineRule="auto" w:line="276"/>
      </w:pPr>
      <w:r>
        <w:rPr>
          <w:b/>
        </w:rPr>
        <w:t xml:space="preserve">摘要（ZH）: </w:t>
      </w:r>
      <w:r>
        <w:t>在流动电池中进行酸性电化学CO2还原（CO2R）可以抑制CO2的交叉，但需要厚的阴极电解质层，这会带来较大的欧姆损失。然而，去除阴极电解质会由于过多的质子（H+）通过阳离子交换膜（CEM）传输而将选择性转向H2。在此，我们提出了一种零间隙膜电极组件（MEA），其中包含一个约100 μm的电解质填充的亲水性多孔隔板。该隔板通过调节耦合的H+和K+传输独特地实现了零间隙操作；然而，在高钾离子（K+）浓度下，K+与（碳酸氢盐）的更强离子配对抑制了它们在阴极的质子化，从而增加了CO2的交叉。相反，更高的H+与K+比率（2.4 M/0.2 M）建立了一个富含H+而K+-</w:t>
      </w:r>
    </w:p>
    <w:p>
      <w:pPr>
        <w:spacing w:before="0" w:after="200" w:lineRule="auto" w:line="276"/>
      </w:pPr>
      <w:r>
        <w:rPr>
          <w:b/>
        </w:rPr>
        <w:t xml:space="preserve">Abstract (EN): </w:t>
      </w:r>
      <w:r>
        <w:t>Performing acidic electrochemical CO2 reduction (CO2R) in flow cells suppresses CO2 crossover but requires thick catholyte layers that impose large ohmic losses. Removing the catholyte, however, shifts selectivity toward H2 due to excessive proton (H+) transport through cation exchange membranes (CEM). Here, we present a zero-gap membrane electrode assembly (MEA) incorporating an ∼100 μm electrolyte-filled hydrophilic porous separator. The separator uniquely enables zero-gap operation by regulating coupled H+ and K+ transport; however, at high potassium ion (K+) concentrations, stronger ion pairing between K+ and (bi)carbonates suppresses their protonation at the cathode, thereby increasing CO2 crossover. In contrast, a higher H+ to K+ ratio (2.4 M/0.2 M) establishes an H+-enriched yet K+-stabilized interface that promotes C2+ production while suppressing crossover. Controlling electrolyte permeance (∼1.5-3 mL h-1 cm-2) further limits (bi)carbonate electromigration. Using this approach, we reduce CO2 crossover to 0.19 sccm A-1 (∼5% of the CO2 converted to products), while achieving 75% multicarbon (C2+) Faradaic efficiency and 24% energy efficiency at 3.5 V (300 mA cm-2) using a 7,7,8,8-tetracyanoquinodimethane-modified copper oxide catalyst. This work demonstrates efficient acidic CO2 electrolysis with suppressed crossover using a separator-based MEA with copper catalysts.</w:t>
      </w:r>
    </w:p>
    <w:p>
      <w:pPr>
        <w:spacing w:before="120" w:after="120"/>
      </w:pPr>
      <w:r>
        <w:rPr>
          <w:sz w:val="18"/>
        </w:rPr>
        <w:t>——————————————————————————————————————————————————————————————————————</w:t>
      </w:r>
    </w:p>
    <w:p>
      <w:pPr>
        <w:spacing w:before="160" w:after="40" w:line="240" w:lineRule="auto"/>
      </w:pPr>
      <w:r>
        <w:rPr>
          <w:b/>
        </w:rPr>
        <w:t xml:space="preserve">[7] </w:t>
      </w:r>
      <w:hyperlink r:id="rId155">
        <w:r>
          <w:rPr>
            <w:color w:val="1155CC"/>
            <w:u w:val="single"/>
          </w:rPr>
          <w:t>[ASAP] 微环境工程乙烯基连接共价有机框架用于高效CO2光还原</w:t>
        </w:r>
      </w:hyperlink>
    </w:p>
    <w:p>
      <w:pPr>
        <w:spacing w:before="0" w:after="80"/>
      </w:pPr>
      <w:r>
        <w:rPr>
          <w:i/>
          <w:sz w:val="20"/>
        </w:rPr>
        <w:t>EN: [ASAP] Microenvironment Engineering Vinylene-Linked Covalent Organic Frameworks for Highly Efficient CO2 Photoreduction</w:t>
      </w:r>
    </w:p>
    <w:p>
      <w:pPr>
        <w:spacing w:before="0" w:after="120"/>
      </w:pPr>
      <w:r>
        <w:rPr>
          <w:b/>
        </w:rPr>
        <w:t xml:space="preserve">Source: </w:t>
      </w:r>
      <w:r>
        <w:t>Journal of the American Chemical Society: Latest Articles (ACS Publications)</w:t>
      </w:r>
      <w:r>
        <w:t xml:space="preserve">    </w:t>
      </w:r>
      <w:r>
        <w:rPr>
          <w:b/>
        </w:rPr>
        <w:t xml:space="preserve">Pub date: </w:t>
      </w:r>
      <w:r>
        <w:t>2026-04-07 13:35:20+00:00</w:t>
      </w:r>
      <w:r>
        <w:t xml:space="preserve">    </w:t>
      </w:r>
      <w:r>
        <w:rPr>
          <w:b/>
        </w:rPr>
        <w:t xml:space="preserve">DOI: </w:t>
      </w:r>
      <w:hyperlink r:id="rId156">
        <w:r>
          <w:rPr>
            <w:color w:val="1155CC"/>
            <w:u w:val="single"/>
          </w:rPr>
          <w:t>10.1021/jacs.6c00641</w:t>
        </w:r>
      </w:hyperlink>
    </w:p>
    <w:p>
      <w:pPr>
        <w:spacing w:before="0" w:after="120"/>
      </w:pPr>
      <w:r>
        <w:rPr>
          <w:b/>
        </w:rPr>
        <w:t xml:space="preserve">Notes: </w:t>
      </w:r>
      <w:r>
        <w:t>abstract_source=pubmed</w:t>
      </w:r>
    </w:p>
    <w:p>
      <w:pPr>
        <w:spacing w:before="0" w:after="80" w:lineRule="auto" w:line="276"/>
      </w:pPr>
      <w:r>
        <w:rPr>
          <w:b/>
        </w:rPr>
        <w:t xml:space="preserve">摘要（ZH）: </w:t>
      </w:r>
      <w:r>
        <w:t>通过光催化实现高效和选择性还原CO2在苛刻条件下具有显著挑战，特别是在无需溶剂、助催化剂或牺牲剂的异质气固系统中。在此，我们设计并构建了一个稳健的乙烯基连接吡嗪共价有机框架（COF）平台，通过改变醛连接体中的氮含量来可编程地调节微环境。这种分子水平的调控控制了电荷分布和光物理行为，建立了CO2到CO光还原的明确结构-反应性关系。含吡啶的COF表现出最有效的电荷分离和最高的CO生成速率，超越了所有在气固条件下的无金属光催化剂。基于此</w:t>
      </w:r>
    </w:p>
    <w:p>
      <w:pPr>
        <w:spacing w:before="0" w:after="200" w:lineRule="auto" w:line="276"/>
      </w:pPr>
      <w:r>
        <w:rPr>
          <w:b/>
        </w:rPr>
        <w:t xml:space="preserve">Abstract (EN): </w:t>
      </w:r>
      <w:r>
        <w:t>Efficient and selective reduction of CO2 via photocatalysis is significantly challenging under demanding conditions, specifically in heterogeneous gas-solid systems that function without solvents, cocatalysts, or sacrificial agents. Here, we design and construct a robust vinylene-linked pyridazine covalent organic framework (COF) platform to programmably tune the microenvironment by varying the nitrogen content in aldehyde linkers. This molecular-level modulation governs charge distribution and photophysical behavior, establishing a clear structure-reactivity relationship in CO2-to-CO photoreduction. The pyridine-containing COF exhibits the most efficient charge separation and the highest CO production rate, surpassing all metal-free photocatalysts under gas-solid conditions. Building on this optimized microenvironment, site-specific coordination of Re(CO)5Cl at adjacent pyridazine nitrogen sites defines molecular catalytic centers and reinforces the acceptor-donor-acceptor (A-D-A) charge-transfer pathway. The resulting hybrid material delivers a record gas-solid CO2-to-CO activity among metal-loaded COF photocatalysts operating without a solvent, cocatalyst, or sacrificial agent and outperforms all presentative heterogeneous CO2 reduction systems under comparable conditions. In situ infrared spectroscopy, isotopic labeling, and density functional theory calculations provide insights into the impact of the N-site configuration on intermediate binding, transition-state energetics, and the overall reaction mechanism. These findings highlight N-microenvironment engineering as a versatile approach for advancing COF-based photocatalysts in high-performance CO2 conversion.</w:t>
      </w:r>
    </w:p>
    <w:p>
      <w:pPr>
        <w:spacing w:before="120" w:after="120"/>
      </w:pPr>
      <w:r>
        <w:rPr>
          <w:sz w:val="18"/>
        </w:rPr>
        <w:t>——————————————————————————————————————————————————————————————————————</w:t>
      </w:r>
    </w:p>
    <w:p>
      <w:pPr>
        <w:spacing w:before="160" w:after="40" w:line="240" w:lineRule="auto"/>
      </w:pPr>
      <w:r>
        <w:rPr>
          <w:b/>
        </w:rPr>
        <w:t xml:space="preserve">[8] </w:t>
      </w:r>
      <w:hyperlink r:id="rId157">
        <w:r>
          <w:rPr>
            <w:color w:val="1155CC"/>
            <w:u w:val="single"/>
          </w:rPr>
          <w:t>用于CO2还原中C─C偶联的多步质子耦合电子转移</w:t>
        </w:r>
      </w:hyperlink>
    </w:p>
    <w:p>
      <w:pPr>
        <w:spacing w:before="0" w:after="80"/>
      </w:pPr>
      <w:r>
        <w:rPr>
          <w:i/>
          <w:sz w:val="20"/>
        </w:rPr>
        <w:t>EN: Multistep Proton‐Coupled Electron Transfer for C─C Coupling in CO2 Reduction</w:t>
      </w:r>
    </w:p>
    <w:p>
      <w:pPr>
        <w:spacing w:before="0" w:after="120"/>
      </w:pPr>
      <w:r>
        <w:rPr>
          <w:b/>
        </w:rPr>
        <w:t xml:space="preserve">Source: </w:t>
      </w:r>
      <w:r>
        <w:t>Wiley: Advanced Energy Materials: Table of Contents</w:t>
      </w:r>
      <w:r>
        <w:t xml:space="preserve">    </w:t>
      </w:r>
      <w:r>
        <w:rPr>
          <w:b/>
        </w:rPr>
        <w:t xml:space="preserve">Pub date: </w:t>
      </w:r>
      <w:r>
        <w:t>2026-04-08 07:41:49+00:00</w:t>
      </w:r>
      <w:r>
        <w:t xml:space="preserve">    </w:t>
      </w:r>
      <w:r>
        <w:rPr>
          <w:b/>
        </w:rPr>
        <w:t xml:space="preserve">DOI: </w:t>
      </w:r>
      <w:hyperlink r:id="rId158">
        <w:r>
          <w:rPr>
            <w:color w:val="1155CC"/>
            <w:u w:val="single"/>
          </w:rPr>
          <w:t>10.1002/aenm.70924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动力学要求高的多步质子耦合电子转移（PCET）和与C─C偶联相关的高能垒是导致多碳产品选择性低的主要原因。催化剂组成、表面结构、掺杂、形貌、反应介质、pH值和光催化电池设计等众多相互关联的参数影响PCET和C─C偶联。尽管这些过程在本质上是独立的，但它们受到结构和催化环境因素的间接影响，这些因素通常促进一种途径。这种相互依赖性使得理性催化剂发现变得复杂。对这些参数的关键理解和仔细解卷积对于识别条件至关重要。</w:t>
      </w:r>
    </w:p>
    <w:p>
      <w:pPr>
        <w:spacing w:before="0" w:after="200" w:lineRule="auto" w:line="276"/>
      </w:pPr>
      <w:r>
        <w:rPr>
          <w:b/>
        </w:rPr>
        <w:t xml:space="preserve">Abstract (EN): </w:t>
      </w:r>
      <w:r>
        <w:t>Kinetically demanding multi‐step proton‐coupled electron transfer (PCET) and the high energy barrier associated with C─C coupling are the primary reasons for the low selectivity toward multi‐carbon products. Numerous interconnected parameters like catalyst composition, surface structure, doping, morphology, reaction medium, pH, and photocatalytic cell design influence both PCET and C─C coupling. Although these processes are fundamentally independent, they are indirectly affected by the structural and catalytic environmental factors, which often promote one pathway. This interdependence complicates rational catalyst discovery. A critical understanding and careful deconvolution of these parameters are essential for identifying the conditions that synergistically enhance both PCET and C─C coupling for selective product formation. In this review, we present a historical perspective on key catalyst design strategies and mechanistic insights, and highlight the intricate interplay among different catalytic systems, and summarize the latest advancements in CO</w:t>
      </w:r>
      <w:r>
        <w:rPr>
          <w:vertAlign w:val="subscript"/>
        </w:rPr>
        <w:t>2</w:t>
      </w:r>
      <w:r>
        <w:t>to C2+ products. Subtle variations in catalyst structure that alter reaction pathways or electron‐transfer dynamics are discussed in detail, as these insights provide powerful guidelines for designing next‐generation C2+ selective photocatalysts. We also emphasize in situ/operando characterization of intermediates, and their energetics relevant to C─C coupling. Finally, we outline current challenges and propose future research directions for advancing the field.</w:t>
      </w:r>
    </w:p>
    <w:p>
      <w:pPr>
        <w:spacing w:before="120" w:after="120"/>
      </w:pPr>
      <w:r>
        <w:rPr>
          <w:sz w:val="18"/>
        </w:rPr>
        <w:t>——————————————————————————————————————————————————————————————————————</w:t>
      </w:r>
    </w:p>
    <w:p>
      <w:pPr>
        <w:spacing w:before="160" w:after="40" w:line="240" w:lineRule="auto"/>
      </w:pPr>
      <w:r>
        <w:rPr>
          <w:b/>
        </w:rPr>
        <w:t xml:space="preserve">[9] </w:t>
      </w:r>
      <w:hyperlink r:id="rId159">
        <w:r>
          <w:rPr>
            <w:color w:val="1155CC"/>
            <w:u w:val="single"/>
          </w:rPr>
          <w:t>[ASAP] 可见光驱动的水中CO2还原中氢键框架的能量和质量传输调控</w:t>
        </w:r>
      </w:hyperlink>
    </w:p>
    <w:p>
      <w:pPr>
        <w:spacing w:before="0" w:after="80"/>
      </w:pPr>
      <w:r>
        <w:rPr>
          <w:i/>
          <w:sz w:val="20"/>
        </w:rPr>
        <w:t>EN: [ASAP] Regulation of Energy and Mass Transport in a Hydrogen-Bonded Framework for Visible-Light-Driven CO2 Reduction in Water</w:t>
      </w:r>
    </w:p>
    <w:p>
      <w:pPr>
        <w:spacing w:before="0" w:after="120"/>
      </w:pPr>
      <w:r>
        <w:rPr>
          <w:b/>
        </w:rPr>
        <w:t xml:space="preserve">Source: </w:t>
      </w:r>
      <w:r>
        <w:t>Journal of the American Chemical Society: Latest Articles (ACS Publications)</w:t>
      </w:r>
      <w:r>
        <w:t xml:space="preserve">    </w:t>
      </w:r>
      <w:r>
        <w:rPr>
          <w:b/>
        </w:rPr>
        <w:t xml:space="preserve">Pub date: </w:t>
      </w:r>
      <w:r>
        <w:t>2026-04-08 15:09:46+00:00</w:t>
      </w:r>
      <w:r>
        <w:t xml:space="preserve">    </w:t>
      </w:r>
      <w:r>
        <w:rPr>
          <w:b/>
        </w:rPr>
        <w:t xml:space="preserve">DOI: </w:t>
      </w:r>
      <w:hyperlink r:id="rId160">
        <w:r>
          <w:rPr>
            <w:color w:val="1155CC"/>
            <w:u w:val="single"/>
          </w:rPr>
          <w:t>10.1021/jacs.6c00570</w:t>
        </w:r>
      </w:hyperlink>
    </w:p>
    <w:p>
      <w:pPr>
        <w:spacing w:before="0" w:after="120"/>
      </w:pPr>
      <w:r>
        <w:rPr>
          <w:b/>
        </w:rPr>
        <w:t xml:space="preserve">Notes: </w:t>
      </w:r>
      <w:r>
        <w:t>abstract_source=openalex</w:t>
      </w:r>
    </w:p>
    <w:p>
      <w:pPr>
        <w:spacing w:before="0" w:after="80" w:lineRule="auto" w:line="276"/>
      </w:pPr>
      <w:r>
        <w:rPr>
          <w:b/>
        </w:rPr>
        <w:t xml:space="preserve">摘要（ZH）: </w:t>
      </w:r>
      <w:r>
        <w:t>光酶还原CO&lt;sub&gt;2&lt;/sub&gt;为甲酸盐是一种有前途的碳增值策略，但其效率仍受限于能量和质量传输效率低下。在此，我们设计了一系列同构氢键有机框架（HOFs），通过建立限域效应来促进光催化NADH再生及随后的NADH依赖的酶促CO&lt;sub&gt;2&lt;/sub&gt;到甲酸盐的还原。我们证明框架通道内的空间限域将激子迁移局限于纳米尺度域，并促进界面解离。此外，Rh诱导的电子结构调制实现了超快电子转移，而内在的氢键网络为NAD&lt;sup&gt;+&lt;/sup&gt;提供了方向性质子传导。这些协同效应</w:t>
      </w:r>
    </w:p>
    <w:p>
      <w:pPr>
        <w:spacing w:before="0" w:after="200" w:lineRule="auto" w:line="276"/>
      </w:pPr>
      <w:r>
        <w:rPr>
          <w:b/>
        </w:rPr>
        <w:t xml:space="preserve">Abstract (EN): </w:t>
      </w:r>
      <w:r>
        <w:t>Photoenzymatic reduction of CO&lt;sub&gt;2&lt;/sub&gt; to formate is a promising strategy for carbon valorization, yet its efficiency is still limited by inefficient energy and mass transport. Here, we design a series of isostructural hydrogen-bonded organic frameworks (HOFs) that establish confinement effects to promote photocatalytic NADH regeneration and the subsequent NADH-dependent enzymatic CO&lt;sub&gt;2&lt;/sub&gt;-to-formate reduction. We demonstrate that spatial confinement within the framework channels localizes exciton migration to nanoscale domains and promotes interfacial dissociation. Additionally, Rh-induced electronic-structure modulation enables ultrafast electron transfer, while the intrinsic hydrogen-bond network furnishes directional proton conduction to NAD&lt;sup&gt;+&lt;/sup&gt;. These synergistic regulations afford a photocatalytic NADH regeneration efficiency of 99.8% with a record apparent quantum efficiency of 32.8%, and drive formate production at a rate of 3020 μmol g&lt;sup&gt;-1&lt;/sup&gt; h&lt;sup&gt;-1&lt;/sup&gt; with 100% selectivity─the highest rate reported to date for all light-driven systems in water. The HOF-based catalyst retains 86.3% of its initial activity over five cycles, highlighting its robustness. This work offers mechanistic insight into how microenvironment engineering within HOF architectures regulates energy and mass transport in photoenzymatic catalysis, paving the way for the rational design of advanced hybrid catalytic systems.</w:t>
      </w:r>
    </w:p>
    <w:p>
      <w:pPr>
        <w:spacing w:before="120" w:after="120"/>
      </w:pPr>
      <w:r>
        <w:rPr>
          <w:sz w:val="18"/>
        </w:rPr>
        <w:t>——————————————————————————————————————————————————————————————————————</w:t>
      </w:r>
    </w:p>
    <w:p>
      <w:pPr>
        <w:spacing w:before="160" w:after="40" w:line="240" w:lineRule="auto"/>
      </w:pPr>
      <w:r>
        <w:rPr>
          <w:b/>
        </w:rPr>
        <w:t xml:space="preserve">[10] </w:t>
      </w:r>
      <w:hyperlink r:id="rId161">
        <w:r>
          <w:rPr>
            <w:color w:val="1155CC"/>
            <w:u w:val="single"/>
          </w:rPr>
          <w:t>[ASAP] 用于高效和可扩展的CO2电还原为甲酸的膜电极组件单元中的超薄微孔中间层</w:t>
        </w:r>
      </w:hyperlink>
    </w:p>
    <w:p>
      <w:pPr>
        <w:spacing w:before="0" w:after="80"/>
      </w:pPr>
      <w:r>
        <w:rPr>
          <w:i/>
          <w:sz w:val="20"/>
        </w:rPr>
        <w:t>EN: [ASAP] Ultrathin Microporous Interlayer in a Membrane Electrode Assembly Cell for Efficient and Scalable Electroreduction of CO2 to Formate</w:t>
      </w:r>
    </w:p>
    <w:p>
      <w:pPr>
        <w:spacing w:before="0" w:after="120"/>
      </w:pPr>
      <w:r>
        <w:rPr>
          <w:b/>
        </w:rPr>
        <w:t xml:space="preserve">Source: </w:t>
      </w:r>
      <w:r>
        <w:t>ACS Energy Letters: Latest Articles (ACS Publications)</w:t>
      </w:r>
      <w:r>
        <w:t xml:space="preserve">    </w:t>
      </w:r>
      <w:r>
        <w:rPr>
          <w:b/>
        </w:rPr>
        <w:t xml:space="preserve">Pub date: </w:t>
      </w:r>
      <w:r>
        <w:t>2026-04-08 16:26:50+00:00</w:t>
      </w:r>
      <w:r>
        <w:t xml:space="preserve">    </w:t>
      </w:r>
      <w:r>
        <w:rPr>
          <w:b/>
        </w:rPr>
        <w:t xml:space="preserve">DOI: </w:t>
      </w:r>
      <w:hyperlink r:id="rId162">
        <w:r>
          <w:rPr>
            <w:color w:val="1155CC"/>
            <w:u w:val="single"/>
          </w:rPr>
          <w:t>10.1021/acsenergylett.6c00283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120"/>
      </w:pPr>
      <w:r>
        <w:rPr>
          <w:b/>
          <w:sz w:val="28"/>
        </w:rPr>
        <w:t>【塑料回收】</w:t>
      </w:r>
    </w:p>
    <w:p>
      <w:pPr>
        <w:spacing w:before="160" w:after="40" w:line="240" w:lineRule="auto"/>
      </w:pPr>
      <w:r>
        <w:rPr>
          <w:b/>
        </w:rPr>
        <w:t xml:space="preserve">[1] </w:t>
      </w:r>
      <w:hyperlink r:id="rId163">
        <w:r>
          <w:rPr>
            <w:color w:val="1155CC"/>
            <w:u w:val="single"/>
          </w:rPr>
          <w:t>[ASAP] 解锁六氢三嗪化学以实现多重热固性材料的循环利用</w:t>
        </w:r>
      </w:hyperlink>
    </w:p>
    <w:p>
      <w:pPr>
        <w:spacing w:before="0" w:after="80"/>
      </w:pPr>
      <w:r>
        <w:rPr>
          <w:i/>
          <w:sz w:val="20"/>
        </w:rPr>
        <w:t>EN: [ASAP] Unlocking Hexahydrotriazine Chemistry for Multifold Thermoset Circularity</w:t>
      </w:r>
    </w:p>
    <w:p>
      <w:pPr>
        <w:spacing w:before="0" w:after="120"/>
      </w:pPr>
      <w:r>
        <w:rPr>
          <w:b/>
        </w:rPr>
        <w:t xml:space="preserve">Source: </w:t>
      </w:r>
      <w:r>
        <w:t>Journal of the American Chemical Society: Latest Articles (ACS Publications)</w:t>
      </w:r>
      <w:r>
        <w:t xml:space="preserve">    </w:t>
      </w:r>
      <w:r>
        <w:rPr>
          <w:b/>
        </w:rPr>
        <w:t xml:space="preserve">Pub date: </w:t>
      </w:r>
      <w:r>
        <w:t>2026-04-04 13:24:29+00:00</w:t>
      </w:r>
      <w:r>
        <w:t xml:space="preserve">    </w:t>
      </w:r>
      <w:r>
        <w:rPr>
          <w:b/>
        </w:rPr>
        <w:t xml:space="preserve">DOI: </w:t>
      </w:r>
      <w:hyperlink r:id="rId164">
        <w:r>
          <w:rPr>
            <w:color w:val="1155CC"/>
            <w:u w:val="single"/>
          </w:rPr>
          <w:t>10.1021/jacs.6c02744</w:t>
        </w:r>
      </w:hyperlink>
    </w:p>
    <w:p>
      <w:pPr>
        <w:spacing w:before="0" w:after="120"/>
      </w:pPr>
      <w:r>
        <w:rPr>
          <w:b/>
        </w:rPr>
        <w:t xml:space="preserve">Notes: </w:t>
      </w:r>
      <w:r>
        <w:t>abstract_source=openalex</w:t>
      </w:r>
    </w:p>
    <w:p>
      <w:pPr>
        <w:spacing w:before="0" w:after="80" w:lineRule="auto" w:line="276"/>
      </w:pPr>
      <w:r>
        <w:rPr>
          <w:b/>
        </w:rPr>
        <w:t xml:space="preserve">摘要（ZH）: </w:t>
      </w:r>
      <w:r>
        <w:t>热固性塑料是为了持久而制成的。然而，这种耐久性为负责任的生命周期终止管理带来了重大挑战，使传统的回收几乎不可能。开发可回收设计的热固性塑料，通过有针对性的化学反应选择性地分解，提供了一条有前途的前进道路，但需要创新的化学方法。虽然大多数报道的可回收热固性塑料是为单一的生命周期终止途径（例如，化学解聚或再加工）优化的，但在一个高性能热固性塑料中实现多种不同的循环路径仍然具有挑战性。在此，我们发现六氢三嗪─广泛用作热固性塑料中的稳定交联单元─可以通过胺进行亲核攻击并参与复分解反应，开启了新的途径</w:t>
      </w:r>
    </w:p>
    <w:p>
      <w:pPr>
        <w:spacing w:before="0" w:after="200" w:lineRule="auto" w:line="276"/>
      </w:pPr>
      <w:r>
        <w:rPr>
          <w:b/>
        </w:rPr>
        <w:t xml:space="preserve">Abstract (EN): </w:t>
      </w:r>
      <w:r>
        <w:t>Thermosets are made to last. Yet, this very durability creates significant challenges for responsible end-of-life management, rendering conventional recycling nearly impossible. Developing recyclable-by-design thermosets that can be selectively broken down through targeted chemical reactions offers a promising path forward but requires innovative chemistry. While most reported recyclable thermosets are optimized for a single end-of-life route (e.g., chemical depolymerization or reprocessing), achieving multiple distinct circularity pathways in one high-performance thermoset remains challenging. Here, we uncover that hexahydrotriazines─widely used as stable cross-linking units in thermosets─can undergo nucleophilic attack by amines and engage in metathesis reactions, unlocking new avenues for circular material design. Adopting a holistic approach, we first conduct detailed mechanistic studies to elucidate this previously unexplored reactivity, then apply these insights to polyhexahydrotriazine-based thermosets. We demonstrate a single material platform that uniquely combines closed-loop recycling, postsynthetic property reprogramming, repurposing into distinct material architectures, and thermal reprocessing. This multifold circularity introduces a flexible and adaptive strategy for thermoset recycling, addressing the increasing complexity of a circular economy.</w:t>
      </w:r>
    </w:p>
    <w:p>
      <w:pPr>
        <w:spacing w:before="120" w:after="120"/>
      </w:pPr>
      <w:r>
        <w:rPr>
          <w:sz w:val="18"/>
        </w:rPr>
        <w:t>——————————————————————————————————————————————————————————————————————</w:t>
      </w:r>
    </w:p>
    <w:p>
      <w:pPr>
        <w:spacing w:before="160" w:after="40" w:line="240" w:lineRule="auto"/>
      </w:pPr>
      <w:r>
        <w:rPr>
          <w:b/>
        </w:rPr>
        <w:t xml:space="preserve">[2] </w:t>
      </w:r>
      <w:hyperlink r:id="rId165">
        <w:r>
          <w:rPr>
            <w:color w:val="1155CC"/>
            <w:u w:val="single"/>
          </w:rPr>
          <w:t>利用酸催化解聚进行塑料的太阳能重整</w:t>
        </w:r>
      </w:hyperlink>
    </w:p>
    <w:p>
      <w:pPr>
        <w:spacing w:before="0" w:after="80"/>
      </w:pPr>
      <w:r>
        <w:rPr>
          <w:i/>
          <w:sz w:val="20"/>
        </w:rPr>
        <w:t>EN: Solar reforming of plastics using acid-catalyzed depolymerization</w:t>
      </w:r>
    </w:p>
    <w:p>
      <w:pPr>
        <w:spacing w:before="0" w:after="120"/>
      </w:pPr>
      <w:r>
        <w:rPr>
          <w:b/>
        </w:rPr>
        <w:t xml:space="preserve">Source: </w:t>
      </w:r>
      <w:r>
        <w:t>Joule</w:t>
      </w:r>
      <w:r>
        <w:t xml:space="preserve">    </w:t>
      </w:r>
      <w:r>
        <w:rPr>
          <w:b/>
        </w:rPr>
        <w:t xml:space="preserve">Pub date: </w:t>
      </w:r>
      <w:r>
        <w:t>2026-04-06 00:00:00+00:00</w:t>
      </w:r>
      <w:r>
        <w:t xml:space="preserve">    </w:t>
      </w:r>
      <w:r>
        <w:rPr>
          <w:b/>
        </w:rPr>
        <w:t xml:space="preserve">DOI: </w:t>
      </w:r>
      <w:hyperlink r:id="rId166">
        <w:r>
          <w:rPr>
            <w:color w:val="1155CC"/>
            <w:u w:val="single"/>
          </w:rPr>
          <w:t>10.1016/j.joule.2026.102347</w:t>
        </w:r>
      </w:hyperlink>
    </w:p>
    <w:p>
      <w:pPr>
        <w:spacing w:before="0" w:after="120"/>
      </w:pPr>
      <w:r>
        <w:rPr>
          <w:b/>
        </w:rPr>
        <w:t xml:space="preserve">Notes: </w:t>
      </w:r>
      <w:r>
        <w:t>abstract_source=rss_cell</w:t>
      </w:r>
    </w:p>
    <w:p>
      <w:pPr>
        <w:spacing w:before="0" w:after="80" w:lineRule="auto" w:line="276"/>
      </w:pPr>
      <w:r>
        <w:rPr>
          <w:b/>
        </w:rPr>
        <w:t xml:space="preserve">摘要（ZH）: </w:t>
      </w:r>
      <w:r>
        <w:t>使用来自废旧铅酸电池的回收硫酸进行废塑料的酸催化解聚，产生乙二醇，该乙二醇在太阳光照下选择性地在酸稳定的金属硫化物-碳氮化物（CoMoS2–CNx）光催化剂上进行光重整，生成氢气和乙酸，从而实现一个循环的、太阳能驱动的塑料升级路径。</w:t>
      </w:r>
    </w:p>
    <w:p>
      <w:pPr>
        <w:spacing w:before="0" w:after="200" w:lineRule="auto" w:line="276"/>
      </w:pPr>
      <w:r>
        <w:rPr>
          <w:b/>
        </w:rPr>
        <w:t xml:space="preserve">Abstract (EN): </w:t>
      </w:r>
      <w:r>
        <w:t>Acid-catalyzed depolymerization of waste plastics using recycled sulfuric acid from spent lead-acid batteries produces ethylene glycol, which is selectively photoreformed over an acid-stable metal sulfide-carbon nitride (CoMoS2–CNx) photocatalyst under solar irradiation to generate hydrogen and acetic acid, enabling a circular, solar-driven plastic upcycling pathway.</w:t>
      </w:r>
    </w:p>
    <w:p>
      <w:pPr>
        <w:spacing w:before="120" w:after="120"/>
      </w:pPr>
      <w:r>
        <w:rPr>
          <w:sz w:val="18"/>
        </w:rPr>
        <w:t>——————————————————————————————————————————————————————————————————————</w:t>
      </w:r>
    </w:p>
    <w:p>
      <w:pPr>
        <w:spacing w:before="160" w:after="40" w:line="240" w:lineRule="auto"/>
      </w:pPr>
      <w:r>
        <w:rPr>
          <w:b/>
        </w:rPr>
        <w:t xml:space="preserve">[3] </w:t>
      </w:r>
      <w:hyperlink r:id="rId167">
        <w:r>
          <w:rPr>
            <w:color w:val="1155CC"/>
            <w:u w:val="single"/>
          </w:rPr>
          <w:t>[ASAP] 从不可食用的半纤维素衍生物和CO2电合成可生物降解塑料单体二甲基呋喃-2,5-二羧酸酯</w:t>
        </w:r>
      </w:hyperlink>
    </w:p>
    <w:p>
      <w:pPr>
        <w:spacing w:before="0" w:after="80"/>
      </w:pPr>
      <w:r>
        <w:rPr>
          <w:i/>
          <w:sz w:val="20"/>
        </w:rPr>
        <w:t>EN: [ASAP] Electrosynthesis of Biodegradable Plastic Monomer Dimethyl Furan-2,5-Dicarboxylate from Inedible Hemicellulose Derivatives and CO2</w:t>
      </w:r>
    </w:p>
    <w:p>
      <w:pPr>
        <w:spacing w:before="0" w:after="120"/>
      </w:pPr>
      <w:r>
        <w:rPr>
          <w:b/>
        </w:rPr>
        <w:t xml:space="preserve">Source: </w:t>
      </w:r>
      <w:r>
        <w:t>Journal of the American Chemical Society: Latest Articles (ACS Publications)</w:t>
      </w:r>
      <w:r>
        <w:t xml:space="preserve">    </w:t>
      </w:r>
      <w:r>
        <w:rPr>
          <w:b/>
        </w:rPr>
        <w:t xml:space="preserve">Pub date: </w:t>
      </w:r>
      <w:r>
        <w:t>2026-04-06 17:02:01+00:00</w:t>
      </w:r>
      <w:r>
        <w:t xml:space="preserve">    </w:t>
      </w:r>
      <w:r>
        <w:rPr>
          <w:b/>
        </w:rPr>
        <w:t xml:space="preserve">DOI: </w:t>
      </w:r>
      <w:hyperlink r:id="rId168">
        <w:r>
          <w:rPr>
            <w:color w:val="1155CC"/>
            <w:u w:val="single"/>
          </w:rPr>
          <w:t>10.1021/jacs.5c18488</w:t>
        </w:r>
      </w:hyperlink>
    </w:p>
    <w:p>
      <w:pPr>
        <w:spacing w:before="0" w:after="120"/>
      </w:pPr>
      <w:r>
        <w:rPr>
          <w:b/>
        </w:rPr>
        <w:t xml:space="preserve">Notes: </w:t>
      </w:r>
      <w:r>
        <w:t>abstract_source=pubmed</w:t>
      </w:r>
    </w:p>
    <w:p>
      <w:pPr>
        <w:spacing w:before="0" w:after="80" w:lineRule="auto" w:line="276"/>
      </w:pPr>
      <w:r>
        <w:rPr>
          <w:b/>
        </w:rPr>
        <w:t xml:space="preserve">摘要（ZH）: </w:t>
      </w:r>
      <w:r>
        <w:t>不可食用的半纤维素衍生糠醛（FF）及其衍生物为可持续生产二甲基呋喃-2,5-二羧酸酯（Me2-2,5-FDCA）提供了一种有吸引力的方法，后者是可生物降解的聚（乙烯-2,5-呋喃二羧酸酯）（PEF）塑料的单体。传统的Me2-2,5-FDCA合成方法涉及呋喃衍生物的亲核物种，通过热催化活化，经历亲核攻击过程的C-C偶联，表现出苛刻的反应条件、较差的原子经济性和低选择性。在此，我们报道了从甲基呋喃酸酯（Me-FA）和二氧化碳（CO2）电合成5-（甲氧羰基）呋喃-2-羧酸（Me-2,5-FDCA），实现了80%的产率、93%的选择性和6.4%的法拉第效率（FE）。通过后续的酸化和酯化</w:t>
      </w:r>
    </w:p>
    <w:p>
      <w:pPr>
        <w:spacing w:before="0" w:after="200" w:lineRule="auto" w:line="276"/>
      </w:pPr>
      <w:r>
        <w:rPr>
          <w:b/>
        </w:rPr>
        <w:t xml:space="preserve">Abstract (EN): </w:t>
      </w:r>
      <w:r>
        <w:t>Inedible hemicellulose-derived furfural (FF) and its derivatives offer an attractive way for the sustainable production of dimethyl furan-2,5-dicarboxylate (Me2-2,5-FDCA), a monomer of the biodegradable poly(ethylene-2,5-furandicarboxylate) (PEF) plastic. Traditional synthesis methods of Me2-2,5-FDCA involve nucleophilic species from furan derivatives, activated by thermal catalysis, undergoing C-C coupling by nucleophilic attack processes, which exhibit harsh reaction conditions, poor atom economy, and low selectivity. Herein, we reported the electrosynthesis of 5-(methoxycarbonyl)furan-2-carboxylic acid (Me-2,5-FDCA) from methyl furoate (Me-FA) and carbon dioxide (CO2), achieving 80% yield, 93% selectivity, and 6.4% Faraday efficiency (FE). Through subsequent acidification and esterification processes, gram-scale Me2-2,5-FDCA was easily obtained from the electrolytic product. Mechanism studies indicated that CO2, rather than furan derivatives, was first activated by the electric energy to form a CO2 radical anion (CO2•-) and then the CO2•- performed C-C coupling with Me-FA by radical addition processes, which was responsible for the high C5 site selectivity. This innovative electrosynthesis route to the monomer of PEF simultaneously features mild reaction conditions and an excellent atomic economy, which has great potential for application and promotes the transition from petroleum-based plastics to biomass-based plastics.</w:t>
      </w:r>
    </w:p>
    <w:p>
      <w:pPr>
        <w:spacing w:before="120" w:after="120"/>
      </w:pPr>
      <w:r>
        <w:rPr>
          <w:sz w:val="18"/>
        </w:rPr>
        <w:t>——————————————————————————————————————————————————————————————————————</w:t>
      </w:r>
    </w:p>
    <w:p>
      <w:pPr>
        <w:spacing w:before="160" w:after="40" w:line="240" w:lineRule="auto"/>
      </w:pPr>
      <w:r>
        <w:rPr>
          <w:b/>
        </w:rPr>
        <w:t xml:space="preserve">[4] </w:t>
      </w:r>
      <w:hyperlink r:id="rId169">
        <w:r>
          <w:rPr>
            <w:color w:val="1155CC"/>
            <w:u w:val="single"/>
          </w:rPr>
          <w:t>通过构建4f-2p-3d梯度轨道耦合促进乙二醇电氧化中的C-C断裂</w:t>
        </w:r>
      </w:hyperlink>
    </w:p>
    <w:p>
      <w:pPr>
        <w:spacing w:before="0" w:after="80"/>
      </w:pPr>
      <w:r>
        <w:rPr>
          <w:i/>
          <w:sz w:val="20"/>
        </w:rPr>
        <w:t>EN: Facilitating C‐C Cleavage via Constructing 4f‐2p‐3d Gradient Orbital Coupling for Ethylene Glycol Electro‐Oxidation</w:t>
      </w:r>
    </w:p>
    <w:p>
      <w:pPr>
        <w:spacing w:before="0" w:after="120"/>
      </w:pPr>
      <w:r>
        <w:rPr>
          <w:b/>
        </w:rPr>
        <w:t xml:space="preserve">Source: </w:t>
      </w:r>
      <w:r>
        <w:t>Wiley: Advanced Energy Materials: Table of Contents</w:t>
      </w:r>
      <w:r>
        <w:t xml:space="preserve">    </w:t>
      </w:r>
      <w:r>
        <w:rPr>
          <w:b/>
        </w:rPr>
        <w:t xml:space="preserve">Pub date: </w:t>
      </w:r>
      <w:r>
        <w:t>2026-04-08 09:15:06+00:00</w:t>
      </w:r>
      <w:r>
        <w:t xml:space="preserve">    </w:t>
      </w:r>
      <w:r>
        <w:rPr>
          <w:b/>
        </w:rPr>
        <w:t xml:space="preserve">DOI: </w:t>
      </w:r>
      <w:hyperlink r:id="rId170">
        <w:r>
          <w:rPr>
            <w:color w:val="1155CC"/>
            <w:u w:val="single"/>
          </w:rPr>
          <w:t>10.1002/aenm.70926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于传统方法的低效和高碳足迹，聚对苯二甲酸乙二醇酯（PET）回收仍然是一个关键挑战。电催化重整能够在温和条件下选择性氧化PET水解产物乙二醇（EG）为高价值化学品如甲酸盐。在此，开发了一种掺铒的CoNi磷化物催化剂，其中重构的催化剂通过Er-O-Co/Ni之间的4f-2p-3d多轨道耦合重构电子结构并稳定高价金属中心。这种调节增强了*OH吸附，加速了C─H脱氢，并降低了C─C键断裂障碍。因此，该催化剂实现了200 mA cm−2。</w:t>
      </w:r>
    </w:p>
    <w:p>
      <w:pPr>
        <w:spacing w:before="0" w:after="200" w:lineRule="auto" w:line="276"/>
      </w:pPr>
      <w:r>
        <w:rPr>
          <w:b/>
        </w:rPr>
        <w:t xml:space="preserve">Abstract (EN): </w:t>
      </w:r>
      <w:r>
        <w:t>Polyethylene terephthalate (PET) recycling remains a critical challenge due to the inefficiency and high carbon footprint of conventional methods. Electrocatalytic reforming enables the selective oxidation of ethylene glycol (EG), a PET hydrolysis product, into high‐value chemicals such as formate under mild conditions. Here, an Er‐doped CoNi phosphide catalyst is developed, in which the reconstructed catalyst with 4f‐2p‐3d multi‐orbital coupling among Er‐O‐Co/Ni reconstructs the electronic structure and stabilizes high‐valence metal centers. This modulation enhances *OH adsorption, accelerates C─H dehydrogenation, and lowers the C─C bond cleavage barrier. Consequently, the catalyst achieves 200 mA cm</w:t>
      </w:r>
      <w:r>
        <w:t xml:space="preserve"> </w:t>
      </w:r>
      <w:r>
        <w:t>−2</w:t>
      </w:r>
      <w:r>
        <w:t xml:space="preserve"> </w:t>
      </w:r>
      <w:r>
        <w:t>at 1.35 V vs. RHE with a formate Faradaic efficiency of 97.83% and outstanding over 100 h stability. In‐situ spectroscopy and DFT analysis identified the C─C bond cleavage of *CH</w:t>
      </w:r>
      <w:r>
        <w:rPr>
          <w:vertAlign w:val="subscript"/>
        </w:rPr>
        <w:t>2</w:t>
      </w:r>
      <w:r>
        <w:t>OHCOOH as the rate‐determining step in the EGOR pathway. Techno‐economic analysis further demonstrates a net profit of $498 per ton of recycled PET, highlighting the practical feasibility of this strategy for sustainable plastic upcycling.</w:t>
      </w:r>
    </w:p>
    <w:p>
      <w:pPr>
        <w:spacing w:before="120" w:after="120"/>
      </w:pPr>
      <w:r>
        <w:rPr>
          <w:sz w:val="18"/>
        </w:rPr>
        <w:t>——————————————————————————————————————————————————————————————————————</w:t>
      </w:r>
    </w:p>
    <w:p>
      <w:pPr>
        <w:spacing w:before="160" w:after="40" w:line="240" w:lineRule="auto"/>
      </w:pPr>
      <w:r>
        <w:rPr>
          <w:b/>
        </w:rPr>
        <w:t xml:space="preserve">[5] </w:t>
      </w:r>
      <w:hyperlink r:id="rId171">
        <w:r>
          <w:rPr>
            <w:color w:val="1155CC"/>
            <w:u w:val="single"/>
          </w:rPr>
          <w:t>电催化废聚对苯二甲酸乙二醇酯增值中的C─C键中心机制</w:t>
        </w:r>
      </w:hyperlink>
    </w:p>
    <w:p>
      <w:pPr>
        <w:spacing w:before="0" w:after="80"/>
      </w:pPr>
      <w:r>
        <w:rPr>
          <w:i/>
          <w:sz w:val="20"/>
        </w:rPr>
        <w:t>EN: The C─C Bond‐Centric Mechanism in Electrocatalytic Waste Polyethylene Terephthalate Valorization</w:t>
      </w:r>
    </w:p>
    <w:p>
      <w:pPr>
        <w:spacing w:before="0" w:after="120"/>
      </w:pPr>
      <w:r>
        <w:rPr>
          <w:b/>
        </w:rPr>
        <w:t xml:space="preserve">Source: </w:t>
      </w:r>
      <w:r>
        <w:t>Wiley: Angewandte Chemie International Edition: Table of Contents</w:t>
      </w:r>
      <w:r>
        <w:t xml:space="preserve">    </w:t>
      </w:r>
      <w:r>
        <w:rPr>
          <w:b/>
        </w:rPr>
        <w:t xml:space="preserve">Pub date: </w:t>
      </w:r>
      <w:r>
        <w:t>2026-04-08 09:50:09+00:00</w:t>
      </w:r>
      <w:r>
        <w:t xml:space="preserve">    </w:t>
      </w:r>
      <w:r>
        <w:rPr>
          <w:b/>
        </w:rPr>
        <w:t xml:space="preserve">DOI: </w:t>
      </w:r>
      <w:hyperlink r:id="rId172">
        <w:r>
          <w:rPr>
            <w:color w:val="1155CC"/>
            <w:u w:val="single"/>
          </w:rPr>
          <w:t>10.1002/anie.9944053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塑料，尤其是聚对苯二甲酸乙二醇酯（PET）塑料，已经彻底改变了我们的生活；然而，其指数级的消费和管理不当加剧了全球塑料污染。为了解决这一问题，以可再生能源驱动的电催化提供了一种可持续的途径，将废弃的PET升级为增值化学品，同时带来经济和环境优势。这篇小综述总结了电催化PET衍生乙二醇（EG）转化的最新进展，建立了一个基于C─C键命运（断裂、维持或耦合）的框架，以精确获取C</w:t>
      </w:r>
      <w:r>
        <w:rPr>
          <w:vertAlign w:val="subscript"/>
        </w:rPr>
        <w:t>1</w:t>
      </w:r>
      <w:r>
        <w:t>（甲酸、甲酰胺、羟甲基磺酸盐）、C</w:t>
      </w:r>
      <w:r>
        <w:rPr>
          <w:vertAlign w:val="subscript"/>
        </w:rPr>
        <w:t>2</w:t>
      </w:r>
    </w:p>
    <w:p>
      <w:pPr>
        <w:spacing w:before="0" w:after="200" w:lineRule="auto" w:line="276"/>
      </w:pPr>
      <w:r>
        <w:rPr>
          <w:b/>
        </w:rPr>
        <w:t xml:space="preserve">Abstract (EN): </w:t>
      </w:r>
      <w:r>
        <w:t>Plastics have revolutionized our lives, especially polyethylene terephthalate (PET) plastics; however, their exponential consumption and inadequate management have exacerbated global plastic pollution. To address this, renewable energy‐driven electrocatalysis offers a sustainable route to upcycle waste PET into value‐added chemicals, simultaneously delivering economic and environmental advantages. This minireview summarizes recent advances in electrocatalytic PET‐derived ethylene glycol (EG) conversion, establishing a framework based on the fate of the C─C bond (cleavage, maintenance, or coupling) to precisely access C</w:t>
      </w:r>
      <w:r>
        <w:rPr>
          <w:vertAlign w:val="subscript"/>
        </w:rPr>
        <w:t>1</w:t>
      </w:r>
      <w:r>
        <w:t>(formic acid, formamide, hydroxymethylsulfonate), C</w:t>
      </w:r>
      <w:r>
        <w:rPr>
          <w:vertAlign w:val="subscript"/>
        </w:rPr>
        <w:t>2</w:t>
      </w:r>
      <w:r>
        <w:t>(glycolaldehyde, glycolic acid, oxalic acid), and C</w:t>
      </w:r>
      <w:r>
        <w:t xml:space="preserve"> </w:t>
      </w:r>
      <w:r>
        <w:t>3+</w:t>
      </w:r>
      <w:r>
        <w:t xml:space="preserve"> </w:t>
      </w:r>
      <w:r>
        <w:t>(α‐hydroxycarboxylic acid) products. We place particular emphasis on the bond‐centric mechanisms, discussing the decisive factors that govern the reaction pathways and performances. Finally, a forward‐looking perspective is provided to guide future innovations in sustainable PET valorization and circular chemical manufacturing.</w:t>
      </w:r>
    </w:p>
    <w:p>
      <w:pPr>
        <w:spacing w:before="120" w:after="120"/>
      </w:pPr>
      <w:r>
        <w:rPr>
          <w:sz w:val="18"/>
        </w:rPr>
        <w:t>——————————————————————————————————————————————————————————————————————</w:t>
      </w:r>
    </w:p>
    <w:p>
      <w:pPr>
        <w:spacing w:before="160" w:after="120"/>
      </w:pPr>
      <w:r>
        <w:rPr>
          <w:b/>
          <w:sz w:val="28"/>
        </w:rPr>
        <w:t>【UNCATEGORIZED】</w:t>
      </w:r>
    </w:p>
    <w:p>
      <w:pPr>
        <w:spacing w:before="160" w:after="40" w:line="240" w:lineRule="auto"/>
      </w:pPr>
      <w:r>
        <w:rPr>
          <w:b/>
        </w:rPr>
        <w:t xml:space="preserve">[1] </w:t>
      </w:r>
      <w:hyperlink r:id="rId173">
        <w:r>
          <w:rPr>
            <w:color w:val="1155CC"/>
            <w:u w:val="single"/>
          </w:rPr>
          <w:t>推进绿色移动网络</w:t>
        </w:r>
      </w:hyperlink>
    </w:p>
    <w:p>
      <w:pPr>
        <w:spacing w:before="0" w:after="80"/>
      </w:pPr>
      <w:r>
        <w:rPr>
          <w:i/>
          <w:sz w:val="20"/>
        </w:rPr>
        <w:t>EN: Advancing green mobile networks</w:t>
      </w:r>
    </w:p>
    <w:p>
      <w:pPr>
        <w:spacing w:before="0" w:after="120"/>
      </w:pPr>
      <w:r>
        <w:rPr>
          <w:b/>
        </w:rPr>
        <w:t xml:space="preserve">Source: </w:t>
      </w:r>
      <w:r>
        <w:t>Nature Communications</w:t>
      </w:r>
      <w:r>
        <w:t xml:space="preserve">    </w:t>
      </w:r>
      <w:r>
        <w:rPr>
          <w:b/>
        </w:rPr>
        <w:t xml:space="preserve">Pub date: </w:t>
      </w:r>
      <w:r>
        <w:t>2026-04-04 00:00:00+00:00</w:t>
      </w:r>
      <w:r>
        <w:t xml:space="preserve">    </w:t>
      </w:r>
      <w:r>
        <w:rPr>
          <w:b/>
        </w:rPr>
        <w:t xml:space="preserve">DOI: </w:t>
      </w:r>
      <w:hyperlink r:id="rId174">
        <w:r>
          <w:rPr>
            <w:color w:val="1155CC"/>
            <w:u w:val="single"/>
          </w:rPr>
          <w:t>10.1038/s41467-026-71562-1</w:t>
        </w:r>
      </w:hyperlink>
    </w:p>
    <w:p>
      <w:pPr>
        <w:spacing w:before="0" w:after="120"/>
      </w:pPr>
      <w:r>
        <w:rPr>
          <w:b/>
        </w:rPr>
        <w:t xml:space="preserve">Notes: </w:t>
      </w:r>
      <w:r>
        <w:t>abstract_source=openalex</w:t>
      </w:r>
    </w:p>
    <w:p>
      <w:pPr>
        <w:spacing w:before="0" w:after="80" w:lineRule="auto" w:line="276"/>
      </w:pPr>
      <w:r>
        <w:rPr>
          <w:b/>
        </w:rPr>
        <w:t xml:space="preserve">摘要（ZH）: </w:t>
      </w:r>
      <w:r>
        <w:t>移动通信是我们社会中的基石技术，促进了个人关系、合作和教育的发展。每一代这种技术都带来了新的服务，从语音通话和消息传递到互联网接入，现在是人工智能（AI）。这种转变稳步增加了移动网络资源的需求。由于社会和经济需要提高移动网络的能源效率，减少其能源消耗和相关的环境足迹，这篇评论调查了评估与能源相关的网络性能的标准化指标，并概述了数据驱动的最先进解决方案，以加速移动网络的能源转型。移动通信支撑着社会，从</w:t>
      </w:r>
    </w:p>
    <w:p>
      <w:pPr>
        <w:spacing w:before="0" w:after="200" w:lineRule="auto" w:line="276"/>
      </w:pPr>
      <w:r>
        <w:rPr>
          <w:b/>
        </w:rPr>
        <w:t xml:space="preserve">Abstract (EN): </w:t>
      </w:r>
      <w:r>
        <w:t>Mobile communication is a cornerstone technology in our society, facilitating personal relationships, fostering cooperation, and advancing education. Each generation of this technology has brought new services, from voice calls and messaging to internet access, and now Artificial Intelligence (AI). This transformation has steadily augmented the mobile network resource requirements. Driven by the societal and economical needs to increase the mobile network energy efficiency, reduce its energy consumption and the associated environmental footprint, this comment surveys standardized metrics to assess energy-related network performance and overview data-driven state-of-the-art solutions to accelerate the energy transition of mobile networks. Mobile communication underpins society, evolving from calls to AI and increasing network demands. To cut energy use and environmental impact, this work reviews standardized energy metrics and data-driven solutions for greener mobile networks.</w:t>
      </w:r>
    </w:p>
    <w:p>
      <w:pPr>
        <w:spacing w:before="120" w:after="120"/>
      </w:pPr>
      <w:r>
        <w:rPr>
          <w:sz w:val="18"/>
        </w:rPr>
        <w:t>——————————————————————————————————————————————————————————————————————</w:t>
      </w:r>
    </w:p>
    <w:p>
      <w:pPr>
        <w:spacing w:before="160" w:after="40" w:line="240" w:lineRule="auto"/>
      </w:pPr>
      <w:r>
        <w:rPr>
          <w:b/>
        </w:rPr>
        <w:t xml:space="preserve">[2] </w:t>
      </w:r>
      <w:hyperlink r:id="rId175">
        <w:r>
          <w:rPr>
            <w:color w:val="1155CC"/>
            <w:u w:val="single"/>
          </w:rPr>
          <w:t>在极端天气下考虑住宅负载强制供电的灵活资源价值</w:t>
        </w:r>
      </w:hyperlink>
    </w:p>
    <w:p>
      <w:pPr>
        <w:spacing w:before="0" w:after="80"/>
      </w:pPr>
      <w:r>
        <w:rPr>
          <w:i/>
          <w:sz w:val="20"/>
        </w:rPr>
        <w:t>EN: Flexible resource value considering compulsory power supply for residential loads under extreme weather</w:t>
      </w:r>
    </w:p>
    <w:p>
      <w:pPr>
        <w:spacing w:before="0" w:after="120"/>
      </w:pPr>
      <w:r>
        <w:rPr>
          <w:b/>
        </w:rPr>
        <w:t xml:space="preserve">Source: </w:t>
      </w:r>
      <w:r>
        <w:t>ScienceDirect Publication: Applied Energy</w:t>
      </w:r>
      <w:r>
        <w:t xml:space="preserve">    </w:t>
      </w:r>
      <w:r>
        <w:rPr>
          <w:b/>
        </w:rPr>
        <w:t xml:space="preserve">Pub date: </w:t>
      </w:r>
      <w:r>
        <w:t>2026-04-04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176">
        <w:r>
          <w:rPr>
            <w:color w:val="1155CC"/>
            <w:u w:val="single"/>
          </w:rPr>
          <w:t>用于在光子芯片上塑造拓扑模式的人造规范场</w:t>
        </w:r>
      </w:hyperlink>
    </w:p>
    <w:p>
      <w:pPr>
        <w:spacing w:before="0" w:after="80"/>
      </w:pPr>
      <w:r>
        <w:rPr>
          <w:i/>
          <w:sz w:val="20"/>
        </w:rPr>
        <w:t>EN: Artificial gauge fields for sculpting topological modes on photonic chips</w:t>
      </w:r>
    </w:p>
    <w:p>
      <w:pPr>
        <w:spacing w:before="0" w:after="120"/>
      </w:pPr>
      <w:r>
        <w:rPr>
          <w:b/>
        </w:rPr>
        <w:t xml:space="preserve">Source: </w:t>
      </w:r>
      <w:r>
        <w:t>Nature Communications</w:t>
      </w:r>
      <w:r>
        <w:t xml:space="preserve">    </w:t>
      </w:r>
      <w:r>
        <w:rPr>
          <w:b/>
        </w:rPr>
        <w:t xml:space="preserve">Pub date: </w:t>
      </w:r>
      <w:r>
        <w:t>2026-04-04 00:00:00+00:00</w:t>
      </w:r>
      <w:r>
        <w:t xml:space="preserve">    </w:t>
      </w:r>
      <w:r>
        <w:rPr>
          <w:b/>
        </w:rPr>
        <w:t xml:space="preserve">DOI: </w:t>
      </w:r>
      <w:hyperlink r:id="rId177">
        <w:r>
          <w:rPr>
            <w:color w:val="1155CC"/>
            <w:u w:val="single"/>
          </w:rPr>
          <w:t>10.1038/s41467-026-71402-2</w:t>
        </w:r>
      </w:hyperlink>
    </w:p>
    <w:p>
      <w:pPr>
        <w:spacing w:before="0" w:after="120"/>
      </w:pPr>
      <w:r>
        <w:rPr>
          <w:b/>
        </w:rPr>
        <w:t xml:space="preserve">Notes: </w:t>
      </w:r>
      <w:r>
        <w:t>abstract_source=nature_html</w:t>
      </w:r>
    </w:p>
    <w:p>
      <w:pPr>
        <w:spacing w:before="0" w:after="80" w:lineRule="auto" w:line="276"/>
      </w:pPr>
      <w:r>
        <w:rPr>
          <w:b/>
        </w:rPr>
        <w:t xml:space="preserve">摘要（ZH）: </w:t>
      </w:r>
      <w:r>
        <w:t>拓扑态通常表现为在不同拓扑相之间的界面上的局域模式，它们的操控引起了研究中的极大兴趣。在此，我们展示了一种多功能的方法，通过结合各种人工规范场——包括标量、矢量和虚数规范势——并利用人工神经网络的力量，将拓扑模式雕刻成所需的形状。选择的规范场使得拓扑模式的耗散可以精确调节到与体模式的耗散相匹配，从而实现从局域态到完全非局域态的过渡。这些本征模式可以通过神经网络精确设计，实现拓扑态的定制化轮廓，并在光谱上与体带分离</w:t>
      </w:r>
    </w:p>
    <w:p>
      <w:pPr>
        <w:spacing w:before="0" w:after="200" w:lineRule="auto" w:line="276"/>
      </w:pPr>
      <w:r>
        <w:rPr>
          <w:b/>
        </w:rPr>
        <w:t xml:space="preserve">Abstract (EN): </w:t>
      </w:r>
      <w:r>
        <w:t>Topological states, which often manifest as localized modes at interfaces between distinct topological phases, and their manipulation have attracted considerable interest in research. Here, we demonstrate a versatile approach to sculpting topological modes into desired shapes by incorporating various artificial gauge fields —including scalar, vector, and imaginary gauge potentials—and leveraging the power of artificial neural networks. The chose gauge fields enable precise tuning of the dissipation of the topological modes across that of bulk modes, facilitating a transition from localized states to fully delocalized ones. These eigen modes can be precisely engineered by neural networks, achieving tailored profiles of topological states, which remain spectrally isolated from bulk bands and exhibit minimal loss compared to other modes. Our theoretical results are experimentally validated on silicon photonic platforms, demonstrating flexible manipulation of mode profiles. This approach enables the design of topological states with customized properties, offering potential for diverse applications in photonics and beyond.</w:t>
      </w:r>
    </w:p>
    <w:p>
      <w:pPr>
        <w:spacing w:before="120" w:after="120"/>
      </w:pPr>
      <w:r>
        <w:rPr>
          <w:sz w:val="18"/>
        </w:rPr>
        <w:t>——————————————————————————————————————————————————————————————————————</w:t>
      </w:r>
    </w:p>
    <w:p>
      <w:pPr>
        <w:spacing w:before="160" w:after="40" w:line="240" w:lineRule="auto"/>
      </w:pPr>
      <w:r>
        <w:rPr>
          <w:b/>
        </w:rPr>
        <w:t xml:space="preserve">[4] </w:t>
      </w:r>
      <w:hyperlink r:id="rId178">
        <w:r>
          <w:rPr>
            <w:color w:val="1155CC"/>
            <w:u w:val="single"/>
          </w:rPr>
          <w:t>弓形虫的体内适应基因MIC11对于PLP1介导的从宿主细胞逸出至关重要</w:t>
        </w:r>
      </w:hyperlink>
    </w:p>
    <w:p>
      <w:pPr>
        <w:spacing w:before="0" w:after="80"/>
      </w:pPr>
      <w:r>
        <w:rPr>
          <w:i/>
          <w:sz w:val="20"/>
        </w:rPr>
        <w:t>EN: An in vivo fitness gene of Toxoplasma, MIC11, is essential for PLP1-mediated egress from host cells</w:t>
      </w:r>
    </w:p>
    <w:p>
      <w:pPr>
        <w:spacing w:before="0" w:after="120"/>
      </w:pPr>
      <w:r>
        <w:rPr>
          <w:b/>
        </w:rPr>
        <w:t xml:space="preserve">Source: </w:t>
      </w:r>
      <w:r>
        <w:t>Nature Communications</w:t>
      </w:r>
      <w:r>
        <w:t xml:space="preserve">    </w:t>
      </w:r>
      <w:r>
        <w:rPr>
          <w:b/>
        </w:rPr>
        <w:t xml:space="preserve">Pub date: </w:t>
      </w:r>
      <w:r>
        <w:t>2026-04-04 00:00:00+00:00</w:t>
      </w:r>
      <w:r>
        <w:t xml:space="preserve">    </w:t>
      </w:r>
      <w:r>
        <w:rPr>
          <w:b/>
        </w:rPr>
        <w:t xml:space="preserve">DOI: </w:t>
      </w:r>
      <w:hyperlink r:id="rId179">
        <w:r>
          <w:rPr>
            <w:color w:val="1155CC"/>
            <w:u w:val="single"/>
          </w:rPr>
          <w:t>10.1038/s41467-026-71423-x</w:t>
        </w:r>
      </w:hyperlink>
    </w:p>
    <w:p>
      <w:pPr>
        <w:spacing w:before="0" w:after="120"/>
      </w:pPr>
      <w:r>
        <w:rPr>
          <w:b/>
        </w:rPr>
        <w:t xml:space="preserve">Notes: </w:t>
      </w:r>
      <w:r>
        <w:t>abstract_source=nature_html</w:t>
      </w:r>
    </w:p>
    <w:p>
      <w:pPr>
        <w:spacing w:before="0" w:after="80" w:lineRule="auto" w:line="276"/>
      </w:pPr>
      <w:r>
        <w:rPr>
          <w:b/>
        </w:rPr>
        <w:t xml:space="preserve">摘要（ZH）: </w:t>
      </w:r>
      <w:r>
        <w:t>在入侵和复制之后，细胞内病原体必须从感染的宿主细胞中逸出。弓形虫通过诱导分泌穿孔素样蛋白1（PLP1）来促进这一过程。然而，宿主细胞通透化的精确机制仍然是个谜。在此，我们确定了分泌微线粒体蛋白MIC11是膜破坏的关键因素。基于CRISPR的体内筛选确定MIC11是体内赋予适应性的首要基因。删除MIC11导致膜破裂和逸出的严重缺陷。扫描诱变鉴定了MIC11中的功能基序，机制分析支持MIC11与PLP1之间的关联，表明MIC11参与PLP1依赖的膜破坏。此外，裂殖子</w:t>
      </w:r>
    </w:p>
    <w:p>
      <w:pPr>
        <w:spacing w:before="0" w:after="200" w:lineRule="auto" w:line="276"/>
      </w:pPr>
      <w:r>
        <w:rPr>
          <w:b/>
        </w:rPr>
        <w:t xml:space="preserve">Abstract (EN): </w:t>
      </w:r>
      <w:r>
        <w:t>After invasion and replication, intracellular pathogens must egress from infected host cells. Toxoplasma gondii facilitates this process by permeabilizing host cells through induced secretion of perforin-like protein 1 (PLP1). However, the precise mechanism of host cell permeabilization remains enigmatic. Here, we identify the secretory microneme protein MIC11 as a key factor for membrane disruption. A CRISPR-based in vivo screen identifies MIC11 as the top in vivo fitness-conferring gene. Deletion of MIC11 results in severe defects in membrane rupture and egress. Scanning mutagenesis identifies functional motifs in MIC11, and mechanistic analyses support an association between MIC11 and PLP1, suggesting that MIC11 is involved in PLP1-dependent membrane disruption. Moreover, the merozoite-specific paralogue MIC22 functionally complements MIC11 deletion, suggesting a conserved mechanism of egress in the feline-restricted stages of T. gondii. Collectively, the discovery of MIC11 advances our understanding of how parasites disrupt host cells to facilitate rapid egress and successful dissemination.</w:t>
      </w:r>
    </w:p>
    <w:p>
      <w:pPr>
        <w:spacing w:before="120" w:after="120"/>
      </w:pPr>
      <w:r>
        <w:rPr>
          <w:sz w:val="18"/>
        </w:rPr>
        <w:t>——————————————————————————————————————————————————————————————————————</w:t>
      </w:r>
    </w:p>
    <w:p>
      <w:pPr>
        <w:spacing w:before="160" w:after="40" w:line="240" w:lineRule="auto"/>
      </w:pPr>
      <w:r>
        <w:rPr>
          <w:b/>
        </w:rPr>
        <w:t xml:space="preserve">[5] </w:t>
      </w:r>
      <w:hyperlink r:id="rId180">
        <w:r>
          <w:rPr>
            <w:color w:val="1155CC"/>
            <w:u w:val="single"/>
          </w:rPr>
          <w:t>阿尔忒弥斯II号宇航员将在月球背面寻找什么</w:t>
        </w:r>
      </w:hyperlink>
    </w:p>
    <w:p>
      <w:pPr>
        <w:spacing w:before="0" w:after="80"/>
      </w:pPr>
      <w:r>
        <w:rPr>
          <w:i/>
          <w:sz w:val="20"/>
        </w:rPr>
        <w:t>EN: What Artemis II’s astronauts will look for on the Moon’s far side</w:t>
      </w:r>
    </w:p>
    <w:p>
      <w:pPr>
        <w:spacing w:before="0" w:after="120"/>
      </w:pPr>
      <w:r>
        <w:rPr>
          <w:b/>
        </w:rPr>
        <w:t xml:space="preserve">Source: </w:t>
      </w:r>
      <w:r>
        <w:t>Nature</w:t>
      </w:r>
      <w:r>
        <w:t xml:space="preserve">    </w:t>
      </w:r>
      <w:r>
        <w:rPr>
          <w:b/>
        </w:rPr>
        <w:t xml:space="preserve">Pub date: </w:t>
      </w:r>
      <w:r>
        <w:t>2026-04-04 00:00:00+00:00</w:t>
      </w:r>
      <w:r>
        <w:t xml:space="preserve">    </w:t>
      </w:r>
      <w:r>
        <w:rPr>
          <w:b/>
        </w:rPr>
        <w:t xml:space="preserve">DOI: </w:t>
      </w:r>
      <w:hyperlink r:id="rId181">
        <w:r>
          <w:rPr>
            <w:color w:val="1155CC"/>
            <w:u w:val="single"/>
          </w:rPr>
          <w:t>10.1038/d41586-026-01103-9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 </w:t>
      </w:r>
      <w:hyperlink r:id="rId182">
        <w:r>
          <w:rPr>
            <w:color w:val="1155CC"/>
            <w:u w:val="single"/>
          </w:rPr>
          <w:t>电动汽车灵活性预测和优化调度的集成深度学习框架</w:t>
        </w:r>
      </w:hyperlink>
    </w:p>
    <w:p>
      <w:pPr>
        <w:spacing w:before="0" w:after="80"/>
      </w:pPr>
      <w:r>
        <w:rPr>
          <w:i/>
          <w:sz w:val="20"/>
        </w:rPr>
        <w:t>EN: Integrated deep learning framework for electric vehicles' flexibility forecasting and optimal dispatch</w:t>
      </w:r>
    </w:p>
    <w:p>
      <w:pPr>
        <w:spacing w:before="0" w:after="120"/>
      </w:pPr>
      <w:r>
        <w:rPr>
          <w:b/>
        </w:rPr>
        <w:t xml:space="preserve">Source: </w:t>
      </w:r>
      <w:r>
        <w:t>ScienceDirect Publication: Applied Energy</w:t>
      </w:r>
      <w:r>
        <w:t xml:space="preserve">    </w:t>
      </w:r>
      <w:r>
        <w:rPr>
          <w:b/>
        </w:rPr>
        <w:t xml:space="preserve">Pub date: </w:t>
      </w:r>
      <w:r>
        <w:t>2026-04-04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 </w:t>
      </w:r>
      <w:hyperlink r:id="rId183">
        <w:r>
          <w:rPr>
            <w:color w:val="1155CC"/>
            <w:u w:val="single"/>
          </w:rPr>
          <w:t>用于螺旋驱动风力涡轮机尾流的新型工程尾流模型</w:t>
        </w:r>
      </w:hyperlink>
    </w:p>
    <w:p>
      <w:pPr>
        <w:spacing w:before="0" w:after="80"/>
      </w:pPr>
      <w:r>
        <w:rPr>
          <w:i/>
          <w:sz w:val="20"/>
        </w:rPr>
        <w:t>EN: A novel engineering wake model for helix-actuated wind turbine wakes</w:t>
      </w:r>
    </w:p>
    <w:p>
      <w:pPr>
        <w:spacing w:before="0" w:after="120"/>
      </w:pPr>
      <w:r>
        <w:rPr>
          <w:b/>
        </w:rPr>
        <w:t xml:space="preserve">Source: </w:t>
      </w:r>
      <w:r>
        <w:t>ScienceDirect Publication: Applied Energy</w:t>
      </w:r>
      <w:r>
        <w:t xml:space="preserve">    </w:t>
      </w:r>
      <w:r>
        <w:rPr>
          <w:b/>
        </w:rPr>
        <w:t xml:space="preserve">Pub date: </w:t>
      </w:r>
      <w:r>
        <w:t>2026-04-04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 </w:t>
      </w:r>
      <w:hyperlink r:id="rId184">
        <w:r>
          <w:rPr>
            <w:color w:val="1155CC"/>
            <w:u w:val="single"/>
          </w:rPr>
          <w:t>针对攻击场景概率和位置双重不确定性的网络物理配电系统的两阶段防御策略</w:t>
        </w:r>
      </w:hyperlink>
    </w:p>
    <w:p>
      <w:pPr>
        <w:spacing w:before="0" w:after="80"/>
      </w:pPr>
      <w:r>
        <w:rPr>
          <w:i/>
          <w:sz w:val="20"/>
        </w:rPr>
        <w:t>EN: Two-stage defense strategy for cyber-physical distribution systems under dual uncertainties of attack scenario probability and location</w:t>
      </w:r>
    </w:p>
    <w:p>
      <w:pPr>
        <w:spacing w:before="0" w:after="120"/>
      </w:pPr>
      <w:r>
        <w:rPr>
          <w:b/>
        </w:rPr>
        <w:t xml:space="preserve">Source: </w:t>
      </w:r>
      <w:r>
        <w:t>ScienceDirect Publication: Applied Energy</w:t>
      </w:r>
      <w:r>
        <w:t xml:space="preserve">    </w:t>
      </w:r>
      <w:r>
        <w:rPr>
          <w:b/>
        </w:rPr>
        <w:t xml:space="preserve">Pub date: </w:t>
      </w:r>
      <w:r>
        <w:t>2026-04-04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 </w:t>
      </w:r>
      <w:hyperlink r:id="rId185">
        <w:r>
          <w:rPr>
            <w:color w:val="1155CC"/>
            <w:u w:val="single"/>
          </w:rPr>
          <w:t>一种用于酮类、醇类和木质素衍生化合物烷基化的通用原子分散钴催化剂</w:t>
        </w:r>
      </w:hyperlink>
    </w:p>
    <w:p>
      <w:pPr>
        <w:spacing w:before="0" w:after="80"/>
      </w:pPr>
      <w:r>
        <w:rPr>
          <w:i/>
          <w:sz w:val="20"/>
        </w:rPr>
        <w:t>EN: A universal atomically dispersed cobalt catalyst for alkylation of ketones alcohols and lignin-derived compounds</w:t>
      </w:r>
    </w:p>
    <w:p>
      <w:pPr>
        <w:spacing w:before="0" w:after="120"/>
      </w:pPr>
      <w:r>
        <w:rPr>
          <w:b/>
        </w:rPr>
        <w:t xml:space="preserve">Source: </w:t>
      </w:r>
      <w:r>
        <w:t>Nature Communications</w:t>
      </w:r>
      <w:r>
        <w:t xml:space="preserve">    </w:t>
      </w:r>
      <w:r>
        <w:rPr>
          <w:b/>
        </w:rPr>
        <w:t xml:space="preserve">Pub date: </w:t>
      </w:r>
      <w:r>
        <w:t>2026-04-04 00:00:00+00:00</w:t>
      </w:r>
      <w:r>
        <w:t xml:space="preserve">    </w:t>
      </w:r>
      <w:r>
        <w:rPr>
          <w:b/>
        </w:rPr>
        <w:t xml:space="preserve">DOI: </w:t>
      </w:r>
      <w:hyperlink r:id="rId186">
        <w:r>
          <w:rPr>
            <w:color w:val="1155CC"/>
            <w:u w:val="single"/>
          </w:rPr>
          <w:t>10.1038/s41467-026-71275-5</w:t>
        </w:r>
      </w:hyperlink>
    </w:p>
    <w:p>
      <w:pPr>
        <w:spacing w:before="0" w:after="120"/>
      </w:pPr>
      <w:r>
        <w:rPr>
          <w:b/>
        </w:rPr>
        <w:t xml:space="preserve">Notes: </w:t>
      </w:r>
      <w:r>
        <w:t>abstract_source=nature_html</w:t>
      </w:r>
    </w:p>
    <w:p>
      <w:pPr>
        <w:spacing w:before="0" w:after="80" w:lineRule="auto" w:line="276"/>
      </w:pPr>
      <w:r>
        <w:rPr>
          <w:b/>
        </w:rPr>
        <w:t xml:space="preserve">摘要（ZH）: </w:t>
      </w:r>
      <w:r>
        <w:t>催化碳-碳键形成反应是合成有机化学的基础。为了迈向循环碳经济，必须以经济可行和实用的方式高效转化可持续且廉价的起始材料，例如广泛可用的可再生原料。在这项工作中，我们提出了一种在酮与醇中构建C-C键的原子效率和“无废”方法，包括木质素衍生化合物。该协议的广泛适用性基于一种新型异质钴基单原子催化剂的开发，该催化剂通过对钴-聚（对苯二胺）-二氧化硅模板进行热解并随后去除残留的二氧化硅而制成。最有效的催化剂材料由</w:t>
      </w:r>
    </w:p>
    <w:p>
      <w:pPr>
        <w:spacing w:before="0" w:after="200" w:lineRule="auto" w:line="276"/>
      </w:pPr>
      <w:r>
        <w:rPr>
          <w:b/>
        </w:rPr>
        <w:t xml:space="preserve">Abstract (EN): </w:t>
      </w:r>
      <w:r>
        <w:t>Catalytic carbon-carbon bond-forming reactions provide the basis for synthetic organic chemistry. To move towards a circular carbon economy, it is imperative to efficiently convert sustainable and inexpensive starting materials, e.g. broadly available renewable feedstocks, in an economically viable and practical manner. In this work , we present a method for the atom-efficient and “waste-free” construction of C-C bonds in ketones with alcohols, including lignin-derived compounds. The broad applicability of this protocol is based on the development of a novel heterogeneous cobalt-based single atom catalyst, which is produced by subjecting a cobalt-poly(p-phenylenediamine)-silica template to pyrolysis and subsequently removing residual silica. The most effective catalyst material consists of isolated cobalt atoms with Co-N4 active sites dispersed on mesoporous carbon. The resulting material is both highly stable and reusable. The presented method facilitates the general and selective C-alkylation of aromatic, heterocyclic, and aliphatic ketones, as well as secondary alcohols. Applications include the functionalization of bioactive molecules and the preparation of pharmaceutical drugs and valuable methylated compounds. The value of the cobalt-single atom catalyst is further demonstrated in the industrially relevant C-alkylation of KA oil.</w:t>
      </w:r>
    </w:p>
    <w:p>
      <w:pPr>
        <w:spacing w:before="120" w:after="120"/>
      </w:pPr>
      <w:r>
        <w:rPr>
          <w:sz w:val="18"/>
        </w:rPr>
        <w:t>——————————————————————————————————————————————————————————————————————</w:t>
      </w:r>
    </w:p>
    <w:p>
      <w:pPr>
        <w:spacing w:before="160" w:after="40" w:line="240" w:lineRule="auto"/>
      </w:pPr>
      <w:r>
        <w:rPr>
          <w:b/>
        </w:rPr>
        <w:t xml:space="preserve">[10] </w:t>
      </w:r>
      <w:hyperlink r:id="rId187">
        <w:r>
          <w:rPr>
            <w:color w:val="1155CC"/>
            <w:u w:val="single"/>
          </w:rPr>
          <w:t>在能带奇点周围实现开放等频率轮廓的朗道能级</w:t>
        </w:r>
      </w:hyperlink>
    </w:p>
    <w:p>
      <w:pPr>
        <w:spacing w:before="0" w:after="80"/>
      </w:pPr>
      <w:r>
        <w:rPr>
          <w:i/>
          <w:sz w:val="20"/>
        </w:rPr>
        <w:t>EN: Realizing Landau levels with open equifrequency contours around band singularities</w:t>
      </w:r>
    </w:p>
    <w:p>
      <w:pPr>
        <w:spacing w:before="0" w:after="120"/>
      </w:pPr>
      <w:r>
        <w:rPr>
          <w:b/>
        </w:rPr>
        <w:t xml:space="preserve">Source: </w:t>
      </w:r>
      <w:r>
        <w:t>Nature Communications</w:t>
      </w:r>
      <w:r>
        <w:t xml:space="preserve">    </w:t>
      </w:r>
      <w:r>
        <w:rPr>
          <w:b/>
        </w:rPr>
        <w:t xml:space="preserve">Pub date: </w:t>
      </w:r>
      <w:r>
        <w:t>2026-04-04 00:00:00+00:00</w:t>
      </w:r>
      <w:r>
        <w:t xml:space="preserve">    </w:t>
      </w:r>
      <w:r>
        <w:rPr>
          <w:b/>
        </w:rPr>
        <w:t xml:space="preserve">DOI: </w:t>
      </w:r>
      <w:hyperlink r:id="rId188">
        <w:r>
          <w:rPr>
            <w:color w:val="1155CC"/>
            <w:u w:val="single"/>
          </w:rPr>
          <w:t>10.1038/s41467-026-70879-1</w:t>
        </w:r>
      </w:hyperlink>
    </w:p>
    <w:p>
      <w:pPr>
        <w:spacing w:before="0" w:after="120"/>
      </w:pPr>
      <w:r>
        <w:rPr>
          <w:b/>
        </w:rPr>
        <w:t xml:space="preserve">Notes: </w:t>
      </w:r>
      <w:r>
        <w:t>abstract_source=nature_html</w:t>
      </w:r>
    </w:p>
    <w:p>
      <w:pPr>
        <w:spacing w:before="0" w:after="80" w:lineRule="auto" w:line="276"/>
      </w:pPr>
      <w:r>
        <w:rPr>
          <w:b/>
        </w:rPr>
        <w:t xml:space="preserve">摘要（ZH）: </w:t>
      </w:r>
      <w:r>
        <w:t>在磁场中的带电粒子进行圆周运动，并产生称为朗道能级（LLs）的量子化能级。围绕能带奇点的LLs由于其非平凡的拓扑性质而特别有趣。迄今为止，通过引入人工磁场，LLs仅在围绕能带奇点的封闭等频轮廓（EFCs）系统中被观察到，即I型狄拉克或外尔系统。在此，我们通过人工电（E）和磁（B）场的联合作用，展示了在能带奇点周围具有开放EFCs的LLs的存在，而仅靠B无法生成。我们构建了一个具有开放EFCs的二维II型狄拉克系统的不均匀超表面人工平台，创造了合适的人工</w:t>
      </w:r>
    </w:p>
    <w:p>
      <w:pPr>
        <w:spacing w:before="0" w:after="200" w:lineRule="auto" w:line="276"/>
      </w:pPr>
      <w:r>
        <w:rPr>
          <w:b/>
        </w:rPr>
        <w:t xml:space="preserve">Abstract (EN): </w:t>
      </w:r>
      <w:r>
        <w:t>Charged particles in a magnetic field undergo circular motion and result in quantized energy levels known as Landau levels (LLs). LLs around band singularites are particularly interesting due to their nontrivial topological properties. To date, through the introduction of the artificial magnetic field, LLs have been observed in systems only with closed equifrequency contours (EFCs) around band singularities, i.e. type-I Dirac or Weyl systems. Here, we demonstrate the existence of LLs with open EFCs around band singularities through combined action of artificial electric (E) and magnetic (B) fields, whereas they cannot be generated by B only. We construct an artificial platform of inhomogeneous metasurfaces of the two-dimensional type-II Dirac system with open EFCs, create suitable artificial gauge fields of E&amp;B, and observe the emergence of E&amp;B-induced LLs experimentally. This work presents a new insight for realizing LLs, and provides a platform for controlling optical waves propagating using artificial gauge fields.</w:t>
      </w:r>
    </w:p>
    <w:p>
      <w:pPr>
        <w:spacing w:before="120" w:after="120"/>
      </w:pPr>
      <w:r>
        <w:rPr>
          <w:sz w:val="18"/>
        </w:rPr>
        <w:t>——————————————————————————————————————————————————————————————————————</w:t>
      </w:r>
    </w:p>
    <w:p>
      <w:pPr>
        <w:spacing w:before="160" w:after="40" w:line="240" w:lineRule="auto"/>
      </w:pPr>
      <w:r>
        <w:rPr>
          <w:b/>
        </w:rPr>
        <w:t xml:space="preserve">[11] </w:t>
      </w:r>
      <w:hyperlink r:id="rId189">
        <w:r>
          <w:rPr>
            <w:color w:val="1155CC"/>
            <w:u w:val="single"/>
          </w:rPr>
          <w:t>无毒碲化银胶体量子点中红外光探测器</w:t>
        </w:r>
      </w:hyperlink>
    </w:p>
    <w:p>
      <w:pPr>
        <w:spacing w:before="0" w:after="80"/>
      </w:pPr>
      <w:r>
        <w:rPr>
          <w:i/>
          <w:sz w:val="20"/>
        </w:rPr>
        <w:t>EN: Non-toxic silver telluride colloidal quantum dot mid-infrared photodetector</w:t>
      </w:r>
    </w:p>
    <w:p>
      <w:pPr>
        <w:spacing w:before="0" w:after="120"/>
      </w:pPr>
      <w:r>
        <w:rPr>
          <w:b/>
        </w:rPr>
        <w:t xml:space="preserve">Source: </w:t>
      </w:r>
      <w:r>
        <w:t>Nature Communications</w:t>
      </w:r>
      <w:r>
        <w:t xml:space="preserve">    </w:t>
      </w:r>
      <w:r>
        <w:rPr>
          <w:b/>
        </w:rPr>
        <w:t xml:space="preserve">Pub date: </w:t>
      </w:r>
      <w:r>
        <w:t>2026-04-04 00:00:00+00:00</w:t>
      </w:r>
      <w:r>
        <w:t xml:space="preserve">    </w:t>
      </w:r>
      <w:r>
        <w:rPr>
          <w:b/>
        </w:rPr>
        <w:t xml:space="preserve">DOI: </w:t>
      </w:r>
      <w:hyperlink r:id="rId190">
        <w:r>
          <w:rPr>
            <w:color w:val="1155CC"/>
            <w:u w:val="single"/>
          </w:rPr>
          <w:t>10.1038/s41467-026-71374-3</w:t>
        </w:r>
      </w:hyperlink>
    </w:p>
    <w:p>
      <w:pPr>
        <w:spacing w:before="0" w:after="120"/>
      </w:pPr>
      <w:r>
        <w:rPr>
          <w:b/>
        </w:rPr>
        <w:t xml:space="preserve">Notes: </w:t>
      </w:r>
      <w:r>
        <w:t>abstract_source=nature_html</w:t>
      </w:r>
    </w:p>
    <w:p>
      <w:pPr>
        <w:spacing w:before="0" w:after="80" w:lineRule="auto" w:line="276"/>
      </w:pPr>
      <w:r>
        <w:rPr>
          <w:b/>
        </w:rPr>
        <w:t xml:space="preserve">摘要（ZH）: </w:t>
      </w:r>
      <w:r>
        <w:t>随着对可持续和生物相容性技术需求的增长，低毒性中红外材料，如硫属化物银，已引起了显著的关注。在此，我们通过一种后生长方法，从短波长红外Ag2Te胶体量子点开始，报道了中波长红外可调谐Ag2Te胶体量子点。利用合成的Ag2Te胶体量子点，我们成功制造了一种覆盖整个中波长红外光谱范围（3–5 μm）的光探测器，其起始波长延伸至6.9 μm。在78 K时，光探测器表现出230 ns（上升）和576 ns（下降）的光响应时间。响应度根据施加的偏压从0.02 V时的1.9 × 10-3 A W−1变化到0.5 V时的1.1 A W−1，器件的特定探测率为1.2</w:t>
      </w:r>
    </w:p>
    <w:p>
      <w:pPr>
        <w:spacing w:before="0" w:after="200" w:lineRule="auto" w:line="276"/>
      </w:pPr>
      <w:r>
        <w:rPr>
          <w:b/>
        </w:rPr>
        <w:t xml:space="preserve">Abstract (EN): </w:t>
      </w:r>
      <w:r>
        <w:t>As demand for sustainable and biocompatible technologies grows, low-toxicity mid-infrared materials, such as silver chalcogenides, have attracted significant interest. Herein, we report mid-wavelength infrared tunable Ag2Te colloidal quantum dots through a post-growth method starting from short-wavelength infrared Ag2Te colloidal quantum dots. Using the synthesized Ag2Te colloidal quantum dots, we successfully fabricate a photodetector covering the full mid-wavelength infrared spectral range (3–5 μm) with an onset wavelength extending to 6.9 μm. At 78 K, the photodetectors exhibit a photoresponse time of 230 ns (rise) and 576 ns (fall). Responsivity varies from 1.9 × 10-3 A W−1 at 0.02 V to 1.1 A W−1 at 0.5 V, depending on the applied bias, and the specific detectivity of the device is 1.2 × 109 Jones at 0.02 V. The measured noise-equivalent temperature difference of 0.3 K enables us to reliably distinguish temperature variations between 37 °C and 40 °C, directly enabling the diagnosis of fever-level body temperatures.</w:t>
      </w:r>
    </w:p>
    <w:p>
      <w:pPr>
        <w:spacing w:before="120" w:after="120"/>
      </w:pPr>
      <w:r>
        <w:rPr>
          <w:sz w:val="18"/>
        </w:rPr>
        <w:t>——————————————————————————————————————————————————————————————————————</w:t>
      </w:r>
    </w:p>
    <w:p>
      <w:pPr>
        <w:spacing w:before="160" w:after="40" w:line="240" w:lineRule="auto"/>
      </w:pPr>
      <w:r>
        <w:rPr>
          <w:b/>
        </w:rPr>
        <w:t xml:space="preserve">[12] </w:t>
      </w:r>
      <w:hyperlink r:id="rId191">
        <w:r>
          <w:rPr>
            <w:color w:val="1155CC"/>
            <w:u w:val="single"/>
          </w:rPr>
          <w:t>非洲的绿色金融与能源安全：可持续发展的面板VAR方法</w:t>
        </w:r>
      </w:hyperlink>
    </w:p>
    <w:p>
      <w:pPr>
        <w:spacing w:before="0" w:after="80"/>
      </w:pPr>
      <w:r>
        <w:rPr>
          <w:i/>
          <w:sz w:val="20"/>
        </w:rPr>
        <w:t>EN: Green finance and energy security in Africa: A panel VAR approach to sustainable development</w:t>
      </w:r>
    </w:p>
    <w:p>
      <w:pPr>
        <w:spacing w:before="0" w:after="120"/>
      </w:pPr>
      <w:r>
        <w:rPr>
          <w:b/>
        </w:rPr>
        <w:t xml:space="preserve">Source: </w:t>
      </w:r>
      <w:r>
        <w:t>ScienceDirect Publication: Energy Policy</w:t>
      </w:r>
      <w:r>
        <w:t xml:space="preserve">    </w:t>
      </w:r>
      <w:r>
        <w:rPr>
          <w:b/>
        </w:rPr>
        <w:t xml:space="preserve">Pub date: </w:t>
      </w:r>
      <w:r>
        <w:t>2026-04-04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[13] </w:t>
      </w:r>
      <w:hyperlink r:id="rId192">
        <w:r>
          <w:rPr>
            <w:color w:val="1155CC"/>
            <w:u w:val="single"/>
          </w:rPr>
          <w:t>扭曲双层石墨烯中的层选择性氢化和质子传输</w:t>
        </w:r>
      </w:hyperlink>
    </w:p>
    <w:p>
      <w:pPr>
        <w:spacing w:before="0" w:after="80"/>
      </w:pPr>
      <w:r>
        <w:rPr>
          <w:i/>
          <w:sz w:val="20"/>
        </w:rPr>
        <w:t>EN: Layer-selective hydrogenation and proton transport in twisted bilayer graphene</w:t>
      </w:r>
    </w:p>
    <w:p>
      <w:pPr>
        <w:spacing w:before="0" w:after="120"/>
      </w:pPr>
      <w:r>
        <w:rPr>
          <w:b/>
        </w:rPr>
        <w:t xml:space="preserve">Source: </w:t>
      </w:r>
      <w:r>
        <w:t>Nature Communications</w:t>
      </w:r>
      <w:r>
        <w:t xml:space="preserve">    </w:t>
      </w:r>
      <w:r>
        <w:rPr>
          <w:b/>
        </w:rPr>
        <w:t xml:space="preserve">Pub date: </w:t>
      </w:r>
      <w:r>
        <w:t>2026-04-04 00:00:00+00:00</w:t>
      </w:r>
      <w:r>
        <w:t xml:space="preserve">    </w:t>
      </w:r>
      <w:r>
        <w:rPr>
          <w:b/>
        </w:rPr>
        <w:t xml:space="preserve">DOI: </w:t>
      </w:r>
      <w:hyperlink r:id="rId193">
        <w:r>
          <w:rPr>
            <w:color w:val="1155CC"/>
            <w:u w:val="single"/>
          </w:rPr>
          <w:t>10.1038/s41467-026-71147-y</w:t>
        </w:r>
      </w:hyperlink>
    </w:p>
    <w:p>
      <w:pPr>
        <w:spacing w:before="0" w:after="120"/>
      </w:pPr>
      <w:r>
        <w:rPr>
          <w:b/>
        </w:rPr>
        <w:t xml:space="preserve">Notes: </w:t>
      </w:r>
      <w:r>
        <w:t>abstract_source=nature_html</w:t>
      </w:r>
    </w:p>
    <w:p>
      <w:pPr>
        <w:spacing w:before="0" w:after="80" w:lineRule="auto" w:line="276"/>
      </w:pPr>
      <w:r>
        <w:rPr>
          <w:b/>
        </w:rPr>
        <w:t xml:space="preserve">摘要（ZH）: </w:t>
      </w:r>
      <w:r>
        <w:t>最近的研究调查了石墨烯的氢化过程，通过独立控制晶体中的电场E和电荷密度n，显示该过程由n控制。在此，我们展示了在强E下固定n的条件下，通过氢化驱动的扭曲双层石墨烯中的层选择性导体-绝缘体转变。该过程伴随着质子通过双层的传输，使设备中实现多个并行且可配置的逻辑门。选择性产生的原因是由于大扭转角度使两层的电子系统解耦，从而能够独立控制它们的电荷密度。电场的极化随后在固定总n的情况下引发电荷不平衡，当其中一层的电荷密度达到单层的阈值时触发氢化</w:t>
      </w:r>
    </w:p>
    <w:p>
      <w:pPr>
        <w:spacing w:before="0" w:after="200" w:lineRule="auto" w:line="276"/>
      </w:pPr>
      <w:r>
        <w:rPr>
          <w:b/>
        </w:rPr>
        <w:t xml:space="preserve">Abstract (EN): </w:t>
      </w:r>
      <w:r>
        <w:t>Recent work investigated graphene’s hydrogenation with independent control of the electric field, E, and charge density, n, in the crystal and showed that the process is controlled by n. Here, we demonstrate layer-selective conductor–insulator transitions in twisted bilayer graphene, driven by hydrogenation at fixed n under strong E. This process is accompanied by proton transport through the bilayer, enabling several parallel and configurable logic gates in the devices. Selectivity arises because the large twist angle decouples the two layers’ electronic systems, enabling independent control of their charge densities. Polarisation by the field then induces a charge imbalance at fixed total n, triggering hydrogenation when one of the layers’ charge densities reaches the threshold for monolayer hydrogenation. Our results introduce a new type of electrode-electrolyte interface in which electrochemical processes are controlled with two decoupled 2D electron gases, opening new design opportunities for energy and information processing devices.</w:t>
      </w:r>
    </w:p>
    <w:p>
      <w:pPr>
        <w:spacing w:before="120" w:after="120"/>
      </w:pPr>
      <w:r>
        <w:rPr>
          <w:sz w:val="18"/>
        </w:rPr>
        <w:t>——————————————————————————————————————————————————————————————————————</w:t>
      </w:r>
    </w:p>
    <w:p>
      <w:pPr>
        <w:spacing w:before="160" w:after="40" w:line="240" w:lineRule="auto"/>
      </w:pPr>
      <w:r>
        <w:rPr>
          <w:b/>
        </w:rPr>
        <w:t xml:space="preserve">[14] </w:t>
      </w:r>
      <w:hyperlink r:id="rId194">
        <w:r>
          <w:rPr>
            <w:color w:val="1155CC"/>
            <w:u w:val="single"/>
          </w:rPr>
          <w:t>区域环境对高校绿色创新的影响：中国的证据</w:t>
        </w:r>
      </w:hyperlink>
    </w:p>
    <w:p>
      <w:pPr>
        <w:spacing w:before="0" w:after="80"/>
      </w:pPr>
      <w:r>
        <w:rPr>
          <w:i/>
          <w:sz w:val="20"/>
        </w:rPr>
        <w:t>EN: Impact of regional environment on green innovation of universities: Evidence from China</w:t>
      </w:r>
    </w:p>
    <w:p>
      <w:pPr>
        <w:spacing w:before="0" w:after="120"/>
      </w:pPr>
      <w:r>
        <w:rPr>
          <w:b/>
        </w:rPr>
        <w:t xml:space="preserve">Source: </w:t>
      </w:r>
      <w:r>
        <w:t>ScienceDirect Publication: Energy Policy</w:t>
      </w:r>
      <w:r>
        <w:t xml:space="preserve">    </w:t>
      </w:r>
      <w:r>
        <w:rPr>
          <w:b/>
        </w:rPr>
        <w:t xml:space="preserve">Pub date: </w:t>
      </w:r>
      <w:r>
        <w:t>2026-04-04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 </w:t>
      </w:r>
      <w:hyperlink r:id="rId195">
        <w:r>
          <w:rPr>
            <w:color w:val="1155CC"/>
            <w:u w:val="single"/>
          </w:rPr>
          <w:t>一种用于电动汽车充电负荷预测的异质特征集成相似日选择框架</w:t>
        </w:r>
      </w:hyperlink>
    </w:p>
    <w:p>
      <w:pPr>
        <w:spacing w:before="0" w:after="80"/>
      </w:pPr>
      <w:r>
        <w:rPr>
          <w:i/>
          <w:sz w:val="20"/>
        </w:rPr>
        <w:t>EN: A similar day selection framework with heterogeneous feature integration for electric vehicle charging load forecasting</w:t>
      </w:r>
    </w:p>
    <w:p>
      <w:pPr>
        <w:spacing w:before="0" w:after="120"/>
      </w:pPr>
      <w:r>
        <w:rPr>
          <w:b/>
        </w:rPr>
        <w:t xml:space="preserve">Source: </w:t>
      </w:r>
      <w:r>
        <w:t>ScienceDirect Publication: Applied Energy</w:t>
      </w:r>
      <w:r>
        <w:t xml:space="preserve">    </w:t>
      </w:r>
      <w:r>
        <w:rPr>
          <w:b/>
        </w:rPr>
        <w:t xml:space="preserve">Pub date: </w:t>
      </w:r>
      <w:r>
        <w:t>2026-04-04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 </w:t>
      </w:r>
      <w:hyperlink r:id="rId196">
        <w:r>
          <w:rPr>
            <w:color w:val="1155CC"/>
            <w:u w:val="single"/>
          </w:rPr>
          <w:t>一种高效的分布鲁棒框架，用于在正常和飓风条件下可再生能源主导的电力系统中进行多周期储能规划</w:t>
        </w:r>
      </w:hyperlink>
    </w:p>
    <w:p>
      <w:pPr>
        <w:spacing w:before="0" w:after="80"/>
      </w:pPr>
      <w:r>
        <w:rPr>
          <w:i/>
          <w:sz w:val="20"/>
        </w:rPr>
        <w:t>EN: An efficient distributionally robust framework for multi-period energy storage planning in renewable-dominated power systems under normal and hurricane conditions</w:t>
      </w:r>
    </w:p>
    <w:p>
      <w:pPr>
        <w:spacing w:before="0" w:after="120"/>
      </w:pPr>
      <w:r>
        <w:rPr>
          <w:b/>
        </w:rPr>
        <w:t xml:space="preserve">Source: </w:t>
      </w:r>
      <w:r>
        <w:t>ScienceDirect Publication: Applied Energy</w:t>
      </w:r>
      <w:r>
        <w:t xml:space="preserve">    </w:t>
      </w:r>
      <w:r>
        <w:rPr>
          <w:b/>
        </w:rPr>
        <w:t xml:space="preserve">Pub date: </w:t>
      </w:r>
      <w:r>
        <w:t>2026-04-04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 </w:t>
      </w:r>
      <w:hyperlink r:id="rId197">
        <w:r>
          <w:rPr>
            <w:color w:val="1155CC"/>
            <w:u w:val="single"/>
          </w:rPr>
          <w:t>绿色金融与大数据双试点对能源弹性的协同效应：基于改进的合成控制方法的证据</w:t>
        </w:r>
      </w:hyperlink>
    </w:p>
    <w:p>
      <w:pPr>
        <w:spacing w:before="0" w:after="80"/>
      </w:pPr>
      <w:r>
        <w:rPr>
          <w:i/>
          <w:sz w:val="20"/>
        </w:rPr>
        <w:t>EN: Synergistic effects of green finance and big data dual pilots on energy resilience: Evidence from improved synthetic control methods</w:t>
      </w:r>
    </w:p>
    <w:p>
      <w:pPr>
        <w:spacing w:before="0" w:after="120"/>
      </w:pPr>
      <w:r>
        <w:rPr>
          <w:b/>
        </w:rPr>
        <w:t xml:space="preserve">Source: </w:t>
      </w:r>
      <w:r>
        <w:t>ScienceDirect Publication: Energy Policy</w:t>
      </w:r>
      <w:r>
        <w:t xml:space="preserve">    </w:t>
      </w:r>
      <w:r>
        <w:rPr>
          <w:b/>
        </w:rPr>
        <w:t xml:space="preserve">Pub date: </w:t>
      </w:r>
      <w:r>
        <w:t>2026-04-04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[18] </w:t>
      </w:r>
      <w:hyperlink r:id="rId198">
        <w:r>
          <w:rPr>
            <w:color w:val="1155CC"/>
            <w:u w:val="single"/>
          </w:rPr>
          <w:t>在金属-有机框架中围绕单原子Fe位点创建阴离子微环境以增强硝酸盐电还原</w:t>
        </w:r>
      </w:hyperlink>
    </w:p>
    <w:p>
      <w:pPr>
        <w:spacing w:before="0" w:after="80"/>
      </w:pPr>
      <w:r>
        <w:rPr>
          <w:i/>
          <w:sz w:val="20"/>
        </w:rPr>
        <w:t>EN: Creating Anionic Microenvironment Around Single‐Atom Fe Sites in Metal–Organic Frameworks for Enhanced Nitrate Electroreduction</w:t>
      </w:r>
    </w:p>
    <w:p>
      <w:pPr>
        <w:spacing w:before="0" w:after="120"/>
      </w:pPr>
      <w:r>
        <w:rPr>
          <w:b/>
        </w:rPr>
        <w:t xml:space="preserve">Source: </w:t>
      </w:r>
      <w:r>
        <w:t>Wiley: Angewandte Chemie International Edition: Table of Contents</w:t>
      </w:r>
      <w:r>
        <w:t xml:space="preserve">    </w:t>
      </w:r>
      <w:r>
        <w:rPr>
          <w:b/>
        </w:rPr>
        <w:t xml:space="preserve">Pub date: </w:t>
      </w:r>
      <w:r>
        <w:t>2026-04-04 08:19:49+00:00</w:t>
      </w:r>
      <w:r>
        <w:t xml:space="preserve">    </w:t>
      </w:r>
      <w:r>
        <w:rPr>
          <w:b/>
        </w:rPr>
        <w:t xml:space="preserve">DOI: </w:t>
      </w:r>
      <w:hyperlink r:id="rId199">
        <w:r>
          <w:rPr>
            <w:color w:val="1155CC"/>
            <w:u w:val="single"/>
          </w:rPr>
          <w:t>10.1002/anie.8338805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电催化硝酸盐还原反应（eNO3RR）提供了一种可持续的策略，既可用于NO3−废水处理，又可用于增值NH3生产。然而，由于质子供应有限，在中性介质中反应动力学缓慢，限制了其应用。在此，功能化了具有原子分散Fe位点的阴离子金属有机框架（MOF）SU‐102，生成SU‐102‐Fe。该催化剂实现了96.9%的法拉第效率（FE）和1.72 mg h−1 mg的NH3生产速率。</w:t>
      </w:r>
    </w:p>
    <w:p>
      <w:pPr>
        <w:spacing w:before="0" w:after="200" w:lineRule="auto" w:line="276"/>
      </w:pPr>
      <w:r>
        <w:rPr>
          <w:b/>
        </w:rPr>
        <w:t xml:space="preserve">Abstract (EN): </w:t>
      </w:r>
      <w:r>
        <w:t>The electrocatalytic nitrate reduction reaction (eNO</w:t>
      </w:r>
      <w:r>
        <w:rPr>
          <w:vertAlign w:val="subscript"/>
        </w:rPr>
        <w:t>3</w:t>
      </w:r>
      <w:r>
        <w:t>RR) offers a sustainable strategy for both NO</w:t>
      </w:r>
      <w:r>
        <w:rPr>
          <w:vertAlign w:val="subscript"/>
        </w:rPr>
        <w:t>3</w:t>
      </w:r>
      <w:r>
        <w:t>−</w:t>
      </w:r>
      <w:r>
        <w:t>wastewater remediation and value‐added NH</w:t>
      </w:r>
      <w:r>
        <w:rPr>
          <w:vertAlign w:val="subscript"/>
        </w:rPr>
        <w:t>3</w:t>
      </w:r>
      <w:r>
        <w:t>production. However, its application is hindered by sluggish reaction kinetics in neutral media due to the limited availability of protons. Herein, an anionic metal–organic framework (MOF), SU‐102, is functionalized with atomically dispersed Fe sites to yield SU‐102‐Fe. This catalyst achieves a Faradaic efficiency (FE) of 96.9% and NH</w:t>
      </w:r>
      <w:r>
        <w:rPr>
          <w:vertAlign w:val="subscript"/>
        </w:rPr>
        <w:t>3</w:t>
      </w:r>
      <w:r>
        <w:t>production rate of 1.72 mg h</w:t>
      </w:r>
      <w:r>
        <w:t xml:space="preserve"> </w:t>
      </w:r>
      <w:r>
        <w:t>−1</w:t>
      </w:r>
      <w:r>
        <w:t xml:space="preserve"> </w:t>
      </w:r>
      <w:r>
        <w:t>mg</w:t>
      </w:r>
      <w:r>
        <w:t xml:space="preserve"> </w:t>
      </w:r>
      <w:r>
        <w:t>cat</w:t>
      </w:r>
      <w:r>
        <w:t xml:space="preserve"> </w:t>
      </w:r>
      <w:r>
        <w:t>−1</w:t>
      </w:r>
      <w:r>
        <w:t xml:space="preserve"> </w:t>
      </w:r>
      <w:r>
        <w:t>at −0.7 V versus RHE, far surpassing the commercial Fe</w:t>
      </w:r>
      <w:r>
        <w:rPr>
          <w:vertAlign w:val="subscript"/>
        </w:rPr>
        <w:t>2</w:t>
      </w:r>
      <w:r>
        <w:t>O</w:t>
      </w:r>
      <w:r>
        <w:rPr>
          <w:vertAlign w:val="subscript"/>
        </w:rPr>
        <w:t>3</w:t>
      </w:r>
      <w:r>
        <w:t>and pristine SU‐102. In situ characterizations reveal that the negatively charged Zr─O units in SU‐102 create an anionic microenvironment around the Fe sites, which enriches K</w:t>
      </w:r>
      <w:r>
        <w:t xml:space="preserve"> </w:t>
      </w:r>
      <w:r>
        <w:t>+</w:t>
      </w:r>
      <w:r>
        <w:t xml:space="preserve"> </w:t>
      </w:r>
      <w:r>
        <w:t>•H</w:t>
      </w:r>
      <w:r>
        <w:rPr>
          <w:vertAlign w:val="subscript"/>
        </w:rPr>
        <w:t>2</w:t>
      </w:r>
      <w:r>
        <w:t>O species derived from the interfacial hydrogen‐bonding network. The facile dissociation of K</w:t>
      </w:r>
      <w:r>
        <w:t xml:space="preserve"> </w:t>
      </w:r>
      <w:r>
        <w:t>+</w:t>
      </w:r>
      <w:r>
        <w:t xml:space="preserve"> </w:t>
      </w:r>
      <w:r>
        <w:t>•H</w:t>
      </w:r>
      <w:r>
        <w:rPr>
          <w:vertAlign w:val="subscript"/>
        </w:rPr>
        <w:t>2</w:t>
      </w:r>
      <w:r>
        <w:t>O improves local proton supply, facilitating NO</w:t>
      </w:r>
      <w:r>
        <w:rPr>
          <w:vertAlign w:val="subscript"/>
        </w:rPr>
        <w:t>3</w:t>
      </w:r>
      <w:r>
        <w:t>−</w:t>
      </w:r>
      <w:r>
        <w:t>‐to‐NH</w:t>
      </w:r>
      <w:r>
        <w:rPr>
          <w:vertAlign w:val="subscript"/>
        </w:rPr>
        <w:t>3</w:t>
      </w:r>
      <w:r>
        <w:t>conversion and accounting for the superior eNO</w:t>
      </w:r>
      <w:r>
        <w:rPr>
          <w:vertAlign w:val="subscript"/>
        </w:rPr>
        <w:t>3</w:t>
      </w:r>
      <w:r>
        <w:t>RR performance of SU‐102‐Fe.</w:t>
      </w:r>
    </w:p>
    <w:p>
      <w:pPr>
        <w:spacing w:before="120" w:after="120"/>
      </w:pPr>
      <w:r>
        <w:rPr>
          <w:sz w:val="18"/>
        </w:rPr>
        <w:t>——————————————————————————————————————————————————————————————————————</w:t>
      </w:r>
    </w:p>
    <w:p>
      <w:pPr>
        <w:spacing w:before="160" w:after="40" w:line="240" w:lineRule="auto"/>
      </w:pPr>
      <w:r>
        <w:rPr>
          <w:b/>
        </w:rPr>
        <w:t xml:space="preserve">[19] </w:t>
      </w:r>
      <w:hyperlink r:id="rId200">
        <w:r>
          <w:rPr>
            <w:color w:val="1155CC"/>
            <w:u w:val="single"/>
          </w:rPr>
          <w:t>激光辅助相工程2D MoS2用于高效溶液加工电子器件</w:t>
        </w:r>
      </w:hyperlink>
    </w:p>
    <w:p>
      <w:pPr>
        <w:spacing w:before="0" w:after="80"/>
      </w:pPr>
      <w:r>
        <w:rPr>
          <w:i/>
          <w:sz w:val="20"/>
        </w:rPr>
        <w:t>EN: Laser‐Assisted Phase Engineering of 2D MoS2 for Efficient Solution‐Processed Electronics</w:t>
      </w:r>
    </w:p>
    <w:p>
      <w:pPr>
        <w:spacing w:before="0" w:after="120"/>
      </w:pPr>
      <w:r>
        <w:rPr>
          <w:b/>
        </w:rPr>
        <w:t xml:space="preserve">Source: </w:t>
      </w:r>
      <w:r>
        <w:t>Wiley: Advanced Materials: Table of Contents</w:t>
      </w:r>
      <w:r>
        <w:t xml:space="preserve">    </w:t>
      </w:r>
      <w:r>
        <w:rPr>
          <w:b/>
        </w:rPr>
        <w:t xml:space="preserve">Pub date: </w:t>
      </w:r>
      <w:r>
        <w:t>2026-04-04 08:20:34+00:00</w:t>
      </w:r>
      <w:r>
        <w:t xml:space="preserve">    </w:t>
      </w:r>
      <w:r>
        <w:rPr>
          <w:b/>
        </w:rPr>
        <w:t xml:space="preserve">DOI: </w:t>
      </w:r>
      <w:hyperlink r:id="rId201">
        <w:r>
          <w:rPr>
            <w:color w:val="1155CC"/>
            <w:u w:val="single"/>
          </w:rPr>
          <w:t>10.1002/adma.202523679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二维过渡金属二硫化物（2D TMDs）的相工程，如MoS2，为创建面内金属-半导体异质结构和工程低电阻接触提供了强大的途径。传统策略通常依赖于将半导体2H相化学转化为金属1T/1T′多晶型，这一多步骤过程易于出现相转化不完全的问题。局部激光诱导1T/1T′向2H MoS2的转变提供了一种简便的一步替代方案。然而，利用这种方法来工程化图案化电子器件仍然难以实现。在此，我们展示了激光辅助的1T′→2H相图案化。</w:t>
      </w:r>
    </w:p>
    <w:p>
      <w:pPr>
        <w:spacing w:before="0" w:after="200" w:lineRule="auto" w:line="276"/>
      </w:pPr>
      <w:r>
        <w:rPr>
          <w:b/>
        </w:rPr>
        <w:t xml:space="preserve">Abstract (EN): </w:t>
      </w:r>
      <w:r>
        <w:t>Phase engineering of two‐dimensional transition metal dichalcogenides (2D TMDs), such as MoS</w:t>
      </w:r>
      <w:r>
        <w:rPr>
          <w:vertAlign w:val="subscript"/>
        </w:rPr>
        <w:t>2</w:t>
      </w:r>
      <w:r>
        <w:t>, offers a powerful route for creating in‐plane metal‐semiconductor heterostructures and engineering low‐resistance contacts in 2D electronics. Conventional strategies typically rely on chemically converting the semiconducting 2H phase into the metallic 1T/1T′ polymorph, a multistep process prone to incomplete phase conversion. Local laser‐induced transition of 1T/1T′ into 2H MoS</w:t>
      </w:r>
      <w:r>
        <w:rPr>
          <w:vertAlign w:val="subscript"/>
        </w:rPr>
        <w:t>2</w:t>
      </w:r>
      <w:r>
        <w:t>offers a facile one‐step alternative. However, employing this approach to engineer patterned electronic devices has remained elusive. Here, we demonstrate laser‐assisted 1T′→2H phase patterning in phase‐pure, solution‐processed MoS</w:t>
      </w:r>
      <w:r>
        <w:rPr>
          <w:vertAlign w:val="subscript"/>
        </w:rPr>
        <w:t>2</w:t>
      </w:r>
      <w:r>
        <w:t>, revealing the critical effect of irradiation atmosphere on phase transition. Although treatments in both ambient and inert environments produce apparent 2H Raman signatures, only inert‐atmosphere irradiation yields micron‐scale 2H domains within the 1T′ lattice. Leveraging this controlled transition, we fabricate field‐effect transistors with laser‐patterned 1T′–2H–1T′ lateral contacts that exhibit improved charge injection, as evidenced by order‐of‐magnitude higher mobility and</w:t>
      </w:r>
      <w:r>
        <w:t xml:space="preserve"> </w:t>
      </w:r>
      <w:r>
        <w:t>I</w:t>
      </w:r>
      <w:r>
        <w:t xml:space="preserve"> </w:t>
      </w:r>
      <w:r>
        <w:t>ON</w:t>
      </w:r>
      <w:r>
        <w:t xml:space="preserve"> </w:t>
      </w:r>
      <w:r>
        <w:t>/</w:t>
      </w:r>
      <w:r>
        <w:t>I</w:t>
      </w:r>
      <w:r>
        <w:t xml:space="preserve"> </w:t>
      </w:r>
      <w:r>
        <w:t>OFF</w:t>
      </w:r>
      <w:r>
        <w:t xml:space="preserve"> </w:t>
      </w:r>
      <w:r>
        <w:t>ratio, reduced hysteresis, and a ∼30% lower effective Schottky barrier height compared with conventional Au‐2H contacts. These findings establish a robust and scalable route for functional laser‐induced phase conversion in MoS</w:t>
      </w:r>
      <w:r>
        <w:rPr>
          <w:vertAlign w:val="subscript"/>
        </w:rPr>
        <w:t>2</w:t>
      </w:r>
      <w:r>
        <w:t>and provide a practical strategy for efficient and seamlessly integrated 2D electronic devices and circuits.</w:t>
      </w:r>
    </w:p>
    <w:p>
      <w:pPr>
        <w:spacing w:before="120" w:after="120"/>
      </w:pPr>
      <w:r>
        <w:rPr>
          <w:sz w:val="18"/>
        </w:rPr>
        <w:t>——————————————————————————————————————————————————————————————————————</w:t>
      </w:r>
    </w:p>
    <w:p>
      <w:pPr>
        <w:spacing w:before="160" w:after="40" w:line="240" w:lineRule="auto"/>
      </w:pPr>
      <w:r>
        <w:rPr>
          <w:b/>
        </w:rPr>
        <w:t xml:space="preserve">[20] </w:t>
      </w:r>
      <w:hyperlink r:id="rId202">
        <w:r>
          <w:rPr>
            <w:color w:val="1155CC"/>
            <w:u w:val="single"/>
          </w:rPr>
          <w:t>通过离子耦合策略制备的优异抗冲击复合水凝胶</w:t>
        </w:r>
      </w:hyperlink>
    </w:p>
    <w:p>
      <w:pPr>
        <w:spacing w:before="0" w:after="80"/>
      </w:pPr>
      <w:r>
        <w:rPr>
          <w:i/>
          <w:sz w:val="20"/>
        </w:rPr>
        <w:t>EN: Superior Impact‐Resistant Composite Hydrogels Through an Ionic Coupling Strategy</w:t>
      </w:r>
    </w:p>
    <w:p>
      <w:pPr>
        <w:spacing w:before="0" w:after="120"/>
      </w:pPr>
      <w:r>
        <w:rPr>
          <w:b/>
        </w:rPr>
        <w:t xml:space="preserve">Source: </w:t>
      </w:r>
      <w:r>
        <w:t>Wiley: Advanced Materials: Table of Contents</w:t>
      </w:r>
      <w:r>
        <w:t xml:space="preserve">    </w:t>
      </w:r>
      <w:r>
        <w:rPr>
          <w:b/>
        </w:rPr>
        <w:t xml:space="preserve">Pub date: </w:t>
      </w:r>
      <w:r>
        <w:t>2026-04-04 08:22:33+00:00</w:t>
      </w:r>
      <w:r>
        <w:t xml:space="preserve">    </w:t>
      </w:r>
      <w:r>
        <w:rPr>
          <w:b/>
        </w:rPr>
        <w:t xml:space="preserve">DOI: </w:t>
      </w:r>
      <w:hyperlink r:id="rId203">
        <w:r>
          <w:rPr>
            <w:color w:val="1155CC"/>
            <w:u w:val="single"/>
          </w:rPr>
          <w:t>10.1002/adma.73010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抗冲击性源于强承载网络和动态界面相互作用的耦合，这使得有效的应力传递和能量耗散成为可能。尽管水凝胶是抗冲击软材料的有前途候选者，但在水凝胶中同时增强网络和界面仍然具有挑战性，这限制了其在高应变率加载下的性能。为克服这一限制，我们开发了一种复合水凝胶，由聚乙烯醇（PVA）基质和壳聚糖-海藻酸钠纳米纤维（CSNFs）增强，使用柠檬酸钠作为多功能离子耦合剂，（i）通过霍夫梅斯特效应增强PVA基质，（ii）通过去溶剂化增强CSNF网络。</w:t>
      </w:r>
    </w:p>
    <w:p>
      <w:pPr>
        <w:spacing w:before="0" w:after="200" w:lineRule="auto" w:line="276"/>
      </w:pPr>
      <w:r>
        <w:rPr>
          <w:b/>
        </w:rPr>
        <w:t xml:space="preserve">Abstract (EN): </w:t>
      </w:r>
      <w:r>
        <w:t>Impact resistance emerges from the coupling of strong load‐bearing networks and dynamic interfacial interactions that enable effective stress transfer and energy dissipation. Although hydrogels are promising candidates for impact‐resistant soft materials, it remains challenging to reinforce both networks and interfaces simultaneously in hydrogels, which limits their performance under high strain‐rate loading. To overcome this limitation, we develop a composite hydrogel comprised of a poly(vinyl alcohol) (PVA) matrix reinforced with chitosan–sodium alginate nanofibers (CSNFs), using sodium citrate as a multifunctional ionic coupler that (i) strengthens the PVA matrix via the Hofmeister effect, (ii) reinforces the CSNF network through desolvation and electrostatic crosslinking, and (iii) improves their fiber–matrix interfaces, enabling efficient stress transfer and energy dissipation through the integrated composite network and layered microstructure. The composite hydrogel achieves superior impact resistance relative to high‐performance solid polymers, with an impact strength of 426.7 MPa and toughness of 106.4 MJ m</w:t>
      </w:r>
      <w:r>
        <w:t xml:space="preserve"> </w:t>
      </w:r>
      <w:r>
        <w:t>−</w:t>
      </w:r>
      <w:r>
        <w:rPr>
          <w:vertAlign w:val="subscript"/>
        </w:rPr>
        <w:t>3</w:t>
      </w:r>
      <w:r>
        <w:t>at 7000 s</w:t>
      </w:r>
      <w:r>
        <w:t xml:space="preserve"> </w:t>
      </w:r>
      <w:r>
        <w:t>−</w:t>
      </w:r>
      <w:r>
        <w:rPr>
          <w:vertAlign w:val="subscript"/>
        </w:rPr>
        <w:t>1</w:t>
      </w:r>
      <w:r>
        <w:t>, while retaining excellent tensile properties (tensile strength: 54.2 MPa; fracture strain: 590%). By molecular‐level experimental and simulation analyses, this work establishes ionic coupling as a facile yet effective strategy for achieving composite hydrogels with extreme impact resistance, broadening the potential of soft materials in impact protection, damping, and energy absorption.</w:t>
      </w:r>
    </w:p>
    <w:p>
      <w:pPr>
        <w:spacing w:before="120" w:after="120"/>
      </w:pPr>
      <w:r>
        <w:rPr>
          <w:sz w:val="18"/>
        </w:rPr>
        <w:t>——————————————————————————————————————————————————————————————————————</w:t>
      </w:r>
    </w:p>
    <w:p>
      <w:pPr>
        <w:spacing w:before="160" w:after="40" w:line="240" w:lineRule="auto"/>
      </w:pPr>
      <w:r>
        <w:rPr>
          <w:b/>
        </w:rPr>
        <w:t xml:space="preserve">[21] </w:t>
      </w:r>
      <w:hyperlink r:id="rId204">
        <w:r>
          <w:rPr>
            <w:color w:val="1155CC"/>
            <w:u w:val="single"/>
          </w:rPr>
          <w:t>质量标签的邻近诱导转移实现活性基质金属蛋白酶的直接分析</w:t>
        </w:r>
      </w:hyperlink>
    </w:p>
    <w:p>
      <w:pPr>
        <w:spacing w:before="0" w:after="80"/>
      </w:pPr>
      <w:r>
        <w:rPr>
          <w:i/>
          <w:sz w:val="20"/>
        </w:rPr>
        <w:t>EN: Proximity‐Induced Transfer of a Mass Tag Enables Direct Profiling of Active Matrix Metalloproteases</w:t>
      </w:r>
    </w:p>
    <w:p>
      <w:pPr>
        <w:spacing w:before="0" w:after="120"/>
      </w:pPr>
      <w:r>
        <w:rPr>
          <w:b/>
        </w:rPr>
        <w:t xml:space="preserve">Source: </w:t>
      </w:r>
      <w:r>
        <w:t>Wiley: Angewandte Chemie International Edition: Table of Contents</w:t>
      </w:r>
      <w:r>
        <w:t xml:space="preserve">    </w:t>
      </w:r>
      <w:r>
        <w:rPr>
          <w:b/>
        </w:rPr>
        <w:t xml:space="preserve">Pub date: </w:t>
      </w:r>
      <w:r>
        <w:t>2026-04-04 08:23:58+00:00</w:t>
      </w:r>
      <w:r>
        <w:t xml:space="preserve">    </w:t>
      </w:r>
      <w:r>
        <w:rPr>
          <w:b/>
        </w:rPr>
        <w:t xml:space="preserve">DOI: </w:t>
      </w:r>
      <w:hyperlink r:id="rId205">
        <w:r>
          <w:rPr>
            <w:color w:val="1155CC"/>
            <w:u w:val="single"/>
          </w:rPr>
          <w:t>10.1002/anie.202523132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传统的基于活性探针的蛋白质活性分析（ABPP）需要富集或报告标签进行检测，这限制了灵敏度和多重检测能力。在此，我们提出了一种无需富集的化学蛋白质组学方法，通过基质辅助激光解吸/电离（MALDI）直接质谱检测活性蛋白酶。一个活性位点定向的亲和探针通过邻近诱导反应，将MALDI可检测的α-氰基-4-羟基肉桂酸（CHCA）标签专门转移到催化活性的基质金属蛋白酶（MMPs）形式上。CHCA标签提高了电离效率，并显著改善了信噪比，使得在区分分析条件下能够自信地识别CHCA标记的肽段。</w:t>
      </w:r>
    </w:p>
    <w:p>
      <w:pPr>
        <w:spacing w:before="0" w:after="200" w:lineRule="auto" w:line="276"/>
      </w:pPr>
      <w:r>
        <w:rPr>
          <w:b/>
        </w:rPr>
        <w:t xml:space="preserve">Abstract (EN): </w:t>
      </w:r>
      <w:r>
        <w:t>Conventional activity‐based probes in activity‐based protein profiling (ABPP) require enrichment or reporter tags for detection, which limits sensitivity and multiplexing. Here, we present an enrichment‐free chemoproteomic approach that enables direct mass spectrometric detection by Matrix‐Assisted Laser Desorption/Ionization (MALDI) of active proteases. An active‐site–directed affinity probe transfers, through a proximity‐induced reaction, a MALDI‐detectable α‐cyano‐4‐hydroxycinnamic acid (CHCA) tag exclusively to catalytically active forms of matrix metalloproteases (MMPs). The CHCA label enhances ionization efficiency and markedly improves signal‐to‐noise ratios, allowing confident identification of CHCA‐labelled peptides under discriminating analytical conditions. Each active metalloprotease is thereby, associated with a distinct set of CHCA signature peptides, defining its activity fingerprint. This workflow achieves multiplexed and quantitative activity profiling of MMPs, directly in complex proteomes. This design expands ABPP into the mass spectrometry domain and establishes a robust platform for activity‐based enzyme detection.</w:t>
      </w:r>
    </w:p>
    <w:p>
      <w:pPr>
        <w:spacing w:before="120" w:after="120"/>
      </w:pPr>
      <w:r>
        <w:rPr>
          <w:sz w:val="18"/>
        </w:rPr>
        <w:t>——————————————————————————————————————————————————————————————————————</w:t>
      </w:r>
    </w:p>
    <w:p>
      <w:pPr>
        <w:spacing w:before="160" w:after="40" w:line="240" w:lineRule="auto"/>
      </w:pPr>
      <w:r>
        <w:rPr>
          <w:b/>
        </w:rPr>
        <w:t xml:space="preserve">[22] </w:t>
      </w:r>
      <w:hyperlink r:id="rId206">
        <w:r>
          <w:rPr>
            <w:color w:val="1155CC"/>
            <w:u w:val="single"/>
          </w:rPr>
          <w:t>通过单胶束导向组装法合成多孔纳米材料的多功能合成方法</w:t>
        </w:r>
      </w:hyperlink>
    </w:p>
    <w:p>
      <w:pPr>
        <w:spacing w:before="0" w:after="80"/>
      </w:pPr>
      <w:r>
        <w:rPr>
          <w:i/>
          <w:sz w:val="20"/>
        </w:rPr>
        <w:t>EN: Versatile Synthesis of Mesoporous Nanomaterials via Monomicelle‐Directed Assembly</w:t>
      </w:r>
    </w:p>
    <w:p>
      <w:pPr>
        <w:spacing w:before="0" w:after="120"/>
      </w:pPr>
      <w:r>
        <w:rPr>
          <w:b/>
        </w:rPr>
        <w:t xml:space="preserve">Source: </w:t>
      </w:r>
      <w:r>
        <w:t>Wiley: Advanced Materials: Table of Contents</w:t>
      </w:r>
      <w:r>
        <w:t xml:space="preserve">    </w:t>
      </w:r>
      <w:r>
        <w:rPr>
          <w:b/>
        </w:rPr>
        <w:t xml:space="preserve">Pub date: </w:t>
      </w:r>
      <w:r>
        <w:t>2026-04-04 08:25:47+00:00</w:t>
      </w:r>
      <w:r>
        <w:t xml:space="preserve">    </w:t>
      </w:r>
      <w:r>
        <w:rPr>
          <w:b/>
        </w:rPr>
        <w:t xml:space="preserve">DOI: </w:t>
      </w:r>
      <w:hyperlink r:id="rId207">
        <w:r>
          <w:rPr>
            <w:color w:val="1155CC"/>
            <w:u w:val="single"/>
          </w:rPr>
          <w:t>10.1002/adma.202508715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介孔纳米材料因其多样的组成和多层次的结构而受到广泛关注。软模板策略作为合成介孔材料的基础方法，通过在自组装过程中操控热力学和动力学路径实现结构调控。特别是，最近在单胶束导向组装方面的突破使得形态、纳米结构和孔隙结构的精确工程成为可能。这种方法依赖于由嵌段共聚物/表面活性剂和前体物质组成的复合单胶束的形成，这些复合单胶束作为结构导向单元。通过定义明确且受控的堆叠过程组装复合单胶束。</w:t>
      </w:r>
    </w:p>
    <w:p>
      <w:pPr>
        <w:spacing w:before="0" w:after="200" w:lineRule="auto" w:line="276"/>
      </w:pPr>
      <w:r>
        <w:rPr>
          <w:b/>
        </w:rPr>
        <w:t xml:space="preserve">Abstract (EN): </w:t>
      </w:r>
      <w:r>
        <w:t>Mesoporous nanomaterials have attracted significant attention due to their diverse compositions and multileveled architectures. The soft‐templating strategy serves as a foundational methodology for synthesizing mesoporous materials, achieving structural modulation via manipulation of thermodynamic and kinetic pathways during the self‐assembly. In particular, recent breakthroughs in monomicelle‐directed assembly have enabled the precise engineering of the morphologies, nanostructures, and porous architectures. This approach relies on the formation of composite monomicelles composed of block copolymers/surfactants and precursor species, which act as structure‐directed units. The assembly of composites monomicelles through a well‐defined and controlled stacking process resulted in mesoporous nanomaterials. Crucially, the size, composition, and geometry of monomicelles can be readily tailored by optimizing the synthetic conditions, which enables precise control over the architectures inaccessible by conventional approaches. Here, we review the historical development and design principles of monomicelles, along with the synthetic chemistry involved in the assembly of monomicelles with precursors. Subsequently, monomicelle assembly via aggregate and interfacial assembly is highlighted to achieve the controllable synthesis of mesoporous nanomaterials for applications in catalysis (e.g., thermal, electro‐, photo‐catalysis) and energy storage (e.g., batteries and supercapacitors). Finally, current challenges and future opportunities are discussed to enhance the design of mesoporous materials for future applications.</w:t>
      </w:r>
    </w:p>
    <w:p>
      <w:pPr>
        <w:spacing w:before="120" w:after="120"/>
      </w:pPr>
      <w:r>
        <w:rPr>
          <w:sz w:val="18"/>
        </w:rPr>
        <w:t>——————————————————————————————————————————————————————————————————————</w:t>
      </w:r>
    </w:p>
    <w:p>
      <w:pPr>
        <w:spacing w:before="160" w:after="40" w:line="240" w:lineRule="auto"/>
      </w:pPr>
      <w:r>
        <w:rPr>
          <w:b/>
        </w:rPr>
        <w:t xml:space="preserve">[23] </w:t>
      </w:r>
      <w:hyperlink r:id="rId208">
        <w:r>
          <w:rPr>
            <w:color w:val="1155CC"/>
            <w:u w:val="single"/>
          </w:rPr>
          <w:t>通过劫持ER-线粒体钙穿梭点燃内源性钙凋亡以实现强效抗肿瘤免疫</w:t>
        </w:r>
      </w:hyperlink>
    </w:p>
    <w:p>
      <w:pPr>
        <w:spacing w:before="0" w:after="80"/>
      </w:pPr>
      <w:r>
        <w:rPr>
          <w:i/>
          <w:sz w:val="20"/>
        </w:rPr>
        <w:t>EN: Igniting Endogenous Calcipoptosis via ER‐Mitochondrial Calcium Shuttle Hijacking for Potent Antitumor Immunity</w:t>
      </w:r>
    </w:p>
    <w:p>
      <w:pPr>
        <w:spacing w:before="0" w:after="120"/>
      </w:pPr>
      <w:r>
        <w:rPr>
          <w:b/>
        </w:rPr>
        <w:t xml:space="preserve">Source: </w:t>
      </w:r>
      <w:r>
        <w:t>Wiley: Advanced Materials: Table of Contents</w:t>
      </w:r>
      <w:r>
        <w:t xml:space="preserve">    </w:t>
      </w:r>
      <w:r>
        <w:rPr>
          <w:b/>
        </w:rPr>
        <w:t xml:space="preserve">Pub date: </w:t>
      </w:r>
      <w:r>
        <w:t>2026-04-04 08:35:31+00:00</w:t>
      </w:r>
      <w:r>
        <w:t xml:space="preserve">    </w:t>
      </w:r>
      <w:r>
        <w:rPr>
          <w:b/>
        </w:rPr>
        <w:t xml:space="preserve">DOI: </w:t>
      </w:r>
      <w:hyperlink r:id="rId209">
        <w:r>
          <w:rPr>
            <w:color w:val="1155CC"/>
            <w:u w:val="single"/>
          </w:rPr>
          <w:t>10.1002/adma.202518631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细胞内钙离子（Ca2+）稳态的维持在调节细胞存活和免疫调节途径中起着关键作用。然而，实现这些信使离子的安全和精确操控以开发下一代抗肿瘤免疫疗法仍然是一个艰巨的挑战。在此，我们揭示了一种细胞器间的串话范式，利用内在的Ca2+动态来驱动钙凋亡介导的抗肿瘤免疫，绕过了传统外源性钙依赖策略的局限性。设计了一种模块化肽编程纳米激动剂，以激活Ca之间的自供钙流入。</w:t>
      </w:r>
    </w:p>
    <w:p>
      <w:pPr>
        <w:spacing w:before="0" w:after="200" w:lineRule="auto" w:line="276"/>
      </w:pPr>
      <w:r>
        <w:rPr>
          <w:b/>
        </w:rPr>
        <w:t xml:space="preserve">Abstract (EN): </w:t>
      </w:r>
      <w:r>
        <w:t>The maintenance of intracellular calcium ion (Ca</w:t>
      </w:r>
      <w:r>
        <w:rPr>
          <w:vertAlign w:val="subscript"/>
        </w:rPr>
        <w:t>2</w:t>
      </w:r>
      <w:r>
        <w:t>+</w:t>
      </w:r>
      <w:r>
        <w:t xml:space="preserve"> </w:t>
      </w:r>
      <w:r>
        <w:t>) homeostasis plays a pivotal role in regulating both cellular survival and immunoregulatory pathways. However, achieving safe and precise manipulation of these messenger ions to engineer next‐generation antitumor immunotherapies remains a formidable challenge. Here, we reveal an organelle crosstalk paradigm that harnesses innate Ca</w:t>
      </w:r>
      <w:r>
        <w:t xml:space="preserve"> </w:t>
      </w:r>
      <w:r>
        <w:t>2+</w:t>
      </w:r>
      <w:r>
        <w:t xml:space="preserve"> </w:t>
      </w:r>
      <w:r>
        <w:t>dynamics to drive calcipoptosis‐mediated antitumor immunity, bypassing the limitations of conventional exogenous calcium‐dependent strategies. A modular peptide‐programmed nanoagonist was designed to activate self‐supplied calcium influx between Ca</w:t>
      </w:r>
      <w:r>
        <w:t xml:space="preserve"> </w:t>
      </w:r>
      <w:r>
        <w:t>2+</w:t>
      </w:r>
      <w:r>
        <w:t xml:space="preserve"> </w:t>
      </w:r>
      <w:r>
        <w:t>‐rich and Ca</w:t>
      </w:r>
      <w:r>
        <w:t xml:space="preserve"> </w:t>
      </w:r>
      <w:r>
        <w:t>2+</w:t>
      </w:r>
      <w:r>
        <w:t xml:space="preserve"> </w:t>
      </w:r>
      <w:r>
        <w:t>‐sensitive organelles by inducing endoplasmic reticulum stress and opening mitochondrial calcium transport channels under ultrasound irradiation. Moreover, the targeted dysfunction of dual‐organelles leads to the activation of the caspase‐dependent apoptotic pathway and the release of a cascade of damage‐associated molecular patterns to promote dendritic cell maturation and cytotoxic T‐cell infiltration. Additionally, Ca</w:t>
      </w:r>
      <w:r>
        <w:t xml:space="preserve"> </w:t>
      </w:r>
      <w:r>
        <w:t>2+</w:t>
      </w:r>
      <w:r>
        <w:t xml:space="preserve"> </w:t>
      </w:r>
      <w:r>
        <w:t>dysregulation polarizes macrophages into a pro‐inflammatory phenotype and stiffens cancer cells to establish biochemical and mechanical immunosurveillance. The nanoagonist demonstrated potent ablation of primary tumors and suppression of metastatic growth in breast and liver cancer models. Overall, this work enables customizable subcellular bioenergetic disruption without systemic toxicity risks, which pioneers a translatable strategy that redefines the frontier of calcium‐based immunotherapy.</w:t>
      </w:r>
    </w:p>
    <w:p>
      <w:pPr>
        <w:spacing w:before="120" w:after="120"/>
      </w:pPr>
      <w:r>
        <w:rPr>
          <w:sz w:val="18"/>
        </w:rPr>
        <w:t>——————————————————————————————————————————————————————————————————————</w:t>
      </w:r>
    </w:p>
    <w:p>
      <w:pPr>
        <w:spacing w:before="160" w:after="40" w:line="240" w:lineRule="auto"/>
      </w:pPr>
      <w:r>
        <w:rPr>
          <w:b/>
        </w:rPr>
        <w:t xml:space="preserve">[24] </w:t>
      </w:r>
      <w:hyperlink r:id="rId210">
        <w:r>
          <w:rPr>
            <w:color w:val="1155CC"/>
            <w:u w:val="single"/>
          </w:rPr>
          <w:t>抗过掺杂性使P(g3BTTT)在阴离子交换掺杂下导电率超过2000 S cm−1</w:t>
        </w:r>
      </w:hyperlink>
    </w:p>
    <w:p>
      <w:pPr>
        <w:spacing w:before="0" w:after="80"/>
      </w:pPr>
      <w:r>
        <w:rPr>
          <w:i/>
          <w:sz w:val="20"/>
        </w:rPr>
        <w:t>EN: Resistance to Overdoping Allows Over 2000 S cm−1 Conductivity in P(g3BTTT) With Anion‐Exchange Doping</w:t>
      </w:r>
    </w:p>
    <w:p>
      <w:pPr>
        <w:spacing w:before="0" w:after="120"/>
      </w:pPr>
      <w:r>
        <w:rPr>
          <w:b/>
        </w:rPr>
        <w:t xml:space="preserve">Source: </w:t>
      </w:r>
      <w:r>
        <w:t>Wiley: Advanced Materials: Table of Contents</w:t>
      </w:r>
      <w:r>
        <w:t xml:space="preserve">    </w:t>
      </w:r>
      <w:r>
        <w:rPr>
          <w:b/>
        </w:rPr>
        <w:t xml:space="preserve">Pub date: </w:t>
      </w:r>
      <w:r>
        <w:t>2026-04-04 12:44:47+00:00</w:t>
      </w:r>
      <w:r>
        <w:t xml:space="preserve">    </w:t>
      </w:r>
      <w:r>
        <w:rPr>
          <w:b/>
        </w:rPr>
        <w:t xml:space="preserve">DOI: </w:t>
      </w:r>
      <w:hyperlink r:id="rId211">
        <w:r>
          <w:rPr>
            <w:color w:val="1155CC"/>
            <w:u w:val="single"/>
          </w:rPr>
          <w:t>10.1002/adma.202523635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共轭聚合物的化学掺杂显著提高了其导电性，使其在广泛的应用中具有吸引力。最近，阴离子交换掺杂被证明是一种有效的方法，通过将掺杂剂的对离子替换为无机阴离子，通过将p掺杂膜暴露于电解质中，克服了分子掺杂剂在体积、稳定性和能量学方面的局限性。在此，我们展示了具有寡醚侧链的聚合物的阴离子交换掺杂，并报告了P(g3BTTT)聚合物的电导率超过2000 S cm−1。我们研究了几种基于噻吩和噻吩并噻吩的聚合物在高d</w:t>
      </w:r>
    </w:p>
    <w:p>
      <w:pPr>
        <w:spacing w:before="0" w:after="200" w:lineRule="auto" w:line="276"/>
      </w:pPr>
      <w:r>
        <w:rPr>
          <w:b/>
        </w:rPr>
        <w:t xml:space="preserve">Abstract (EN): </w:t>
      </w:r>
      <w:r>
        <w:t>Chemical doping of conjugated polymers significantly enhances their conductivity, making them attractive for a large range of applications. Recently, anion‐exchange doping, where the dopant counterion is replaced by inorganic anions by exposure of a p‐doped film to an electrolyte, has been demonstrated as an effective way to overcome the limitations of molecular dopants in terms of bulkiness, stability and energetics. Here, we demonstrate anion‐exchange doping for polymers bearing oligoether side chains and report over 2000 S cm</w:t>
      </w:r>
      <w:r>
        <w:t xml:space="preserve"> </w:t>
      </w:r>
      <w:r>
        <w:t>−1</w:t>
      </w:r>
      <w:r>
        <w:t xml:space="preserve"> </w:t>
      </w:r>
      <w:r>
        <w:t>electrical conductivity for the P(g</w:t>
      </w:r>
      <w:r>
        <w:rPr>
          <w:vertAlign w:val="subscript"/>
        </w:rPr>
        <w:t>3</w:t>
      </w:r>
      <w:r>
        <w:t>BTTT) polymer. We investigate several thiophene and thienothiophene‐based polymers in the high‐doping regime to understand this high conductivity. We show that transport involves delocalized charges, that all generated charges participate to the transport, and that the mobility is resilient over nanometer to micrometer length scales. However, the high‐doping regime also shows a trade‐off between high charge density and high mobility, limiting the conductivity at excess concentrations of doubly charged species. Surprisingly, P(g</w:t>
      </w:r>
      <w:r>
        <w:rPr>
          <w:vertAlign w:val="subscript"/>
        </w:rPr>
        <w:t>3</w:t>
      </w:r>
      <w:r>
        <w:t>BTTT) is resistant to this ‘overdoping’ effect and sustains particularly high levels of doubly charged species without drop in mobility. The exceptional conductivity of doped P(g</w:t>
      </w:r>
      <w:r>
        <w:rPr>
          <w:vertAlign w:val="subscript"/>
        </w:rPr>
        <w:t>3</w:t>
      </w:r>
      <w:r>
        <w:t>BTTT) can thus be related to the high doping level that is achieved thanks to the oligoether side chains, without significant trade‐off on the concomitantly high mobility.</w:t>
      </w:r>
    </w:p>
    <w:p>
      <w:pPr>
        <w:spacing w:before="120" w:after="120"/>
      </w:pPr>
      <w:r>
        <w:rPr>
          <w:sz w:val="18"/>
        </w:rPr>
        <w:t>——————————————————————————————————————————————————————————————————————</w:t>
      </w:r>
    </w:p>
    <w:p>
      <w:pPr>
        <w:spacing w:before="160" w:after="40" w:line="240" w:lineRule="auto"/>
      </w:pPr>
      <w:r>
        <w:rPr>
          <w:b/>
        </w:rPr>
        <w:t xml:space="preserve">[25] </w:t>
      </w:r>
      <w:hyperlink r:id="rId212">
        <w:r>
          <w:rPr>
            <w:color w:val="1155CC"/>
            <w:u w:val="single"/>
          </w:rPr>
          <w:t>[ASAP] 哪种自由基抽取氢原子？Cu催化苄基C–H氧化中的烷基过氧基与烷氧基之争</w:t>
        </w:r>
      </w:hyperlink>
    </w:p>
    <w:p>
      <w:pPr>
        <w:spacing w:before="0" w:after="80"/>
      </w:pPr>
      <w:r>
        <w:rPr>
          <w:i/>
          <w:sz w:val="20"/>
        </w:rPr>
        <w:t>EN: [ASAP] Which Radical Abstracts Hydrogen Atom? Alkylperoxy versus Alkoxy in Cu-Catalyzed Benzylic C–H Oxidation</w:t>
      </w:r>
    </w:p>
    <w:p>
      <w:pPr>
        <w:spacing w:before="0" w:after="120"/>
      </w:pPr>
      <w:r>
        <w:rPr>
          <w:b/>
        </w:rPr>
        <w:t xml:space="preserve">Source: </w:t>
      </w:r>
      <w:r>
        <w:t>Journal of the American Chemical Society: Latest Articles (ACS Publications)</w:t>
      </w:r>
      <w:r>
        <w:t xml:space="preserve">    </w:t>
      </w:r>
      <w:r>
        <w:rPr>
          <w:b/>
        </w:rPr>
        <w:t xml:space="preserve">Pub date: </w:t>
      </w:r>
      <w:r>
        <w:t>2026-04-04 13:21:34+00:00</w:t>
      </w:r>
      <w:r>
        <w:t xml:space="preserve">    </w:t>
      </w:r>
      <w:r>
        <w:rPr>
          <w:b/>
        </w:rPr>
        <w:t xml:space="preserve">DOI: </w:t>
      </w:r>
      <w:hyperlink r:id="rId213">
        <w:r>
          <w:rPr>
            <w:color w:val="1155CC"/>
            <w:u w:val="single"/>
          </w:rPr>
          <w:t>10.1021/jacs.6c01241</w:t>
        </w:r>
      </w:hyperlink>
    </w:p>
    <w:p>
      <w:pPr>
        <w:spacing w:before="0" w:after="120"/>
      </w:pPr>
      <w:r>
        <w:rPr>
          <w:b/>
        </w:rPr>
        <w:t xml:space="preserve">Notes: </w:t>
      </w:r>
      <w:r>
        <w:t>abstract_source=openalex</w:t>
      </w:r>
    </w:p>
    <w:p>
      <w:pPr>
        <w:spacing w:before="0" w:after="80" w:lineRule="auto" w:line="276"/>
      </w:pPr>
      <w:r>
        <w:rPr>
          <w:b/>
        </w:rPr>
        <w:t xml:space="preserve">摘要（ZH）: </w:t>
      </w:r>
      <w:r>
        <w:t>选择性烷烃氧化仍然是工业化学中的一个核心目标，其中氢原子转移（HAT）被广泛认为是关键的基本步骤。然而，在使用过氧化物的铜催化C(sp3)–H氧化中，可能会产生多个氧中心自由基，导致对负责HAT的物种的不确定性。在此，我们采用外循环在线多光谱系统（ECOMS）来阐明使用异丙苯过氧化物作为氧化剂的苄基C(sp3)–H氧化的自由基机制。这种原位方法能够直接和定量地跟踪异丙苯过氧自由基（CumylOO•）在整个反应过程中的时间演变，明确识别其为活性HAT剂。进一步的理论研究阐明了机制起源。</w:t>
      </w:r>
    </w:p>
    <w:p>
      <w:pPr>
        <w:spacing w:before="0" w:after="200" w:lineRule="auto" w:line="276"/>
      </w:pPr>
      <w:r>
        <w:rPr>
          <w:b/>
        </w:rPr>
        <w:t xml:space="preserve">Abstract (EN): </w:t>
      </w:r>
      <w:r>
        <w:t>Selective alkane oxidation remains a central objective in industrial chemistry, with hydrogen-atom transfer (HAT) widely recognized as the key elementary step. In copper-catalyzed C(sp3)–H oxygenation using hydroperoxides, however, multiple oxygen-centered radicals could be generated, bearing uncertainty of the species responsible for HAT. Here, we employ an external-circulation online multispectroscopic system (ECOMS) to elucidate the radical mechanism of benzylic C(sp3)–H oxidation using cumene hydroperoxide as the oxidant. This operando approach enables direct and quantitative tracking of the time evolution of the cumylperoxyl radical (CumylOO•) throughout the reaction, unambiguously identifying it as the operative HAT agent. Further theoretical studies clarify the mechanistic origin of the dominance of alkylperoxy over alkoxy radical. Moreover, increasing counteranion basicity promotes Cu(II)–OOR formation, resulting in elevated CumylOO• steady-state concentrations and faster oxidation rates.</w:t>
      </w:r>
    </w:p>
    <w:p>
      <w:pPr>
        <w:spacing w:before="120" w:after="120"/>
      </w:pPr>
      <w:r>
        <w:rPr>
          <w:sz w:val="18"/>
        </w:rPr>
        <w:t>——————————————————————————————————————————————————————————————————————</w:t>
      </w:r>
    </w:p>
    <w:p>
      <w:pPr>
        <w:spacing w:before="160" w:after="40" w:line="240" w:lineRule="auto"/>
      </w:pPr>
      <w:r>
        <w:rPr>
          <w:b/>
        </w:rPr>
        <w:t xml:space="preserve">[26] </w:t>
      </w:r>
      <w:hyperlink r:id="rId214">
        <w:r>
          <w:rPr>
            <w:color w:val="1155CC"/>
            <w:u w:val="single"/>
          </w:rPr>
          <w:t>[ASAP] 独特无定形FeOx介孔纳米片的设计：结构-电子协同作用实现高选择性和高效CO2光转化为多碳燃料</w:t>
        </w:r>
      </w:hyperlink>
    </w:p>
    <w:p>
      <w:pPr>
        <w:spacing w:before="0" w:after="80"/>
      </w:pPr>
      <w:r>
        <w:rPr>
          <w:i/>
          <w:sz w:val="20"/>
        </w:rPr>
        <w:t>EN: [ASAP] Design of Unique Amorphous FeOx Mesoporous Nanosheets for Structural–Electronic Synergy toward Highly Selective and Efficient CO2 Photoconversion into Multicarbon Fuels</w:t>
      </w:r>
    </w:p>
    <w:p>
      <w:pPr>
        <w:spacing w:before="0" w:after="120"/>
      </w:pPr>
      <w:r>
        <w:rPr>
          <w:b/>
        </w:rPr>
        <w:t xml:space="preserve">Source: </w:t>
      </w:r>
      <w:r>
        <w:t>Journal of the American Chemical Society: Latest Articles (ACS Publications)</w:t>
      </w:r>
      <w:r>
        <w:t xml:space="preserve">    </w:t>
      </w:r>
      <w:r>
        <w:rPr>
          <w:b/>
        </w:rPr>
        <w:t xml:space="preserve">Pub date: </w:t>
      </w:r>
      <w:r>
        <w:t>2026-04-04 13:22:16+00:00</w:t>
      </w:r>
      <w:r>
        <w:t xml:space="preserve">    </w:t>
      </w:r>
      <w:r>
        <w:rPr>
          <w:b/>
        </w:rPr>
        <w:t xml:space="preserve">DOI: </w:t>
      </w:r>
      <w:hyperlink r:id="rId215">
        <w:r>
          <w:rPr>
            <w:color w:val="1155CC"/>
            <w:u w:val="single"/>
          </w:rPr>
          <w:t>10.1021/jacs.6c01273</w:t>
        </w:r>
      </w:hyperlink>
    </w:p>
    <w:p>
      <w:pPr>
        <w:spacing w:before="0" w:after="120"/>
      </w:pPr>
      <w:r>
        <w:rPr>
          <w:b/>
        </w:rPr>
        <w:t xml:space="preserve">Notes: </w:t>
      </w:r>
      <w:r>
        <w:t>abstract_source=openalex</w:t>
      </w:r>
    </w:p>
    <w:p>
      <w:pPr>
        <w:spacing w:before="0" w:after="80" w:lineRule="auto" w:line="276"/>
      </w:pPr>
      <w:r>
        <w:rPr>
          <w:b/>
        </w:rPr>
        <w:t xml:space="preserve">摘要（ZH）: </w:t>
      </w:r>
      <w:r>
        <w:t>CO2光催化转化为高能量密度烃类面临重大挑战，不仅需要高光子利用效率，还需要优越的催化活性。在此，我们提出了一种合理设计的光催化剂，利用无定形FeOx的结构灵活性和可调电子特性，有效解决这些要求。该催化剂基于多种协同因素，在520 nm时表现出1.60%的表观量子效率，乙烷选择性约为70%（基于产率）和约94%（基于电子）。具体而言，无定形框架结合介孔性提供了丰富的无序位点，强烈增强了分子吸附和活化；介孔的薄壁缩短了电荷扩散路径</w:t>
      </w:r>
    </w:p>
    <w:p>
      <w:pPr>
        <w:spacing w:before="0" w:after="200" w:lineRule="auto" w:line="276"/>
      </w:pPr>
      <w:r>
        <w:rPr>
          <w:b/>
        </w:rPr>
        <w:t xml:space="preserve">Abstract (EN): </w:t>
      </w:r>
      <w:r>
        <w:t>The photocatalytic conversion of CO2 into high-energy-density hydrocarbons presents significant challenges, requiring not only high photon utilization efficiency but also superior catalytic activity. Herein, we present a rationally designed photocatalyst that leverages the structural flexibility and tunable electronic properties of amorphous FeOx to effectively address these requirements. The catalyst, based on several synergistic factors, exhibits an apparent quantum efficiency of 1.60% at 520 nm, with ethane selectivities of ∼70% (yield-based) and ∼94% (electron-based). Specifically, the amorphous framework combined with mesoporosity provides abundant disordered sites, strongly enhancing molecule adsorption and activation; the thin walls of the mesopores shorten charge diffusion paths to the surface; and the laser-induced oxygen vacancies increase Fe2+/Fe3+ ratio and establish a tandem catalytic pathway, where Fe2+ can promote C–C coupling effectively by stabilizing *OCCO intermediates. This study offers a design principle for steering CO2 conversion toward value-added multicarbon fuels through cross-scale structural synergy.</w:t>
      </w:r>
    </w:p>
    <w:p>
      <w:pPr>
        <w:spacing w:before="120" w:after="120"/>
      </w:pPr>
      <w:r>
        <w:rPr>
          <w:sz w:val="18"/>
        </w:rPr>
        <w:t>——————————————————————————————————————————————————————————————————————</w:t>
      </w:r>
    </w:p>
    <w:p>
      <w:pPr>
        <w:spacing w:before="160" w:after="40" w:line="240" w:lineRule="auto"/>
      </w:pPr>
      <w:r>
        <w:rPr>
          <w:b/>
        </w:rPr>
        <w:t xml:space="preserve">[27] </w:t>
      </w:r>
      <w:hyperlink r:id="rId216">
        <w:r>
          <w:rPr>
            <w:color w:val="1155CC"/>
            <w:u w:val="single"/>
          </w:rPr>
          <w:t>[ASAP] 从DFT辅助的固态NMR研究分子和表面物种中顺磁性铁(II)位点的结构和动力学</w:t>
        </w:r>
      </w:hyperlink>
    </w:p>
    <w:p>
      <w:pPr>
        <w:spacing w:before="0" w:after="80"/>
      </w:pPr>
      <w:r>
        <w:rPr>
          <w:i/>
          <w:sz w:val="20"/>
        </w:rPr>
        <w:t>EN: [ASAP] Structure and Dynamics of Paramagnetic Iron(II) Sites from the DFT-Assisted Solid-State NMR of Molecular and Surface Species</w:t>
      </w:r>
    </w:p>
    <w:p>
      <w:pPr>
        <w:spacing w:before="0" w:after="120"/>
      </w:pPr>
      <w:r>
        <w:rPr>
          <w:b/>
        </w:rPr>
        <w:t xml:space="preserve">Source: </w:t>
      </w:r>
      <w:r>
        <w:t>Journal of the American Chemical Society: Latest Articles (ACS Publications)</w:t>
      </w:r>
      <w:r>
        <w:t xml:space="preserve">    </w:t>
      </w:r>
      <w:r>
        <w:rPr>
          <w:b/>
        </w:rPr>
        <w:t xml:space="preserve">Pub date: </w:t>
      </w:r>
      <w:r>
        <w:t>2026-04-04 13:23:16+00:00</w:t>
      </w:r>
      <w:r>
        <w:t xml:space="preserve">    </w:t>
      </w:r>
      <w:r>
        <w:rPr>
          <w:b/>
        </w:rPr>
        <w:t xml:space="preserve">DOI: </w:t>
      </w:r>
      <w:hyperlink r:id="rId217">
        <w:r>
          <w:rPr>
            <w:color w:val="1155CC"/>
            <w:u w:val="single"/>
          </w:rPr>
          <w:t>10.1021/jacs.6c01081</w:t>
        </w:r>
      </w:hyperlink>
    </w:p>
    <w:p>
      <w:pPr>
        <w:spacing w:before="0" w:after="120"/>
      </w:pPr>
      <w:r>
        <w:rPr>
          <w:b/>
        </w:rPr>
        <w:t xml:space="preserve">Notes: </w:t>
      </w:r>
      <w:r>
        <w:t>abstract_source=openalex</w:t>
      </w:r>
    </w:p>
    <w:p>
      <w:pPr>
        <w:spacing w:before="0" w:after="80" w:lineRule="auto" w:line="276"/>
      </w:pPr>
      <w:r>
        <w:rPr>
          <w:b/>
        </w:rPr>
        <w:t xml:space="preserve">摘要（ZH）: </w:t>
      </w:r>
      <w:r>
        <w:t>分子催化剂的合理开发，依托于无机材料，需要先进的分析方法来探测催化中心的结构、动态和电子特性。尽管光谱工具，特别是固态MAS NMR，大大提高了我们对分子和材料中金属位点的理解，但仍然难以解决顺磁中心的详细结构和动态。Fe(II)位点在从酶到分子和多相催化剂的催化系统中无处不在。在支持系统中，最近显示出硅支持的Fe(II)物种能够实现甲烷的非氧化偶联，并通过表面有机金属化学研究了表面位点。在此，我们展示了如何通过状态</w:t>
      </w:r>
    </w:p>
    <w:p>
      <w:pPr>
        <w:spacing w:before="0" w:after="200" w:lineRule="auto" w:line="276"/>
      </w:pPr>
      <w:r>
        <w:rPr>
          <w:b/>
        </w:rPr>
        <w:t xml:space="preserve">Abstract (EN): </w:t>
      </w:r>
      <w:r>
        <w:t>The rational development of molecular catalysts, supported on an inorganic material, requires advanced analytic methodologies to probe the structure, dynamics, and electronic properties of the catalytic center(s). While spectroscopic tools, in particular solid-state MAS NMR, have greatly advanced our understanding of metal sites in molecules and materials, it remains challenging to address the detailed structure and dynamics of paramagnetic centers. Fe(II) sites are ubiquitous across catalytic systems from enzymes to molecular and heterogeneous catalysts. Across supported systems, silica-supported Fe(II) species have recently been shown to enable the nonoxidative coupling of methane, and the surface sites have been investigated via Surface Organometallic Chemistry. Here, we show how state-of-the-art MAS NMR experiments combined with quantum computations enable us to resolve the structure and the dynamics of a dimeric Fe(II) complex, used for the production of isolated iron sites on the surface of amorphous silica. We also show through analysis of the 1H and 13C NMR signatures of the silica-supported species that a large structural difference exists between molecular and supported species; the latter displaying a remarkably homogeneous, monomeric, and highly dynamic single-atom sites.</w:t>
      </w:r>
    </w:p>
    <w:p>
      <w:pPr>
        <w:spacing w:before="120" w:after="120"/>
      </w:pPr>
      <w:r>
        <w:rPr>
          <w:sz w:val="18"/>
        </w:rPr>
        <w:t>——————————————————————————————————————————————————————————————————————</w:t>
      </w:r>
    </w:p>
    <w:p>
      <w:pPr>
        <w:spacing w:before="160" w:after="40" w:line="240" w:lineRule="auto"/>
      </w:pPr>
      <w:r>
        <w:rPr>
          <w:b/>
        </w:rPr>
        <w:t xml:space="preserve">[28] </w:t>
      </w:r>
      <w:hyperlink r:id="rId218">
        <w:r>
          <w:rPr>
            <w:color w:val="1155CC"/>
            <w:u w:val="single"/>
          </w:rPr>
          <w:t>[ASAP] 9,10-双(苯乙炔基)蒽的双重发光的奇妙案例</w:t>
        </w:r>
      </w:hyperlink>
    </w:p>
    <w:p>
      <w:pPr>
        <w:spacing w:before="0" w:after="80"/>
      </w:pPr>
      <w:r>
        <w:rPr>
          <w:i/>
          <w:sz w:val="20"/>
        </w:rPr>
        <w:t>EN: [ASAP] The Curious Case of Dual Emission in 9,10-Bis(phenylethynyl)anthracene</w:t>
      </w:r>
    </w:p>
    <w:p>
      <w:pPr>
        <w:spacing w:before="0" w:after="120"/>
      </w:pPr>
      <w:r>
        <w:rPr>
          <w:b/>
        </w:rPr>
        <w:t xml:space="preserve">Source: </w:t>
      </w:r>
      <w:r>
        <w:t>Journal of the American Chemical Society: Latest Articles (ACS Publications)</w:t>
      </w:r>
      <w:r>
        <w:t xml:space="preserve">    </w:t>
      </w:r>
      <w:r>
        <w:rPr>
          <w:b/>
        </w:rPr>
        <w:t xml:space="preserve">Pub date: </w:t>
      </w:r>
      <w:r>
        <w:t>2026-04-04 13:23:29+00:00</w:t>
      </w:r>
      <w:r>
        <w:t xml:space="preserve">    </w:t>
      </w:r>
      <w:r>
        <w:rPr>
          <w:b/>
        </w:rPr>
        <w:t xml:space="preserve">DOI: </w:t>
      </w:r>
      <w:hyperlink r:id="rId219">
        <w:r>
          <w:rPr>
            <w:color w:val="1155CC"/>
            <w:u w:val="single"/>
          </w:rPr>
          <w:t>10.1021/jacs.6c03064</w:t>
        </w:r>
      </w:hyperlink>
    </w:p>
    <w:p>
      <w:pPr>
        <w:spacing w:before="0" w:after="120"/>
      </w:pPr>
      <w:r>
        <w:rPr>
          <w:b/>
        </w:rPr>
        <w:t xml:space="preserve">Notes: </w:t>
      </w:r>
      <w:r>
        <w:t>abstract_source=openalex</w:t>
      </w:r>
    </w:p>
    <w:p>
      <w:pPr>
        <w:spacing w:before="0" w:after="80" w:lineRule="auto" w:line="276"/>
      </w:pPr>
      <w:r>
        <w:rPr>
          <w:b/>
        </w:rPr>
        <w:t xml:space="preserve">摘要（ZH）: </w:t>
      </w:r>
      <w:r>
        <w:t>分子晶体的光物理学由分子堆积、电子耦合和晶格无序的相互作用决定。9,10-双(苯乙炔基)蒽（BPEA）是单线态裂变和固态三重态-三重态湮灭（TTA）的基准系统，但其光谱显示出长期存在的异常，包括双重吸收和发射特征，这些特征无法用传统的激子解释。在此，我们通过稳态和时间分辨光谱结合激子-电荷转移（CT）振动建模、分子动力学模拟和第一性原理电子结构计算解决了这些难题。我们表明，晶体BPEA的特征双带吸收源于Frenkel激子与低能C的电子混合</w:t>
      </w:r>
    </w:p>
    <w:p>
      <w:pPr>
        <w:spacing w:before="0" w:after="200" w:lineRule="auto" w:line="276"/>
      </w:pPr>
      <w:r>
        <w:rPr>
          <w:b/>
        </w:rPr>
        <w:t xml:space="preserve">Abstract (EN): </w:t>
      </w:r>
      <w:r>
        <w:t>The photophysics of molecular crystals are governed by the interplay of molecular packing, electronic coupling, and lattice disorder. 9,10-Bis(phenylethynyl)anthracene (BPEA) is a benchmark system for singlet fission and solid-state triplet–triplet annihilation (TTA), yet its optical spectra display long-standing anomalies, including dual absorption and emission features that defy conventional excitonic interpretations. Here, we resolve these puzzles using steady-state and time-resolved spectroscopy combined with exciton–charge-transfer (CT) vibronic modeling, molecular dynamics simulations, and first-principles electronic structure calculations. We show that the characteristic double-band absorption of crystalline BPEA arises from electronic mixing between Frenkel excitons and low-lying CT states rather than polymorphism or conventional H-aggregate behavior. In contrast, the anomalous low-energy emission originates from structural defects associated with X-shaped BPEA dimers, whose stabilized CT character yields emissive states decoupled from the bulk exciton manifold. These trap states act as inherent dopants to suppress singlet fission while enhancing CT–triplet-pair mixing, creating efficient TTA hotspots and directly linking packing defects to increased upconversion efficiency.</w:t>
      </w:r>
    </w:p>
    <w:p>
      <w:pPr>
        <w:spacing w:before="120" w:after="120"/>
      </w:pPr>
      <w:r>
        <w:rPr>
          <w:sz w:val="18"/>
        </w:rPr>
        <w:t>——————————————————————————————————————————————————————————————————————</w:t>
      </w:r>
    </w:p>
    <w:p>
      <w:pPr>
        <w:spacing w:before="160" w:after="40" w:line="240" w:lineRule="auto"/>
      </w:pPr>
      <w:r>
        <w:rPr>
          <w:b/>
        </w:rPr>
        <w:t xml:space="preserve">[29] </w:t>
      </w:r>
      <w:hyperlink r:id="rId220">
        <w:r>
          <w:rPr>
            <w:color w:val="1155CC"/>
            <w:u w:val="single"/>
          </w:rPr>
          <w:t>[ASAP] 自组装单分子层修饰的PEDOT:PSS用于平衡无铅近红外钙钛矿发光二极管中的空穴注入</w:t>
        </w:r>
      </w:hyperlink>
    </w:p>
    <w:p>
      <w:pPr>
        <w:spacing w:before="0" w:after="80"/>
      </w:pPr>
      <w:r>
        <w:rPr>
          <w:i/>
          <w:sz w:val="20"/>
        </w:rPr>
        <w:t>EN: [ASAP] Self-Assembled Monolayer-Decorated PEDOT:PSS for Balanced Hole Injection in Lead-Free Near-Infrared Perovskite Light-Emitting Diodes</w:t>
      </w:r>
    </w:p>
    <w:p>
      <w:pPr>
        <w:spacing w:before="0" w:after="120"/>
      </w:pPr>
      <w:r>
        <w:rPr>
          <w:b/>
        </w:rPr>
        <w:t xml:space="preserve">Source: </w:t>
      </w:r>
      <w:r>
        <w:t>ACS Energy Letters: Latest Articles (ACS Publications)</w:t>
      </w:r>
      <w:r>
        <w:t xml:space="preserve">    </w:t>
      </w:r>
      <w:r>
        <w:rPr>
          <w:b/>
        </w:rPr>
        <w:t xml:space="preserve">Pub date: </w:t>
      </w:r>
      <w:r>
        <w:t>2026-04-04 13:28:02+00:00</w:t>
      </w:r>
      <w:r>
        <w:t xml:space="preserve">    </w:t>
      </w:r>
      <w:r>
        <w:rPr>
          <w:b/>
        </w:rPr>
        <w:t xml:space="preserve">DOI: </w:t>
      </w:r>
      <w:hyperlink r:id="rId221">
        <w:r>
          <w:rPr>
            <w:color w:val="1155CC"/>
            <w:u w:val="single"/>
          </w:rPr>
          <w:t>10.1021/acsenergylett.6c00196</w:t>
        </w:r>
      </w:hyperlink>
    </w:p>
    <w:p>
      <w:pPr>
        <w:spacing w:before="0" w:after="120"/>
      </w:pPr>
      <w:r>
        <w:rPr>
          <w:b/>
        </w:rPr>
        <w:t xml:space="preserve">Notes: </w:t>
      </w:r>
      <w:r>
        <w:t>abstract_source=openalex</w:t>
      </w:r>
    </w:p>
    <w:p>
      <w:pPr>
        <w:spacing w:before="0" w:after="80" w:lineRule="auto" w:line="276"/>
      </w:pPr>
      <w:r>
        <w:rPr>
          <w:b/>
        </w:rPr>
        <w:t xml:space="preserve">摘要（ZH）: </w:t>
      </w:r>
      <w:r>
        <w:t>锡基钙钛矿发光二极管（PeLEDs）是近红外光电子学中无铅替代品的有前途选择，但存在严重的界面损失和较差的操作稳定性。在此，我们报告了一种有效的空穴注入界面工程策略，使用自组装单层（SAM）（MeO-2PACz）在PEDOT:PSS上实现高性能的CsSnI3基PeLEDs。SAM修饰的界面优化了能级对齐，抑制了界面非辐射复合，并改善了钙钛矿薄膜的覆盖率和结晶度，同时减少了界面陷阱密度和晶格微应变。结果，优化的器件表现出196.5 W sr–1 m–2的最大辐射亮度和8.8%的峰值外部量子效率（EQE）用于931 nm电致发光，代表了</w:t>
      </w:r>
    </w:p>
    <w:p>
      <w:pPr>
        <w:spacing w:before="0" w:after="200" w:lineRule="auto" w:line="276"/>
      </w:pPr>
      <w:r>
        <w:rPr>
          <w:b/>
        </w:rPr>
        <w:t xml:space="preserve">Abstract (EN): </w:t>
      </w:r>
      <w:r>
        <w:t>Sn-based perovskite light-emitting diodes (PeLEDs) are promising lead-free alternatives for near-infrared optoelectronics, but suffer from severe interfacial losses and poor operational stability. Here, we report an effective hole-injection interface engineering strategy using a self-assembled monolayer (SAM) (MeO-2PACz) on PEDOT:PSS to realize high-performance CsSnI3-based PeLEDs. The SAM-modified interface optimizes energy-level alignment, suppresses interfacial nonradiative recombination, and improves perovskite film coverage and crystallinity, while reducing interfacial trap density and lattice microstrain. As a result, the optimized devices exhibit a maximum radiance of 196.5 W sr–1 m–2 and a peak external quantum efficiency (EQE) of 8.8% for 931 nm electroluminescence, representing state-of-the-art performance for CsSnI3-based near-infrared PeLEDs. This interfacial strategy is further demonstrated in red-emitting CsSnBr3 PeLEDs to achieve 2.31% EQE, highlighting its general applicability for energy-efficient, bright, and environmentally benign lead-free PeLEDs.</w:t>
      </w:r>
    </w:p>
    <w:p>
      <w:pPr>
        <w:spacing w:before="120" w:after="120"/>
      </w:pPr>
      <w:r>
        <w:rPr>
          <w:sz w:val="18"/>
        </w:rPr>
        <w:t>——————————————————————————————————————————————————————————————————————</w:t>
      </w:r>
    </w:p>
    <w:p>
      <w:pPr>
        <w:spacing w:before="160" w:after="40" w:line="240" w:lineRule="auto"/>
      </w:pPr>
      <w:r>
        <w:rPr>
          <w:b/>
        </w:rPr>
        <w:t xml:space="preserve">[30] </w:t>
      </w:r>
      <w:hyperlink r:id="rId222">
        <w:r>
          <w:rPr>
            <w:color w:val="1155CC"/>
            <w:u w:val="single"/>
          </w:rPr>
          <w:t>[ASAP] 通过顺序光沉积故意构建IrO2–PdO异质界面以实现选择性和耐久性氯化物氧化</w:t>
        </w:r>
      </w:hyperlink>
    </w:p>
    <w:p>
      <w:pPr>
        <w:spacing w:before="0" w:after="80"/>
      </w:pPr>
      <w:r>
        <w:rPr>
          <w:i/>
          <w:sz w:val="20"/>
        </w:rPr>
        <w:t>EN: [ASAP] Deliberate Construction of IrO2–PdO Heterointerfaces via Sequential Photodeposition for Selective and Durable Chloride Oxidation</w:t>
      </w:r>
    </w:p>
    <w:p>
      <w:pPr>
        <w:spacing w:before="0" w:after="120"/>
      </w:pPr>
      <w:r>
        <w:rPr>
          <w:b/>
        </w:rPr>
        <w:t xml:space="preserve">Source: </w:t>
      </w:r>
      <w:r>
        <w:t>ACS Energy Letters: Latest Articles (ACS Publications)</w:t>
      </w:r>
      <w:r>
        <w:t xml:space="preserve">    </w:t>
      </w:r>
      <w:r>
        <w:rPr>
          <w:b/>
        </w:rPr>
        <w:t xml:space="preserve">Pub date: </w:t>
      </w:r>
      <w:r>
        <w:t>2026-04-04 13:30:57+00:00</w:t>
      </w:r>
      <w:r>
        <w:t xml:space="preserve">    </w:t>
      </w:r>
      <w:r>
        <w:rPr>
          <w:b/>
        </w:rPr>
        <w:t xml:space="preserve">DOI: </w:t>
      </w:r>
      <w:hyperlink r:id="rId223">
        <w:r>
          <w:rPr>
            <w:color w:val="1155CC"/>
            <w:u w:val="single"/>
          </w:rPr>
          <w:t>10.1021/acsenergylett.6c00805</w:t>
        </w:r>
      </w:hyperlink>
    </w:p>
    <w:p>
      <w:pPr>
        <w:spacing w:before="0" w:after="120"/>
      </w:pPr>
      <w:r>
        <w:rPr>
          <w:b/>
        </w:rPr>
        <w:t xml:space="preserve">Notes: </w:t>
      </w:r>
      <w:r>
        <w:t>abstract_source=openalex</w:t>
      </w:r>
    </w:p>
    <w:p>
      <w:pPr>
        <w:spacing w:before="0" w:after="80" w:lineRule="auto" w:line="276"/>
      </w:pPr>
      <w:r>
        <w:rPr>
          <w:b/>
        </w:rPr>
        <w:t xml:space="preserve">摘要（ZH）: </w:t>
      </w:r>
      <w:r>
        <w:t>选择性氯化物氧化是现实海水分解中的瓶颈，其中氧化驱动的酸化带来了选择性–稳定性权衡。我们报告了一种可编程的顺序光沉积策略，该策略在单晶Co3O4纳米立方体上构建表面定义的IrO2–PdO异质界面，产生具有控制组成的约1 nm簇。这种方法实现了系统的界面工程，生成的异质界面在酸化海水电解下稳定催化剂。结果表明，IrO2–PdO/Co3O4催化剂在中性NaCl中对氯化物氧化的选择性接近100%，并在局部酸化下保持高活性和耐久性，性能优于IrO2/Co3O4、PdO/Co3O4和商业Ti/IrRu阳极。密度</w:t>
      </w:r>
    </w:p>
    <w:p>
      <w:pPr>
        <w:spacing w:before="0" w:after="200" w:lineRule="auto" w:line="276"/>
      </w:pPr>
      <w:r>
        <w:rPr>
          <w:b/>
        </w:rPr>
        <w:t xml:space="preserve">Abstract (EN): </w:t>
      </w:r>
      <w:r>
        <w:t>Selective chloride oxidation is the bottleneck in realistic seawater splitting, where oxidation-driven acidification imposes a selectivity–stability trade-off. We report a programmable sequential photodeposition strategy that constructs surface-defined IrO2–PdO heterointerfaces on single-crystalline Co3O4 nanocubes, yielding ∼1 nm clusters with controlled composition. This approach enables systematic interface engineering, generating heterointerfaces that stabilize catalyst under acidifying seawater electrolysis. The resulting IrO2–PdO/Co3O4 catalyst exhibits nearly 100% selectivity for chloride oxidation over oxygen evolution in neutral NaCl and retains high activity and durability under localized acidification, outperforming IrO2/Co3O4, PdO/Co3O4, and commercial Ti/IrRu anodes. Density functional theory calculations show that interfacial electronic interactions optimize Cl* binding and lower activation barriers relative to isolated IrO2 and PdO. Under continuous-flow conditions, the catalyst offers exceptional durability and sustained HOCl production, demonstrating practical relevance for on-site disinfectant generation. This consecutive photodeposition provides a controllable route to design durable heterointerfaces relevant to seawater electrolysis.</w:t>
      </w:r>
    </w:p>
    <w:p>
      <w:pPr>
        <w:spacing w:before="120" w:after="120"/>
      </w:pPr>
      <w:r>
        <w:rPr>
          <w:sz w:val="18"/>
        </w:rPr>
        <w:t>——————————————————————————————————————————————————————————————————————</w:t>
      </w:r>
    </w:p>
    <w:p>
      <w:pPr>
        <w:spacing w:before="160" w:after="40" w:line="240" w:lineRule="auto"/>
      </w:pPr>
      <w:r>
        <w:rPr>
          <w:b/>
        </w:rPr>
        <w:t xml:space="preserve">[31] </w:t>
      </w:r>
      <w:hyperlink r:id="rId224">
        <w:r>
          <w:rPr>
            <w:color w:val="1155CC"/>
            <w:u w:val="single"/>
          </w:rPr>
          <w:t>意外的延迟：绿色技术、金融和能源转型</w:t>
        </w:r>
      </w:hyperlink>
    </w:p>
    <w:p>
      <w:pPr>
        <w:spacing w:before="0" w:after="80"/>
      </w:pPr>
      <w:r>
        <w:rPr>
          <w:i/>
          <w:sz w:val="20"/>
        </w:rPr>
        <w:t>EN: Unintended delays: Green technology, finance, and energy transition</w:t>
      </w:r>
    </w:p>
    <w:p>
      <w:pPr>
        <w:spacing w:before="0" w:after="120"/>
      </w:pPr>
      <w:r>
        <w:rPr>
          <w:b/>
        </w:rPr>
        <w:t xml:space="preserve">Source: </w:t>
      </w:r>
      <w:r>
        <w:t>ScienceDirect Publication: Energy Policy</w:t>
      </w:r>
      <w:r>
        <w:t xml:space="preserve">    </w:t>
      </w:r>
      <w:r>
        <w:rPr>
          <w:b/>
        </w:rPr>
        <w:t xml:space="preserve">Pub date: </w:t>
      </w:r>
      <w:r>
        <w:t>2026-04-05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[32] </w:t>
      </w:r>
      <w:hyperlink r:id="rId225">
        <w:r>
          <w:rPr>
            <w:color w:val="1155CC"/>
            <w:u w:val="single"/>
          </w:rPr>
          <w:t>在kW级太阳能反应器中，Ni/CeO2催化剂上甲烷干重整的实验研究：多孔结构的增强性能1</w:t>
        </w:r>
      </w:hyperlink>
    </w:p>
    <w:p>
      <w:pPr>
        <w:spacing w:before="0" w:after="80"/>
      </w:pPr>
      <w:r>
        <w:rPr>
          <w:i/>
          <w:sz w:val="20"/>
        </w:rPr>
        <w:t>EN: Experimental investigation of dry reforming of methane over Ni/CeO2 catalysts in a kW-scale solar reactor: enhanced performance of porous structures1</w:t>
      </w:r>
    </w:p>
    <w:p>
      <w:pPr>
        <w:spacing w:before="0" w:after="120"/>
      </w:pPr>
      <w:r>
        <w:rPr>
          <w:b/>
        </w:rPr>
        <w:t xml:space="preserve">Source: </w:t>
      </w:r>
      <w:r>
        <w:t>ScienceDirect Publication: Applied Energy</w:t>
      </w:r>
      <w:r>
        <w:t xml:space="preserve">    </w:t>
      </w:r>
      <w:r>
        <w:rPr>
          <w:b/>
        </w:rPr>
        <w:t xml:space="preserve">Pub date: </w:t>
      </w:r>
      <w:r>
        <w:t>2026-04-05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[33] </w:t>
      </w:r>
      <w:hyperlink r:id="rId226">
        <w:r>
          <w:rPr>
            <w:color w:val="1155CC"/>
            <w:u w:val="single"/>
          </w:rPr>
          <w:t>结合广域气象表示学习的联合确定性和概率性风电预测方法</w:t>
        </w:r>
      </w:hyperlink>
    </w:p>
    <w:p>
      <w:pPr>
        <w:spacing w:before="0" w:after="80"/>
      </w:pPr>
      <w:r>
        <w:rPr>
          <w:i/>
          <w:sz w:val="20"/>
        </w:rPr>
        <w:t>EN: A joint deterministic and probabilistic wind power forecasting method integrating wide-area meteorological representation learning</w:t>
      </w:r>
    </w:p>
    <w:p>
      <w:pPr>
        <w:spacing w:before="0" w:after="120"/>
      </w:pPr>
      <w:r>
        <w:rPr>
          <w:b/>
        </w:rPr>
        <w:t xml:space="preserve">Source: </w:t>
      </w:r>
      <w:r>
        <w:t>ScienceDirect Publication: Applied Energy</w:t>
      </w:r>
      <w:r>
        <w:t xml:space="preserve">    </w:t>
      </w:r>
      <w:r>
        <w:rPr>
          <w:b/>
        </w:rPr>
        <w:t xml:space="preserve">Pub date: </w:t>
      </w:r>
      <w:r>
        <w:t>2026-04-05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[34] </w:t>
      </w:r>
      <w:hyperlink r:id="rId227">
        <w:r>
          <w:rPr>
            <w:color w:val="1155CC"/>
            <w:u w:val="single"/>
          </w:rPr>
          <w:t>使用多尺度趋势感知网络进行碳排放权回报的可解释预测，具有动态变量选择和挤压激励</w:t>
        </w:r>
      </w:hyperlink>
    </w:p>
    <w:p>
      <w:pPr>
        <w:spacing w:before="0" w:after="80"/>
      </w:pPr>
      <w:r>
        <w:rPr>
          <w:i/>
          <w:sz w:val="20"/>
        </w:rPr>
        <w:t>EN: Interpretable forecasting of carbon allowance returns using multi-scale trend-aware network with dynamic variable selection and squeeze-excitation</w:t>
      </w:r>
    </w:p>
    <w:p>
      <w:pPr>
        <w:spacing w:before="0" w:after="120"/>
      </w:pPr>
      <w:r>
        <w:rPr>
          <w:b/>
        </w:rPr>
        <w:t xml:space="preserve">Source: </w:t>
      </w:r>
      <w:r>
        <w:t>ScienceDirect Publication: Applied Energy</w:t>
      </w:r>
      <w:r>
        <w:t xml:space="preserve">    </w:t>
      </w:r>
      <w:r>
        <w:rPr>
          <w:b/>
        </w:rPr>
        <w:t xml:space="preserve">Pub date: </w:t>
      </w:r>
      <w:r>
        <w:t>2026-04-05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[35] </w:t>
      </w:r>
      <w:hyperlink r:id="rId228">
        <w:r>
          <w:rPr>
            <w:color w:val="1155CC"/>
            <w:u w:val="single"/>
          </w:rPr>
          <w:t>在集成电动汽车和光伏的虚拟电厂控制网络中，自适应加权多目标电池储能优化</w:t>
        </w:r>
      </w:hyperlink>
    </w:p>
    <w:p>
      <w:pPr>
        <w:spacing w:before="0" w:after="80"/>
      </w:pPr>
      <w:r>
        <w:rPr>
          <w:i/>
          <w:sz w:val="20"/>
        </w:rPr>
        <w:t>EN: Adaptive weighted multi-objective battery storage optimization in virtual power plant-controlled networks integrating electric vehicles and photovoltaics</w:t>
      </w:r>
    </w:p>
    <w:p>
      <w:pPr>
        <w:spacing w:before="0" w:after="120"/>
      </w:pPr>
      <w:r>
        <w:rPr>
          <w:b/>
        </w:rPr>
        <w:t xml:space="preserve">Source: </w:t>
      </w:r>
      <w:r>
        <w:t>ScienceDirect Publication: Applied Energy</w:t>
      </w:r>
      <w:r>
        <w:t xml:space="preserve">    </w:t>
      </w:r>
      <w:r>
        <w:rPr>
          <w:b/>
        </w:rPr>
        <w:t xml:space="preserve">Pub date: </w:t>
      </w:r>
      <w:r>
        <w:t>2026-04-05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[36] </w:t>
      </w:r>
      <w:hyperlink r:id="rId229">
        <w:r>
          <w:rPr>
            <w:color w:val="1155CC"/>
            <w:u w:val="single"/>
          </w:rPr>
          <w:t>面向混合可再生能源系统的基于数据驱动的脆弱性感知框架，集成卫星-地面网络</w:t>
        </w:r>
      </w:hyperlink>
    </w:p>
    <w:p>
      <w:pPr>
        <w:spacing w:before="0" w:after="80"/>
      </w:pPr>
      <w:r>
        <w:rPr>
          <w:i/>
          <w:sz w:val="20"/>
        </w:rPr>
        <w:t>EN: Data-driven vulnerability-aware framework for hybrid renewable energy system with integrated satellite-terrestrial network</w:t>
      </w:r>
    </w:p>
    <w:p>
      <w:pPr>
        <w:spacing w:before="0" w:after="120"/>
      </w:pPr>
      <w:r>
        <w:rPr>
          <w:b/>
        </w:rPr>
        <w:t xml:space="preserve">Source: </w:t>
      </w:r>
      <w:r>
        <w:t>ScienceDirect Publication: Applied Energy</w:t>
      </w:r>
      <w:r>
        <w:t xml:space="preserve">    </w:t>
      </w:r>
      <w:r>
        <w:rPr>
          <w:b/>
        </w:rPr>
        <w:t xml:space="preserve">Pub date: </w:t>
      </w:r>
      <w:r>
        <w:t>2026-04-05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[37] </w:t>
      </w:r>
      <w:hyperlink r:id="rId230">
        <w:r>
          <w:rPr>
            <w:color w:val="1155CC"/>
            <w:u w:val="single"/>
          </w:rPr>
          <w:t>结合尾流相互作用的风电场能量和备用调度优化</w:t>
        </w:r>
      </w:hyperlink>
    </w:p>
    <w:p>
      <w:pPr>
        <w:spacing w:before="0" w:after="80"/>
      </w:pPr>
      <w:r>
        <w:rPr>
          <w:i/>
          <w:sz w:val="20"/>
        </w:rPr>
        <w:t>EN: Optimal wind farm energy and reserve scheduling incorporating wake interactions</w:t>
      </w:r>
    </w:p>
    <w:p>
      <w:pPr>
        <w:spacing w:before="0" w:after="120"/>
      </w:pPr>
      <w:r>
        <w:rPr>
          <w:b/>
        </w:rPr>
        <w:t xml:space="preserve">Source: </w:t>
      </w:r>
      <w:r>
        <w:t>ScienceDirect Publication: Applied Energy</w:t>
      </w:r>
      <w:r>
        <w:t xml:space="preserve">    </w:t>
      </w:r>
      <w:r>
        <w:rPr>
          <w:b/>
        </w:rPr>
        <w:t xml:space="preserve">Pub date: </w:t>
      </w:r>
      <w:r>
        <w:t>2026-04-05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[38] </w:t>
      </w:r>
      <w:hyperlink r:id="rId231">
        <w:r>
          <w:rPr>
            <w:color w:val="1155CC"/>
            <w:u w:val="single"/>
          </w:rPr>
          <w:t>基于抽水蓄能集群的水-风-太阳能-储能混合系统的短期削峰优化，采用软演员-评论家和顺序分配策略</w:t>
        </w:r>
      </w:hyperlink>
    </w:p>
    <w:p>
      <w:pPr>
        <w:spacing w:before="0" w:after="80"/>
      </w:pPr>
      <w:r>
        <w:rPr>
          <w:i/>
          <w:sz w:val="20"/>
        </w:rPr>
        <w:t>EN: Short-term peak shaving optimization of hydro-wind-solar-storage hybrid system based on pumped storage cluster using soft actor-critic and sequential allocation strategies</w:t>
      </w:r>
    </w:p>
    <w:p>
      <w:pPr>
        <w:spacing w:before="0" w:after="120"/>
      </w:pPr>
      <w:r>
        <w:rPr>
          <w:b/>
        </w:rPr>
        <w:t xml:space="preserve">Source: </w:t>
      </w:r>
      <w:r>
        <w:t>ScienceDirect Publication: Applied Energy</w:t>
      </w:r>
      <w:r>
        <w:t xml:space="preserve">    </w:t>
      </w:r>
      <w:r>
        <w:rPr>
          <w:b/>
        </w:rPr>
        <w:t xml:space="preserve">Pub date: </w:t>
      </w:r>
      <w:r>
        <w:t>2026-04-05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[39] </w:t>
      </w:r>
      <w:hyperlink r:id="rId232">
        <w:r>
          <w:rPr>
            <w:color w:val="1155CC"/>
            <w:u w:val="single"/>
          </w:rPr>
          <w:t>一种物理信息驱动的集成学习方法，用于跨多种充电条件的电池老化预测</w:t>
        </w:r>
      </w:hyperlink>
    </w:p>
    <w:p>
      <w:pPr>
        <w:spacing w:before="0" w:after="80"/>
      </w:pPr>
      <w:r>
        <w:rPr>
          <w:i/>
          <w:sz w:val="20"/>
        </w:rPr>
        <w:t>EN: A physics-informed ensemble learning method for battery aging prediction across diverse charging conditions</w:t>
      </w:r>
    </w:p>
    <w:p>
      <w:pPr>
        <w:spacing w:before="0" w:after="120"/>
      </w:pPr>
      <w:r>
        <w:rPr>
          <w:b/>
        </w:rPr>
        <w:t xml:space="preserve">Source: </w:t>
      </w:r>
      <w:r>
        <w:t>ScienceDirect Publication: Applied Energy</w:t>
      </w:r>
      <w:r>
        <w:t xml:space="preserve">    </w:t>
      </w:r>
      <w:r>
        <w:rPr>
          <w:b/>
        </w:rPr>
        <w:t xml:space="preserve">Pub date: </w:t>
      </w:r>
      <w:r>
        <w:t>2026-04-05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[40] </w:t>
      </w:r>
      <w:hyperlink r:id="rId233">
        <w:r>
          <w:rPr>
            <w:color w:val="1155CC"/>
            <w:u w:val="single"/>
          </w:rPr>
          <w:t>东亚-太平洋地区SDG对齐转型的能源政策排序：阶段依赖效应和阈值动态的证据</w:t>
        </w:r>
      </w:hyperlink>
    </w:p>
    <w:p>
      <w:pPr>
        <w:spacing w:before="0" w:after="80"/>
      </w:pPr>
      <w:r>
        <w:rPr>
          <w:i/>
          <w:sz w:val="20"/>
        </w:rPr>
        <w:t>EN: Energy policy sequencing for SDG-aligned transitions in East Asia–Pacific: Evidence of stage-dependent effects and threshold dynamics</w:t>
      </w:r>
    </w:p>
    <w:p>
      <w:pPr>
        <w:spacing w:before="0" w:after="120"/>
      </w:pPr>
      <w:r>
        <w:rPr>
          <w:b/>
        </w:rPr>
        <w:t xml:space="preserve">Source: </w:t>
      </w:r>
      <w:r>
        <w:t>ScienceDirect Publication: Energy Policy</w:t>
      </w:r>
      <w:r>
        <w:t xml:space="preserve">    </w:t>
      </w:r>
      <w:r>
        <w:rPr>
          <w:b/>
        </w:rPr>
        <w:t xml:space="preserve">Pub date: </w:t>
      </w:r>
      <w:r>
        <w:t>2026-04-05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[41] </w:t>
      </w:r>
      <w:hyperlink r:id="rId234">
        <w:r>
          <w:rPr>
            <w:color w:val="1155CC"/>
            <w:u w:val="single"/>
          </w:rPr>
          <w:t>异质风电场在涡轮机升级情景下的代理辅助功率优化框架</w:t>
        </w:r>
      </w:hyperlink>
    </w:p>
    <w:p>
      <w:pPr>
        <w:spacing w:before="0" w:after="80"/>
      </w:pPr>
      <w:r>
        <w:rPr>
          <w:i/>
          <w:sz w:val="20"/>
        </w:rPr>
        <w:t>EN: Surrogate-assisted power optimization framework for heterogeneous Wind farms under turbine upgrade scenarios</w:t>
      </w:r>
    </w:p>
    <w:p>
      <w:pPr>
        <w:spacing w:before="0" w:after="120"/>
      </w:pPr>
      <w:r>
        <w:rPr>
          <w:b/>
        </w:rPr>
        <w:t xml:space="preserve">Source: </w:t>
      </w:r>
      <w:r>
        <w:t>ScienceDirect Publication: Applied Energy</w:t>
      </w:r>
      <w:r>
        <w:t xml:space="preserve">    </w:t>
      </w:r>
      <w:r>
        <w:rPr>
          <w:b/>
        </w:rPr>
        <w:t xml:space="preserve">Pub date: </w:t>
      </w:r>
      <w:r>
        <w:t>2026-04-05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[42] </w:t>
      </w:r>
      <w:hyperlink r:id="rId235">
        <w:r>
          <w:rPr>
            <w:color w:val="1155CC"/>
            <w:u w:val="single"/>
          </w:rPr>
          <w:t>通过输入凸神经网络评估能量收集装置的效率</w:t>
        </w:r>
      </w:hyperlink>
    </w:p>
    <w:p>
      <w:pPr>
        <w:spacing w:before="0" w:after="80"/>
      </w:pPr>
      <w:r>
        <w:rPr>
          <w:i/>
          <w:sz w:val="20"/>
        </w:rPr>
        <w:t>EN: Assessing efficiency of an energy harvesting apparatus by input convex neural networks</w:t>
      </w:r>
    </w:p>
    <w:p>
      <w:pPr>
        <w:spacing w:before="0" w:after="120"/>
      </w:pPr>
      <w:r>
        <w:rPr>
          <w:b/>
        </w:rPr>
        <w:t xml:space="preserve">Source: </w:t>
      </w:r>
      <w:r>
        <w:t>ScienceDirect Publication: Applied Energy</w:t>
      </w:r>
      <w:r>
        <w:t xml:space="preserve">    </w:t>
      </w:r>
      <w:r>
        <w:rPr>
          <w:b/>
        </w:rPr>
        <w:t xml:space="preserve">Pub date: </w:t>
      </w:r>
      <w:r>
        <w:t>2026-04-05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[43] </w:t>
      </w:r>
      <w:hyperlink r:id="rId236">
        <w:r>
          <w:rPr>
            <w:color w:val="1155CC"/>
            <w:u w:val="single"/>
          </w:rPr>
          <w:t>产业发展信号下新能源的创新投资：使用LLM方法捕捉政策和市场信号</w:t>
        </w:r>
      </w:hyperlink>
    </w:p>
    <w:p>
      <w:pPr>
        <w:spacing w:before="0" w:after="80"/>
      </w:pPr>
      <w:r>
        <w:rPr>
          <w:i/>
          <w:sz w:val="20"/>
        </w:rPr>
        <w:t>EN: Innovative investment in new energy under industry development signals: Capturing policy and market signals using LLM method</w:t>
      </w:r>
    </w:p>
    <w:p>
      <w:pPr>
        <w:spacing w:before="0" w:after="120"/>
      </w:pPr>
      <w:r>
        <w:rPr>
          <w:b/>
        </w:rPr>
        <w:t xml:space="preserve">Source: </w:t>
      </w:r>
      <w:r>
        <w:t>ScienceDirect Publication: Energy Policy</w:t>
      </w:r>
      <w:r>
        <w:t xml:space="preserve">    </w:t>
      </w:r>
      <w:r>
        <w:rPr>
          <w:b/>
        </w:rPr>
        <w:t xml:space="preserve">Pub date: </w:t>
      </w:r>
      <w:r>
        <w:t>2026-04-05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[44] </w:t>
      </w:r>
      <w:hyperlink r:id="rId237">
        <w:r>
          <w:rPr>
            <w:color w:val="1155CC"/>
            <w:u w:val="single"/>
          </w:rPr>
          <w:t>物理增强的安全强化学习用于在天气敏感的热约束下缓解配电网络的过载</w:t>
        </w:r>
      </w:hyperlink>
    </w:p>
    <w:p>
      <w:pPr>
        <w:spacing w:before="0" w:after="80"/>
      </w:pPr>
      <w:r>
        <w:rPr>
          <w:i/>
          <w:sz w:val="20"/>
        </w:rPr>
        <w:t>EN: Physics-augmented safe reinforcement learning for overload mitigation in distribution networks under weather-sensitive thermal constraints</w:t>
      </w:r>
    </w:p>
    <w:p>
      <w:pPr>
        <w:spacing w:before="0" w:after="120"/>
      </w:pPr>
      <w:r>
        <w:rPr>
          <w:b/>
        </w:rPr>
        <w:t xml:space="preserve">Source: </w:t>
      </w:r>
      <w:r>
        <w:t>ScienceDirect Publication: Applied Energy</w:t>
      </w:r>
      <w:r>
        <w:t xml:space="preserve">    </w:t>
      </w:r>
      <w:r>
        <w:rPr>
          <w:b/>
        </w:rPr>
        <w:t xml:space="preserve">Pub date: </w:t>
      </w:r>
      <w:r>
        <w:t>2026-04-05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[45] </w:t>
      </w:r>
      <w:hyperlink r:id="rId238">
        <w:r>
          <w:rPr>
            <w:color w:val="1155CC"/>
            <w:u w:val="single"/>
          </w:rPr>
          <w:t>能源转型中的盐穴：从战略储备到高频循环储存的盐穴完整性比较评述</w:t>
        </w:r>
      </w:hyperlink>
    </w:p>
    <w:p>
      <w:pPr>
        <w:spacing w:before="0" w:after="80"/>
      </w:pPr>
      <w:r>
        <w:rPr>
          <w:i/>
          <w:sz w:val="20"/>
        </w:rPr>
        <w:t>EN: Salt caverns in the energy transition: A comparative review of cavern integrity from strategic reserves to high-frequency cyclic storage</w:t>
      </w:r>
    </w:p>
    <w:p>
      <w:pPr>
        <w:spacing w:before="0" w:after="120"/>
      </w:pPr>
      <w:r>
        <w:rPr>
          <w:b/>
        </w:rPr>
        <w:t xml:space="preserve">Source: </w:t>
      </w:r>
      <w:r>
        <w:t>ScienceDirect Publication: Applied Energy</w:t>
      </w:r>
      <w:r>
        <w:t xml:space="preserve">    </w:t>
      </w:r>
      <w:r>
        <w:rPr>
          <w:b/>
        </w:rPr>
        <w:t xml:space="preserve">Pub date: </w:t>
      </w:r>
      <w:r>
        <w:t>2026-04-05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[46] </w:t>
      </w:r>
      <w:hyperlink r:id="rId239">
        <w:r>
          <w:rPr>
            <w:color w:val="1155CC"/>
            <w:u w:val="single"/>
          </w:rPr>
          <w:t>[ASAP] 通过重塑氧化还原活性位点扩展乙烯基连接的共价有机框架的不对称π共轭用于H2O2光合成和有氧氧化</w:t>
        </w:r>
      </w:hyperlink>
    </w:p>
    <w:p>
      <w:pPr>
        <w:spacing w:before="0" w:after="80"/>
      </w:pPr>
      <w:r>
        <w:rPr>
          <w:i/>
          <w:sz w:val="20"/>
        </w:rPr>
        <w:t>EN: [ASAP] Extending Asymmetric π-Conjugation of Vinylene-Linked Covalent Organic Frameworks with Remodeled Redox Active Sites for H2O2 Photosynthesis and Aerobic Oxidations</w:t>
      </w:r>
    </w:p>
    <w:p>
      <w:pPr>
        <w:spacing w:before="0" w:after="120"/>
      </w:pPr>
      <w:r>
        <w:rPr>
          <w:b/>
        </w:rPr>
        <w:t xml:space="preserve">Source: </w:t>
      </w:r>
      <w:r>
        <w:t>Journal of the American Chemical Society: Latest Articles (ACS Publications)</w:t>
      </w:r>
      <w:r>
        <w:t xml:space="preserve">    </w:t>
      </w:r>
      <w:r>
        <w:rPr>
          <w:b/>
        </w:rPr>
        <w:t xml:space="preserve">Pub date: </w:t>
      </w:r>
      <w:r>
        <w:t>2026-04-05 18:47:49+00:00</w:t>
      </w:r>
      <w:r>
        <w:t xml:space="preserve">    </w:t>
      </w:r>
      <w:r>
        <w:rPr>
          <w:b/>
        </w:rPr>
        <w:t xml:space="preserve">DOI: </w:t>
      </w:r>
      <w:hyperlink r:id="rId240">
        <w:r>
          <w:rPr>
            <w:color w:val="1155CC"/>
            <w:u w:val="single"/>
          </w:rPr>
          <w:t>10.1021/jacs.6c00731</w:t>
        </w:r>
      </w:hyperlink>
    </w:p>
    <w:p>
      <w:pPr>
        <w:spacing w:before="0" w:after="120"/>
      </w:pPr>
      <w:r>
        <w:rPr>
          <w:b/>
        </w:rPr>
        <w:t xml:space="preserve">Notes: </w:t>
      </w:r>
      <w:r>
        <w:t>abstract_source=pubmed</w:t>
      </w:r>
    </w:p>
    <w:p>
      <w:pPr>
        <w:spacing w:before="0" w:after="80" w:lineRule="auto" w:line="276"/>
      </w:pPr>
      <w:r>
        <w:rPr>
          <w:b/>
        </w:rPr>
        <w:t xml:space="preserve">摘要（ZH）: </w:t>
      </w:r>
      <w:r>
        <w:t>共价有机框架（COFs）在人工光合作用中表现出相当大的潜力，特别是在光还原生成过氧化氢（H2O2）和相关的增值化学品的有氧氧化合成中。然而，它们的广泛应用受到化学稳定性有限、氧化还原活性位点不佳和激子解离效率低下的阻碍。为了解决这些挑战，我们通过引入电子吸引和极性-CN基团（sp2-COF-CN）设计了一种乙烯基连接的sp2-COF，以扩展不对称π-共轭并重塑氧化还原活性位点，从而实现优越的H2O2光合成和有氧氧化反应。综合表征表明，引入sp杂化的C≡N单元重塑了供体-π-受体构型</w:t>
      </w:r>
    </w:p>
    <w:p>
      <w:pPr>
        <w:spacing w:before="0" w:after="200" w:lineRule="auto" w:line="276"/>
      </w:pPr>
      <w:r>
        <w:rPr>
          <w:b/>
        </w:rPr>
        <w:t xml:space="preserve">Abstract (EN): </w:t>
      </w:r>
      <w:r>
        <w:t>Covalent organic frameworks (COFs) exhibit considerable potential in artificial photosynthesis, notably for photoreductive generation of hydrogen peroxide (H2O2) and related aerobic oxidative synthesis of value-added chemicals. However, their widespread application is hindered by limited chemical stability, suboptimal redox active sites, and inefficient exciton dissociation. To address these challenges, we report the design of a vinylene-linked sp2-COF by introducing an electron-withdrawing and polar -CN group (sp2-COF-CN) to extend asymmetric π-conjugation and remodel the redox active sites for achieving superior H2O2 photosynthesis and aerobic oxidation reactions. Comprehensive characterization indicates that the introduction of sp-hybridized C≡N units reshapes the donor-π-acceptor configuration, promotes charge delocalization, and boosts electron density with pronounced asymmetry. These effects collectively yield a remarkable H2O2 production rate of 17,768.4 μmol g-1 h-1 using benzyl alcohol as a sacrificial agent, exceeding those of most recently reported organic and inorganic photocatalysts. Furthermore, sp2-COF-CN demonstrates high efficiency in diverse aerobic oxidation reactions, including the oxidation of furfuryl alcohol in water and the benzylamine- and thiophenol-based coupling reactions in organic solvents. This work demonstrates that extending asymmetric π-conjugation of sp2-COFs, combined with redox active site remodeling, can be an effective strategy for designing high-performance heterogeneous photocatalysts for the selective synthesis of value-added chemicals.</w:t>
      </w:r>
    </w:p>
    <w:p>
      <w:pPr>
        <w:spacing w:before="120" w:after="120"/>
      </w:pPr>
      <w:r>
        <w:rPr>
          <w:sz w:val="18"/>
        </w:rPr>
        <w:t>——————————————————————————————————————————————————————————————————————</w:t>
      </w:r>
    </w:p>
    <w:p>
      <w:pPr>
        <w:spacing w:before="160" w:after="40" w:line="240" w:lineRule="auto"/>
      </w:pPr>
      <w:r>
        <w:rPr>
          <w:b/>
        </w:rPr>
        <w:t xml:space="preserve">[47] </w:t>
      </w:r>
      <w:hyperlink r:id="rId241">
        <w:r>
          <w:rPr>
            <w:color w:val="1155CC"/>
            <w:u w:val="single"/>
          </w:rPr>
          <w:t>吸引头脑和心灵：为什么科学家转向诗歌</w:t>
        </w:r>
      </w:hyperlink>
    </w:p>
    <w:p>
      <w:pPr>
        <w:spacing w:before="0" w:after="80"/>
      </w:pPr>
      <w:r>
        <w:rPr>
          <w:i/>
          <w:sz w:val="20"/>
        </w:rPr>
        <w:t>EN: Engaging the head and the heart: why scientists turn to poetry</w:t>
      </w:r>
    </w:p>
    <w:p>
      <w:pPr>
        <w:spacing w:before="0" w:after="120"/>
      </w:pPr>
      <w:r>
        <w:rPr>
          <w:b/>
        </w:rPr>
        <w:t xml:space="preserve">Source: </w:t>
      </w:r>
      <w:r>
        <w:t>Nature</w:t>
      </w:r>
      <w:r>
        <w:t xml:space="preserve">    </w:t>
      </w:r>
      <w:r>
        <w:rPr>
          <w:b/>
        </w:rPr>
        <w:t xml:space="preserve">Pub date: </w:t>
      </w:r>
      <w:r>
        <w:t>2026-04-06 00:00:00+00:00</w:t>
      </w:r>
      <w:r>
        <w:t xml:space="preserve">    </w:t>
      </w:r>
      <w:r>
        <w:rPr>
          <w:b/>
        </w:rPr>
        <w:t xml:space="preserve">DOI: </w:t>
      </w:r>
      <w:hyperlink r:id="rId242">
        <w:r>
          <w:rPr>
            <w:color w:val="1155CC"/>
            <w:u w:val="single"/>
          </w:rPr>
          <w:t>10.1038/d41586-026-01028-3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[48] </w:t>
      </w:r>
      <w:hyperlink r:id="rId243">
        <w:r>
          <w:rPr>
            <w:color w:val="1155CC"/>
            <w:u w:val="single"/>
          </w:rPr>
          <w:t>‘是的，我们可以’：清洁经济和健康社会的蓝图</w:t>
        </w:r>
      </w:hyperlink>
    </w:p>
    <w:p>
      <w:pPr>
        <w:spacing w:before="0" w:after="80"/>
      </w:pPr>
      <w:r>
        <w:rPr>
          <w:i/>
          <w:sz w:val="20"/>
        </w:rPr>
        <w:t>EN: ‘Yes, we can’: a blueprint for a clean economy and healthy society</w:t>
      </w:r>
    </w:p>
    <w:p>
      <w:pPr>
        <w:spacing w:before="0" w:after="120"/>
      </w:pPr>
      <w:r>
        <w:rPr>
          <w:b/>
        </w:rPr>
        <w:t xml:space="preserve">Source: </w:t>
      </w:r>
      <w:r>
        <w:t>Nature</w:t>
      </w:r>
      <w:r>
        <w:t xml:space="preserve">    </w:t>
      </w:r>
      <w:r>
        <w:rPr>
          <w:b/>
        </w:rPr>
        <w:t xml:space="preserve">Pub date: </w:t>
      </w:r>
      <w:r>
        <w:t>2026-04-06 00:00:00+00:00</w:t>
      </w:r>
      <w:r>
        <w:t xml:space="preserve">    </w:t>
      </w:r>
      <w:r>
        <w:rPr>
          <w:b/>
        </w:rPr>
        <w:t xml:space="preserve">DOI: </w:t>
      </w:r>
      <w:hyperlink r:id="rId244">
        <w:r>
          <w:rPr>
            <w:color w:val="1155CC"/>
            <w:u w:val="single"/>
          </w:rPr>
          <w:t>10.1038/d41586-026-01026-5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[49] </w:t>
      </w:r>
      <w:hyperlink r:id="rId245">
        <w:r>
          <w:rPr>
            <w:color w:val="1155CC"/>
            <w:u w:val="single"/>
          </w:rPr>
          <w:t>用于集成传感的二维材料</w:t>
        </w:r>
      </w:hyperlink>
    </w:p>
    <w:p>
      <w:pPr>
        <w:spacing w:before="0" w:after="80"/>
      </w:pPr>
      <w:r>
        <w:rPr>
          <w:i/>
          <w:sz w:val="20"/>
        </w:rPr>
        <w:t>EN: Two-dimensional materials for integrated sensing</w:t>
      </w:r>
    </w:p>
    <w:p>
      <w:pPr>
        <w:spacing w:before="0" w:after="120"/>
      </w:pPr>
      <w:r>
        <w:rPr>
          <w:b/>
        </w:rPr>
        <w:t xml:space="preserve">Source: </w:t>
      </w:r>
      <w:r>
        <w:t>Nature Materials</w:t>
      </w:r>
      <w:r>
        <w:t xml:space="preserve">    </w:t>
      </w:r>
      <w:r>
        <w:rPr>
          <w:b/>
        </w:rPr>
        <w:t xml:space="preserve">Pub date: </w:t>
      </w:r>
      <w:r>
        <w:t>2026-04-06 00:00:00+00:00</w:t>
      </w:r>
      <w:r>
        <w:t xml:space="preserve">    </w:t>
      </w:r>
      <w:r>
        <w:rPr>
          <w:b/>
        </w:rPr>
        <w:t xml:space="preserve">DOI: </w:t>
      </w:r>
      <w:hyperlink r:id="rId246">
        <w:r>
          <w:rPr>
            <w:color w:val="1155CC"/>
            <w:u w:val="single"/>
          </w:rPr>
          <w:t>10.1038/s41563-026-02551-4</w:t>
        </w:r>
      </w:hyperlink>
    </w:p>
    <w:p>
      <w:pPr>
        <w:spacing w:before="0" w:after="120"/>
      </w:pPr>
      <w:r>
        <w:rPr>
          <w:b/>
        </w:rPr>
        <w:t xml:space="preserve">Notes: </w:t>
      </w:r>
      <w:r>
        <w:t>abstract_source=nature_html</w:t>
      </w:r>
    </w:p>
    <w:p>
      <w:pPr>
        <w:spacing w:before="0" w:after="80" w:lineRule="auto" w:line="276"/>
      </w:pPr>
      <w:r>
        <w:rPr>
          <w:b/>
        </w:rPr>
        <w:t xml:space="preserve">摘要（ZH）: </w:t>
      </w:r>
      <w:r>
        <w:t>最近在利用电阻切换材料进行电气乘加（MAC）操作方面的进展，通过探索新兴材料，推动了光电传感和计算技术的显著进步。这些创新方法促进了光幅度信息的编码，例如视网膜样功能。然而，电气和光学信息之间存在关键的尺寸不匹配，导致在传统MAC操作方案中，大部分高维数据通道未被探索。结合先进的设备架构和数据算法，二维材料被认为是实现多维光学信息的原位编码和光电传感的有前途的候选者。</w:t>
      </w:r>
    </w:p>
    <w:p>
      <w:pPr>
        <w:spacing w:before="0" w:after="200" w:lineRule="auto" w:line="276"/>
      </w:pPr>
      <w:r>
        <w:rPr>
          <w:b/>
        </w:rPr>
        <w:t xml:space="preserve">Abstract (EN): </w:t>
      </w:r>
      <w:r>
        <w:t>Recent advances in electrical multiply–accumulate (MAC) operations leveraging resistive-switching materials have catalysed significant progress in optoelectronic sensing and computing technologies through the exploration of emerging materials. These innovative approaches facilitate the encoding of optical amplitude information such as retina-like functionalities. However, a critical dimensional mismatch persists between electrical and optical information, resulting in a substantial portion of high-dimensional data channels remaining unexplored in conventional MAC operation schemes. Combined with advanced device architectures and data algorithms, two-dimensional materials are considered promising candidates to realize in situ encoding and optoelectronic sensing of multi-dimensional optical information under precise control owing to their tunable physical properties. In this Review, we outline the progress of emerging two-dimensional-materials-based ‘integrated sensors’, and benchmark electrical inputs with optical scenarios in a framework unifying information encoding. Exciting opportunities for integrated sensors are discussed as well, highlighting the requirements and differences in the encoding of different dimensions of information and exploring the potential for integrated sensors in other fields.</w:t>
      </w:r>
    </w:p>
    <w:p>
      <w:pPr>
        <w:spacing w:before="120" w:after="120"/>
      </w:pPr>
      <w:r>
        <w:rPr>
          <w:sz w:val="18"/>
        </w:rPr>
        <w:t>——————————————————————————————————————————————————————————————————————</w:t>
      </w:r>
    </w:p>
    <w:p>
      <w:pPr>
        <w:spacing w:before="160" w:after="40" w:line="240" w:lineRule="auto"/>
      </w:pPr>
      <w:r>
        <w:rPr>
          <w:b/>
        </w:rPr>
        <w:t xml:space="preserve">[50] </w:t>
      </w:r>
      <w:hyperlink r:id="rId247">
        <w:r>
          <w:rPr>
            <w:color w:val="1155CC"/>
            <w:u w:val="single"/>
          </w:rPr>
          <w:t>体相纳米异质界面确保钙钛矿太阳能电池中的分子接触</w:t>
        </w:r>
      </w:hyperlink>
    </w:p>
    <w:p>
      <w:pPr>
        <w:spacing w:before="0" w:after="80"/>
      </w:pPr>
      <w:r>
        <w:rPr>
          <w:i/>
          <w:sz w:val="20"/>
        </w:rPr>
        <w:t>EN: Bulk nano-heterointerface secures molecular contacts in perovskite solar cells</w:t>
      </w:r>
    </w:p>
    <w:p>
      <w:pPr>
        <w:spacing w:before="0" w:after="120"/>
      </w:pPr>
      <w:r>
        <w:rPr>
          <w:b/>
        </w:rPr>
        <w:t xml:space="preserve">Source: </w:t>
      </w:r>
      <w:r>
        <w:t>Nature Materials</w:t>
      </w:r>
      <w:r>
        <w:t xml:space="preserve">    </w:t>
      </w:r>
      <w:r>
        <w:rPr>
          <w:b/>
        </w:rPr>
        <w:t xml:space="preserve">Pub date: </w:t>
      </w:r>
      <w:r>
        <w:t>2026-04-06 00:00:00+00:00</w:t>
      </w:r>
      <w:r>
        <w:t xml:space="preserve">    </w:t>
      </w:r>
      <w:r>
        <w:rPr>
          <w:b/>
        </w:rPr>
        <w:t xml:space="preserve">DOI: </w:t>
      </w:r>
      <w:hyperlink r:id="rId248">
        <w:r>
          <w:rPr>
            <w:color w:val="1155CC"/>
            <w:u w:val="single"/>
          </w:rPr>
          <w:t>10.1038/s41563-026-02546-1</w:t>
        </w:r>
      </w:hyperlink>
    </w:p>
    <w:p>
      <w:pPr>
        <w:spacing w:before="0" w:after="120"/>
      </w:pPr>
      <w:r>
        <w:rPr>
          <w:b/>
        </w:rPr>
        <w:t xml:space="preserve">Notes: </w:t>
      </w:r>
      <w:r>
        <w:t>abstract_source=nature_html</w:t>
      </w:r>
    </w:p>
    <w:p>
      <w:pPr>
        <w:spacing w:before="0" w:after="80" w:lineRule="auto" w:line="276"/>
      </w:pPr>
      <w:r>
        <w:rPr>
          <w:b/>
        </w:rPr>
        <w:t xml:space="preserve">摘要（ZH）: </w:t>
      </w:r>
      <w:r>
        <w:t>基于分子的选择性接触的发展提高了倒置钙钛矿太阳能电池的功率转换效率。然而，这些分子膜通常以单层或多层形式组装在基板上，容易发生分子解吸和结构变形，限制了器件的长期稳定性。这种不稳定性本质上源于透明导电氧化物与分子层之间的接触结构较弱，有限的界面提供的附着力不足以固定分子。迫切需要一种通用的架构策略来规避这一基本限制而不影响电子功能，但仍未得到充分探索。我们现在报告了一种通用的体积纳米异质结构架构。</w:t>
      </w:r>
    </w:p>
    <w:p>
      <w:pPr>
        <w:spacing w:before="0" w:after="200" w:lineRule="auto" w:line="276"/>
      </w:pPr>
      <w:r>
        <w:rPr>
          <w:b/>
        </w:rPr>
        <w:t xml:space="preserve">Abstract (EN): </w:t>
      </w:r>
      <w:r>
        <w:t>The development of molecule-based selective contacts has boosted the power conversion efficiencies of inverted perovskite solar cells. However, these molecular films, often assembled as monolayer or multiple layers on the substrate, are prone to molecular desorption and structural deformation, limiting the long-term stability of devices. This instability, in essence, originates from the weak contacting structure between the transparent conductive oxide and molecular layer, with a limited interface offering insufficient adhering forces to immobilize the molecules. A general architectural strategy that circumvents this fundamental limitation without compromising electronic functionality is highly demanded, but remains underexplored. We now report a universal architecture of a bulk nano-heterointerface that reconstructed the molecule-based selective layer. The substantially increased chemical interface and strengthened binding force between the molecules and rationally designed nanoscale scaffolds greatly improved the device operational stability, achieving high efficiency. The strategy proved versatile, successfully applied to various molecular systems to enhance device performances, and remained effective in upscaled devices produced via scalable blade coating.</w:t>
      </w:r>
    </w:p>
    <w:p>
      <w:pPr>
        <w:spacing w:before="120" w:after="120"/>
      </w:pPr>
      <w:r>
        <w:rPr>
          <w:sz w:val="18"/>
        </w:rPr>
        <w:t>——————————————————————————————————————————————————————————————————————</w:t>
      </w:r>
    </w:p>
    <w:p>
      <w:pPr>
        <w:spacing w:before="160" w:after="40" w:line="240" w:lineRule="auto"/>
      </w:pPr>
      <w:r>
        <w:rPr>
          <w:b/>
        </w:rPr>
        <w:t xml:space="preserve">[51] </w:t>
      </w:r>
      <w:hyperlink r:id="rId249">
        <w:r>
          <w:rPr>
            <w:color w:val="1155CC"/>
            <w:u w:val="single"/>
          </w:rPr>
          <w:t>为什么美国需要一个统一的、以任务为基础的健康创新战略</w:t>
        </w:r>
      </w:hyperlink>
    </w:p>
    <w:p>
      <w:pPr>
        <w:spacing w:before="0" w:after="80"/>
      </w:pPr>
      <w:r>
        <w:rPr>
          <w:i/>
          <w:sz w:val="20"/>
        </w:rPr>
        <w:t>EN: Why the US needs a unified, mission-based strategy for health innovation</w:t>
      </w:r>
    </w:p>
    <w:p>
      <w:pPr>
        <w:spacing w:before="0" w:after="120"/>
      </w:pPr>
      <w:r>
        <w:rPr>
          <w:b/>
        </w:rPr>
        <w:t xml:space="preserve">Source: </w:t>
      </w:r>
      <w:r>
        <w:t>Nature</w:t>
      </w:r>
      <w:r>
        <w:t xml:space="preserve">    </w:t>
      </w:r>
      <w:r>
        <w:rPr>
          <w:b/>
        </w:rPr>
        <w:t xml:space="preserve">Pub date: </w:t>
      </w:r>
      <w:r>
        <w:t>2026-04-06 00:00:00+00:00</w:t>
      </w:r>
      <w:r>
        <w:t xml:space="preserve">    </w:t>
      </w:r>
      <w:r>
        <w:rPr>
          <w:b/>
        </w:rPr>
        <w:t xml:space="preserve">DOI: </w:t>
      </w:r>
      <w:hyperlink r:id="rId250">
        <w:r>
          <w:rPr>
            <w:color w:val="1155CC"/>
            <w:u w:val="single"/>
          </w:rPr>
          <w:t>10.1038/d41586-026-01027-4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[52] </w:t>
      </w:r>
      <w:hyperlink r:id="rId251">
        <w:r>
          <w:rPr>
            <w:color w:val="1155CC"/>
            <w:u w:val="single"/>
          </w:rPr>
          <w:t>一种新的基于Carinata的可持续航空燃料供应链网络设计的多目标优化模型</w:t>
        </w:r>
      </w:hyperlink>
    </w:p>
    <w:p>
      <w:pPr>
        <w:spacing w:before="0" w:after="80"/>
      </w:pPr>
      <w:r>
        <w:rPr>
          <w:i/>
          <w:sz w:val="20"/>
        </w:rPr>
        <w:t>EN: A new multi-objective optimization model for Carinata-based sustainable aviation fuel supply chain network design</w:t>
      </w:r>
    </w:p>
    <w:p>
      <w:pPr>
        <w:spacing w:before="0" w:after="120"/>
      </w:pPr>
      <w:r>
        <w:rPr>
          <w:b/>
        </w:rPr>
        <w:t xml:space="preserve">Source: </w:t>
      </w:r>
      <w:r>
        <w:t>ScienceDirect Publication: Applied Energy</w:t>
      </w:r>
      <w:r>
        <w:t xml:space="preserve">    </w:t>
      </w:r>
      <w:r>
        <w:rPr>
          <w:b/>
        </w:rPr>
        <w:t xml:space="preserve">Pub date: </w:t>
      </w:r>
      <w:r>
        <w:t>2026-04-06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[53] </w:t>
      </w:r>
      <w:hyperlink r:id="rId252">
        <w:r>
          <w:rPr>
            <w:color w:val="1155CC"/>
            <w:u w:val="single"/>
          </w:rPr>
          <w:t>进化的景观</w:t>
        </w:r>
      </w:hyperlink>
    </w:p>
    <w:p>
      <w:pPr>
        <w:spacing w:before="0" w:after="80"/>
      </w:pPr>
      <w:r>
        <w:rPr>
          <w:i/>
          <w:sz w:val="20"/>
        </w:rPr>
        <w:t>EN: The Landscape of Evolution</w:t>
      </w:r>
    </w:p>
    <w:p>
      <w:pPr>
        <w:spacing w:before="0" w:after="120"/>
      </w:pPr>
      <w:r>
        <w:rPr>
          <w:b/>
        </w:rPr>
        <w:t xml:space="preserve">Source: </w:t>
      </w:r>
      <w:r>
        <w:t>National Science Review Advance Access</w:t>
      </w:r>
      <w:r>
        <w:t xml:space="preserve">    </w:t>
      </w:r>
      <w:r>
        <w:rPr>
          <w:b/>
        </w:rPr>
        <w:t xml:space="preserve">Pub date: </w:t>
      </w:r>
      <w:r>
        <w:t>2026-04-06 00:00:00+00:00</w:t>
      </w:r>
      <w:r>
        <w:t xml:space="preserve">    </w:t>
      </w:r>
      <w:r>
        <w:rPr>
          <w:b/>
        </w:rPr>
        <w:t xml:space="preserve">DOI: </w:t>
      </w:r>
      <w:hyperlink r:id="rId253">
        <w:r>
          <w:rPr>
            <w:color w:val="1155CC"/>
            <w:u w:val="single"/>
          </w:rPr>
          <w:t>10.1093/nsr/nwag211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[54] </w:t>
      </w:r>
      <w:hyperlink r:id="rId254">
        <w:r>
          <w:rPr>
            <w:color w:val="1155CC"/>
            <w:u w:val="single"/>
          </w:rPr>
          <w:t>3D互连周期性碳管膜实现自清洁太阳能盐水处理和自主盐生产</w:t>
        </w:r>
      </w:hyperlink>
    </w:p>
    <w:p>
      <w:pPr>
        <w:spacing w:before="0" w:after="80"/>
      </w:pPr>
      <w:r>
        <w:rPr>
          <w:i/>
          <w:sz w:val="20"/>
        </w:rPr>
        <w:t>EN: 3D interconnected periodic carbon-tube membrane enabled self-cleaning solar brine treatment and autonomous salt production</w:t>
      </w:r>
    </w:p>
    <w:p>
      <w:pPr>
        <w:spacing w:before="0" w:after="120"/>
      </w:pPr>
      <w:r>
        <w:rPr>
          <w:b/>
        </w:rPr>
        <w:t xml:space="preserve">Source: </w:t>
      </w:r>
      <w:r>
        <w:t>National Science Review Advance Access</w:t>
      </w:r>
      <w:r>
        <w:t xml:space="preserve">    </w:t>
      </w:r>
      <w:r>
        <w:rPr>
          <w:b/>
        </w:rPr>
        <w:t xml:space="preserve">Pub date: </w:t>
      </w:r>
      <w:r>
        <w:t>2026-04-06 00:00:00+00:00</w:t>
      </w:r>
      <w:r>
        <w:t xml:space="preserve">    </w:t>
      </w:r>
      <w:r>
        <w:rPr>
          <w:b/>
        </w:rPr>
        <w:t xml:space="preserve">DOI: </w:t>
      </w:r>
      <w:hyperlink r:id="rId255">
        <w:r>
          <w:rPr>
            <w:color w:val="1155CC"/>
            <w:u w:val="single"/>
          </w:rPr>
          <w:t>10.1093/nsr/nwag188</w:t>
        </w:r>
      </w:hyperlink>
    </w:p>
    <w:p>
      <w:pPr>
        <w:spacing w:before="0" w:after="120"/>
      </w:pPr>
      <w:r>
        <w:rPr>
          <w:b/>
        </w:rPr>
        <w:t xml:space="preserve">Notes: </w:t>
      </w:r>
      <w:r>
        <w:t>abstract_source=rss_oup</w:t>
      </w:r>
    </w:p>
    <w:p>
      <w:pPr>
        <w:spacing w:before="0" w:after="80" w:lineRule="auto" w:line="276"/>
      </w:pPr>
      <w:r>
        <w:rPr>
          <w:b/>
        </w:rPr>
        <w:t xml:space="preserve">摘要（ZH）: </w:t>
      </w:r>
      <w:r>
        <w:t>界面太阳能蒸汽生成是一种新兴的太阳能技术，显示出高效和可持续水处理的巨大潜力。由于太阳能热能集中在界面水层中，这种方法显著提高了蒸发速率。然而，由于界面水层通常存在于蒸发器中（IWIE），沉淀的盐分往往在蒸发过程中附着在蒸发器上。这不仅由于阻挡入射阳光和蒸汽逃逸通道而带来不可避免的性能下降，还导致盐资源的浪费。在此，我们提出了蒸发器上的界面水层（IWOE）的概念，具有自清洁太阳能盐水处理和自主盐生产的特点。此外，我们通过实验演示了这一概念。</w:t>
      </w:r>
    </w:p>
    <w:p>
      <w:pPr>
        <w:spacing w:before="0" w:after="200" w:lineRule="auto" w:line="276"/>
      </w:pPr>
      <w:r>
        <w:rPr>
          <w:b/>
        </w:rPr>
        <w:t xml:space="preserve">Abstract (EN): </w:t>
      </w:r>
      <w:r>
        <w:t>Interfacial solar vapor generation, an emerging solar technology, shows great potential for efficient and sustainable water treatment. With the solar-thermal energy localized in the interfacial water layer, this approach significantly enhances the evaporation rate. However, as the interfacial water layer typically exists in the evaporator (IWIE), precipitated salts tend to adhere to the evaporator during evaporation. This not only brings unavoidable performance degradation due to the block of incident sunlight and vapor escaping channels, but also causes the waste of salt resources. Herein, we propose a concept of interfacial water layer on the evaporator (IWOE), featuring self-cleaning solar brine treatment and autonomous salt production. Further, we experimentally demonstrate this concept using a rationally tailored three-dimensional carbon-tube (3D-CT) membrane, which reaches an elegant equilibrium of surface tension, gravity, and buoyancy under water. During the solar treatment of saturated brine, salt crystals precipitate and grow within this interfacial water layer, leading to autonomous tilt of the membrane and glide of the salt crystals. Thus, the 3D-CT membrane with IWOE enables autonomous self-cleaning solar brine treatment and salt production out of high-concentration brine, showing promising implications in various fields such as wastewater treatment, water-salt separation, and sea resource production.</w:t>
      </w:r>
    </w:p>
    <w:p>
      <w:pPr>
        <w:spacing w:before="120" w:after="120"/>
      </w:pPr>
      <w:r>
        <w:rPr>
          <w:sz w:val="18"/>
        </w:rPr>
        <w:t>——————————————————————————————————————————————————————————————————————</w:t>
      </w:r>
    </w:p>
    <w:p>
      <w:pPr>
        <w:spacing w:before="160" w:after="40" w:line="240" w:lineRule="auto"/>
      </w:pPr>
      <w:r>
        <w:rPr>
          <w:b/>
        </w:rPr>
        <w:t xml:space="preserve">[55] </w:t>
      </w:r>
      <w:hyperlink r:id="rId256">
        <w:r>
          <w:rPr>
            <w:color w:val="1155CC"/>
            <w:u w:val="single"/>
          </w:rPr>
          <w:t>阻碍美国电网更好整合的治理挑战</w:t>
        </w:r>
      </w:hyperlink>
    </w:p>
    <w:p>
      <w:pPr>
        <w:spacing w:before="0" w:after="80"/>
      </w:pPr>
      <w:r>
        <w:rPr>
          <w:i/>
          <w:sz w:val="20"/>
        </w:rPr>
        <w:t>EN: Governance challenges preventing better integration of the electrical grid in the USA</w:t>
      </w:r>
    </w:p>
    <w:p>
      <w:pPr>
        <w:spacing w:before="0" w:after="120"/>
      </w:pPr>
      <w:r>
        <w:rPr>
          <w:b/>
        </w:rPr>
        <w:t xml:space="preserve">Source: </w:t>
      </w:r>
      <w:r>
        <w:t>Nature Energy</w:t>
      </w:r>
      <w:r>
        <w:t xml:space="preserve">    </w:t>
      </w:r>
      <w:r>
        <w:rPr>
          <w:b/>
        </w:rPr>
        <w:t xml:space="preserve">Pub date: </w:t>
      </w:r>
      <w:r>
        <w:t>2026-04-06 00:00:00+00:00</w:t>
      </w:r>
      <w:r>
        <w:t xml:space="preserve">    </w:t>
      </w:r>
      <w:r>
        <w:rPr>
          <w:b/>
        </w:rPr>
        <w:t xml:space="preserve">DOI: </w:t>
      </w:r>
      <w:hyperlink r:id="rId257">
        <w:r>
          <w:rPr>
            <w:color w:val="1155CC"/>
            <w:u w:val="single"/>
          </w:rPr>
          <w:t>10.1038/s41560-026-02020-x</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[56] </w:t>
      </w:r>
      <w:hyperlink r:id="rId258">
        <w:r>
          <w:rPr>
            <w:color w:val="1155CC"/>
            <w:u w:val="single"/>
          </w:rPr>
          <w:t>数字与叙述：理解社区对可再生能源基础设施的情感</w:t>
        </w:r>
      </w:hyperlink>
    </w:p>
    <w:p>
      <w:pPr>
        <w:spacing w:before="0" w:after="80"/>
      </w:pPr>
      <w:r>
        <w:rPr>
          <w:i/>
          <w:sz w:val="20"/>
        </w:rPr>
        <w:t>EN: Numbers and narratives: Understanding community sentiment about renewable energy infrastructure</w:t>
      </w:r>
    </w:p>
    <w:p>
      <w:pPr>
        <w:spacing w:before="0" w:after="120"/>
      </w:pPr>
      <w:r>
        <w:rPr>
          <w:b/>
        </w:rPr>
        <w:t xml:space="preserve">Source: </w:t>
      </w:r>
      <w:r>
        <w:t>ScienceDirect Publication: Energy Policy</w:t>
      </w:r>
      <w:r>
        <w:t xml:space="preserve">    </w:t>
      </w:r>
      <w:r>
        <w:rPr>
          <w:b/>
        </w:rPr>
        <w:t xml:space="preserve">Pub date: </w:t>
      </w:r>
      <w:r>
        <w:t>2026-04-06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[57] </w:t>
      </w:r>
      <w:hyperlink r:id="rId259">
        <w:r>
          <w:rPr>
            <w:color w:val="1155CC"/>
            <w:u w:val="single"/>
          </w:rPr>
          <w:t>回复关于“碳点基双发射纳米杂化物产生比率荧光传感器用于体内成像细胞铜离子”的通信</w:t>
        </w:r>
      </w:hyperlink>
    </w:p>
    <w:p>
      <w:pPr>
        <w:spacing w:before="0" w:after="80"/>
      </w:pPr>
      <w:r>
        <w:rPr>
          <w:i/>
          <w:sz w:val="20"/>
        </w:rPr>
        <w:t>EN: Reply to the Correspondence on “Carbon‐Dot‐Based Dual‐Emission Nanohybrid Produces a Ratiometric Fluorescent Sensor for in Vivo Imaging of Cellular Copper Ions”</w:t>
      </w:r>
    </w:p>
    <w:p>
      <w:pPr>
        <w:spacing w:before="0" w:after="120"/>
      </w:pPr>
      <w:r>
        <w:rPr>
          <w:b/>
        </w:rPr>
        <w:t xml:space="preserve">Source: </w:t>
      </w:r>
      <w:r>
        <w:t>Wiley: Angewandte Chemie International Edition: Table of Contents</w:t>
      </w:r>
      <w:r>
        <w:t xml:space="preserve">    </w:t>
      </w:r>
      <w:r>
        <w:rPr>
          <w:b/>
        </w:rPr>
        <w:t xml:space="preserve">Pub date: </w:t>
      </w:r>
      <w:r>
        <w:t>2026-04-06 03:15:35+00:00</w:t>
      </w:r>
      <w:r>
        <w:t xml:space="preserve">    </w:t>
      </w:r>
      <w:r>
        <w:rPr>
          <w:b/>
        </w:rPr>
        <w:t xml:space="preserve">DOI: </w:t>
      </w:r>
      <w:hyperlink r:id="rId260">
        <w:r>
          <w:rPr>
            <w:color w:val="1155CC"/>
            <w:u w:val="single"/>
          </w:rPr>
          <w:t>10.1002/anie.9981178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Gharib等人的通信质疑我们2012年关于CQD基Cu2+传感器的研究，但没有引入新的实验数据。他们未能重现我们结果的原因直接源于材料合成中的基本错误。具体来说，他们未能正确合成任何关键材料。关于AE-TPEA，我们工作的核心创新，他们偏离了我们已发表的协议，未能合成并验证产品的身份和纯度，并且在通信中未报告协议的偏离。没有真实的AE-TPEA，后续实验在科学上毫无意义。关于CQDs，我们遵循了Li等人的既定方法，一个独立的协议</w:t>
      </w:r>
    </w:p>
    <w:p>
      <w:pPr>
        <w:spacing w:before="0" w:after="200" w:lineRule="auto" w:line="276"/>
      </w:pPr>
      <w:r>
        <w:rPr>
          <w:b/>
        </w:rPr>
        <w:t xml:space="preserve">Abstract (EN): </w:t>
      </w:r>
      <w:r>
        <w:t>The Correspondence by Gharib et al. challenges our 2012 study on CQD‐based Cu</w:t>
      </w:r>
      <w:r>
        <w:t xml:space="preserve"> </w:t>
      </w:r>
      <w:r>
        <w:t>2+</w:t>
      </w:r>
      <w:r>
        <w:t xml:space="preserve"> </w:t>
      </w:r>
      <w:r>
        <w:t>sensors but introduces no new experimental data. Their failure to reproduce our results stems directly from fundamental errors in materials synthesis. Specifically, they failed to properly synthesize either key material. Regarding AE‐TPEA, the core innovation of our work, they deviated from our published protocol, failed to synthesize and validate the identity and purity of the product, and did not report the deviation from the protocol in the Correspondence. Without authentic AE‐TPEA, the subsequent experiments are scientifically meaningless. Regarding CQDs, we followed the established method of Li et al., a protocol independently reproduced by numerous laboratories worldwide. The authors failed to synthesize the proper fluorescent CQDs because they did not strictly follow the experimental conditions, not because of a flaw in our approach. Furthermore, their own data are internally inconsistent. Three parallel syntheses yielded conflicting results across UV‐vis, fluorescence, FTIR, TEM, DLS, and zeta potential measurements, exposing a lack of experimental control. Finally, our work has been widely validated. Over a decade of independent applications, many research groups have confirmed the reproducibility and utility of our approach.</w:t>
      </w:r>
    </w:p>
    <w:p>
      <w:pPr>
        <w:spacing w:before="120" w:after="120"/>
      </w:pPr>
      <w:r>
        <w:rPr>
          <w:sz w:val="18"/>
        </w:rPr>
        <w:t>——————————————————————————————————————————————————————————————————————</w:t>
      </w:r>
    </w:p>
    <w:p>
      <w:pPr>
        <w:spacing w:before="160" w:after="40" w:line="240" w:lineRule="auto"/>
      </w:pPr>
      <w:r>
        <w:rPr>
          <w:b/>
        </w:rPr>
        <w:t xml:space="preserve">[58] </w:t>
      </w:r>
      <w:hyperlink r:id="rId261">
        <w:r>
          <w:rPr>
            <w:color w:val="1155CC"/>
            <w:u w:val="single"/>
          </w:rPr>
          <w:t>膜中不同卡宾持久性作为调节抗菌碳酸寡聚物杀菌效能的机制</w:t>
        </w:r>
      </w:hyperlink>
    </w:p>
    <w:p>
      <w:pPr>
        <w:spacing w:before="0" w:after="80"/>
      </w:pPr>
      <w:r>
        <w:rPr>
          <w:i/>
          <w:sz w:val="20"/>
        </w:rPr>
        <w:t>EN: Varying Carbene Persistence in Membrane as a Mechanism for Modulating Antibacterial Carbon Acid Oligomer Killing Efficacy</w:t>
      </w:r>
    </w:p>
    <w:p>
      <w:pPr>
        <w:spacing w:before="0" w:after="120"/>
      </w:pPr>
      <w:r>
        <w:rPr>
          <w:b/>
        </w:rPr>
        <w:t xml:space="preserve">Source: </w:t>
      </w:r>
      <w:r>
        <w:t>Wiley: Angewandte Chemie International Edition: Table of Contents</w:t>
      </w:r>
      <w:r>
        <w:t xml:space="preserve">    </w:t>
      </w:r>
      <w:r>
        <w:rPr>
          <w:b/>
        </w:rPr>
        <w:t xml:space="preserve">Pub date: </w:t>
      </w:r>
      <w:r>
        <w:t>2026-04-06 03:15:39+00:00</w:t>
      </w:r>
      <w:r>
        <w:t xml:space="preserve">    </w:t>
      </w:r>
      <w:r>
        <w:rPr>
          <w:b/>
        </w:rPr>
        <w:t xml:space="preserve">DOI: </w:t>
      </w:r>
      <w:hyperlink r:id="rId262">
        <w:r>
          <w:rPr>
            <w:color w:val="1155CC"/>
            <w:u w:val="single"/>
          </w:rPr>
          <w:t>10.1002/anie.202517460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我们之前提出，阳离子寡聚咪唑鎓（OIM）碳酸通过N-杂环卡宾（NHC）辅助的易位过程杀死细菌，以到达细胞内目标。在此，我们发现连接OIM链中咪唑鎓环的连接体深刻影响寡聚物的胞质摄取，这与其抗菌效力相关。在模拟细菌膜双层的疏水环境（DMSO）中，发现不同的OIM NHC是非瞬态的和持久的，但测得的半衰期从15.6到75.9分钟不等，取决于连接体，表明增加的连接体-NHC相互作用稳定了NHC并导致NHC寿命增加。NHC比前体咪唑</w:t>
      </w:r>
    </w:p>
    <w:p>
      <w:pPr>
        <w:spacing w:before="0" w:after="200" w:lineRule="auto" w:line="276"/>
      </w:pPr>
      <w:r>
        <w:rPr>
          <w:b/>
        </w:rPr>
        <w:t xml:space="preserve">Abstract (EN): </w:t>
      </w:r>
      <w:r>
        <w:t>We previously proposed that cationic oligoimidazolium (OIM) carbon acids kill bacteria via an N‐heterocyclic carbene (NHC)‐assisted translocation process to reach intracellular targets. Herein, we found that the linkers joining the imidazolium rings in OIM chains profoundly affect the oligomers’ cytosolic uptakes, which correlate with their antibacterial potency. In a hydrophobic environment (DMSO) mimicking a bacterial membrane bilayer, different OIM NHCs were found to be non‐transient, and persistent, but with measured half‐lives varying from 15.6 to 75.9 min, depending on the linkers and indicating that increased linker‐NHC interaction stabilizes the NHC and leads to increased NHC lifetimes. NHC is more hydrophobic than the precursor imidazolium charge, so that linker‐stabilized NHCs with longer lifetimes result in increased observed OIM net hydrophobicity measured via LC‐MS retention time. More hydrophobic OIM copolymers persist in membranes rather than translocate to the cytosol, and vice versa. A lead compound</w:t>
      </w:r>
      <w:r>
        <w:t xml:space="preserve"> </w:t>
      </w:r>
      <w:r>
        <w:t>(15)</w:t>
      </w:r>
      <w:r>
        <w:t xml:space="preserve"> </w:t>
      </w:r>
      <w:r>
        <w:t>shows superior efficacy against extended‐spectrum beta‐lactamase</w:t>
      </w:r>
      <w:r>
        <w:t xml:space="preserve"> </w:t>
      </w:r>
      <w:r>
        <w:t>Klebsiella pneumoniae</w:t>
      </w:r>
      <w:r>
        <w:t xml:space="preserve"> </w:t>
      </w:r>
      <w:r>
        <w:t>in a murine thigh infection model. This study establishes linker‐stabilized NHC in the membrane as a key handle to tune the antibacterial efficacy of cationic carbon acids, providing insights for rational design of next‐generation cationic antimicrobials to tackle multi‐drug‐resistant bacteria.</w:t>
      </w:r>
    </w:p>
    <w:p>
      <w:pPr>
        <w:spacing w:before="120" w:after="120"/>
      </w:pPr>
      <w:r>
        <w:rPr>
          <w:sz w:val="18"/>
        </w:rPr>
        <w:t>——————————————————————————————————————————————————————————————————————</w:t>
      </w:r>
    </w:p>
    <w:p>
      <w:pPr>
        <w:spacing w:before="160" w:after="40" w:line="240" w:lineRule="auto"/>
      </w:pPr>
      <w:r>
        <w:rPr>
          <w:b/>
        </w:rPr>
        <w:t xml:space="preserve">[59] </w:t>
      </w:r>
      <w:hyperlink r:id="rId263">
        <w:r>
          <w:rPr>
            <w:color w:val="1155CC"/>
            <w:u w:val="single"/>
          </w:rPr>
          <w:t>三重长程电荷转移通道实现窄带深蓝TADF发射中的高效LRCT/SRCT杂化</w:t>
        </w:r>
      </w:hyperlink>
    </w:p>
    <w:p>
      <w:pPr>
        <w:spacing w:before="0" w:after="80"/>
      </w:pPr>
      <w:r>
        <w:rPr>
          <w:i/>
          <w:sz w:val="20"/>
        </w:rPr>
        <w:t>EN: Triple Long‐Range Charge‐Transfer Channels Enable Efficient LRCT/SRCT Hybridization in Narrowband Deep‐Blue TADF Emission</w:t>
      </w:r>
    </w:p>
    <w:p>
      <w:pPr>
        <w:spacing w:before="0" w:after="120"/>
      </w:pPr>
      <w:r>
        <w:rPr>
          <w:b/>
        </w:rPr>
        <w:t xml:space="preserve">Source: </w:t>
      </w:r>
      <w:r>
        <w:t>Wiley: Angewandte Chemie International Edition: Table of Contents</w:t>
      </w:r>
      <w:r>
        <w:t xml:space="preserve">    </w:t>
      </w:r>
      <w:r>
        <w:rPr>
          <w:b/>
        </w:rPr>
        <w:t xml:space="preserve">Pub date: </w:t>
      </w:r>
      <w:r>
        <w:t>2026-04-06 03:16:42+00:00</w:t>
      </w:r>
      <w:r>
        <w:t xml:space="preserve">    </w:t>
      </w:r>
      <w:r>
        <w:rPr>
          <w:b/>
        </w:rPr>
        <w:t xml:space="preserve">DOI: </w:t>
      </w:r>
      <w:hyperlink r:id="rId264">
        <w:r>
          <w:rPr>
            <w:color w:val="1155CC"/>
            <w:u w:val="single"/>
          </w:rPr>
          <w:t>10.1002/anie.9652615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为了加速多共振热激活延迟荧光（MR-TADF）发射体的反向系统间交叉（RISC）过程，在MR-TADF分子中构建混合长程电荷转移（LRCT）和短程电荷转移（SRCT）状态是一种有前途的策略。然而，传统的混合LRCT-SRCT策略在提高深蓝色发射体性能方面效果较差。在本研究中，我们提出了一种新颖的三重LRCT通道策略，以显著增强深蓝色LRCT/SRCT型TADF发射体中的自旋轨道耦合（SOC）相互作用。基于该策略所启用的激发态之间的显著差异，概念验证发射体DABNA-CN-PXZ</w:t>
      </w:r>
    </w:p>
    <w:p>
      <w:pPr>
        <w:spacing w:before="0" w:after="200" w:lineRule="auto" w:line="276"/>
      </w:pPr>
      <w:r>
        <w:rPr>
          <w:b/>
        </w:rPr>
        <w:t xml:space="preserve">Abstract (EN): </w:t>
      </w:r>
      <w:r>
        <w:t>To accelerate the reverse intersystem crossing (RISC) process of multi‐resonance thermally activated delayed fluorescence (MR‐TADF) emitters, constructing hybridized long‐range charge‐transfer (LRCT) and short‐range charge‐transfer (SRCT) states within MR‐TADF molecules is a promising strategy. However, the conventional hybrid LRCT‐SRCT strategy proves less effective in enhancing the performance of deep‐blue emitters. In this study, we propose a novel triple‐LRCT‐channel strategy to markedly enhance spin‐orbit coupling (SOC) interactions in deep‐blue LRCT/SRCT type TADF emitters. Based on the pronounced differentiation among the excited states enabled by this strategy, the proof‐of‐concept emitter</w:t>
      </w:r>
      <w:r>
        <w:t xml:space="preserve"> </w:t>
      </w:r>
      <w:r>
        <w:t>DABNA‐CN‐PXZ</w:t>
      </w:r>
      <w:r>
        <w:t xml:space="preserve"> </w:t>
      </w:r>
      <w:r>
        <w:t>exhibits multiple RISC channels, resulting in a tenfold faster RISC rate than its MR prototype. The corresponding device achieves a high maximum external quantum efficiency of 24.4% and a narrow FWHM of 24 nm, which ranks among the lowest reported for boron‐nitrogen‐based LRCT/SRCT type TADF emitters, arising from the judicious selection of substituents in</w:t>
      </w:r>
      <w:r>
        <w:t xml:space="preserve"> </w:t>
      </w:r>
      <w:r>
        <w:t>DABNA‐CN‐PXZ</w:t>
      </w:r>
      <w:r>
        <w:t xml:space="preserve"> </w:t>
      </w:r>
      <w:r>
        <w:t>that enables precise control over molecular rigidity and LRCT characteristics. These results demonstrate that</w:t>
      </w:r>
      <w:r>
        <w:t xml:space="preserve"> </w:t>
      </w:r>
      <w:r>
        <w:t>DABNA‐CN‐PXZ</w:t>
      </w:r>
      <w:r>
        <w:t xml:space="preserve"> </w:t>
      </w:r>
      <w:r>
        <w:t>is among the purest deep‐blue LRCT/SRCT type TADF emitters, delivering excellent device performance under BT.2020‐compliant conditions and thus validating the superiority of our molecular design strategy.</w:t>
      </w:r>
    </w:p>
    <w:p>
      <w:pPr>
        <w:spacing w:before="120" w:after="120"/>
      </w:pPr>
      <w:r>
        <w:rPr>
          <w:sz w:val="18"/>
        </w:rPr>
        <w:t>——————————————————————————————————————————————————————————————————————</w:t>
      </w:r>
    </w:p>
    <w:p>
      <w:pPr>
        <w:spacing w:before="160" w:after="40" w:line="240" w:lineRule="auto"/>
      </w:pPr>
      <w:r>
        <w:rPr>
          <w:b/>
        </w:rPr>
        <w:t xml:space="preserve">[60] </w:t>
      </w:r>
      <w:hyperlink r:id="rId265">
        <w:r>
          <w:rPr>
            <w:color w:val="1155CC"/>
            <w:u w:val="single"/>
          </w:rPr>
          <w:t>MagNanoTrap富集技术增强了从环境水样中超灵敏定量混合纳米塑料颗粒的能力</w:t>
        </w:r>
      </w:hyperlink>
    </w:p>
    <w:p>
      <w:pPr>
        <w:spacing w:before="0" w:after="80"/>
      </w:pPr>
      <w:r>
        <w:rPr>
          <w:i/>
          <w:sz w:val="20"/>
        </w:rPr>
        <w:t>EN: MagNanoTrap Enrichment Empowers Ultra‐Sensitive Quantification of Mixed Nanoplastic Particles From Environmental Water Samples</w:t>
      </w:r>
    </w:p>
    <w:p>
      <w:pPr>
        <w:spacing w:before="0" w:after="120"/>
      </w:pPr>
      <w:r>
        <w:rPr>
          <w:b/>
        </w:rPr>
        <w:t xml:space="preserve">Source: </w:t>
      </w:r>
      <w:r>
        <w:t>Wiley: Angewandte Chemie International Edition: Table of Contents</w:t>
      </w:r>
      <w:r>
        <w:t xml:space="preserve">    </w:t>
      </w:r>
      <w:r>
        <w:rPr>
          <w:b/>
        </w:rPr>
        <w:t xml:space="preserve">Pub date: </w:t>
      </w:r>
      <w:r>
        <w:t>2026-04-06 03:21:17+00:00</w:t>
      </w:r>
      <w:r>
        <w:t xml:space="preserve">    </w:t>
      </w:r>
      <w:r>
        <w:rPr>
          <w:b/>
        </w:rPr>
        <w:t xml:space="preserve">DOI: </w:t>
      </w:r>
      <w:hyperlink r:id="rId266">
        <w:r>
          <w:rPr>
            <w:color w:val="1155CC"/>
            <w:u w:val="single"/>
          </w:rPr>
          <w:t>10.1002/anie.202522823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环境水中检测和量化纳米塑料颗粒（NPs）对于监测其命运和评估健康影响至关重要。然而，缺乏敏感和通用的检测系统阻碍了有效的监管，正如欧盟委员会所指出的。在此，我们提出了用于NPs捕获的MagNanoTrap富集平台，该平台将双功能肽（LCI‐DZ‐MBP1）与Fe3O4超顺磁性纳米颗粒（SPIONs）结合。LCI‐肽与SPIONs结合，而MBP1‐肽作为聚丙烯（PP）、聚乙烯（PE）、聚苯乙烯（PS）和聚对苯二甲酸乙二醇酯（PET）等常见聚合物的通用结合剂。MagNan</w:t>
      </w:r>
    </w:p>
    <w:p>
      <w:pPr>
        <w:spacing w:before="0" w:after="200" w:lineRule="auto" w:line="276"/>
      </w:pPr>
      <w:r>
        <w:rPr>
          <w:b/>
        </w:rPr>
        <w:t xml:space="preserve">Abstract (EN): </w:t>
      </w:r>
      <w:r>
        <w:t>The detection and quantification of nanoplastic particles (NPs) in environmental waters are crucial for monitoring their fate and assessing health impacts. However, the lack of sensitive and universal detection systems hinders effective regulation, as noted by the EU Commission. Here, we present the MagNanoTrap enrichment platform for NPs capture, which integrates a bifunctional peptide (LCI‐DZ‐MBP1) with Fe</w:t>
      </w:r>
      <w:r>
        <w:rPr>
          <w:vertAlign w:val="subscript"/>
        </w:rPr>
        <w:t>3</w:t>
      </w:r>
      <w:r>
        <w:t>O</w:t>
      </w:r>
      <w:r>
        <w:rPr>
          <w:vertAlign w:val="subscript"/>
        </w:rPr>
        <w:t>4</w:t>
      </w:r>
      <w:r>
        <w:t>superparamagnetic nanoparticles (SPIONs). The LCI‐peptide binds to SPIONs, while the MBP1‐peptide serves as a general binder for common polymers such as polypropylene (PP), polyethylene (PE), polystyrene (PS), and polyethylene terephthalate (PET). MagNanoTrap exhibits a maximum adsorption capacity of 3.95 ± 0.14 g/g for PS‐COOH</w:t>
      </w:r>
      <w:r>
        <w:t xml:space="preserve"> </w:t>
      </w:r>
      <w:r>
        <w:t>500 nm</w:t>
      </w:r>
      <w:r>
        <w:t xml:space="preserve"> </w:t>
      </w:r>
      <w:r>
        <w:t>NPs and, when coupled with pyrolysis–gas chromatography/mass spectrometry (Py‐GC/MS), enables reliable compositional analysis for mixed NPs and quantification down to 0.061 µg for PS. The achieved sensitivity ensures that a 1 L water sample is usually sufficient to detect and quantify NPs in environmental water samples. High salt ion concentrations promote hydrophobic interactions, enhancing NPs' binding affinity. The versatility of MagNanoTrap was demonstrated through successful enrichment and quantification of diverse NPs, including PP, PS, PE, PET, poly(methyl methacrylate), polycarbonate, nylon 6, and nylon 66, across seven environmental water matrices from river, lake, marine, and wastewater sources.</w:t>
      </w:r>
    </w:p>
    <w:p>
      <w:pPr>
        <w:spacing w:before="120" w:after="120"/>
      </w:pPr>
      <w:r>
        <w:rPr>
          <w:sz w:val="18"/>
        </w:rPr>
        <w:t>——————————————————————————————————————————————————————————————————————</w:t>
      </w:r>
    </w:p>
    <w:p>
      <w:pPr>
        <w:spacing w:before="160" w:after="40" w:line="240" w:lineRule="auto"/>
      </w:pPr>
      <w:r>
        <w:rPr>
          <w:b/>
        </w:rPr>
        <w:t xml:space="preserve">[61] </w:t>
      </w:r>
      <w:hyperlink r:id="rId267">
        <w:r>
          <w:rPr>
            <w:color w:val="1155CC"/>
            <w:u w:val="single"/>
          </w:rPr>
          <w:t>Ansamer控制的双环肽作为整合素αvβ6靶向剂</w:t>
        </w:r>
      </w:hyperlink>
    </w:p>
    <w:p>
      <w:pPr>
        <w:spacing w:before="0" w:after="80"/>
      </w:pPr>
      <w:r>
        <w:rPr>
          <w:i/>
          <w:sz w:val="20"/>
        </w:rPr>
        <w:t>EN: Ansamer‐Controlled Bicyclic Peptides as Integrin αvβ6 Targeting Agents</w:t>
      </w:r>
    </w:p>
    <w:p>
      <w:pPr>
        <w:spacing w:before="0" w:after="120"/>
      </w:pPr>
      <w:r>
        <w:rPr>
          <w:b/>
        </w:rPr>
        <w:t xml:space="preserve">Source: </w:t>
      </w:r>
      <w:r>
        <w:t>Wiley: Angewandte Chemie International Edition: Table of Contents</w:t>
      </w:r>
      <w:r>
        <w:t xml:space="preserve">    </w:t>
      </w:r>
      <w:r>
        <w:rPr>
          <w:b/>
        </w:rPr>
        <w:t xml:space="preserve">Pub date: </w:t>
      </w:r>
      <w:r>
        <w:t>2026-04-06 03:22:23+00:00</w:t>
      </w:r>
      <w:r>
        <w:t xml:space="preserve">    </w:t>
      </w:r>
      <w:r>
        <w:rPr>
          <w:b/>
        </w:rPr>
        <w:t xml:space="preserve">DOI: </w:t>
      </w:r>
      <w:hyperlink r:id="rId268">
        <w:r>
          <w:rPr>
            <w:color w:val="1155CC"/>
            <w:u w:val="single"/>
          </w:rPr>
          <w:t>10.1002/anie.1254428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双环肽由于其结构刚性和高靶向特异性，是肽药物偶联物的有前途候选者。最近，更明显的是一些肽形成了非经典构象异构体，称为ansamers。这些构象异构体被指定为Pansa和Mansa，是不可互换且可分离的，从而拓宽了肽模板的化学空间。在本研究中，我们将RGD基序引入双环肽中，并系统地评估了其抑制活性</w:t>
      </w:r>
    </w:p>
    <w:p>
      <w:pPr>
        <w:spacing w:before="0" w:after="200" w:lineRule="auto" w:line="276"/>
      </w:pPr>
      <w:r>
        <w:rPr>
          <w:b/>
        </w:rPr>
        <w:t xml:space="preserve">Abstract (EN): </w:t>
      </w:r>
      <w:r>
        <w:t>Bicyclic peptides are promising candidates for peptide‐drug conjugates due to their structural rigidity and high target specificity. Recently, it became more apparent that some peptides form nonclassical conformational isomers, termed ansamers. These conformational isomers designated as</w:t>
      </w:r>
      <w:r>
        <w:t xml:space="preserve"> </w:t>
      </w:r>
      <w:r>
        <w:t>P</w:t>
      </w:r>
      <w:r>
        <w:t xml:space="preserve"> </w:t>
      </w:r>
      <w:r>
        <w:t>ansa</w:t>
      </w:r>
      <w:r>
        <w:t xml:space="preserve"> </w:t>
      </w:r>
      <w:r>
        <w:t>and</w:t>
      </w:r>
      <w:r>
        <w:t xml:space="preserve"> </w:t>
      </w:r>
      <w:r>
        <w:t>M</w:t>
      </w:r>
      <w:r>
        <w:t xml:space="preserve"> </w:t>
      </w:r>
      <w:r>
        <w:t>ansa</w:t>
      </w:r>
      <w:r>
        <w:t xml:space="preserve"> </w:t>
      </w:r>
      <w:r>
        <w:t>are non‐interconvertible and separable, thus broaden the chemical space of the peptide template. In this study, we incorporated the RGD motif into a bicyclic peptide and systematically assessed the inhibitory activities of the</w:t>
      </w:r>
      <w:r>
        <w:t xml:space="preserve"> </w:t>
      </w:r>
      <w:r>
        <w:t>P</w:t>
      </w:r>
      <w:r>
        <w:t xml:space="preserve"> </w:t>
      </w:r>
      <w:r>
        <w:t>ansa</w:t>
      </w:r>
      <w:r>
        <w:t xml:space="preserve"> </w:t>
      </w:r>
      <w:r>
        <w:t>and</w:t>
      </w:r>
      <w:r>
        <w:t xml:space="preserve"> </w:t>
      </w:r>
      <w:r>
        <w:t>M</w:t>
      </w:r>
      <w:r>
        <w:t xml:space="preserve"> </w:t>
      </w:r>
      <w:r>
        <w:t>ansa</w:t>
      </w:r>
      <w:r>
        <w:t xml:space="preserve"> </w:t>
      </w:r>
      <w:r>
        <w:t>isomers against various integrins. The molecule</w:t>
      </w:r>
      <w:r>
        <w:t xml:space="preserve"> </w:t>
      </w:r>
      <w:r>
        <w:t>10‐</w:t>
      </w:r>
      <w:r>
        <w:t xml:space="preserve"> </w:t>
      </w:r>
      <w:r>
        <w:t>M</w:t>
      </w:r>
      <w:r>
        <w:t xml:space="preserve"> </w:t>
      </w:r>
      <w:r>
        <w:t>ansa</w:t>
      </w:r>
      <w:r>
        <w:t xml:space="preserve"> </w:t>
      </w:r>
      <w:r>
        <w:t>exhibited high selectivity and potent inhibitory activity against the αvβ6 integrin, whereas</w:t>
      </w:r>
      <w:r>
        <w:t xml:space="preserve"> </w:t>
      </w:r>
      <w:r>
        <w:t>10‐</w:t>
      </w:r>
      <w:r>
        <w:t xml:space="preserve"> </w:t>
      </w:r>
      <w:r>
        <w:t>P</w:t>
      </w:r>
      <w:r>
        <w:t xml:space="preserve"> </w:t>
      </w:r>
      <w:r>
        <w:t>ansa</w:t>
      </w:r>
      <w:r>
        <w:t xml:space="preserve"> </w:t>
      </w:r>
      <w:r>
        <w:t>, its conformational counterpart, lacked such activity. The cryo‐EM structure of αvβ6 bound to</w:t>
      </w:r>
      <w:r>
        <w:t xml:space="preserve"> </w:t>
      </w:r>
      <w:r>
        <w:t>10‐</w:t>
      </w:r>
      <w:r>
        <w:t xml:space="preserve"> </w:t>
      </w:r>
      <w:r>
        <w:t>M</w:t>
      </w:r>
      <w:r>
        <w:t xml:space="preserve"> </w:t>
      </w:r>
      <w:r>
        <w:t>ansa</w:t>
      </w:r>
      <w:r>
        <w:t xml:space="preserve"> </w:t>
      </w:r>
      <w:r>
        <w:t>shows, that it adopts a conformation with the cyclohexane sidechain of the amino acid Chg engaging in hydrophobic interactions with Ile183 and the disulfide bond within the β6 SDL2 loop. Compared to the linear peptide A20FMDV, a broadly applied αvβ6 inhibitor,</w:t>
      </w:r>
      <w:r>
        <w:rPr>
          <w:vertAlign w:val="subscript"/>
        </w:rPr>
        <w:t>10</w:t>
      </w:r>
      <w:r>
        <w:t xml:space="preserve"> </w:t>
      </w:r>
      <w:r>
        <w:t>‐</w:t>
      </w:r>
      <w:r>
        <w:t xml:space="preserve"> </w:t>
      </w:r>
      <w:r>
        <w:t>M</w:t>
      </w:r>
      <w:r>
        <w:t xml:space="preserve"> </w:t>
      </w:r>
      <w:r>
        <w:t>ansa</w:t>
      </w:r>
      <w:r>
        <w:t xml:space="preserve"> </w:t>
      </w:r>
      <w:r>
        <w:t>displays faster cellular internalization and also sustains prolonged enrichment within tumor tissues. Moreover, employing</w:t>
      </w:r>
      <w:r>
        <w:t xml:space="preserve"> </w:t>
      </w:r>
      <w:r>
        <w:t>10‐</w:t>
      </w:r>
      <w:r>
        <w:t xml:space="preserve"> </w:t>
      </w:r>
      <w:r>
        <w:t>M</w:t>
      </w:r>
      <w:r>
        <w:t xml:space="preserve"> </w:t>
      </w:r>
      <w:r>
        <w:t>ansa</w:t>
      </w:r>
      <w:r>
        <w:t xml:space="preserve"> </w:t>
      </w:r>
      <w:r>
        <w:t>a designed toxin‐drug conjugate exhibits remarkable tumor‐suppressing effects in vivo. These findings reveal how conformational isomers of ansamers affect biological activity—and highlight their potential for the identification of new bioactive molecules.</w:t>
      </w:r>
    </w:p>
    <w:p>
      <w:pPr>
        <w:spacing w:before="120" w:after="120"/>
      </w:pPr>
      <w:r>
        <w:rPr>
          <w:sz w:val="18"/>
        </w:rPr>
        <w:t>——————————————————————————————————————————————————————————————————————</w:t>
      </w:r>
    </w:p>
    <w:p>
      <w:pPr>
        <w:spacing w:before="160" w:after="40" w:line="240" w:lineRule="auto"/>
      </w:pPr>
      <w:r>
        <w:rPr>
          <w:b/>
        </w:rPr>
        <w:t xml:space="preserve">[62] </w:t>
      </w:r>
      <w:hyperlink r:id="rId269">
        <w:r>
          <w:rPr>
            <w:color w:val="1155CC"/>
            <w:u w:val="single"/>
          </w:rPr>
          <w:t>双金属桥接的二维COF在宽pH范围内通过双路径连接激活的高性能H2O2光合成</w:t>
        </w:r>
      </w:hyperlink>
    </w:p>
    <w:p>
      <w:pPr>
        <w:spacing w:before="0" w:after="80"/>
      </w:pPr>
      <w:r>
        <w:rPr>
          <w:i/>
          <w:sz w:val="20"/>
        </w:rPr>
        <w:t>EN: Dual Metal‐Bridged 2D COF for High Performance of H2O2 Photosynthesis Across Wide pH Range Activated by Dual Route Linkage</w:t>
      </w:r>
    </w:p>
    <w:p>
      <w:pPr>
        <w:spacing w:before="0" w:after="120"/>
      </w:pPr>
      <w:r>
        <w:rPr>
          <w:b/>
        </w:rPr>
        <w:t xml:space="preserve">Source: </w:t>
      </w:r>
      <w:r>
        <w:t>Wiley: Angewandte Chemie International Edition: Table of Contents</w:t>
      </w:r>
      <w:r>
        <w:t xml:space="preserve">    </w:t>
      </w:r>
      <w:r>
        <w:rPr>
          <w:b/>
        </w:rPr>
        <w:t xml:space="preserve">Pub date: </w:t>
      </w:r>
      <w:r>
        <w:t>2026-04-06 03:23:30+00:00</w:t>
      </w:r>
      <w:r>
        <w:t xml:space="preserve">    </w:t>
      </w:r>
      <w:r>
        <w:rPr>
          <w:b/>
        </w:rPr>
        <w:t xml:space="preserve">DOI: </w:t>
      </w:r>
      <w:hyperlink r:id="rId270">
        <w:r>
          <w:rPr>
            <w:color w:val="1155CC"/>
            <w:u w:val="single"/>
          </w:rPr>
          <w:t>10.1002/anie.9931408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通过共价有机框架（COFs）成功将水和氧转化为H2O2在通常使用的光催化过程中受到强pH依赖性的影响。在此，我们通过使用Co和Mn作为桥接原子位点轴向配位的层状TAPB‐BTCA‐COF创建了双金属桥接的2D COF。Mn位点作为水分解和氧化中心，能够进行原位质子供给过程，以驱动在Co位点上动力学上有利的*OO氢化反应。这种双路径连接有效缓解了2e− ORR反应活性中的质子转移限制。</w:t>
      </w:r>
    </w:p>
    <w:p>
      <w:pPr>
        <w:spacing w:before="0" w:after="200" w:lineRule="auto" w:line="276"/>
      </w:pPr>
      <w:r>
        <w:rPr>
          <w:b/>
        </w:rPr>
        <w:t xml:space="preserve">Abstract (EN): </w:t>
      </w:r>
      <w:r>
        <w:t>Successfully converting water and oxygen into H</w:t>
      </w:r>
      <w:r>
        <w:rPr>
          <w:vertAlign w:val="subscript"/>
        </w:rPr>
        <w:t>2</w:t>
      </w:r>
      <w:r>
        <w:t>O</w:t>
      </w:r>
      <w:r>
        <w:rPr>
          <w:vertAlign w:val="subscript"/>
        </w:rPr>
        <w:t>2</w:t>
      </w:r>
      <w:r>
        <w:t>by covalent organic frameworks (COFs) suffers from strong pH dependence in generally used photocatalysis process. Herein, we created a dual metal‐bridged 2D COF by using Co and Mn as bridging atom sites axial coordinated with layered TAPB‐BTCA‐COF. Mn sites function as water splitting and oxidation centers, enabling an in situ proton feeding process to drive the kinetically favorable *OO hydrogenation reaction on Co sites. Such a dual route linkage effectively alleviates the proton‐transfer limitation in 2e</w:t>
      </w:r>
      <w:r>
        <w:t xml:space="preserve"> </w:t>
      </w:r>
      <w:r>
        <w:t>−</w:t>
      </w:r>
      <w:r>
        <w:t>ORR reactivity. The</w:t>
      </w:r>
      <w:r>
        <w:t xml:space="preserve"> </w:t>
      </w:r>
      <w:r>
        <w:t>d</w:t>
      </w:r>
      <w:r>
        <w:t xml:space="preserve"> </w:t>
      </w:r>
      <w:r>
        <w:t>‐π conjugated structure created by the axial coordinated bridging metal sites in the COF framework speeds up the separation of photogenerated electron‐hole pairs. Subsequently, this catalyst performed outstanding and stable photocatalytic H</w:t>
      </w:r>
      <w:r>
        <w:rPr>
          <w:vertAlign w:val="subscript"/>
        </w:rPr>
        <w:t>2</w:t>
      </w:r>
      <w:r>
        <w:t>O</w:t>
      </w:r>
      <w:r>
        <w:rPr>
          <w:vertAlign w:val="subscript"/>
        </w:rPr>
        <w:t>2</w:t>
      </w:r>
      <w:r>
        <w:t>production rate across a broad pH range benefiting this dual route linkage including indirect 2e</w:t>
      </w:r>
      <w:r>
        <w:t xml:space="preserve"> </w:t>
      </w:r>
      <w:r>
        <w:t>−</w:t>
      </w:r>
      <w:r>
        <w:t>ORR process and WOR process. Specifically, in a gas–liquid–solid triple‐phase photocatalytic reaction system composed of water and cinnamyl alcohol (COL), the H</w:t>
      </w:r>
      <w:r>
        <w:rPr>
          <w:vertAlign w:val="subscript"/>
        </w:rPr>
        <w:t>2</w:t>
      </w:r>
      <w:r>
        <w:t>O</w:t>
      </w:r>
      <w:r>
        <w:rPr>
          <w:vertAlign w:val="subscript"/>
        </w:rPr>
        <w:t>2</w:t>
      </w:r>
      <w:r>
        <w:t>production rate of Co2Mn1‐COF reached 3664.37 µmol g</w:t>
      </w:r>
      <w:r>
        <w:t xml:space="preserve"> </w:t>
      </w:r>
      <w:r>
        <w:t>−</w:t>
      </w:r>
      <w:r>
        <w:rPr>
          <w:vertAlign w:val="subscript"/>
        </w:rPr>
        <w:t>1</w:t>
      </w:r>
      <w:r>
        <w:t>h</w:t>
      </w:r>
      <w:r>
        <w:t xml:space="preserve"> </w:t>
      </w:r>
      <w:r>
        <w:t>−</w:t>
      </w:r>
      <w:r>
        <w:rPr>
          <w:vertAlign w:val="subscript"/>
        </w:rPr>
        <w:t>1</w:t>
      </w:r>
      <w:r>
        <w:t>, with a quantum yield (AQY) of 8.6% under visible light irradiation, almost four times higher than that of unmodified COF. Meanwhile, COL can simultaneously be highly selectively converted into the additional value‐added compounds cinnamonaldehyde and cinnamonmic acid.</w:t>
      </w:r>
    </w:p>
    <w:p>
      <w:pPr>
        <w:spacing w:before="120" w:after="120"/>
      </w:pPr>
      <w:r>
        <w:rPr>
          <w:sz w:val="18"/>
        </w:rPr>
        <w:t>——————————————————————————————————————————————————————————————————————</w:t>
      </w:r>
    </w:p>
    <w:p>
      <w:pPr>
        <w:spacing w:before="160" w:after="40" w:line="240" w:lineRule="auto"/>
      </w:pPr>
      <w:r>
        <w:rPr>
          <w:b/>
        </w:rPr>
        <w:t xml:space="preserve">[63] </w:t>
      </w:r>
      <w:hyperlink r:id="rId271">
        <w:r>
          <w:rPr>
            <w:color w:val="1155CC"/>
            <w:u w:val="single"/>
          </w:rPr>
          <w:t>高熵氧化物钙钛矿Nd(Cr0.2Mn0.2Fe0.2Co0.2Ni0.2)O3外延薄膜的多功能磁电响应</w:t>
        </w:r>
      </w:hyperlink>
    </w:p>
    <w:p>
      <w:pPr>
        <w:spacing w:before="0" w:after="80"/>
      </w:pPr>
      <w:r>
        <w:rPr>
          <w:i/>
          <w:sz w:val="20"/>
        </w:rPr>
        <w:t>EN: Versatile Magneto‐Dielectric Response of Epitaxial Thin Films of the High Entropy Oxide Perovskite Nd(Cr0.2Mn0.2Fe0.2Co0.2Ni0.2)O3</w:t>
      </w:r>
    </w:p>
    <w:p>
      <w:pPr>
        <w:spacing w:before="0" w:after="120"/>
      </w:pPr>
      <w:r>
        <w:rPr>
          <w:b/>
        </w:rPr>
        <w:t xml:space="preserve">Source: </w:t>
      </w:r>
      <w:r>
        <w:t>Wiley: Advanced Materials: Table of Contents</w:t>
      </w:r>
      <w:r>
        <w:t xml:space="preserve">    </w:t>
      </w:r>
      <w:r>
        <w:rPr>
          <w:b/>
        </w:rPr>
        <w:t xml:space="preserve">Pub date: </w:t>
      </w:r>
      <w:r>
        <w:t>2026-04-06 03:30:50+00:00</w:t>
      </w:r>
      <w:r>
        <w:t xml:space="preserve">    </w:t>
      </w:r>
      <w:r>
        <w:rPr>
          <w:b/>
        </w:rPr>
        <w:t xml:space="preserve">DOI: </w:t>
      </w:r>
      <w:hyperlink r:id="rId272">
        <w:r>
          <w:rPr>
            <w:color w:val="1155CC"/>
            <w:u w:val="single"/>
          </w:rPr>
          <w:t>10.1002/adma.72992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我们报告了高熵氧化物（HEO）钙钛矿Nd(Cr</w:t>
      </w:r>
      <w:r>
        <w:t xml:space="preserve"> </w:t>
      </w:r>
      <w:r>
        <w:t>0.2</w:t>
      </w:r>
      <w:r>
        <w:t xml:space="preserve"> </w:t>
      </w:r>
      <w:r>
        <w:t>Mn</w:t>
      </w:r>
      <w:r>
        <w:t xml:space="preserve"> </w:t>
      </w:r>
      <w:r>
        <w:t>0.2</w:t>
      </w:r>
      <w:r>
        <w:t xml:space="preserve"> </w:t>
      </w:r>
      <w:r>
        <w:t>Fe</w:t>
      </w:r>
      <w:r>
        <w:t xml:space="preserve"> </w:t>
      </w:r>
      <w:r>
        <w:t>0.2</w:t>
      </w:r>
      <w:r>
        <w:t xml:space="preserve"> </w:t>
      </w:r>
      <w:r>
        <w:t>Co</w:t>
      </w:r>
      <w:r>
        <w:t xml:space="preserve"> </w:t>
      </w:r>
      <w:r>
        <w:t>0.2</w:t>
      </w:r>
      <w:r>
        <w:t xml:space="preserve"> </w:t>
      </w:r>
      <w:r>
        <w:t>Ni</w:t>
      </w:r>
      <w:r>
        <w:t xml:space="preserve"> </w:t>
      </w:r>
      <w:r>
        <w:t>0.2</w:t>
      </w:r>
      <w:r>
        <w:t xml:space="preserve"> </w:t>
      </w:r>
      <w:r>
        <w:t>)O</w:t>
      </w:r>
      <w:r>
        <w:rPr>
          <w:vertAlign w:val="subscript"/>
        </w:rPr>
        <w:t>3</w:t>
      </w:r>
      <w:r>
        <w:t>外延薄膜的介电和磁性特性，该薄膜在</w:t>
      </w:r>
      <w:r>
        <w:t xml:space="preserve"> </w:t>
      </w:r>
      <w:r>
        <w:t>T</w:t>
      </w:r>
      <w:r>
        <w:t xml:space="preserve"> </w:t>
      </w:r>
      <w:r>
        <w:t>mag</w:t>
      </w:r>
      <w:r>
        <w:t xml:space="preserve"> </w:t>
      </w:r>
      <w:r>
        <w:t>≈190 K以下表现出磁性有序。在</w:t>
      </w:r>
      <w:r>
        <w:t xml:space="preserve"> </w:t>
      </w:r>
      <w:r>
        <w:t>T</w:t>
      </w:r>
      <w:r>
        <w:t xml:space="preserve"> </w:t>
      </w:r>
      <w:r>
        <w:t>≫</w:t>
      </w:r>
      <w:r>
        <w:t xml:space="preserve"> </w:t>
      </w:r>
      <w:r>
        <w:t>T</w:t>
      </w:r>
      <w:r>
        <w:t xml:space="preserve"> </w:t>
      </w:r>
      <w:r>
        <w:t>mag</w:t>
      </w:r>
      <w:r>
        <w:t xml:space="preserve"> </w:t>
      </w:r>
      <w:r>
        <w:t>时，介电响应显示出德拜型...</w:t>
      </w:r>
    </w:p>
    <w:p>
      <w:pPr>
        <w:spacing w:before="0" w:after="200" w:lineRule="auto" w:line="276"/>
      </w:pPr>
      <w:r>
        <w:rPr>
          <w:b/>
        </w:rPr>
        <w:t xml:space="preserve">Abstract (EN): </w:t>
      </w:r>
      <w:r>
        <w:t>We report the dielectric and magnetic properties of epitaxial thin films of the high entropy oxide (HEO) perovskite Nd(Cr</w:t>
      </w:r>
      <w:r>
        <w:t xml:space="preserve"> </w:t>
      </w:r>
      <w:r>
        <w:t>0.2</w:t>
      </w:r>
      <w:r>
        <w:t xml:space="preserve"> </w:t>
      </w:r>
      <w:r>
        <w:t>Mn</w:t>
      </w:r>
      <w:r>
        <w:t xml:space="preserve"> </w:t>
      </w:r>
      <w:r>
        <w:t>0.2</w:t>
      </w:r>
      <w:r>
        <w:t xml:space="preserve"> </w:t>
      </w:r>
      <w:r>
        <w:t>Fe</w:t>
      </w:r>
      <w:r>
        <w:t xml:space="preserve"> </w:t>
      </w:r>
      <w:r>
        <w:t>0.2</w:t>
      </w:r>
      <w:r>
        <w:t xml:space="preserve"> </w:t>
      </w:r>
      <w:r>
        <w:t>Co</w:t>
      </w:r>
      <w:r>
        <w:t xml:space="preserve"> </w:t>
      </w:r>
      <w:r>
        <w:t>0.2</w:t>
      </w:r>
      <w:r>
        <w:t xml:space="preserve"> </w:t>
      </w:r>
      <w:r>
        <w:t>Ni</w:t>
      </w:r>
      <w:r>
        <w:t xml:space="preserve"> </w:t>
      </w:r>
      <w:r>
        <w:t>0.2</w:t>
      </w:r>
      <w:r>
        <w:t xml:space="preserve"> </w:t>
      </w:r>
      <w:r>
        <w:t>)O</w:t>
      </w:r>
      <w:r>
        <w:t xml:space="preserve"> </w:t>
      </w:r>
      <w:r>
        <w:t>3,</w:t>
      </w:r>
      <w:r>
        <w:t xml:space="preserve"> </w:t>
      </w:r>
      <w:r>
        <w:t>which orders magnetically below</w:t>
      </w:r>
      <w:r>
        <w:t xml:space="preserve"> </w:t>
      </w:r>
      <w:r>
        <w:t>T</w:t>
      </w:r>
      <w:r>
        <w:t xml:space="preserve"> </w:t>
      </w:r>
      <w:r>
        <w:t>mag</w:t>
      </w:r>
      <w:r>
        <w:t xml:space="preserve"> </w:t>
      </w:r>
      <w:r>
        <w:t>≈190 K. At</w:t>
      </w:r>
      <w:r>
        <w:t xml:space="preserve"> </w:t>
      </w:r>
      <w:r>
        <w:t>T</w:t>
      </w:r>
      <w:r>
        <w:t xml:space="preserve"> </w:t>
      </w:r>
      <w:r>
        <w:t>≫</w:t>
      </w:r>
      <w:r>
        <w:t xml:space="preserve"> </w:t>
      </w:r>
      <w:r>
        <w:t>T</w:t>
      </w:r>
      <w:r>
        <w:t xml:space="preserve"> </w:t>
      </w:r>
      <w:r>
        <w:t>mag</w:t>
      </w:r>
      <w:r>
        <w:t xml:space="preserve"> </w:t>
      </w:r>
      <w:r>
        <w:t>, the dielectric response reveals a Debye‐type frequency dependence with a zero‐frequency dielectric constant of ≈230–250. The dc bias voltage loops of  are reversible but exhibit three distinct peaks centred at zero and finite positive and negative voltage. We provide evidence that the zero‐bias peak is governed by the oxygen sublattice while the finite bias peaks originate from cationic dipoles. The maximal response of the latter appears to be shifted to finite bias by a static uncompensated electric field due to a vertical gradient of the oxygen content. Below</w:t>
      </w:r>
      <w:r>
        <w:t xml:space="preserve"> </w:t>
      </w:r>
      <w:r>
        <w:t>T</w:t>
      </w:r>
      <w:r>
        <w:t xml:space="preserve"> </w:t>
      </w:r>
      <w:r>
        <w:t>mag</w:t>
      </w:r>
      <w:r>
        <w:t xml:space="preserve"> </w:t>
      </w:r>
      <w:r>
        <w:t>, this anomalous dielectric response is strongly suppressed, presumably by magnetostriction that counteracts and freezes the ionic displacements. These findings indicate a unique correlation between configurational entropy, dielectric response, and magnetic properties. In combination with a large dielectric strength, it enables a non‐hysteretic tuning of the dielectric response of magnetoelectronic devices with multiple parameters like temperature, electric, and magnetic field. This HEO is equally interesting for fundamental studies of competing electric and magnetic orders in strongly disordered materials.</w:t>
      </w:r>
    </w:p>
    <w:p>
      <w:pPr>
        <w:spacing w:before="120" w:after="120"/>
      </w:pPr>
      <w:r>
        <w:rPr>
          <w:sz w:val="18"/>
        </w:rPr>
        <w:t>——————————————————————————————————————————————————————————————————————</w:t>
      </w:r>
    </w:p>
    <w:p>
      <w:pPr>
        <w:spacing w:before="160" w:after="40" w:line="240" w:lineRule="auto"/>
      </w:pPr>
      <w:r>
        <w:rPr>
          <w:b/>
        </w:rPr>
        <w:t xml:space="preserve">[64] </w:t>
      </w:r>
      <w:hyperlink r:id="rId273">
        <w:r>
          <w:rPr>
            <w:color w:val="1155CC"/>
            <w:u w:val="single"/>
          </w:rPr>
          <w:t>成分梯度无铅铁电薄膜中的可调多级存储状态</w:t>
        </w:r>
      </w:hyperlink>
    </w:p>
    <w:p>
      <w:pPr>
        <w:spacing w:before="0" w:after="80"/>
      </w:pPr>
      <w:r>
        <w:rPr>
          <w:i/>
          <w:sz w:val="20"/>
        </w:rPr>
        <w:t>EN: Tunable Multi‐Level Memory States in Compositionally Graded Lead‐Free Ferroelectric Thin Films</w:t>
      </w:r>
    </w:p>
    <w:p>
      <w:pPr>
        <w:spacing w:before="0" w:after="120"/>
      </w:pPr>
      <w:r>
        <w:rPr>
          <w:b/>
        </w:rPr>
        <w:t xml:space="preserve">Source: </w:t>
      </w:r>
      <w:r>
        <w:t>Wiley: Advanced Materials: Table of Contents</w:t>
      </w:r>
      <w:r>
        <w:t xml:space="preserve">    </w:t>
      </w:r>
      <w:r>
        <w:rPr>
          <w:b/>
        </w:rPr>
        <w:t xml:space="preserve">Pub date: </w:t>
      </w:r>
      <w:r>
        <w:t>2026-04-06 03:34:52+00:00</w:t>
      </w:r>
      <w:r>
        <w:t xml:space="preserve">    </w:t>
      </w:r>
      <w:r>
        <w:rPr>
          <w:b/>
        </w:rPr>
        <w:t xml:space="preserve">DOI: </w:t>
      </w:r>
      <w:hyperlink r:id="rId274">
        <w:r>
          <w:rPr>
            <w:color w:val="1155CC"/>
            <w:u w:val="single"/>
          </w:rPr>
          <w:t>10.1002/adma.202521967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多态非易失性铁电存储器由于其高速和低功耗操作而在内存和神经形态计算中具有前景。然而，克服铁电开关的内在双稳态以可靠地实现多极化状态仍然是一个主要挑战。在此，我们通过选择性域开关在成分梯度BiFeO</w:t>
      </w:r>
      <w:r>
        <w:rPr>
          <w:vertAlign w:val="subscript"/>
        </w:rPr>
        <w:t>3</w:t>
      </w:r>
      <w:r>
        <w:t>–BaTiO</w:t>
      </w:r>
      <w:r>
        <w:rPr>
          <w:vertAlign w:val="subscript"/>
        </w:rPr>
        <w:t>3</w:t>
      </w:r>
      <w:r>
        <w:t>外延薄膜中展示了稳健的多级极化状态，表现出反铁电样的滞后回线。这些薄膜显示出良好的开关场分离和相邻状态之间的大极化对比（Δ</w:t>
      </w:r>
      <w:r>
        <w:t xml:space="preserve"> </w:t>
      </w:r>
      <w:r>
        <w:t>P</w:t>
      </w:r>
      <w:r>
        <w:t xml:space="preserve"> </w:t>
      </w:r>
      <w:r>
        <w:t>&gt; 40 µ...</w:t>
      </w:r>
    </w:p>
    <w:p>
      <w:pPr>
        <w:spacing w:before="0" w:after="200" w:lineRule="auto" w:line="276"/>
      </w:pPr>
      <w:r>
        <w:rPr>
          <w:b/>
        </w:rPr>
        <w:t xml:space="preserve">Abstract (EN): </w:t>
      </w:r>
      <w:r>
        <w:t>Multistate non‐volatile ferroelectric memories are promising for in‐memory and neuromorphic computing owing to their high speed and low power operation. Yet, overcoming the intrinsic bi‐stability of ferroelectric switching to reliably achieve multiple polarization states remains a major challenge. Here, we demonstrate robust multi‐level polarization states—exhibiting antiferroelectric‐like hysteresis loops—through selective domain switching in compositionally graded BiFeO</w:t>
      </w:r>
      <w:r>
        <w:rPr>
          <w:vertAlign w:val="subscript"/>
        </w:rPr>
        <w:t>3</w:t>
      </w:r>
      <w:r>
        <w:t>–BaTiO</w:t>
      </w:r>
      <w:r>
        <w:rPr>
          <w:vertAlign w:val="subscript"/>
        </w:rPr>
        <w:t>3</w:t>
      </w:r>
      <w:r>
        <w:t>epitaxial thin films. These films display well‐separated switching fields and large polarization contrast between adjacent states (Δ</w:t>
      </w:r>
      <w:r>
        <w:t xml:space="preserve"> </w:t>
      </w:r>
      <w:r>
        <w:t>P</w:t>
      </w:r>
      <w:r>
        <w:t xml:space="preserve"> </w:t>
      </w:r>
      <w:r>
        <w:t>&amp;gt; 40 µC/cm</w:t>
      </w:r>
      <w:r>
        <w:rPr>
          <w:vertAlign w:val="subscript"/>
        </w:rPr>
        <w:t>2</w:t>
      </w:r>
      <w:r>
        <w:t>). Our systematic studies further revealed that the multistate behaviour is attributed to the pinning of ferroelectric domains by oppositely aligned defect dipoles, whose configuration is strongly correlated with the compositional gradient. By engineering this gradient, we effectively tune the internal field and reshape the ferroelectric hysteresis, enabling deterministic control over multiple stable states. This study introduces a new strategy for tailoring ferroelectric energy landscapes, paving the way for high‐density, low‐power, and adaptive ferroelectric memory and neuromorphic architectures.</w:t>
      </w:r>
    </w:p>
    <w:p>
      <w:pPr>
        <w:spacing w:before="120" w:after="120"/>
      </w:pPr>
      <w:r>
        <w:rPr>
          <w:sz w:val="18"/>
        </w:rPr>
        <w:t>——————————————————————————————————————————————————————————————————————</w:t>
      </w:r>
    </w:p>
    <w:p>
      <w:pPr>
        <w:spacing w:before="160" w:after="40" w:line="240" w:lineRule="auto"/>
      </w:pPr>
      <w:r>
        <w:rPr>
          <w:b/>
        </w:rPr>
        <w:t xml:space="preserve">[65] </w:t>
      </w:r>
      <w:hyperlink r:id="rId275">
        <w:r>
          <w:rPr>
            <w:color w:val="1155CC"/>
            <w:u w:val="single"/>
          </w:rPr>
          <w:t>Joseph Derosa</w:t>
        </w:r>
      </w:hyperlink>
    </w:p>
    <w:p>
      <w:pPr>
        <w:spacing w:before="0" w:after="120"/>
      </w:pPr>
      <w:r>
        <w:rPr>
          <w:b/>
        </w:rPr>
        <w:t xml:space="preserve">Source: </w:t>
      </w:r>
      <w:r>
        <w:t>Wiley: Angewandte Chemie International Edition: Table of Contents</w:t>
      </w:r>
      <w:r>
        <w:t xml:space="preserve">    </w:t>
      </w:r>
      <w:r>
        <w:rPr>
          <w:b/>
        </w:rPr>
        <w:t xml:space="preserve">Pub date: </w:t>
      </w:r>
      <w:r>
        <w:t>2026-04-06 04:54:43+00:00</w:t>
      </w:r>
      <w:r>
        <w:t xml:space="preserve">    </w:t>
      </w:r>
      <w:r>
        <w:rPr>
          <w:b/>
        </w:rPr>
        <w:t xml:space="preserve">DOI: </w:t>
      </w:r>
      <w:hyperlink r:id="rId276">
        <w:r>
          <w:rPr>
            <w:color w:val="1155CC"/>
            <w:u w:val="single"/>
          </w:rPr>
          <w:t>10.1002/anie.6032465</w:t>
        </w:r>
      </w:hyperlink>
    </w:p>
    <w:p>
      <w:pPr>
        <w:spacing w:before="0" w:after="120"/>
      </w:pPr>
      <w:r>
        <w:rPr>
          <w:b/>
        </w:rPr>
        <w:t xml:space="preserve">Notes: </w:t>
      </w:r>
      <w:r>
        <w:t>abstract_source=pubmed</w:t>
      </w:r>
    </w:p>
    <w:p>
      <w:pPr>
        <w:spacing w:before="0" w:after="80" w:lineRule="auto" w:line="276"/>
      </w:pPr>
      <w:r>
        <w:rPr>
          <w:b/>
        </w:rPr>
        <w:t xml:space="preserve">摘要（ZH）: </w:t>
      </w:r>
      <w:r>
        <w:t>"导师最重要的品质是能够在指导风格上适应，以一种能够释放学员潜力的方式协同工作……我收到过的最好建议是“你如何做任何事情就是你如何做一切事情”……" 了解更多关于Joseph Derosa的信息，请查看他的Introducing… Profile。</w:t>
      </w:r>
    </w:p>
    <w:p>
      <w:pPr>
        <w:spacing w:before="0" w:after="200" w:lineRule="auto" w:line="276"/>
      </w:pPr>
      <w:r>
        <w:rPr>
          <w:b/>
        </w:rPr>
        <w:t xml:space="preserve">Abstract (EN): </w:t>
      </w:r>
      <w:r>
        <w:t>"The most important quality of a mentor is being adaptable in mentorship style to synergize in a way that unlocks your trainee's potential… The best advice I have ever been given is "how you do anything is how you do everything"…" Find out more about Joseph Derosa in his Introducing… Profile.</w:t>
      </w:r>
    </w:p>
    <w:p>
      <w:pPr>
        <w:spacing w:before="120" w:after="120"/>
      </w:pPr>
      <w:r>
        <w:rPr>
          <w:sz w:val="18"/>
        </w:rPr>
        <w:t>——————————————————————————————————————————————————————————————————————</w:t>
      </w:r>
    </w:p>
    <w:p>
      <w:pPr>
        <w:spacing w:before="160" w:after="40" w:line="240" w:lineRule="auto"/>
      </w:pPr>
      <w:r>
        <w:rPr>
          <w:b/>
        </w:rPr>
        <w:t xml:space="preserve">[66] </w:t>
      </w:r>
      <w:hyperlink r:id="rId277">
        <w:r>
          <w:rPr>
            <w:color w:val="1155CC"/>
            <w:u w:val="single"/>
          </w:rPr>
          <w:t>脂双层中的可见光敏化异构化使跨膜转运蛋白的激活成为可能</w:t>
        </w:r>
      </w:hyperlink>
    </w:p>
    <w:p>
      <w:pPr>
        <w:spacing w:before="0" w:after="80"/>
      </w:pPr>
      <w:r>
        <w:rPr>
          <w:i/>
          <w:sz w:val="20"/>
        </w:rPr>
        <w:t>EN: Visible‐Light Sensitized Isomerization in the Lipid Bilayer Enables Activation of a Transmembrane Transporter</w:t>
      </w:r>
    </w:p>
    <w:p>
      <w:pPr>
        <w:spacing w:before="0" w:after="120"/>
      </w:pPr>
      <w:r>
        <w:rPr>
          <w:b/>
        </w:rPr>
        <w:t xml:space="preserve">Source: </w:t>
      </w:r>
      <w:r>
        <w:t>Wiley: Angewandte Chemie International Edition: Table of Contents</w:t>
      </w:r>
      <w:r>
        <w:t xml:space="preserve">    </w:t>
      </w:r>
      <w:r>
        <w:rPr>
          <w:b/>
        </w:rPr>
        <w:t xml:space="preserve">Pub date: </w:t>
      </w:r>
      <w:r>
        <w:t>2026-04-06 04:55:57+00:00</w:t>
      </w:r>
      <w:r>
        <w:t xml:space="preserve">    </w:t>
      </w:r>
      <w:r>
        <w:rPr>
          <w:b/>
        </w:rPr>
        <w:t xml:space="preserve">DOI: </w:t>
      </w:r>
      <w:hyperlink r:id="rId278">
        <w:r>
          <w:rPr>
            <w:color w:val="1155CC"/>
            <w:u w:val="single"/>
          </w:rPr>
          <w:t>10.1002/anie.6015167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目前，人们对将光响应（超）分子系统嵌入磷脂双层膜中非常感兴趣，例如，用于控制跨膜运输过程。这些系统大多数由有害的紫外光操作。虽然在溶液相中，已经使用可见光吸收光敏剂实现了光开关系统的异构化，但在脂质双层环境中尚未发现敏化异构化的案例。在此，我们展示了基于刚性苯乙烯的氯化物转运体的活性异构体可以通过照射和从钌三联吡啶配合物的能量转移在原位生成。在双层中，这一过程比在溶液中更有效，因为敏化剂的有效浓度更高。</w:t>
      </w:r>
    </w:p>
    <w:p>
      <w:pPr>
        <w:spacing w:before="0" w:after="200" w:lineRule="auto" w:line="276"/>
      </w:pPr>
      <w:r>
        <w:rPr>
          <w:b/>
        </w:rPr>
        <w:t xml:space="preserve">Abstract (EN): </w:t>
      </w:r>
      <w:r>
        <w:t>Currently, there is major interest in embedding light‐responsive (supra)molecular systems in phospholipid bilayer membranes, for example, to control transmembrane transport processes. Most of these systems are operated by harmful UV‐light. Although in solution phase the isomerization of photoswitchable systems has been achieved using visible‐light‐absorbing photosensitizers, no cases are known yet of sensitized isomerization in a lipid bilayer environment. Herein, we show that the active isomer of a stiff‐stilbene based chloride transporter can be generated in situ by irradiation and energy transfer from a ruthenium tris(bipyridyl) complex. In the bilayer, this process is more efficient than in solution, as a benefit of the higher effective concentration of sensitizer and transporter upon confinement. Our work offers an approach to induce isomerization of membrane‐embedded systems by visible light, without the need of synthetic modification and loss of function or activity.</w:t>
      </w:r>
    </w:p>
    <w:p>
      <w:pPr>
        <w:spacing w:before="120" w:after="120"/>
      </w:pPr>
      <w:r>
        <w:rPr>
          <w:sz w:val="18"/>
        </w:rPr>
        <w:t>——————————————————————————————————————————————————————————————————————</w:t>
      </w:r>
    </w:p>
    <w:p>
      <w:pPr>
        <w:spacing w:before="160" w:after="40" w:line="240" w:lineRule="auto"/>
      </w:pPr>
      <w:r>
        <w:rPr>
          <w:b/>
        </w:rPr>
        <w:t xml:space="preserve">[67] </w:t>
      </w:r>
      <w:hyperlink r:id="rId279">
        <w:r>
          <w:rPr>
            <w:color w:val="1155CC"/>
            <w:u w:val="single"/>
          </w:rPr>
          <w:t>介孔沸石中路易斯酸位点的工程设计在乙醇中实现葡萄糖异构化的果糖产率达到71.5%的记录</w:t>
        </w:r>
      </w:hyperlink>
    </w:p>
    <w:p>
      <w:pPr>
        <w:spacing w:before="0" w:after="80"/>
      </w:pPr>
      <w:r>
        <w:rPr>
          <w:i/>
          <w:sz w:val="20"/>
        </w:rPr>
        <w:t>EN: Engineering of Lewis Acid Sites in Mesoporous Zeolite Achieves Record Fructose Yield of 71.5% for Glucose Isomerization in Ethanol</w:t>
      </w:r>
    </w:p>
    <w:p>
      <w:pPr>
        <w:spacing w:before="0" w:after="120"/>
      </w:pPr>
      <w:r>
        <w:rPr>
          <w:b/>
        </w:rPr>
        <w:t xml:space="preserve">Source: </w:t>
      </w:r>
      <w:r>
        <w:t>Wiley: Angewandte Chemie International Edition: Table of Contents</w:t>
      </w:r>
      <w:r>
        <w:t xml:space="preserve">    </w:t>
      </w:r>
      <w:r>
        <w:rPr>
          <w:b/>
        </w:rPr>
        <w:t xml:space="preserve">Pub date: </w:t>
      </w:r>
      <w:r>
        <w:t>2026-04-06 05:00:41+00:00</w:t>
      </w:r>
      <w:r>
        <w:t xml:space="preserve">    </w:t>
      </w:r>
      <w:r>
        <w:rPr>
          <w:b/>
        </w:rPr>
        <w:t xml:space="preserve">DOI: </w:t>
      </w:r>
      <w:hyperlink r:id="rId280">
        <w:r>
          <w:rPr>
            <w:color w:val="1155CC"/>
            <w:u w:val="single"/>
          </w:rPr>
          <w:t>10.1002/anie.202524977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路易斯酸催化的葡萄糖异构化是生物炼制中的关键步骤，但受到有限的催化工具和反应平衡的限制。在此，我们报告了在介孔沸石中工程化路易斯酸位点可以大大提高生产力。将少量Sn物种引入KIT‐6沸石，并在磷酸化的帮助下制备了具有丰富路易斯酸位点和少量布朗斯特酸位点的SnPO/KIT(x)材料，同时保留了有序的介孔结构。此外，路易斯酸性Sn位点的配位环境与传统沸石和金属磷酸盐中的不同，这对于促进异构化和控制副反应至关重要。严格的实验表明，使用SnPO/KIT(80)催化剂</w:t>
      </w:r>
    </w:p>
    <w:p>
      <w:pPr>
        <w:spacing w:before="0" w:after="200" w:lineRule="auto" w:line="276"/>
      </w:pPr>
      <w:r>
        <w:rPr>
          <w:b/>
        </w:rPr>
        <w:t xml:space="preserve">Abstract (EN): </w:t>
      </w:r>
      <w:r>
        <w:t>Lewis acid catalyzed glucose isomerization is a vital step in biorefinery, but it's restricted by the limited catalytic toolkit and reaction equilibrium. Herein, we report that engineering Lewis acid sites in a mesoporous zeolite can greatly boost productivity. Incorporating a few of Sn species into KIT‐6 zeolite with the assistance of phosphorylation delivered SnPO/KIT(x) materials with abundant Lewis acid sites and a few of Brønsted acid sites, while conserving the ordered mesoporous structure. Moreover, the Lewis acidic Sn sites have a coordination environment distinct from those in traditional zeolites and metal phosphates, as is crucial to facilitate isomerization and to control side‐reactions. Rigorous experiments showed that the use of SnPO/KIT(80) catalyst in two‐step isomerization process combined with adequate hydrolysis of ethyl fructoside attains a fructose yield of 71.5%, surpassing the state‐of‐the‐art catalytic systems, along with good reusability and tolerance to high‐concentration glucose. These findings highlight the great potential of precisely manipulating coordination environment of Lewis acid sites to boost catalytic performance.</w:t>
      </w:r>
    </w:p>
    <w:p>
      <w:pPr>
        <w:spacing w:before="120" w:after="120"/>
      </w:pPr>
      <w:r>
        <w:rPr>
          <w:sz w:val="18"/>
        </w:rPr>
        <w:t>——————————————————————————————————————————————————————————————————————</w:t>
      </w:r>
    </w:p>
    <w:p>
      <w:pPr>
        <w:spacing w:before="160" w:after="40" w:line="240" w:lineRule="auto"/>
      </w:pPr>
      <w:r>
        <w:rPr>
          <w:b/>
        </w:rPr>
        <w:t xml:space="preserve">[68] </w:t>
      </w:r>
      <w:hyperlink r:id="rId281">
        <w:r>
          <w:rPr>
            <w:color w:val="1155CC"/>
            <w:u w:val="single"/>
          </w:rPr>
          <w:t>一锅合成扭曲螺旋和准平面硼氮掺杂多环芳烃用于窄带电致发光</w:t>
        </w:r>
      </w:hyperlink>
    </w:p>
    <w:p>
      <w:pPr>
        <w:spacing w:before="0" w:after="80"/>
      </w:pPr>
      <w:r>
        <w:rPr>
          <w:i/>
          <w:sz w:val="20"/>
        </w:rPr>
        <w:t>EN: One‐Pot Synthesis of Twisted Helical and Quasi‐Planar Boron‐Nitrogen Doped Polycyclic Aromatic Hydrocarbons for Narrowband Electroluminescence</w:t>
      </w:r>
    </w:p>
    <w:p>
      <w:pPr>
        <w:spacing w:before="0" w:after="120"/>
      </w:pPr>
      <w:r>
        <w:rPr>
          <w:b/>
        </w:rPr>
        <w:t xml:space="preserve">Source: </w:t>
      </w:r>
      <w:r>
        <w:t>Wiley: Angewandte Chemie International Edition: Table of Contents</w:t>
      </w:r>
      <w:r>
        <w:t xml:space="preserve">    </w:t>
      </w:r>
      <w:r>
        <w:rPr>
          <w:b/>
        </w:rPr>
        <w:t xml:space="preserve">Pub date: </w:t>
      </w:r>
      <w:r>
        <w:t>2026-04-06 05:01:54+00:00</w:t>
      </w:r>
      <w:r>
        <w:t xml:space="preserve">    </w:t>
      </w:r>
      <w:r>
        <w:rPr>
          <w:b/>
        </w:rPr>
        <w:t xml:space="preserve">DOI: </w:t>
      </w:r>
      <w:hyperlink r:id="rId282">
        <w:r>
          <w:rPr>
            <w:color w:val="1155CC"/>
            <w:u w:val="single"/>
          </w:rPr>
          <w:t>10.1002/anie.1773289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掺杂杂原子的多环芳烃（PAHs）具有特殊的拓扑结构，由于能够在分子水平上有效调控发光体的光物理性质，受到了广泛关注。在此，我们报告了两种杂原子掺杂的PAHs的设计和一锅合成，即具有扭曲螺旋结构的4BN和具有准平面结构的3BN。系统的结构-性质研究表明，分子拓扑在决定内在电子结构和分子间相互作用中起着决定性作用。四硼化的4BN具有刚性的PAH骨架，通过操控非键合特性有效抑制结构松弛和电子-振动耦合。</w:t>
      </w:r>
    </w:p>
    <w:p>
      <w:pPr>
        <w:spacing w:before="0" w:after="200" w:lineRule="auto" w:line="276"/>
      </w:pPr>
      <w:r>
        <w:rPr>
          <w:b/>
        </w:rPr>
        <w:t xml:space="preserve">Abstract (EN): </w:t>
      </w:r>
      <w:r>
        <w:t>Heteroatom‐doped polycyclic aromatic hydrocarbons (PAHs) with special topological structures have garnered significant attention owing to the effective regulation of photophysical properties of emitters at the molecular level. Herein, we report the design and one‐pot synthesis of two heteroatom‐doped PAHs, namely 4BN with a twisted helical configuration and 3BN with a quasi‐planar configuration. Systematic structure‐property investigations reveal that molecular topology plays a decisive role in governing intrinsic electronic structures and intermolecular interactions. The quadruple‐borylated 4BN with rigid PAH skeleton effectively suppresses structural relaxation and electron‐vibrational coupling via manipulating the non‐bonding characteristics, thereby affording ultra‐narrowband emission. Consequently, for 4BN, the full widths at half maximum (FWHMs) as narrow as 13 nm in toluene solution and 14 nm in solution‐processed electroluminescence device are achieved, representing the narrowest FWHM reported to date for OLEDs based on multiple resonance (MR) emitters. Furthermore, in TADF‐assisted solution‐processed device, the emission spectrum slightly broadens to 15 nm with a maximum external quantum efficiency (EQE</w:t>
      </w:r>
      <w:r>
        <w:t xml:space="preserve"> </w:t>
      </w:r>
      <w:r>
        <w:t>max</w:t>
      </w:r>
      <w:r>
        <w:t xml:space="preserve"> </w:t>
      </w:r>
      <w:r>
        <w:t>) of 18.9%. In sharp contrast, the triple‐borylated 3BN with quasi‐planar geometry shows enhanced π‐delocalization and stronger vibronic coupling, resulting in broader FWHM of 25 nm in TADF‐assisted solution‐processed devices with an EQE</w:t>
      </w:r>
      <w:r>
        <w:t xml:space="preserve"> </w:t>
      </w:r>
      <w:r>
        <w:t>max</w:t>
      </w:r>
      <w:r>
        <w:t xml:space="preserve"> </w:t>
      </w:r>
      <w:r>
        <w:t>of 19.8%.</w:t>
      </w:r>
    </w:p>
    <w:p>
      <w:pPr>
        <w:spacing w:before="120" w:after="120"/>
      </w:pPr>
      <w:r>
        <w:rPr>
          <w:sz w:val="18"/>
        </w:rPr>
        <w:t>——————————————————————————————————————————————————————————————————————</w:t>
      </w:r>
    </w:p>
    <w:p>
      <w:pPr>
        <w:spacing w:before="160" w:after="40" w:line="240" w:lineRule="auto"/>
      </w:pPr>
      <w:r>
        <w:rPr>
          <w:b/>
        </w:rPr>
        <w:t xml:space="preserve">[69] </w:t>
      </w:r>
      <w:hyperlink r:id="rId283">
        <w:r>
          <w:rPr>
            <w:color w:val="1155CC"/>
            <w:u w:val="single"/>
          </w:rPr>
          <w:t>用于光电催化NO3−转NH3的非晶/晶体异质结Ni(OH)2/Cu2O(111)：正起始电位、高选择性和完全转化</w:t>
        </w:r>
      </w:hyperlink>
    </w:p>
    <w:p>
      <w:pPr>
        <w:spacing w:before="0" w:after="80"/>
      </w:pPr>
      <w:r>
        <w:rPr>
          <w:i/>
          <w:sz w:val="20"/>
        </w:rPr>
        <w:t>EN: Amorphous/Crystalline Heterojunction Ni(OH)2/Cu2O(111) for Photoelectrocatalysis NO3−‐to‐NH3: Positive Onset Potential, High Selectivity, and Complete Conversion</w:t>
      </w:r>
    </w:p>
    <w:p>
      <w:pPr>
        <w:spacing w:before="0" w:after="120"/>
      </w:pPr>
      <w:r>
        <w:rPr>
          <w:b/>
        </w:rPr>
        <w:t xml:space="preserve">Source: </w:t>
      </w:r>
      <w:r>
        <w:t>Wiley: Angewandte Chemie International Edition: Table of Contents</w:t>
      </w:r>
      <w:r>
        <w:t xml:space="preserve">    </w:t>
      </w:r>
      <w:r>
        <w:rPr>
          <w:b/>
        </w:rPr>
        <w:t xml:space="preserve">Pub date: </w:t>
      </w:r>
      <w:r>
        <w:t>2026-04-06 05:07:11+00:00</w:t>
      </w:r>
      <w:r>
        <w:t xml:space="preserve">    </w:t>
      </w:r>
      <w:r>
        <w:rPr>
          <w:b/>
        </w:rPr>
        <w:t xml:space="preserve">DOI: </w:t>
      </w:r>
      <w:hyperlink r:id="rId284">
        <w:r>
          <w:rPr>
            <w:color w:val="1155CC"/>
            <w:u w:val="single"/>
          </w:rPr>
          <w:t>10.1002/anie.3509008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光电催化选择性硝酸盐（NO</w:t>
      </w:r>
      <w:r>
        <w:rPr>
          <w:vertAlign w:val="subscript"/>
        </w:rPr>
        <w:t>3</w:t>
      </w:r>
      <w:r>
        <w:t>−</w:t>
      </w:r>
      <w:r>
        <w:t>）还原为氨（NH</w:t>
      </w:r>
      <w:r>
        <w:rPr>
          <w:vertAlign w:val="subscript"/>
        </w:rPr>
        <w:t>3</w:t>
      </w:r>
      <w:r>
        <w:t>）提供了一条可持续的绿色氮循环途径，克服了单独电催化和光催化的固有局限性。核心挑战是开发一种高效的光电催化剂，能够同时降低过电位并最大化NH</w:t>
      </w:r>
      <w:r>
        <w:rPr>
          <w:vertAlign w:val="subscript"/>
        </w:rPr>
        <w:t>3</w:t>
      </w:r>
      <w:r>
        <w:t>选择性。在此，通过Cu‐O</w:t>
      </w:r>
      <w:r>
        <w:t xml:space="preserve"> </w:t>
      </w:r>
      <w:r>
        <w:t>v</w:t>
      </w:r>
      <w:r>
        <w:t xml:space="preserve"> </w:t>
      </w:r>
      <w:r>
        <w:t>‐Ni键合构建了非晶/晶体异质结Ni(OH)</w:t>
      </w:r>
      <w:r>
        <w:rPr>
          <w:vertAlign w:val="subscript"/>
        </w:rPr>
        <w:t>2</w:t>
      </w:r>
      <w:r>
        <w:t>/Cu</w:t>
      </w:r>
      <w:r>
        <w:rPr>
          <w:vertAlign w:val="subscript"/>
        </w:rPr>
        <w:t>2</w:t>
      </w:r>
      <w:r>
        <w:t>O。</w:t>
      </w:r>
    </w:p>
    <w:p>
      <w:pPr>
        <w:spacing w:before="0" w:after="200" w:lineRule="auto" w:line="276"/>
      </w:pPr>
      <w:r>
        <w:rPr>
          <w:b/>
        </w:rPr>
        <w:t xml:space="preserve">Abstract (EN): </w:t>
      </w:r>
      <w:r>
        <w:t>Photoelectrocatalytic selective nitrate (NO</w:t>
      </w:r>
      <w:r>
        <w:rPr>
          <w:vertAlign w:val="subscript"/>
        </w:rPr>
        <w:t>3</w:t>
      </w:r>
      <w:r>
        <w:t>−</w:t>
      </w:r>
      <w:r>
        <w:t>) reduction to ammonia (NH</w:t>
      </w:r>
      <w:r>
        <w:rPr>
          <w:vertAlign w:val="subscript"/>
        </w:rPr>
        <w:t>3</w:t>
      </w:r>
      <w:r>
        <w:t>) offers a sustainable route for the green nitrogen cycle, overcoming the inherent limitations of standalone electrocatalysis and photocatalysis. The central challenge is developing an efficient photoelectrocatalyst that simultaneously reduces overpotential and maximizes NH</w:t>
      </w:r>
      <w:r>
        <w:rPr>
          <w:vertAlign w:val="subscript"/>
        </w:rPr>
        <w:t>3</w:t>
      </w:r>
      <w:r>
        <w:t>selectivity. Herein, an amorphous/crystalline heterojunction Ni(OH)</w:t>
      </w:r>
      <w:r>
        <w:rPr>
          <w:vertAlign w:val="subscript"/>
        </w:rPr>
        <w:t>2</w:t>
      </w:r>
      <w:r>
        <w:t>/Cu</w:t>
      </w:r>
      <w:r>
        <w:rPr>
          <w:vertAlign w:val="subscript"/>
        </w:rPr>
        <w:t>2</w:t>
      </w:r>
      <w:r>
        <w:t>O bonded by Cu‐O</w:t>
      </w:r>
      <w:r>
        <w:t xml:space="preserve"> </w:t>
      </w:r>
      <w:r>
        <w:t>v</w:t>
      </w:r>
      <w:r>
        <w:t xml:space="preserve"> </w:t>
      </w:r>
      <w:r>
        <w:t>‐Ni, is constructed via photoelectrocatalytic interface regulation for synergistic photoelectrocatalysis (SPEC) NH</w:t>
      </w:r>
      <w:r>
        <w:rPr>
          <w:vertAlign w:val="subscript"/>
        </w:rPr>
        <w:t>3</w:t>
      </w:r>
      <w:r>
        <w:t>synthesis. Results demonstrate ∼100% light absorption efficiency and ∼90% high charge separation efficiency, enabling almost completely rapid 98.80% NO</w:t>
      </w:r>
      <w:r>
        <w:rPr>
          <w:vertAlign w:val="subscript"/>
        </w:rPr>
        <w:t>3</w:t>
      </w:r>
      <w:r>
        <w:t>−</w:t>
      </w:r>
      <w:r>
        <w:t>conversion with stable NH</w:t>
      </w:r>
      <w:r>
        <w:rPr>
          <w:vertAlign w:val="subscript"/>
        </w:rPr>
        <w:t>3</w:t>
      </w:r>
      <w:r>
        <w:t>FE (&amp;gt; 99%) and high selectivity (&amp;gt; 97%). A superior NH</w:t>
      </w:r>
      <w:r>
        <w:rPr>
          <w:vertAlign w:val="subscript"/>
        </w:rPr>
        <w:t>3</w:t>
      </w:r>
      <w:r>
        <w:t>yield of 1316.1 µmol h</w:t>
      </w:r>
      <w:r>
        <w:t xml:space="preserve"> </w:t>
      </w:r>
      <w:r>
        <w:t>−1</w:t>
      </w:r>
      <w:r>
        <w:t xml:space="preserve"> </w:t>
      </w:r>
      <w:r>
        <w:t>cm</w:t>
      </w:r>
      <w:r>
        <w:t xml:space="preserve"> </w:t>
      </w:r>
      <w:r>
        <w:t>−2</w:t>
      </w:r>
      <w:r>
        <w:t xml:space="preserve"> </w:t>
      </w:r>
      <w:r>
        <w:t>is attained, alongside an excellent positive onset potential of 0.322 V versus RHE. In situ experiments further reveal that crystalline Cu</w:t>
      </w:r>
      <w:r>
        <w:rPr>
          <w:vertAlign w:val="subscript"/>
        </w:rPr>
        <w:t>2</w:t>
      </w:r>
      <w:r>
        <w:t>O activates carriers to accelerate the rate‐determining step (N</w:t>
      </w:r>
      <w:r>
        <w:t xml:space="preserve"> </w:t>
      </w:r>
      <w:r>
        <w:t>+5</w:t>
      </w:r>
      <w:r>
        <w:t xml:space="preserve"> </w:t>
      </w:r>
      <w:r>
        <w:t>→ N</w:t>
      </w:r>
      <w:r>
        <w:t xml:space="preserve"> </w:t>
      </w:r>
      <w:r>
        <w:t>+3</w:t>
      </w:r>
      <w:r>
        <w:t xml:space="preserve"> </w:t>
      </w:r>
      <w:r>
        <w:t>), while amorphous Ni(OH)</w:t>
      </w:r>
      <w:r>
        <w:rPr>
          <w:vertAlign w:val="subscript"/>
        </w:rPr>
        <w:t>2</w:t>
      </w:r>
      <w:r>
        <w:t>significantly enhances electron extraction and *H accumulation for protonation (N</w:t>
      </w:r>
      <w:r>
        <w:t xml:space="preserve"> </w:t>
      </w:r>
      <w:r>
        <w:t>+3</w:t>
      </w:r>
      <w:r>
        <w:t xml:space="preserve"> </w:t>
      </w:r>
      <w:r>
        <w:t>→ N</w:t>
      </w:r>
      <w:r>
        <w:t xml:space="preserve"> </w:t>
      </w:r>
      <w:r>
        <w:t>−3</w:t>
      </w:r>
      <w:r>
        <w:t xml:space="preserve"> </w:t>
      </w:r>
      <w:r>
        <w:t>). Increasing potential shifts the system from electro‐assisted photocatalysis (activating Cu‐O···*NO</w:t>
      </w:r>
      <w:r>
        <w:rPr>
          <w:vertAlign w:val="subscript"/>
        </w:rPr>
        <w:t>3</w:t>
      </w:r>
      <w:r>
        <w:t>−</w:t>
      </w:r>
      <w:r>
        <w:t>sites) to photo‐assisted electrocatalysis (Cu</w:t>
      </w:r>
      <w:r>
        <w:rPr>
          <w:vertAlign w:val="subscript"/>
        </w:rPr>
        <w:t>2</w:t>
      </w:r>
      <w:r>
        <w:t>O → Ni(OH)</w:t>
      </w:r>
      <w:r>
        <w:rPr>
          <w:vertAlign w:val="subscript"/>
        </w:rPr>
        <w:t>2</w:t>
      </w:r>
      <w:r>
        <w:t>electron transfer), then to SPEC (efficient *H coupling) process. Further application to actual fertilizer plant wastewater achieves ∼90% NO</w:t>
      </w:r>
      <w:r>
        <w:rPr>
          <w:vertAlign w:val="subscript"/>
        </w:rPr>
        <w:t>3</w:t>
      </w:r>
      <w:r>
        <w:t>−</w:t>
      </w:r>
      <w:r>
        <w:t>removal efficiency and &amp;gt; 85% NH</w:t>
      </w:r>
      <w:r>
        <w:rPr>
          <w:vertAlign w:val="subscript"/>
        </w:rPr>
        <w:t>3</w:t>
      </w:r>
      <w:r>
        <w:t>selectivity, demonstrating promising scalability for efficient photoelectrocatalysis NO</w:t>
      </w:r>
      <w:r>
        <w:rPr>
          <w:vertAlign w:val="subscript"/>
        </w:rPr>
        <w:t>3</w:t>
      </w:r>
      <w:r>
        <w:t>−</w:t>
      </w:r>
      <w:r>
        <w:t>‐to‐NH</w:t>
      </w:r>
      <w:r>
        <w:rPr>
          <w:vertAlign w:val="subscript"/>
        </w:rPr>
        <w:t>3</w:t>
      </w:r>
      <w:r>
        <w:t>with great environmental remediation potential.</w:t>
      </w:r>
    </w:p>
    <w:p>
      <w:pPr>
        <w:spacing w:before="120" w:after="120"/>
      </w:pPr>
      <w:r>
        <w:rPr>
          <w:sz w:val="18"/>
        </w:rPr>
        <w:t>——————————————————————————————————————————————————————————————————————</w:t>
      </w:r>
    </w:p>
    <w:p>
      <w:pPr>
        <w:spacing w:before="160" w:after="40" w:line="240" w:lineRule="auto"/>
      </w:pPr>
      <w:r>
        <w:rPr>
          <w:b/>
        </w:rPr>
        <w:t xml:space="preserve">[70] </w:t>
      </w:r>
      <w:hyperlink r:id="rId285">
        <w:r>
          <w:rPr>
            <w:color w:val="1155CC"/>
            <w:u w:val="single"/>
          </w:rPr>
          <w:t>基于1,2-BN嵌入多环芳烃的宽范围颜色可调窄带荧光发射体</w:t>
        </w:r>
      </w:hyperlink>
    </w:p>
    <w:p>
      <w:pPr>
        <w:spacing w:before="0" w:after="80"/>
      </w:pPr>
      <w:r>
        <w:rPr>
          <w:i/>
          <w:sz w:val="20"/>
        </w:rPr>
        <w:t>EN: Wide‐Range Color‐Tunable Narrowband Fluorescence Emitters Based on 1,2‐BN‐Embedded Polycyclic Aromatic Hydrocarbons</w:t>
      </w:r>
    </w:p>
    <w:p>
      <w:pPr>
        <w:spacing w:before="0" w:after="120"/>
      </w:pPr>
      <w:r>
        <w:rPr>
          <w:b/>
        </w:rPr>
        <w:t xml:space="preserve">Source: </w:t>
      </w:r>
      <w:r>
        <w:t>Wiley: Angewandte Chemie International Edition: Table of Contents</w:t>
      </w:r>
      <w:r>
        <w:t xml:space="preserve">    </w:t>
      </w:r>
      <w:r>
        <w:rPr>
          <w:b/>
        </w:rPr>
        <w:t xml:space="preserve">Pub date: </w:t>
      </w:r>
      <w:r>
        <w:t>2026-04-06 05:09:01+00:00</w:t>
      </w:r>
      <w:r>
        <w:t xml:space="preserve">    </w:t>
      </w:r>
      <w:r>
        <w:rPr>
          <w:b/>
        </w:rPr>
        <w:t xml:space="preserve">DOI: </w:t>
      </w:r>
      <w:hyperlink r:id="rId286">
        <w:r>
          <w:rPr>
            <w:color w:val="1155CC"/>
            <w:u w:val="single"/>
          </w:rPr>
          <w:t>10.1002/anie.2671652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多环芳烃（PAHs）中开发一种能够调和宽范围颜色可调性与内在窄带发射的通用设计原则仍然是分子光电子学中的一个基本挑战。在此，我们结合芳香定位效应（ALE）与杂原子拓扑工程，建立了一种多功能的1,2‐BN‐芴嵌入策略，通过简洁的咔唑辅助硼化实现。该方法提供了一系列模块化的[B–N]</w:t>
      </w:r>
      <w:r>
        <w:rPr>
          <w:vertAlign w:val="subscript"/>
        </w:rPr>
        <w:t>2</w:t>
      </w:r>
      <w:r>
        <w:t>PAHs，其发射范围覆盖可见光到近红外范围（429–703 nm），同时保持极窄的半高宽（FWHM）至14 nm。其色度满足严格的B</w:t>
      </w:r>
    </w:p>
    <w:p>
      <w:pPr>
        <w:spacing w:before="0" w:after="200" w:lineRule="auto" w:line="276"/>
      </w:pPr>
      <w:r>
        <w:rPr>
          <w:b/>
        </w:rPr>
        <w:t xml:space="preserve">Abstract (EN): </w:t>
      </w:r>
      <w:r>
        <w:t>Developing a generalizable design principle that reconciles wide‐range color tunability with intrinsically narrowband emission in polycyclic aromatic hydrocarbons (PAHs) remains a fundamental challenge in molecular optoelectronics. Herein, we combine the aromatic localization effect (ALE) with heteroatomic topology engineering to establish a versatile 1,2‐BN‐fluoranthene embedding strategy, implemented through a concise carbazole‐assisted borylation. This approach furnishes a modular family of [B–N]</w:t>
      </w:r>
      <w:r>
        <w:rPr>
          <w:vertAlign w:val="subscript"/>
        </w:rPr>
        <w:t>2</w:t>
      </w:r>
      <w:r>
        <w:t>PAHs whose emissions span the visible‐to‐near‐infrared range (429–703 nm) while retaining exceptionally narrow full widths at half maximum (FWHM) down to 14 nm. Their chromaticities satisfy the stringent BT.2020 display standard, with selected derivatives even reaching the ultra‐high‐purity ProPhoto RGB gamut, establishing a viable platform for wide‐color‐gamut OLEDs. Representative pyrene‐ and perylene‐based [B–N]</w:t>
      </w:r>
      <w:r>
        <w:rPr>
          <w:vertAlign w:val="subscript"/>
        </w:rPr>
        <w:t>2</w:t>
      </w:r>
      <w:r>
        <w:t>PAHs display near‐unity photoluminescence quantum yields (up to 99%) and ultrahigh horizontal transition dipole ratios (up to 98.0%), enabling outstanding electroluminescence performance. Devices based on these emitters exhibit emission peaks at 481 and 542 nm with narrow FWHMs of 19 and 29 nm, respectively and achieve maximum external quantum efficiencies (EQE</w:t>
      </w:r>
      <w:r>
        <w:t xml:space="preserve"> </w:t>
      </w:r>
      <w:r>
        <w:t>max</w:t>
      </w:r>
      <w:r>
        <w:t xml:space="preserve"> </w:t>
      </w:r>
      <w:r>
        <w:t>) of 35.5% and 44.3%—the first fluorescent OLEDs to surpass the 40% EQE threshold. Importantly, 1,2‐BN‐embedded PAHs rival state‐of‐the‐art 1,4‐BN‐based multiple‐resonance (MR) emitters, while offering a substantially simpler, more general synthetic blueprint readily extendable to diverse PAH architectures.</w:t>
      </w:r>
    </w:p>
    <w:p>
      <w:pPr>
        <w:spacing w:before="120" w:after="120"/>
      </w:pPr>
      <w:r>
        <w:rPr>
          <w:sz w:val="18"/>
        </w:rPr>
        <w:t>——————————————————————————————————————————————————————————————————————</w:t>
      </w:r>
    </w:p>
    <w:p>
      <w:pPr>
        <w:spacing w:before="160" w:after="40" w:line="240" w:lineRule="auto"/>
      </w:pPr>
      <w:r>
        <w:rPr>
          <w:b/>
        </w:rPr>
        <w:t xml:space="preserve">[71] </w:t>
      </w:r>
      <w:hyperlink r:id="rId287">
        <w:r>
          <w:rPr>
            <w:color w:val="1155CC"/>
            <w:u w:val="single"/>
          </w:rPr>
          <w:t>通过协同Mott–Schottky异质结和氧空位实现的选择性甘氨酸电合成</w:t>
        </w:r>
      </w:hyperlink>
    </w:p>
    <w:p>
      <w:pPr>
        <w:spacing w:before="0" w:after="80"/>
      </w:pPr>
      <w:r>
        <w:rPr>
          <w:i/>
          <w:sz w:val="20"/>
        </w:rPr>
        <w:t>EN: Selective Glycine Electrosynthesis via C‐N Coupling Enabled by Synergistic Mott–Schottky Heterojunction and Oxygen Vacancies</w:t>
      </w:r>
    </w:p>
    <w:p>
      <w:pPr>
        <w:spacing w:before="0" w:after="120"/>
      </w:pPr>
      <w:r>
        <w:rPr>
          <w:b/>
        </w:rPr>
        <w:t xml:space="preserve">Source: </w:t>
      </w:r>
      <w:r>
        <w:t>Wiley: Angewandte Chemie International Edition: Table of Contents</w:t>
      </w:r>
      <w:r>
        <w:t xml:space="preserve">    </w:t>
      </w:r>
      <w:r>
        <w:rPr>
          <w:b/>
        </w:rPr>
        <w:t xml:space="preserve">Pub date: </w:t>
      </w:r>
      <w:r>
        <w:t>2026-04-06 05:10:05+00:00</w:t>
      </w:r>
      <w:r>
        <w:t xml:space="preserve">    </w:t>
      </w:r>
      <w:r>
        <w:rPr>
          <w:b/>
        </w:rPr>
        <w:t xml:space="preserve">DOI: </w:t>
      </w:r>
      <w:hyperlink r:id="rId288">
        <w:r>
          <w:rPr>
            <w:color w:val="1155CC"/>
            <w:u w:val="single"/>
          </w:rPr>
          <w:t>10.1002/anie.5717711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甘氨酸是一种必需的氨基酸，对多种生物过程至关重要，但通过电合成从简单的碳和氮前体直接合成甘氨酸仍然具有挑战性。在此，我们报告了一种通过草酸 (H</w:t>
      </w:r>
      <w:r>
        <w:rPr>
          <w:vertAlign w:val="subscript"/>
        </w:rPr>
        <w:t>2</w:t>
      </w:r>
      <w:r>
        <w:t>C</w:t>
      </w:r>
      <w:r>
        <w:rPr>
          <w:vertAlign w:val="subscript"/>
        </w:rPr>
        <w:t>2</w:t>
      </w:r>
      <w:r>
        <w:t>O</w:t>
      </w:r>
      <w:r>
        <w:rPr>
          <w:vertAlign w:val="subscript"/>
        </w:rPr>
        <w:t>4</w:t>
      </w:r>
      <w:r>
        <w:t>) 与羟胺 (NH</w:t>
      </w:r>
      <w:r>
        <w:rPr>
          <w:vertAlign w:val="subscript"/>
        </w:rPr>
        <w:t>2</w:t>
      </w:r>
      <w:r>
        <w:t>OH) 或硝酸盐 (NO</w:t>
      </w:r>
      <w:r>
        <w:rPr>
          <w:vertAlign w:val="subscript"/>
        </w:rPr>
        <w:t>3</w:t>
      </w:r>
      <w:r>
        <w:t>−</w:t>
      </w:r>
      <w:r>
        <w:t>) 在富含氧空位的 Mott–Schottky Sn/SnO</w:t>
      </w:r>
      <w:r>
        <w:rPr>
          <w:vertAlign w:val="subscript"/>
        </w:rPr>
        <w:t>2</w:t>
      </w:r>
      <w:r>
        <w:t>异质结催化剂上进行还原偶联来生产甘氨酸的高效电化学途径。当使用 H</w:t>
      </w:r>
    </w:p>
    <w:p>
      <w:pPr>
        <w:spacing w:before="0" w:after="200" w:lineRule="auto" w:line="276"/>
      </w:pPr>
      <w:r>
        <w:rPr>
          <w:b/>
        </w:rPr>
        <w:t xml:space="preserve">Abstract (EN): </w:t>
      </w:r>
      <w:r>
        <w:t>Glycine, an indispensable amino acid essential for diverse biological processes, remains challenging to synthesize directly via electrosynthesis from simple carbon and nitrogen precursors. Herein, we report a highly efficient electrochemical route for glycine production through the reductive coupling of oxalic acid (H</w:t>
      </w:r>
      <w:r>
        <w:rPr>
          <w:vertAlign w:val="subscript"/>
        </w:rPr>
        <w:t>2</w:t>
      </w:r>
      <w:r>
        <w:t>C</w:t>
      </w:r>
      <w:r>
        <w:rPr>
          <w:vertAlign w:val="subscript"/>
        </w:rPr>
        <w:t>2</w:t>
      </w:r>
      <w:r>
        <w:t>O</w:t>
      </w:r>
      <w:r>
        <w:rPr>
          <w:vertAlign w:val="subscript"/>
        </w:rPr>
        <w:t>4</w:t>
      </w:r>
      <w:r>
        <w:t>) with hydroxylamine (NH</w:t>
      </w:r>
      <w:r>
        <w:rPr>
          <w:vertAlign w:val="subscript"/>
        </w:rPr>
        <w:t>2</w:t>
      </w:r>
      <w:r>
        <w:t>OH) or nitrate (NO</w:t>
      </w:r>
      <w:r>
        <w:rPr>
          <w:vertAlign w:val="subscript"/>
        </w:rPr>
        <w:t>3</w:t>
      </w:r>
      <w:r>
        <w:t>−</w:t>
      </w:r>
      <w:r>
        <w:t>) over a Mott–Schottky Sn/SnO</w:t>
      </w:r>
      <w:r>
        <w:rPr>
          <w:vertAlign w:val="subscript"/>
        </w:rPr>
        <w:t>2</w:t>
      </w:r>
      <w:r>
        <w:t>heterojunction catalyst enriched with oxygen vacancies. When employing H</w:t>
      </w:r>
      <w:r>
        <w:rPr>
          <w:vertAlign w:val="subscript"/>
        </w:rPr>
        <w:t>2</w:t>
      </w:r>
      <w:r>
        <w:t>C</w:t>
      </w:r>
      <w:r>
        <w:rPr>
          <w:vertAlign w:val="subscript"/>
        </w:rPr>
        <w:t>2</w:t>
      </w:r>
      <w:r>
        <w:t>O</w:t>
      </w:r>
      <w:r>
        <w:rPr>
          <w:vertAlign w:val="subscript"/>
        </w:rPr>
        <w:t>4</w:t>
      </w:r>
      <w:r>
        <w:t>and NH</w:t>
      </w:r>
      <w:r>
        <w:rPr>
          <w:vertAlign w:val="subscript"/>
        </w:rPr>
        <w:t>2</w:t>
      </w:r>
      <w:r>
        <w:t>OH as feedstocks, a remarkable Faradaic efficiency (FE) of 91.6% for glycine is achieved at −0.7 V versus RHE, alongside a high yield of 135 mmol g</w:t>
      </w:r>
      <w:r>
        <w:t xml:space="preserve"> </w:t>
      </w:r>
      <w:r>
        <w:t>cat.</w:t>
      </w:r>
      <w:r>
        <w:t xml:space="preserve"> </w:t>
      </w:r>
      <w:r>
        <w:t>−1</w:t>
      </w:r>
      <w:r>
        <w:t xml:space="preserve"> </w:t>
      </w:r>
      <w:r>
        <w:t>h</w:t>
      </w:r>
      <w:r>
        <w:t xml:space="preserve"> </w:t>
      </w:r>
      <w:r>
        <w:t>−1</w:t>
      </w:r>
      <w:r>
        <w:t xml:space="preserve"> </w:t>
      </w:r>
      <w:r>
        <w:t>. To the best of our knowledge, this represents one of the best performances ever reported in this system. The catalyst also shows strong substrate versatility, enabling efficient glycine formation when NO</w:t>
      </w:r>
      <w:r>
        <w:rPr>
          <w:vertAlign w:val="subscript"/>
        </w:rPr>
        <w:t>3</w:t>
      </w:r>
      <w:r>
        <w:t>−</w:t>
      </w:r>
      <w:r>
        <w:t>(in situ reduced to NH</w:t>
      </w:r>
      <w:r>
        <w:rPr>
          <w:vertAlign w:val="subscript"/>
        </w:rPr>
        <w:t>2</w:t>
      </w:r>
      <w:r>
        <w:t>OH) couples with glyoxylic acid or H</w:t>
      </w:r>
      <w:r>
        <w:rPr>
          <w:vertAlign w:val="subscript"/>
        </w:rPr>
        <w:t>2</w:t>
      </w:r>
      <w:r>
        <w:t>C</w:t>
      </w:r>
      <w:r>
        <w:rPr>
          <w:vertAlign w:val="subscript"/>
        </w:rPr>
        <w:t>2</w:t>
      </w:r>
      <w:r>
        <w:t>O</w:t>
      </w:r>
      <w:r>
        <w:rPr>
          <w:vertAlign w:val="subscript"/>
        </w:rPr>
        <w:t>4</w:t>
      </w:r>
      <w:r>
        <w:t>. Mechanistic studies indicate that the Mott–Schottky heterojunction significantly promotes the co‐adsorption of H</w:t>
      </w:r>
      <w:r>
        <w:rPr>
          <w:vertAlign w:val="subscript"/>
        </w:rPr>
        <w:t>2</w:t>
      </w:r>
      <w:r>
        <w:t>C</w:t>
      </w:r>
      <w:r>
        <w:rPr>
          <w:vertAlign w:val="subscript"/>
        </w:rPr>
        <w:t>2</w:t>
      </w:r>
      <w:r>
        <w:t>O</w:t>
      </w:r>
      <w:r>
        <w:rPr>
          <w:vertAlign w:val="subscript"/>
        </w:rPr>
        <w:t>4</w:t>
      </w:r>
      <w:r>
        <w:t>and NH</w:t>
      </w:r>
      <w:r>
        <w:rPr>
          <w:vertAlign w:val="subscript"/>
        </w:rPr>
        <w:t>2</w:t>
      </w:r>
      <w:r>
        <w:t>OH, while oxygen vacancies facilitate the hydrogenation of oxime intermediates to glycine. This study highlights the profound synergistic interplay between Mott–Schottky heterojunctions and oxygen vacancy defects in precisely modulating active sites and accelerating reaction kinetics, thereby offering a sustainable strategy for the green electrosynthesis of amino acids.</w:t>
      </w:r>
    </w:p>
    <w:p>
      <w:pPr>
        <w:spacing w:before="120" w:after="120"/>
      </w:pPr>
      <w:r>
        <w:rPr>
          <w:sz w:val="18"/>
        </w:rPr>
        <w:t>——————————————————————————————————————————————————————————————————————</w:t>
      </w:r>
    </w:p>
    <w:p>
      <w:pPr>
        <w:spacing w:before="160" w:after="40" w:line="240" w:lineRule="auto"/>
      </w:pPr>
      <w:r>
        <w:rPr>
          <w:b/>
        </w:rPr>
        <w:t xml:space="preserve">[72] </w:t>
      </w:r>
      <w:hyperlink r:id="rId289">
        <w:r>
          <w:rPr>
            <w:color w:val="1155CC"/>
            <w:u w:val="single"/>
          </w:rPr>
          <w:t>镍催化的非活化环状电亲核试剂的不对称芳基化：3-取代吡咯烷的不对称合成</w:t>
        </w:r>
      </w:hyperlink>
    </w:p>
    <w:p>
      <w:pPr>
        <w:spacing w:before="0" w:after="80"/>
      </w:pPr>
      <w:r>
        <w:rPr>
          <w:i/>
          <w:sz w:val="20"/>
        </w:rPr>
        <w:t>EN: Nickel‐Catalyzed Enantioconvergent Arylation of Unactivated Cyclic Electrophiles: Asymmetric Synthesis of 3‐Substituted Pyrrolidines</w:t>
      </w:r>
    </w:p>
    <w:p>
      <w:pPr>
        <w:spacing w:before="0" w:after="120"/>
      </w:pPr>
      <w:r>
        <w:rPr>
          <w:b/>
        </w:rPr>
        <w:t xml:space="preserve">Source: </w:t>
      </w:r>
      <w:r>
        <w:t>Wiley: Angewandte Chemie International Edition: Table of Contents</w:t>
      </w:r>
      <w:r>
        <w:t xml:space="preserve">    </w:t>
      </w:r>
      <w:r>
        <w:rPr>
          <w:b/>
        </w:rPr>
        <w:t xml:space="preserve">Pub date: </w:t>
      </w:r>
      <w:r>
        <w:t>2026-04-06 05:11:00+00:00</w:t>
      </w:r>
      <w:r>
        <w:t xml:space="preserve">    </w:t>
      </w:r>
      <w:r>
        <w:rPr>
          <w:b/>
        </w:rPr>
        <w:t xml:space="preserve">DOI: </w:t>
      </w:r>
      <w:hyperlink r:id="rId290">
        <w:r>
          <w:rPr>
            <w:color w:val="1155CC"/>
            <w:u w:val="single"/>
          </w:rPr>
          <w:t>10.1002/anie.2754161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非活化烷基电亲核试剂的对映收敛取代是手性催化中一个尚未解决的挑战，目前几乎所有进展都集中在非环状电亲核试剂上。将此类转化的范围扩展到环状电亲核试剂具有重要意义，因为含有立体中心的环状骨架在生物活性分子中很常见。非活化环状电亲核试剂中一个特别有吸引力的家族是 3‐卤代吡咯烷，因为在 Trikafta</w:t>
      </w:r>
      <w:r>
        <w:t xml:space="preserve"> </w:t>
      </w:r>
      <w:r>
        <w:t>TM</w:t>
      </w:r>
      <w:r>
        <w:t xml:space="preserve"> </w:t>
      </w:r>
      <w:r>
        <w:t>、Rinvoq</w:t>
      </w:r>
      <w:r>
        <w:t xml:space="preserve"> </w:t>
      </w:r>
      <w:r>
        <w:t>TM</w:t>
      </w:r>
      <w:r>
        <w:t xml:space="preserve"> </w:t>
      </w:r>
      <w:r>
        <w:t>和 Paxlovid</w:t>
      </w:r>
      <w:r>
        <w:t xml:space="preserve"> </w:t>
      </w:r>
      <w:r>
        <w:t>TM</w:t>
      </w:r>
      <w:r>
        <w:t xml:space="preserve"> </w:t>
      </w:r>
      <w:r>
        <w:t>（#4, #11, a）等药物中发现了手性 3‐取代吡咯烷亚基</w:t>
      </w:r>
    </w:p>
    <w:p>
      <w:pPr>
        <w:spacing w:before="0" w:after="200" w:lineRule="auto" w:line="276"/>
      </w:pPr>
      <w:r>
        <w:rPr>
          <w:b/>
        </w:rPr>
        <w:t xml:space="preserve">Abstract (EN): </w:t>
      </w:r>
      <w:r>
        <w:t>The enantioconvergent substitution of unactivated alkyl electrophiles by carbon nucleophiles is a largely unsolved challenge in asymmetric catalysis, with virtually all of the progress to date focused on acyclic electrophiles. Expanding the scope of such transformations to cyclic electrophiles is of significant interest, given that cyclic scaffolds that bear stereocenters are common in bioactive molecules. One particularly attractive family of unactivated cyclic electrophiles is 3‐halopyrrolidines, since a chiral 3‐substituted pyrrolidine subunit is found in drugs such as Trikafta</w:t>
      </w:r>
      <w:r>
        <w:t xml:space="preserve"> </w:t>
      </w:r>
      <w:r>
        <w:t>TM</w:t>
      </w:r>
      <w:r>
        <w:t xml:space="preserve"> </w:t>
      </w:r>
      <w:r>
        <w:t>, Rinvoq</w:t>
      </w:r>
      <w:r>
        <w:t xml:space="preserve"> </w:t>
      </w:r>
      <w:r>
        <w:t>TM</w:t>
      </w:r>
      <w:r>
        <w:t xml:space="preserve"> </w:t>
      </w:r>
      <w:r>
        <w:t>, and Paxlovid</w:t>
      </w:r>
      <w:r>
        <w:t xml:space="preserve"> </w:t>
      </w:r>
      <w:r>
        <w:t>TM</w:t>
      </w:r>
      <w:r>
        <w:t xml:space="preserve"> </w:t>
      </w:r>
      <w:r>
        <w:t>(#4, #11, and #13, respectively, among small‐molecule drugs in retail sales in 2024). In this study, we establish that a chiral nickel catalyst can achieve enantioconvergent substitutions of racemic 3‐iodopyrrolidines by arylzinc reagents to generate the desired coupling products with good enantioselectivity under mild conditions. We apply this new catalytic asymmetric method to the streamlined synthesis of three bioactive pyrrolidines that had previously been synthesized as racemates.</w:t>
      </w:r>
    </w:p>
    <w:p>
      <w:pPr>
        <w:spacing w:before="120" w:after="120"/>
      </w:pPr>
      <w:r>
        <w:rPr>
          <w:sz w:val="18"/>
        </w:rPr>
        <w:t>——————————————————————————————————————————————————————————————————————</w:t>
      </w:r>
    </w:p>
    <w:p>
      <w:pPr>
        <w:spacing w:before="160" w:after="40" w:line="240" w:lineRule="auto"/>
      </w:pPr>
      <w:r>
        <w:rPr>
          <w:b/>
        </w:rPr>
        <w:t xml:space="preserve">[73] </w:t>
      </w:r>
      <w:hyperlink r:id="rId291">
        <w:r>
          <w:rPr>
            <w:color w:val="1155CC"/>
            <w:u w:val="single"/>
          </w:rPr>
          <w:t>溶剂化介导的自由能稳定化通过最小化热耗散实现Li/CFx软包电池超过800 Wh kg−1</w:t>
        </w:r>
      </w:hyperlink>
    </w:p>
    <w:p>
      <w:pPr>
        <w:spacing w:before="0" w:after="80"/>
      </w:pPr>
      <w:r>
        <w:rPr>
          <w:i/>
          <w:sz w:val="20"/>
        </w:rPr>
        <w:t>EN: Solvation‐Mediated Free Energy Stabilization Enables Li/CFx Pouch Cells Over 800 Wh kg−1 via Minimizing Heat Dissipation</w:t>
      </w:r>
    </w:p>
    <w:p>
      <w:pPr>
        <w:spacing w:before="0" w:after="120"/>
      </w:pPr>
      <w:r>
        <w:rPr>
          <w:b/>
        </w:rPr>
        <w:t xml:space="preserve">Source: </w:t>
      </w:r>
      <w:r>
        <w:t>Wiley: Angewandte Chemie International Edition: Table of Contents</w:t>
      </w:r>
      <w:r>
        <w:t xml:space="preserve">    </w:t>
      </w:r>
      <w:r>
        <w:rPr>
          <w:b/>
        </w:rPr>
        <w:t xml:space="preserve">Pub date: </w:t>
      </w:r>
      <w:r>
        <w:t>2026-04-06 05:15:22+00:00</w:t>
      </w:r>
      <w:r>
        <w:t xml:space="preserve">    </w:t>
      </w:r>
      <w:r>
        <w:rPr>
          <w:b/>
        </w:rPr>
        <w:t xml:space="preserve">DOI: </w:t>
      </w:r>
      <w:hyperlink r:id="rId292">
        <w:r>
          <w:rPr>
            <w:color w:val="1155CC"/>
            <w:u w:val="single"/>
          </w:rPr>
          <w:t>10.1002/anie.9016586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最大化电化学能量转换效率需要最小化寄生热释放。Li/CF</w:t>
      </w:r>
      <w:r>
        <w:t xml:space="preserve"> </w:t>
      </w:r>
      <w:r>
        <w:t>x</w:t>
      </w:r>
      <w:r>
        <w:t xml:space="preserve"> </w:t>
      </w:r>
      <w:r>
        <w:t>电池尽管具有高理论能量密度（&gt;2100 Wh kg</w:t>
      </w:r>
      <w:r>
        <w:t xml:space="preserve"> </w:t>
      </w:r>
      <w:r>
        <w:t>−1</w:t>
      </w:r>
      <w:r>
        <w:t xml:space="preserve"> </w:t>
      </w:r>
      <w:r>
        <w:t>），但由于严重的电压损失和热积累而影响性能和安全性。在此，我们发现亚稳态中间相 (C[F</w:t>
      </w:r>
      <w:r>
        <w:t xml:space="preserve"> </w:t>
      </w:r>
      <w:r>
        <w:t>–</w:t>
      </w:r>
      <w:r>
        <w:t xml:space="preserve"> </w:t>
      </w:r>
      <w:r>
        <w:t>·Li</w:t>
      </w:r>
      <w:r>
        <w:t xml:space="preserve"> </w:t>
      </w:r>
      <w:r>
        <w:t>+</w:t>
      </w:r>
      <w:r>
        <w:t xml:space="preserve"> </w:t>
      </w:r>
      <w:r>
        <w:t>·Sol</w:t>
      </w:r>
      <w:r>
        <w:t xml:space="preserve"> </w:t>
      </w:r>
      <w:r>
        <w:t>n</w:t>
      </w:r>
      <w:r>
        <w:t xml:space="preserve"> </w:t>
      </w:r>
      <w:r>
        <w:t>]) 的寄生分解构成了主要的能量损失途径，将化学能以热而非电的形式耗散。通过引入溶剂化介导的吉布斯自由能</w:t>
      </w:r>
    </w:p>
    <w:p>
      <w:pPr>
        <w:spacing w:before="0" w:after="200" w:lineRule="auto" w:line="276"/>
      </w:pPr>
      <w:r>
        <w:rPr>
          <w:b/>
        </w:rPr>
        <w:t xml:space="preserve">Abstract (EN): </w:t>
      </w:r>
      <w:r>
        <w:t>Maximizing electrochemical energy conversion efficiency requires minimizing parasitic heat release. Li/CF</w:t>
      </w:r>
      <w:r>
        <w:t xml:space="preserve"> </w:t>
      </w:r>
      <w:r>
        <w:t>x</w:t>
      </w:r>
      <w:r>
        <w:t xml:space="preserve"> </w:t>
      </w:r>
      <w:r>
        <w:t>batteries, despite their high theoretical energy density (&amp;gt;2100 Wh kg</w:t>
      </w:r>
      <w:r>
        <w:t xml:space="preserve"> </w:t>
      </w:r>
      <w:r>
        <w:t>−1</w:t>
      </w:r>
      <w:r>
        <w:t xml:space="preserve"> </w:t>
      </w:r>
      <w:r>
        <w:t>), suffer from severe voltage loss and thermal accumulation that compromise both performance and safety. Here, we identify that parasitic decomposition of a metastable intermediate phase (C[F</w:t>
      </w:r>
      <w:r>
        <w:t xml:space="preserve"> </w:t>
      </w:r>
      <w:r>
        <w:t>–</w:t>
      </w:r>
      <w:r>
        <w:t xml:space="preserve"> </w:t>
      </w:r>
      <w:r>
        <w:t>·Li</w:t>
      </w:r>
      <w:r>
        <w:t xml:space="preserve"> </w:t>
      </w:r>
      <w:r>
        <w:t>+</w:t>
      </w:r>
      <w:r>
        <w:t xml:space="preserve"> </w:t>
      </w:r>
      <w:r>
        <w:t>·Sol</w:t>
      </w:r>
      <w:r>
        <w:t xml:space="preserve"> </w:t>
      </w:r>
      <w:r>
        <w:t>n</w:t>
      </w:r>
      <w:r>
        <w:t xml:space="preserve"> </w:t>
      </w:r>
      <w:r>
        <w:t>]) constitutes the primary energy loss pathway that dissipates chemical energy as heat instead of electricity. By introducing a solvation‐mediated Gibbs free energy stabilization strategy via strengthening the Li</w:t>
      </w:r>
      <w:r>
        <w:t xml:space="preserve"> </w:t>
      </w:r>
      <w:r>
        <w:t>+</w:t>
      </w:r>
      <w:r>
        <w:t xml:space="preserve"> </w:t>
      </w:r>
      <w:r>
        <w:t>–solvent interaction, we delay the premature decomposition of C[F</w:t>
      </w:r>
      <w:r>
        <w:t xml:space="preserve"> </w:t>
      </w:r>
      <w:r>
        <w:t>–</w:t>
      </w:r>
      <w:r>
        <w:t xml:space="preserve"> </w:t>
      </w:r>
      <w:r>
        <w:t>·Li</w:t>
      </w:r>
      <w:r>
        <w:t xml:space="preserve"> </w:t>
      </w:r>
      <w:r>
        <w:t>+</w:t>
      </w:r>
      <w:r>
        <w:t xml:space="preserve"> </w:t>
      </w:r>
      <w:r>
        <w:t>·Sol</w:t>
      </w:r>
      <w:r>
        <w:t xml:space="preserve"> </w:t>
      </w:r>
      <w:r>
        <w:t>n</w:t>
      </w:r>
      <w:r>
        <w:t xml:space="preserve"> </w:t>
      </w:r>
      <w:r>
        <w:t>] intermediate and promote the conversion of chemical energy to electrical output. This approach reduces heat generation by 39.6% and elevates the discharge voltage from 2.50–2.92 V. Practical multi‐ampere‐hour pouch cells (6–20 Ah) achieve stable discharge plateaus near 2.90 V and record cell‐level energy densities of 816–830 Wh kg</w:t>
      </w:r>
      <w:r>
        <w:t xml:space="preserve"> </w:t>
      </w:r>
      <w:r>
        <w:t>−</w:t>
      </w:r>
      <w:r>
        <w:rPr>
          <w:vertAlign w:val="subscript"/>
        </w:rPr>
        <w:t>1</w:t>
      </w:r>
      <w:r>
        <w:t>. This work establishes a thermodynamic paradigm of solvation‐mediated free‐energy tuning for high‐energy‐density Li/CF</w:t>
      </w:r>
      <w:r>
        <w:t xml:space="preserve"> </w:t>
      </w:r>
      <w:r>
        <w:t>x</w:t>
      </w:r>
      <w:r>
        <w:t xml:space="preserve"> </w:t>
      </w:r>
      <w:r>
        <w:t>battery technologies.</w:t>
      </w:r>
    </w:p>
    <w:p>
      <w:pPr>
        <w:spacing w:before="120" w:after="120"/>
      </w:pPr>
      <w:r>
        <w:rPr>
          <w:sz w:val="18"/>
        </w:rPr>
        <w:t>——————————————————————————————————————————————————————————————————————</w:t>
      </w:r>
    </w:p>
    <w:p>
      <w:pPr>
        <w:spacing w:before="160" w:after="40" w:line="240" w:lineRule="auto"/>
      </w:pPr>
      <w:r>
        <w:rPr>
          <w:b/>
        </w:rPr>
        <w:t xml:space="preserve">[74] </w:t>
      </w:r>
      <w:hyperlink r:id="rId293">
        <w:r>
          <w:rPr>
            <w:color w:val="1155CC"/>
            <w:u w:val="single"/>
          </w:rPr>
          <w:t>在半导体镧系金属有机框架中等孔调控电导和磁性</w:t>
        </w:r>
      </w:hyperlink>
    </w:p>
    <w:p>
      <w:pPr>
        <w:spacing w:before="0" w:after="80"/>
      </w:pPr>
      <w:r>
        <w:rPr>
          <w:i/>
          <w:sz w:val="20"/>
        </w:rPr>
        <w:t>EN: Isoreticular Modulation of Electrical Conduction and Magnetic Properties in Semiconducting Lanthanide‐based Based Metal−Organic Frameworks</w:t>
      </w:r>
    </w:p>
    <w:p>
      <w:pPr>
        <w:spacing w:before="0" w:after="120"/>
      </w:pPr>
      <w:r>
        <w:rPr>
          <w:b/>
        </w:rPr>
        <w:t xml:space="preserve">Source: </w:t>
      </w:r>
      <w:r>
        <w:t>Wiley: Angewandte Chemie International Edition: Table of Contents</w:t>
      </w:r>
      <w:r>
        <w:t xml:space="preserve">    </w:t>
      </w:r>
      <w:r>
        <w:rPr>
          <w:b/>
        </w:rPr>
        <w:t xml:space="preserve">Pub date: </w:t>
      </w:r>
      <w:r>
        <w:t>2026-04-06 05:53:31+00:00</w:t>
      </w:r>
      <w:r>
        <w:t xml:space="preserve">    </w:t>
      </w:r>
      <w:r>
        <w:rPr>
          <w:b/>
        </w:rPr>
        <w:t xml:space="preserve">DOI: </w:t>
      </w:r>
      <w:hyperlink r:id="rId294">
        <w:r>
          <w:rPr>
            <w:color w:val="1155CC"/>
            <w:u w:val="single"/>
          </w:rPr>
          <w:t>10.1002/anie.8403106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在单一材料中集成可调磁性和电导率为自旋电子学应用和量子信息处理提供了重要机遇。本文首次系统研究了四种新型同构电导金属有机框架（cMOFs）的电导和磁性，Ln-HHTP（Ln = Sm, Eu, Gd, Tb），这些框架是使用镧系离子和六羟基三苯并苯（HHTP）配体构建的。这些材料表现出可调的半导体特性，源于高效的层间电荷传输，可以通过金属中心的态密度进行调节。Ln-HHTP cMOFs表现出不同的磁性，磁相互作用变化。</w:t>
      </w:r>
    </w:p>
    <w:p>
      <w:pPr>
        <w:spacing w:before="0" w:after="200" w:lineRule="auto" w:line="276"/>
      </w:pPr>
      <w:r>
        <w:rPr>
          <w:b/>
        </w:rPr>
        <w:t xml:space="preserve">Abstract (EN): </w:t>
      </w:r>
      <w:r>
        <w:t>The integration of tunable magnetic properties and electrical conductivity within a single material presents significant opportunities for spintronic applications and quantum information processing. This paper describes the first systematic investigation of electrical conduction and magnetism in four novel isostructural electrically conductive metal−organic frameworks (cMOFs), Ln‐HHTP (Ln = Sm, Eu, Gd, Tb), constructed using lanthanide ions and hexahydroxytriphenylene (HHTP) ligands. These materials show tunable semiconducting properties arising from efficient interlayer charge transport, which can be modulated by the density of states of the metal centers. Ln‐HHTP cMOFs exhibit different magnetic properties, with magnetic interactions varying from antiferromagnetism in Tb‐HHTP to ferromagnetism in Gd‐HHTP and Sm‐HHTP. The magnetic properties in Ln‐HHTP are modulated by single‐ion anisotropies of Ln</w:t>
      </w:r>
      <w:r>
        <w:t xml:space="preserve"> </w:t>
      </w:r>
      <w:r>
        <w:t>3+</w:t>
      </w:r>
      <w:r>
        <w:t xml:space="preserve"> </w:t>
      </w:r>
      <w:r>
        <w:t>spins and inherent geometric frustration within the kagome lattice. Moreover, Gd‐HHTP and Tb‐HHTP demonstrate robust quantum tunneling of magnetization. This work advances the understanding of cMOF magnets and underscores their potential as tunable platforms for next‐generation spintronic and quantum technologies.</w:t>
      </w:r>
    </w:p>
    <w:p>
      <w:pPr>
        <w:spacing w:before="120" w:after="120"/>
      </w:pPr>
      <w:r>
        <w:rPr>
          <w:sz w:val="18"/>
        </w:rPr>
        <w:t>——————————————————————————————————————————————————————————————————————</w:t>
      </w:r>
    </w:p>
    <w:p>
      <w:pPr>
        <w:spacing w:before="160" w:after="40" w:line="240" w:lineRule="auto"/>
      </w:pPr>
      <w:r>
        <w:rPr>
          <w:b/>
        </w:rPr>
        <w:t xml:space="preserve">[75] </w:t>
      </w:r>
      <w:hyperlink r:id="rId295">
        <w:r>
          <w:rPr>
            <w:color w:val="1155CC"/>
            <w:u w:val="single"/>
          </w:rPr>
          <w:t>真菌病毒赋予植物病原真菌低毒性但增强抗真菌挥发性有机化合物的产生</w:t>
        </w:r>
      </w:hyperlink>
    </w:p>
    <w:p>
      <w:pPr>
        <w:spacing w:before="0" w:after="80"/>
      </w:pPr>
      <w:r>
        <w:rPr>
          <w:i/>
          <w:sz w:val="20"/>
        </w:rPr>
        <w:t>EN: Mycoviruses confer hypovirulence but enhance antifungal volatile organic compound production in a phytopathogenic fungus</w:t>
      </w:r>
    </w:p>
    <w:p>
      <w:pPr>
        <w:spacing w:before="0" w:after="120"/>
      </w:pPr>
      <w:r>
        <w:rPr>
          <w:b/>
        </w:rPr>
        <w:t xml:space="preserve">Source: </w:t>
      </w:r>
      <w:r>
        <w:t>Proceedings of the National Academy of Sciences: Keyword search for query</w:t>
      </w:r>
      <w:r>
        <w:t xml:space="preserve">    </w:t>
      </w:r>
      <w:r>
        <w:rPr>
          <w:b/>
        </w:rPr>
        <w:t xml:space="preserve">Pub date: </w:t>
      </w:r>
      <w:r>
        <w:t>2026-04-06 07:00:00+00:00</w:t>
      </w:r>
      <w:r>
        <w:t xml:space="preserve">    </w:t>
      </w:r>
      <w:r>
        <w:rPr>
          <w:b/>
        </w:rPr>
        <w:t xml:space="preserve">DOI: </w:t>
      </w:r>
      <w:hyperlink r:id="rId296">
        <w:r>
          <w:rPr>
            <w:color w:val="1155CC"/>
            <w:u w:val="single"/>
          </w:rPr>
          <w:t>10.1073/pnas.2526822123</w:t>
        </w:r>
      </w:hyperlink>
    </w:p>
    <w:p>
      <w:pPr>
        <w:spacing w:before="0" w:after="120"/>
      </w:pPr>
      <w:r>
        <w:rPr>
          <w:b/>
        </w:rPr>
        <w:t xml:space="preserve">Notes: </w:t>
      </w:r>
      <w:r>
        <w:t>abstract_source=crossref</w:t>
      </w:r>
    </w:p>
    <w:p>
      <w:pPr>
        <w:spacing w:before="0" w:after="80" w:lineRule="auto" w:line="276"/>
      </w:pPr>
      <w:r>
        <w:rPr>
          <w:b/>
        </w:rPr>
        <w:t xml:space="preserve">摘要（ZH）: </w:t>
      </w:r>
      <w:r>
        <w:t>尽管与低毒力相关的真菌病毒在自然界中经常被分离出来，但它们的生态适应性可能受到损害，其真菌宿主如何在自然环境中生存仍然很大程度上未解。更多真菌病毒的发现为理解这些真菌病毒-宿主关系提供了机会。在此，我们描述了一种无衣壳的RNA病毒，Sclerotinia sclerotiorum ascoshuvirus 1（SsAShV1），其10.7-kb ssRNA基因组编码含有保守的蛋白酶结构域和RNA依赖的RNA聚合酶（RdRP）结构域的多聚蛋白。SsAShV1与感染动物的病毒具有结构相似性。SsAShV1及其系统发育相关的shu病毒形成了一个独特的进化谱系，促使提出建立Shuviridae科的建议。仅SsAShV1转染</w:t>
      </w:r>
    </w:p>
    <w:p>
      <w:pPr>
        <w:spacing w:before="0" w:after="200" w:lineRule="auto" w:line="276"/>
      </w:pPr>
      <w:r>
        <w:rPr>
          <w:b/>
        </w:rPr>
        <w:t xml:space="preserve">Abstract (EN): </w:t>
      </w:r>
      <w:r>
        <w:t>Hypovirulence-associated mycoviruses can be frequently isolated in nature despite their likely compromised ecological fitness, but how their fungal hosts survive in natural environments remains largely unresolved. The discovery of more mycoviruses provides opportunities to understand these mycovirus–host relationships. Here, we characterize a capsidless RNA virus, Sclerotinia sclerotiorum ascoshuvirus 1 (SsAShV1), with a 10.7-kb ssRNA genome encoding a polyprotein containing conserved protease domain and RNA-dependent RNA polymerase (RdRP) domain. SsAShV1 shares structural similarities with animal-infecting viruses. SsAShV1 and its phylogenetically related shuviruses form a distinct evolutionary lineage, prompting the proposal to establish the family Shuviridae. SsAShV1 transfection alone induces hypovirulence in two Sclerotiniaceae fungal pathogens, with its 3’-UTR repeat-containing structural region (RCSR) enhancing replication efficiency. In the hypovirulent strain SCH767, which harbors SsAShV1 and five other mycoviruses, we observed a synergistic enhancement of antifungal volatile organic compound (VOC) production that was dependent on the host genetic background. A VOC, 2-ethyl-1-hexanol, exhibited broad-spectrum antimicrobial activity. Our findings reveal an evolutionary trade-off where viral infection shifts the fungal survival strategy from high virulence to enhanced chemical competition, ensuring the persistence of the hypovirulent partnership, and offering valuable insights into the development of a combination of mycovirus-based and VOC-mediated biocontrol strategies.</w:t>
      </w:r>
    </w:p>
    <w:p>
      <w:pPr>
        <w:spacing w:before="120" w:after="120"/>
      </w:pPr>
      <w:r>
        <w:rPr>
          <w:sz w:val="18"/>
        </w:rPr>
        <w:t>——————————————————————————————————————————————————————————————————————</w:t>
      </w:r>
    </w:p>
    <w:p>
      <w:pPr>
        <w:spacing w:before="160" w:after="40" w:line="240" w:lineRule="auto"/>
      </w:pPr>
      <w:r>
        <w:rPr>
          <w:b/>
        </w:rPr>
        <w:t xml:space="preserve">[76] </w:t>
      </w:r>
      <w:hyperlink r:id="rId297">
        <w:r>
          <w:rPr>
            <w:color w:val="1155CC"/>
            <w:u w:val="single"/>
          </w:rPr>
          <w:t>一种利用熵优化从矩重建密度函数的群体智能方法</w:t>
        </w:r>
      </w:hyperlink>
    </w:p>
    <w:p>
      <w:pPr>
        <w:spacing w:before="0" w:after="80"/>
      </w:pPr>
      <w:r>
        <w:rPr>
          <w:i/>
          <w:sz w:val="20"/>
        </w:rPr>
        <w:t>EN: A swarm intelligence approach to density function reconstruction from moments using entropy optimization</w:t>
      </w:r>
    </w:p>
    <w:p>
      <w:pPr>
        <w:spacing w:before="0" w:after="120"/>
      </w:pPr>
      <w:r>
        <w:rPr>
          <w:b/>
        </w:rPr>
        <w:t xml:space="preserve">Source: </w:t>
      </w:r>
      <w:r>
        <w:t>Proceedings of the National Academy of Sciences: Keyword search for query</w:t>
      </w:r>
      <w:r>
        <w:t xml:space="preserve">    </w:t>
      </w:r>
      <w:r>
        <w:rPr>
          <w:b/>
        </w:rPr>
        <w:t xml:space="preserve">Pub date: </w:t>
      </w:r>
      <w:r>
        <w:t>2026-04-06 07:00:00+00:00</w:t>
      </w:r>
      <w:r>
        <w:t xml:space="preserve">    </w:t>
      </w:r>
      <w:r>
        <w:rPr>
          <w:b/>
        </w:rPr>
        <w:t xml:space="preserve">DOI: </w:t>
      </w:r>
      <w:hyperlink r:id="rId298">
        <w:r>
          <w:rPr>
            <w:color w:val="1155CC"/>
            <w:u w:val="single"/>
          </w:rPr>
          <w:t>10.1073/pnas.2523574123</w:t>
        </w:r>
      </w:hyperlink>
    </w:p>
    <w:p>
      <w:pPr>
        <w:spacing w:before="0" w:after="120"/>
      </w:pPr>
      <w:r>
        <w:rPr>
          <w:b/>
        </w:rPr>
        <w:t xml:space="preserve">Notes: </w:t>
      </w:r>
      <w:r>
        <w:t>abstract_source=crossref</w:t>
      </w:r>
    </w:p>
    <w:p>
      <w:pPr>
        <w:spacing w:before="0" w:after="80" w:lineRule="auto" w:line="276"/>
      </w:pPr>
      <w:r>
        <w:rPr>
          <w:b/>
        </w:rPr>
        <w:t xml:space="preserve">摘要（ZH）: </w:t>
      </w:r>
      <w:r>
        <w:t>本文提出了一种仿生优化方法来解决一类涉及熵优化（EOP）的逆问题，该问题基于分布函数矩的知识。特别是，我们研究了Hausdorff矩问题，其中需要通过反演分布在有界区间内的完全单调矩序列来重建（概率）密度分布。结果表明，使用群体（优化器）的集体智能可以非常高效地处理所得的EOP，通过有效整合多达一千个密度矩的信息，提供了一个稳健且准确的解决方案。该方法的有效性通过重建物流映射的不变密度函数、光谱</w:t>
      </w:r>
    </w:p>
    <w:p>
      <w:pPr>
        <w:spacing w:before="0" w:after="200" w:lineRule="auto" w:line="276"/>
      </w:pPr>
      <w:r>
        <w:rPr>
          <w:b/>
        </w:rPr>
        <w:t xml:space="preserve">Abstract (EN): </w:t>
      </w:r>
      <w:r>
        <w:t>This paper presents a bioinspired optimization approach to address a class of inverse problems involving entropy optimization (EOP) from knowledge of the moments of a distribution function. In particular, we study the Hausdorff moment problem, where one seeks to reconstruct a (probability) density distribution by inverting a completely monotonic sequence of moments of the distribution in a bounded interval. It is shown that the resulting EOP can be handled very efficiently using the collective intelligence of a swarm (of optimizers), which provides a robust and accurate solution by effectively incorporating information from up to a thousand moments of the density. The efficacy of the approach is demonstrated by reconstructing the invariant density functions for the logistics map, spectral densities of large real-symmetric random matrices, encountered in the study of physics of disordered solids, and financial time series involving daily price fluctuations of a mutual fund. The agreement between true densities and the corresponding maximum-entropy approximants is examined by comparing the Kullback–Leibler divergence and the Fisher information of the densities.</w:t>
      </w:r>
    </w:p>
    <w:p>
      <w:pPr>
        <w:spacing w:before="120" w:after="120"/>
      </w:pPr>
      <w:r>
        <w:rPr>
          <w:sz w:val="18"/>
        </w:rPr>
        <w:t>——————————————————————————————————————————————————————————————————————</w:t>
      </w:r>
    </w:p>
    <w:p>
      <w:pPr>
        <w:spacing w:before="160" w:after="40" w:line="240" w:lineRule="auto"/>
      </w:pPr>
      <w:r>
        <w:rPr>
          <w:b/>
        </w:rPr>
        <w:t xml:space="preserve">[77] </w:t>
      </w:r>
      <w:hyperlink r:id="rId299">
        <w:r>
          <w:rPr>
            <w:color w:val="1155CC"/>
            <w:u w:val="single"/>
          </w:rPr>
          <w:t>建立勇气、力量和知识：正念训练减少心理威胁并增加大学物理的参与度</w:t>
        </w:r>
      </w:hyperlink>
    </w:p>
    <w:p>
      <w:pPr>
        <w:spacing w:before="0" w:after="80"/>
      </w:pPr>
      <w:r>
        <w:rPr>
          <w:i/>
          <w:sz w:val="20"/>
        </w:rPr>
        <w:t>EN: Building courage, strength, and knowledge: Mindfulness training reduces psychological threat and increases engagement in college physics</w:t>
      </w:r>
    </w:p>
    <w:p>
      <w:pPr>
        <w:spacing w:before="0" w:after="120"/>
      </w:pPr>
      <w:r>
        <w:rPr>
          <w:b/>
        </w:rPr>
        <w:t xml:space="preserve">Source: </w:t>
      </w:r>
      <w:r>
        <w:t>Proceedings of the National Academy of Sciences: Keyword search for query</w:t>
      </w:r>
      <w:r>
        <w:t xml:space="preserve">    </w:t>
      </w:r>
      <w:r>
        <w:rPr>
          <w:b/>
        </w:rPr>
        <w:t xml:space="preserve">Pub date: </w:t>
      </w:r>
      <w:r>
        <w:t>2026-04-06 07:00:00+00:00</w:t>
      </w:r>
      <w:r>
        <w:t xml:space="preserve">    </w:t>
      </w:r>
      <w:r>
        <w:rPr>
          <w:b/>
        </w:rPr>
        <w:t xml:space="preserve">DOI: </w:t>
      </w:r>
      <w:hyperlink r:id="rId300">
        <w:r>
          <w:rPr>
            <w:color w:val="1155CC"/>
            <w:u w:val="single"/>
          </w:rPr>
          <w:t>10.1073/pnas.2521857123</w:t>
        </w:r>
      </w:hyperlink>
    </w:p>
    <w:p>
      <w:pPr>
        <w:spacing w:before="0" w:after="120"/>
      </w:pPr>
      <w:r>
        <w:rPr>
          <w:b/>
        </w:rPr>
        <w:t xml:space="preserve">Notes: </w:t>
      </w:r>
      <w:r>
        <w:t>abstract_source=crossref</w:t>
      </w:r>
    </w:p>
    <w:p>
      <w:pPr>
        <w:spacing w:before="0" w:after="80" w:lineRule="auto" w:line="276"/>
      </w:pPr>
      <w:r>
        <w:rPr>
          <w:b/>
        </w:rPr>
        <w:t xml:space="preserve">摘要（ZH）: </w:t>
      </w:r>
      <w:r>
        <w:t>许多大学生在学习基础物理时感到心理威胁。在一个预注册的RCT中，我们应用挑战-威胁的生物心理社会模型来描述基础物理中的威胁模式，并测试5天的正念训练是否可以减少威胁并增加本科生的参与度。全课程调查（N = 954）筛选了RCT的学生，结果显示大约一半的学生经历了心理威胁。被系统性排除的群体的学生更可能经历心理威胁，而系统性优势群体的学生更可能在基础物理课程中经历心理挑战。在RCT中（N = 149），正念训练减少了心理威胁并促进了更大的参与</w:t>
      </w:r>
    </w:p>
    <w:p>
      <w:pPr>
        <w:spacing w:before="0" w:after="200" w:lineRule="auto" w:line="276"/>
      </w:pPr>
      <w:r>
        <w:rPr>
          <w:b/>
        </w:rPr>
        <w:t xml:space="preserve">Abstract (EN): </w:t>
      </w:r>
      <w:r>
        <w:t>Many college students experience introductory physics as psychologically threatening. In a preregistered RCT, we applied the biopsychosocial model of challenge-threat to describe patterns of threat in introductory physics and test whether a 5-d mindfulness training could reduce threat and increase engagement among undergraduates. Course-wide surveys (N = 954) screened students for the RCT and revealed roughly half of students experience psychological threat. Students identified with systemically excluded groups were more likely to experience psychological threat while systemically advantaged students were more likely to experience psychological challenge in their introductory physics course. In the RCT (N = 149), mindfulness training reduced psychological threat and fostered greater engagement in introductory physics, and, consistent with our theory of change, mindfulness training was associated with greater physics engagement through reductions in threat. The results demonstrate that mindfulness can help students manage stress more effectively by reducing psychological threat and fostering engagement in contexts like introductory physics.</w:t>
      </w:r>
    </w:p>
    <w:p>
      <w:pPr>
        <w:spacing w:before="120" w:after="120"/>
      </w:pPr>
      <w:r>
        <w:rPr>
          <w:sz w:val="18"/>
        </w:rPr>
        <w:t>——————————————————————————————————————————————————————————————————————</w:t>
      </w:r>
    </w:p>
    <w:p>
      <w:pPr>
        <w:spacing w:before="160" w:after="40" w:line="240" w:lineRule="auto"/>
      </w:pPr>
      <w:r>
        <w:rPr>
          <w:b/>
        </w:rPr>
        <w:t xml:space="preserve">[78] </w:t>
      </w:r>
      <w:hyperlink r:id="rId301">
        <w:r>
          <w:rPr>
            <w:color w:val="1155CC"/>
            <w:u w:val="single"/>
          </w:rPr>
          <w:t>表演性规划在野火计划和社区需求之间造成价值不匹配</w:t>
        </w:r>
      </w:hyperlink>
    </w:p>
    <w:p>
      <w:pPr>
        <w:spacing w:before="0" w:after="80"/>
      </w:pPr>
      <w:r>
        <w:rPr>
          <w:i/>
          <w:sz w:val="20"/>
        </w:rPr>
        <w:t>EN: Performative planning creates a values mismatch between wildfire plans and community needs</w:t>
      </w:r>
    </w:p>
    <w:p>
      <w:pPr>
        <w:spacing w:before="0" w:after="120"/>
      </w:pPr>
      <w:r>
        <w:rPr>
          <w:b/>
        </w:rPr>
        <w:t xml:space="preserve">Source: </w:t>
      </w:r>
      <w:r>
        <w:t>Proceedings of the National Academy of Sciences: Keyword search for query</w:t>
      </w:r>
      <w:r>
        <w:t xml:space="preserve">    </w:t>
      </w:r>
      <w:r>
        <w:rPr>
          <w:b/>
        </w:rPr>
        <w:t xml:space="preserve">Pub date: </w:t>
      </w:r>
      <w:r>
        <w:t>2026-04-06 07:00:00+00:00</w:t>
      </w:r>
      <w:r>
        <w:t xml:space="preserve">    </w:t>
      </w:r>
      <w:r>
        <w:rPr>
          <w:b/>
        </w:rPr>
        <w:t xml:space="preserve">DOI: </w:t>
      </w:r>
      <w:hyperlink r:id="rId302">
        <w:r>
          <w:rPr>
            <w:color w:val="1155CC"/>
            <w:u w:val="single"/>
          </w:rPr>
          <w:t>10.1073/pnas.2521536123</w:t>
        </w:r>
      </w:hyperlink>
    </w:p>
    <w:p>
      <w:pPr>
        <w:spacing w:before="0" w:after="120"/>
      </w:pPr>
      <w:r>
        <w:rPr>
          <w:b/>
        </w:rPr>
        <w:t xml:space="preserve">Notes: </w:t>
      </w:r>
      <w:r>
        <w:t>abstract_source=crossref</w:t>
      </w:r>
    </w:p>
    <w:p>
      <w:pPr>
        <w:spacing w:before="0" w:after="80" w:lineRule="auto" w:line="276"/>
      </w:pPr>
      <w:r>
        <w:rPr>
          <w:b/>
        </w:rPr>
        <w:t xml:space="preserve">摘要（ZH）: </w:t>
      </w:r>
      <w:r>
        <w:t>为了减轻野火的潜在影响，美国各地的社区正在参与协作的野火风险缓解规划。规划涉及确定一组目标，制定实现这些目标的管理策略，并将目标和策略编写成文档。计划的目标和策略由价值观——计划作者和社区希望保护或增强的事物——所决定。识别和评估这些价值观可以洞察计划是否满足当地野火风险和脆弱性的需求，是否结合了国家政策的最佳实践，或仅仅反映了更广泛的文化趋势。本文通过社区野火保护计划（CWPPs）的案例探讨了这些紧张关系，这些计划是地方（社区</w:t>
      </w:r>
    </w:p>
    <w:p>
      <w:pPr>
        <w:spacing w:before="0" w:after="200" w:lineRule="auto" w:line="276"/>
      </w:pPr>
      <w:r>
        <w:rPr>
          <w:b/>
        </w:rPr>
        <w:t xml:space="preserve">Abstract (EN): </w:t>
      </w:r>
      <w:r>
        <w:t>To mitigate the potential impacts of wildfire, communities across the United States are engaging in collaborative wildfire risk mitigation planning. Planning involves identifying a set of goals, developing management strategies to achieve those goals, and codifying the goals and strategies in a written document. A plan’s goals and strategies are informed by values—the things plan authors and communities want to protect or enhance. Identifying and evaluating these values can give insight into whether a plan is meeting the needs of local wildfire risk and vulnerability, incorporating best practice from national policies, or simply reflecting broader cultural trends. This paper explores these tensions using the case of Community Wildfire Protection Plans (CWPPs), which are local (neighborhood to multicounty) plans developed collaboratively by diverse wildfire-related stakeholders. Drawing on a combination of manual coding and computational text analysis, we first characterize the values to be protected in 2268 CWPPs from across the United States. We then evaluate what shapes the values articulated in individual CWPPs, exploring the degree to which values reflect local wildfire risk and socioeconomic vulnerability, updates in policy guidance from US federal agencies, and/or broader cultural trends. This paper makes three primary contributions: 1) mapping local wildfire values at the national scale; 2) understanding tensions in environmental governance in a multilevel federalist system; and 3) advancing values as an important metric for evaluating the quality of management plans.</w:t>
      </w:r>
    </w:p>
    <w:p>
      <w:pPr>
        <w:spacing w:before="120" w:after="120"/>
      </w:pPr>
      <w:r>
        <w:rPr>
          <w:sz w:val="18"/>
        </w:rPr>
        <w:t>——————————————————————————————————————————————————————————————————————</w:t>
      </w:r>
    </w:p>
    <w:p>
      <w:pPr>
        <w:spacing w:before="160" w:after="40" w:line="240" w:lineRule="auto"/>
      </w:pPr>
      <w:r>
        <w:rPr>
          <w:b/>
        </w:rPr>
        <w:t xml:space="preserve">[79] </w:t>
      </w:r>
      <w:hyperlink r:id="rId303">
        <w:r>
          <w:rPr>
            <w:color w:val="1155CC"/>
            <w:u w:val="single"/>
          </w:rPr>
          <w:t>卵母细胞启发的针对肿瘤异质性的通用全细胞疫苗</w:t>
        </w:r>
      </w:hyperlink>
    </w:p>
    <w:p>
      <w:pPr>
        <w:spacing w:before="0" w:after="80"/>
      </w:pPr>
      <w:r>
        <w:rPr>
          <w:i/>
          <w:sz w:val="20"/>
        </w:rPr>
        <w:t>EN: Oocyte-inspired universal whole-cell vaccines against tumor heterogeneity</w:t>
      </w:r>
    </w:p>
    <w:p>
      <w:pPr>
        <w:spacing w:before="0" w:after="120"/>
      </w:pPr>
      <w:r>
        <w:rPr>
          <w:b/>
        </w:rPr>
        <w:t xml:space="preserve">Source: </w:t>
      </w:r>
      <w:r>
        <w:t>Proceedings of the National Academy of Sciences: Keyword search for query</w:t>
      </w:r>
      <w:r>
        <w:t xml:space="preserve">    </w:t>
      </w:r>
      <w:r>
        <w:rPr>
          <w:b/>
        </w:rPr>
        <w:t xml:space="preserve">Pub date: </w:t>
      </w:r>
      <w:r>
        <w:t>2026-04-06 07:00:00+00:00</w:t>
      </w:r>
      <w:r>
        <w:t xml:space="preserve">    </w:t>
      </w:r>
      <w:r>
        <w:rPr>
          <w:b/>
        </w:rPr>
        <w:t xml:space="preserve">DOI: </w:t>
      </w:r>
      <w:hyperlink r:id="rId304">
        <w:r>
          <w:rPr>
            <w:color w:val="1155CC"/>
            <w:u w:val="single"/>
          </w:rPr>
          <w:t>10.1073/pnas.2520276123</w:t>
        </w:r>
      </w:hyperlink>
    </w:p>
    <w:p>
      <w:pPr>
        <w:spacing w:before="0" w:after="120"/>
      </w:pPr>
      <w:r>
        <w:rPr>
          <w:b/>
        </w:rPr>
        <w:t xml:space="preserve">Notes: </w:t>
      </w:r>
      <w:r>
        <w:t>abstract_source=crossref</w:t>
      </w:r>
    </w:p>
    <w:p>
      <w:pPr>
        <w:spacing w:before="0" w:after="80" w:lineRule="auto" w:line="276"/>
      </w:pPr>
      <w:r>
        <w:rPr>
          <w:b/>
        </w:rPr>
        <w:t xml:space="preserve">摘要（ZH）: </w:t>
      </w:r>
      <w:r>
        <w:t>肿瘤异质性由于环境压力驱动的独特且难以识别的免疫原性蛋白的表达，对肿瘤治疗构成了重大挑战。基于细胞的疫苗的广泛抗原谱，特别是其包含肿瘤特异性抗原，为异质性肿瘤的预防和治疗提供了巨大的希望。然而，疫苗制备过程中抗原的丢失和免疫激活不足仍然是其临床应用的关键挑战。受卵母细胞透明带结构（一种细胞外保护屏障）的启发，我们开发了具有可调机械性能的仿生全肿瘤细胞疫苗，能够保留全细胞免疫原性蛋白的完整谱系。仿生壳优化了细胞机械性能</w:t>
      </w:r>
    </w:p>
    <w:p>
      <w:pPr>
        <w:spacing w:before="0" w:after="200" w:lineRule="auto" w:line="276"/>
      </w:pPr>
      <w:r>
        <w:rPr>
          <w:b/>
        </w:rPr>
        <w:t xml:space="preserve">Abstract (EN): </w:t>
      </w:r>
      <w:r>
        <w:t>Tumor heterogeneity poses a major challenge to tumor therapy due to the expression of unique, poorly recognized immunogenic proteins driven by environmental stress. The broad antigenic repertoire of cell-based vaccines, particularly their inclusion of tumor-specific antigens, holds substantial promise for the prevention and treatment of heterogeneous tumors. However, antigen loss during vaccine preparation and insufficient immune activation remain critical challenges for their clinical application. Inspired by the zona pellucida structure of oocytes, an extracellular protective barrier, we developed biomimetic whole-tumor cell vaccines with tunable mechanical properties that preserve the complete repertoire of whole-cell immunogenic proteins. The biomimetic shells optimize cellular mechanics to facilitate phagocytosis and antigen processing, while the cryo-inactivation strategically disrupted intracellular architecture to enhance antigen presentation efficiency. The biomimetic vaccines effectively preserve patient-specific antigen profiles, thereby enabling the generation of tailored immune responses for individualized therapy. Building on the preserved whole-cell antigen pools, we further developed universal vaccines from heterogeneous tumor cells shaped under microenvironmental selective pressures. These vaccines exhibit poly-valent efficacy against tumor heterogeneity, offering considerable potential for both therapeutic and preventive application.</w:t>
      </w:r>
    </w:p>
    <w:p>
      <w:pPr>
        <w:spacing w:before="120" w:after="120"/>
      </w:pPr>
      <w:r>
        <w:rPr>
          <w:sz w:val="18"/>
        </w:rPr>
        <w:t>——————————————————————————————————————————————————————————————————————</w:t>
      </w:r>
    </w:p>
    <w:p>
      <w:pPr>
        <w:spacing w:before="160" w:after="40" w:line="240" w:lineRule="auto"/>
      </w:pPr>
      <w:r>
        <w:rPr>
          <w:b/>
        </w:rPr>
        <w:t xml:space="preserve">[80] </w:t>
      </w:r>
      <w:hyperlink r:id="rId305">
        <w:r>
          <w:rPr>
            <w:color w:val="1155CC"/>
            <w:u w:val="single"/>
          </w:rPr>
          <w:t>最后一次绿色到冰室气候过渡期间环南极环流的配置</w:t>
        </w:r>
      </w:hyperlink>
    </w:p>
    <w:p>
      <w:pPr>
        <w:spacing w:before="0" w:after="80"/>
      </w:pPr>
      <w:r>
        <w:rPr>
          <w:i/>
          <w:sz w:val="20"/>
        </w:rPr>
        <w:t>EN: Configuration of circum-Antarctic circulation at the last green- to icehouse climate transition</w:t>
      </w:r>
    </w:p>
    <w:p>
      <w:pPr>
        <w:spacing w:before="0" w:after="120"/>
      </w:pPr>
      <w:r>
        <w:rPr>
          <w:b/>
        </w:rPr>
        <w:t xml:space="preserve">Source: </w:t>
      </w:r>
      <w:r>
        <w:t>Proceedings of the National Academy of Sciences: Keyword search for query</w:t>
      </w:r>
      <w:r>
        <w:t xml:space="preserve">    </w:t>
      </w:r>
      <w:r>
        <w:rPr>
          <w:b/>
        </w:rPr>
        <w:t xml:space="preserve">Pub date: </w:t>
      </w:r>
      <w:r>
        <w:t>2026-04-06 07:00:00+00:00</w:t>
      </w:r>
      <w:r>
        <w:t xml:space="preserve">    </w:t>
      </w:r>
      <w:r>
        <w:rPr>
          <w:b/>
        </w:rPr>
        <w:t xml:space="preserve">DOI: </w:t>
      </w:r>
      <w:hyperlink r:id="rId306">
        <w:r>
          <w:rPr>
            <w:color w:val="1155CC"/>
            <w:u w:val="single"/>
          </w:rPr>
          <w:t>10.1073/pnas.2520064123</w:t>
        </w:r>
      </w:hyperlink>
    </w:p>
    <w:p>
      <w:pPr>
        <w:spacing w:before="0" w:after="120"/>
      </w:pPr>
      <w:r>
        <w:rPr>
          <w:b/>
        </w:rPr>
        <w:t xml:space="preserve">Notes: </w:t>
      </w:r>
      <w:r>
        <w:t>abstract_source=crossref</w:t>
      </w:r>
    </w:p>
    <w:p>
      <w:pPr>
        <w:spacing w:before="0" w:after="80" w:lineRule="auto" w:line="276"/>
      </w:pPr>
      <w:r>
        <w:rPr>
          <w:b/>
        </w:rPr>
        <w:t xml:space="preserve">摘要（ZH）: </w:t>
      </w:r>
      <w:r>
        <w:t>在始新世-渐新世过渡期（约34.4至33.7 Ma），主要的气候和构造变化启动了地球当前的冰室气候。板块运动加剧了山脉的形成，减少了大气中的CO2，并引发了全球降温。至关重要的是，塔斯曼海峡和德雷克海峡的开放启动了南极绕极流（ACC）的形成，这是当今地球上最强的洋流。然而，ACC在其形成初期的结构仍然知之甚少，限制了我们对当时全球环流模式和热量分布控制的理解。在此，我们提供数据验证</w:t>
      </w:r>
    </w:p>
    <w:p>
      <w:pPr>
        <w:spacing w:before="0" w:after="200" w:lineRule="auto" w:line="276"/>
      </w:pPr>
      <w:r>
        <w:rPr>
          <w:b/>
        </w:rPr>
        <w:t xml:space="preserve">Abstract (EN): </w:t>
      </w:r>
      <w:r>
        <w:t>During the Eocene–Oligocene Transition (</w:t>
      </w:r>
      <w:r>
        <w:t xml:space="preserve"> </w:t>
      </w:r>
      <w:r>
        <w:t>∼</w:t>
      </w:r>
      <w:r>
        <w:t xml:space="preserve"> </w:t>
      </w:r>
      <w:r>
        <w:t>34.4 to 33.7 Ma), major climatic and tectonic changes initiated Earth’s current icehouse climate. Plate motion intensified mountain building, reduced atmospheric CO</w:t>
      </w:r>
      <w:r>
        <w:rPr>
          <w:vertAlign w:val="subscript"/>
        </w:rPr>
        <w:t>2</w:t>
      </w:r>
      <w:r>
        <w:t>, and triggered global cooling. Crucially, the opening of the Tasman Gateway and Drake Passage initiated the formation of the Antarctic Circumpolar Current (ACC), today Earth’s strongest ocean current. However, the ACC’s initial structure during its onset remains poorly understood, limiting our understanding in controlling global circulation patterns and heat distribution at the time. Here, we present data-validated, high-resolution coupled climate–ice sheet simulations of the Early Oligocene Glacial Maximum (</w:t>
      </w:r>
      <w:r>
        <w:t xml:space="preserve"> </w:t>
      </w:r>
      <w:r>
        <w:t>∼</w:t>
      </w:r>
      <w:r>
        <w:t xml:space="preserve"> </w:t>
      </w:r>
      <w:r>
        <w:t>33.7 to 33.2 Ma), showing that early ocean–atmosphere circulation around Antarctica was closely tied to Southern Ocean gateway geometry and the presence of the early Antarctic Ice Sheet. Unlike today, however, these gateways were not aligned with the westerly wind belt, hence limiting ACC development and promoting strong Antarctic amplification. We conclude that orogenesis, CO</w:t>
      </w:r>
      <w:r>
        <w:rPr>
          <w:vertAlign w:val="subscript"/>
        </w:rPr>
        <w:t>2</w:t>
      </w:r>
      <w:r>
        <w:t>drawdown, and Southern Hemisphere gateway opening alone were insufficient to establish a strong ACC</w:t>
      </w:r>
      <w:r>
        <w:t xml:space="preserve"> </w:t>
      </w:r>
      <w:r>
        <w:t>∼</w:t>
      </w:r>
      <w:r>
        <w:t xml:space="preserve"> </w:t>
      </w:r>
      <w:r>
        <w:t>34 Ma. Only the later alignment of westerly winds with open oceanic gateways enabled the enhancement of interhemispheric overturning circulation, promoted carbon uptake, and the long-term stabilization of Earth’s icehouse climate.</w:t>
      </w:r>
    </w:p>
    <w:p>
      <w:pPr>
        <w:spacing w:before="120" w:after="120"/>
      </w:pPr>
      <w:r>
        <w:rPr>
          <w:sz w:val="18"/>
        </w:rPr>
        <w:t>——————————————————————————————————————————————————————————————————————</w:t>
      </w:r>
    </w:p>
    <w:p>
      <w:pPr>
        <w:spacing w:before="160" w:after="40" w:line="240" w:lineRule="auto"/>
      </w:pPr>
      <w:r>
        <w:rPr>
          <w:b/>
        </w:rPr>
        <w:t xml:space="preserve">[81] </w:t>
      </w:r>
      <w:hyperlink r:id="rId307">
        <w:r>
          <w:rPr>
            <w:color w:val="1155CC"/>
            <w:u w:val="single"/>
          </w:rPr>
          <w:t>生殖专业化的适应性成本与生物体大小成反比</w:t>
        </w:r>
      </w:hyperlink>
    </w:p>
    <w:p>
      <w:pPr>
        <w:spacing w:before="0" w:after="80"/>
      </w:pPr>
      <w:r>
        <w:rPr>
          <w:i/>
          <w:sz w:val="20"/>
        </w:rPr>
        <w:t>EN: The fitness costs of reproductive specialization scale inversely with organismal size</w:t>
      </w:r>
    </w:p>
    <w:p>
      <w:pPr>
        <w:spacing w:before="0" w:after="120"/>
      </w:pPr>
      <w:r>
        <w:rPr>
          <w:b/>
        </w:rPr>
        <w:t xml:space="preserve">Source: </w:t>
      </w:r>
      <w:r>
        <w:t>Proceedings of the National Academy of Sciences: Keyword search for query</w:t>
      </w:r>
      <w:r>
        <w:t xml:space="preserve">    </w:t>
      </w:r>
      <w:r>
        <w:rPr>
          <w:b/>
        </w:rPr>
        <w:t xml:space="preserve">Pub date: </w:t>
      </w:r>
      <w:r>
        <w:t>2026-04-06 07:00:00+00:00</w:t>
      </w:r>
      <w:r>
        <w:t xml:space="preserve">    </w:t>
      </w:r>
      <w:r>
        <w:rPr>
          <w:b/>
        </w:rPr>
        <w:t xml:space="preserve">DOI: </w:t>
      </w:r>
      <w:hyperlink r:id="rId308">
        <w:r>
          <w:rPr>
            <w:color w:val="1155CC"/>
            <w:u w:val="single"/>
          </w:rPr>
          <w:t>10.1073/pnas.2536055123</w:t>
        </w:r>
      </w:hyperlink>
    </w:p>
    <w:p>
      <w:pPr>
        <w:spacing w:before="0" w:after="120"/>
      </w:pPr>
      <w:r>
        <w:rPr>
          <w:b/>
        </w:rPr>
        <w:t xml:space="preserve">Notes: </w:t>
      </w:r>
      <w:r>
        <w:t>abstract_source=crossref</w:t>
      </w:r>
    </w:p>
    <w:p>
      <w:pPr>
        <w:spacing w:before="0" w:after="80" w:lineRule="auto" w:line="276"/>
      </w:pPr>
      <w:r>
        <w:rPr>
          <w:b/>
        </w:rPr>
        <w:t xml:space="preserve">摘要（ZH）: </w:t>
      </w:r>
      <w:r>
        <w:t>生殖专业化的演化，即体细胞放弃生殖，代表了复杂多细胞生命中的一项基本创新。这种专业化带来了适应性成本：由于体细胞不产生后代，投资于体细胞的生物体的繁殖力降低。可以预期，这种成本的大小仅仅取决于分配给体细胞的细胞比例。在此，我们展示了这些成本也随着生物体大小的对数而减少，因为较大的生物体在发育过程中需要相对更多的细胞分裂，从而稀释了跨多细胞世代累积的生殖成本的速度。我们通过分析推导出这一结果，并用来自沃尔沃克绿藻的数据验证。当体细胞提供补偿</w:t>
      </w:r>
    </w:p>
    <w:p>
      <w:pPr>
        <w:spacing w:before="0" w:after="200" w:lineRule="auto" w:line="276"/>
      </w:pPr>
      <w:r>
        <w:rPr>
          <w:b/>
        </w:rPr>
        <w:t xml:space="preserve">Abstract (EN): </w:t>
      </w:r>
      <w:r>
        <w:t>The evolution of reproductive specialization, in which somatic cells forfeit reproduction, represents a fundamental innovation in complex multicellular life. This specialization imposes a fitness cost: because somatic cells do not produce offspring, organisms that invest in soma have reduced fecundity. The magnitude of this cost might be expected to depend simply on the proportion of cells allocated to soma. Here, we show that these costs also decrease with the logarithm of organism size, because larger organisms require proportionally more cell divisions for development, diluting the rate at which reproductive costs compound across multicellular generations. We derive this result analytically and validate it with data from the volvocine green algae. When somatic cells provide a compensating survival benefit, a positive feedback emerges: larger organisms can afford greater somatic investment, which in turn favors further size increases. This size-scaling relationship helps explain the broad association between large organism size and multicellular complexity.</w:t>
      </w:r>
    </w:p>
    <w:p>
      <w:pPr>
        <w:spacing w:before="120" w:after="120"/>
      </w:pPr>
      <w:r>
        <w:rPr>
          <w:sz w:val="18"/>
        </w:rPr>
        <w:t>——————————————————————————————————————————————————————————————————————</w:t>
      </w:r>
    </w:p>
    <w:p>
      <w:pPr>
        <w:spacing w:before="160" w:after="40" w:line="240" w:lineRule="auto"/>
      </w:pPr>
      <w:r>
        <w:rPr>
          <w:b/>
        </w:rPr>
        <w:t xml:space="preserve">[82] </w:t>
      </w:r>
      <w:hyperlink r:id="rId309">
        <w:r>
          <w:rPr>
            <w:color w:val="1155CC"/>
            <w:u w:val="single"/>
          </w:rPr>
          <w:t>BpFLC通过环境线索和表观遗传调控协调白桦的季节性和年龄相关开花</w:t>
        </w:r>
      </w:hyperlink>
    </w:p>
    <w:p>
      <w:pPr>
        <w:spacing w:before="0" w:after="80"/>
      </w:pPr>
      <w:r>
        <w:rPr>
          <w:i/>
          <w:sz w:val="20"/>
        </w:rPr>
        <w:t>EN: BpFLC coordinates seasonal and age-related flowering in Betula platyphylla through environmental cues and epigenetic regulation</w:t>
      </w:r>
    </w:p>
    <w:p>
      <w:pPr>
        <w:spacing w:before="0" w:after="120"/>
      </w:pPr>
      <w:r>
        <w:rPr>
          <w:b/>
        </w:rPr>
        <w:t xml:space="preserve">Source: </w:t>
      </w:r>
      <w:r>
        <w:t>Proceedings of the National Academy of Sciences: Keyword search for query</w:t>
      </w:r>
      <w:r>
        <w:t xml:space="preserve">    </w:t>
      </w:r>
      <w:r>
        <w:rPr>
          <w:b/>
        </w:rPr>
        <w:t xml:space="preserve">Pub date: </w:t>
      </w:r>
      <w:r>
        <w:t>2026-04-06 07:00:00+00:00</w:t>
      </w:r>
      <w:r>
        <w:t xml:space="preserve">    </w:t>
      </w:r>
      <w:r>
        <w:rPr>
          <w:b/>
        </w:rPr>
        <w:t xml:space="preserve">DOI: </w:t>
      </w:r>
      <w:hyperlink r:id="rId310">
        <w:r>
          <w:rPr>
            <w:color w:val="1155CC"/>
            <w:u w:val="single"/>
          </w:rPr>
          <w:t>10.1073/pnas.2518761123</w:t>
        </w:r>
      </w:hyperlink>
    </w:p>
    <w:p>
      <w:pPr>
        <w:spacing w:before="0" w:after="120"/>
      </w:pPr>
      <w:r>
        <w:rPr>
          <w:b/>
        </w:rPr>
        <w:t xml:space="preserve">Notes: </w:t>
      </w:r>
      <w:r>
        <w:t>abstract_source=crossref</w:t>
      </w:r>
    </w:p>
    <w:p>
      <w:pPr>
        <w:spacing w:before="0" w:after="80" w:lineRule="auto" w:line="276"/>
      </w:pPr>
      <w:r>
        <w:rPr>
          <w:b/>
        </w:rPr>
        <w:t xml:space="preserve">摘要（ZH）: </w:t>
      </w:r>
      <w:r>
        <w:t>FLC基因是一年生植物中的开花抑制因子，但其在多年生木本植物中的功能仍不太清楚。在此，我们使用一种在田间生长5到6年的基因型，探讨了BpFLC在白桦（Betula platyphylla）中的作用。BpFLC的过表达延长了转基因白桦的营养生长，即使在田间生长7年后也没有开花。通过CRISPR/Cas9介导的BpFLC功能丧失导致在3年生长后提早开花。整合的ATAC-seq和RNA</w:t>
      </w:r>
    </w:p>
    <w:p>
      <w:pPr>
        <w:spacing w:before="0" w:after="200" w:lineRule="auto" w:line="276"/>
      </w:pPr>
      <w:r>
        <w:rPr>
          <w:b/>
        </w:rPr>
        <w:t xml:space="preserve">Abstract (EN): </w:t>
      </w:r>
      <w:r>
        <w:t>The</w:t>
      </w:r>
      <w:r>
        <w:t xml:space="preserve"> </w:t>
      </w:r>
      <w:r>
        <w:t>Flowering Locus C</w:t>
      </w:r>
      <w:r>
        <w:t xml:space="preserve"> </w:t>
      </w:r>
      <w:r>
        <w:t>(</w:t>
      </w:r>
      <w:r>
        <w:t xml:space="preserve"> </w:t>
      </w:r>
      <w:r>
        <w:t>FLC</w:t>
      </w:r>
      <w:r>
        <w:t xml:space="preserve"> </w:t>
      </w:r>
      <w:r>
        <w:t>) gene is a flowering repressor in annual plants, but its function in perennial woody species remains less understood. Here, we explored the role of</w:t>
      </w:r>
      <w:r>
        <w:t xml:space="preserve"> </w:t>
      </w:r>
      <w:r>
        <w:t>BpFLC</w:t>
      </w:r>
      <w:r>
        <w:t xml:space="preserve"> </w:t>
      </w:r>
      <w:r>
        <w:t>in</w:t>
      </w:r>
      <w:r>
        <w:t xml:space="preserve"> </w:t>
      </w:r>
      <w:r>
        <w:t>Betula platyphylla</w:t>
      </w:r>
      <w:r>
        <w:t xml:space="preserve"> </w:t>
      </w:r>
      <w:r>
        <w:t>using a genotype that flowers after 5 to 6 y of growth in the field. Overexpression of</w:t>
      </w:r>
      <w:r>
        <w:t xml:space="preserve"> </w:t>
      </w:r>
      <w:r>
        <w:t>BpFLC</w:t>
      </w:r>
      <w:r>
        <w:t xml:space="preserve"> </w:t>
      </w:r>
      <w:r>
        <w:t>extended vegetative growth in transgenic</w:t>
      </w:r>
      <w:r>
        <w:t xml:space="preserve"> </w:t>
      </w:r>
      <w:r>
        <w:t>B. platyphylla</w:t>
      </w:r>
      <w:r>
        <w:t xml:space="preserve"> </w:t>
      </w:r>
      <w:r>
        <w:t>, without flowering even after 7 y in the field. CRISPR/Cas9-mediated loss of function in</w:t>
      </w:r>
      <w:r>
        <w:t xml:space="preserve"> </w:t>
      </w:r>
      <w:r>
        <w:t>BpFLC</w:t>
      </w:r>
      <w:r>
        <w:t xml:space="preserve"> </w:t>
      </w:r>
      <w:r>
        <w:t>led to early flowering after a 3-year growth. Integrated ATAC-seq, RNA-seq, and Flowering-Interactive Database (Flor-ID) analyses of</w:t>
      </w:r>
      <w:r>
        <w:t xml:space="preserve"> </w:t>
      </w:r>
      <w:r>
        <w:t>BpFLC</w:t>
      </w:r>
      <w:r>
        <w:t xml:space="preserve"> </w:t>
      </w:r>
      <w:r>
        <w:t>overexpression transgenics against the wild type identified a flowering-promoting TF</w:t>
      </w:r>
      <w:r>
        <w:t xml:space="preserve"> </w:t>
      </w:r>
      <w:r>
        <w:t>BpGI</w:t>
      </w:r>
      <w:r>
        <w:t xml:space="preserve"> </w:t>
      </w:r>
      <w:r>
        <w:t>(</w:t>
      </w:r>
      <w:r>
        <w:t xml:space="preserve"> </w:t>
      </w:r>
      <w:r>
        <w:t>GIGANTEA</w:t>
      </w:r>
      <w:r>
        <w:t xml:space="preserve"> </w:t>
      </w:r>
      <w:r>
        <w:t>) as a unique direct target of BpFLC. The BpFLC–</w:t>
      </w:r>
      <w:r>
        <w:t xml:space="preserve"> </w:t>
      </w:r>
      <w:r>
        <w:t>BpGI</w:t>
      </w:r>
      <w:r>
        <w:t xml:space="preserve"> </w:t>
      </w:r>
      <w:r>
        <w:t>binding represses</w:t>
      </w:r>
      <w:r>
        <w:t xml:space="preserve"> </w:t>
      </w:r>
      <w:r>
        <w:t>BpGI</w:t>
      </w:r>
      <w:r>
        <w:t xml:space="preserve"> </w:t>
      </w:r>
      <w:r>
        <w:t>’s flowering-promoting functions. Full genome Y1H identified BpHEN4 (HUA ENHANCER4) and BpELIP1 (EARLY LIGHT-INDUCED PROTEIN1) as the only two</w:t>
      </w:r>
      <w:r>
        <w:t xml:space="preserve"> </w:t>
      </w:r>
      <w:r>
        <w:t>BpFLC</w:t>
      </w:r>
      <w:r>
        <w:t xml:space="preserve"> </w:t>
      </w:r>
      <w:r>
        <w:t>binding genes that shared synchronized upregulation patterns with</w:t>
      </w:r>
      <w:r>
        <w:t xml:space="preserve"> </w:t>
      </w:r>
      <w:r>
        <w:t>BpFLC</w:t>
      </w:r>
      <w:r>
        <w:t xml:space="preserve"> </w:t>
      </w:r>
      <w:r>
        <w:t>under various environmental cues, including temperatures and photoperiods. Overexpression of</w:t>
      </w:r>
      <w:r>
        <w:t xml:space="preserve"> </w:t>
      </w:r>
      <w:r>
        <w:t>BpHEN4</w:t>
      </w:r>
      <w:r>
        <w:t xml:space="preserve"> </w:t>
      </w:r>
      <w:r>
        <w:t>or</w:t>
      </w:r>
      <w:r>
        <w:t xml:space="preserve"> </w:t>
      </w:r>
      <w:r>
        <w:t>BpELIP1</w:t>
      </w:r>
      <w:r>
        <w:t xml:space="preserve"> </w:t>
      </w:r>
      <w:r>
        <w:t>in</w:t>
      </w:r>
      <w:r>
        <w:t xml:space="preserve"> </w:t>
      </w:r>
      <w:r>
        <w:t>B. platyphylla</w:t>
      </w:r>
      <w:r>
        <w:t xml:space="preserve"> </w:t>
      </w:r>
      <w:r>
        <w:t>activated</w:t>
      </w:r>
      <w:r>
        <w:t xml:space="preserve"> </w:t>
      </w:r>
      <w:r>
        <w:t>BpFLC</w:t>
      </w:r>
      <w:r>
        <w:t xml:space="preserve"> </w:t>
      </w:r>
      <w:r>
        <w:t>expression. BpHEN4 and BpELIP1 dimerize and cobind to the G-box in</w:t>
      </w:r>
      <w:r>
        <w:t xml:space="preserve"> </w:t>
      </w:r>
      <w:r>
        <w:t>BpFLC</w:t>
      </w:r>
      <w:r>
        <w:t xml:space="preserve"> </w:t>
      </w:r>
      <w:r>
        <w:t>’s first intron but not the promoter for</w:t>
      </w:r>
      <w:r>
        <w:t xml:space="preserve"> </w:t>
      </w:r>
      <w:r>
        <w:t>BpFLC</w:t>
      </w:r>
      <w:r>
        <w:t xml:space="preserve"> </w:t>
      </w:r>
      <w:r>
        <w:t>upregulation. Our study suggested a</w:t>
      </w:r>
      <w:r>
        <w:t xml:space="preserve"> </w:t>
      </w:r>
      <w:r>
        <w:t>FLC</w:t>
      </w:r>
      <w:r>
        <w:t xml:space="preserve"> </w:t>
      </w:r>
      <w:r>
        <w:t>-mediated flowering repressor model in</w:t>
      </w:r>
      <w:r>
        <w:t xml:space="preserve"> </w:t>
      </w:r>
      <w:r>
        <w:t>B. platyphylla</w:t>
      </w:r>
      <w:r>
        <w:t xml:space="preserve"> </w:t>
      </w:r>
      <w:r>
        <w:t>where</w:t>
      </w:r>
      <w:r>
        <w:t xml:space="preserve"> </w:t>
      </w:r>
      <w:r>
        <w:t>BpHEN4</w:t>
      </w:r>
      <w:r>
        <w:t xml:space="preserve"> </w:t>
      </w:r>
      <w:r>
        <w:t>and</w:t>
      </w:r>
      <w:r>
        <w:t xml:space="preserve"> </w:t>
      </w:r>
      <w:r>
        <w:t>BpELIP1</w:t>
      </w:r>
      <w:r>
        <w:t xml:space="preserve"> </w:t>
      </w:r>
      <w:r>
        <w:t>are signals transducing environmental cues and cobind to</w:t>
      </w:r>
      <w:r>
        <w:t xml:space="preserve"> </w:t>
      </w:r>
      <w:r>
        <w:t>BpFLC</w:t>
      </w:r>
      <w:r>
        <w:t xml:space="preserve"> </w:t>
      </w:r>
      <w:r>
        <w:t>’s first intron to activate</w:t>
      </w:r>
      <w:r>
        <w:t xml:space="preserve"> </w:t>
      </w:r>
      <w:r>
        <w:t>BpFLC,</w:t>
      </w:r>
      <w:r>
        <w:t xml:space="preserve"> </w:t>
      </w:r>
      <w:r>
        <w:t>leading to elevated</w:t>
      </w:r>
      <w:r>
        <w:t xml:space="preserve"> </w:t>
      </w:r>
      <w:r>
        <w:t>BpGI</w:t>
      </w:r>
      <w:r>
        <w:t xml:space="preserve"> </w:t>
      </w:r>
      <w:r>
        <w:t>chromatin accessibility for more effective BpFLC–</w:t>
      </w:r>
      <w:r>
        <w:t xml:space="preserve"> </w:t>
      </w:r>
      <w:r>
        <w:t>BpGI</w:t>
      </w:r>
      <w:r>
        <w:t xml:space="preserve"> </w:t>
      </w:r>
      <w:r>
        <w:t>interactions to drive</w:t>
      </w:r>
      <w:r>
        <w:t xml:space="preserve"> </w:t>
      </w:r>
      <w:r>
        <w:t>BpGI</w:t>
      </w:r>
      <w:r>
        <w:t xml:space="preserve"> </w:t>
      </w:r>
      <w:r>
        <w:t>-mediated downregulation of flowering-promoting TFs to delay flowering. The greater transgene containment with growth/biomass benefit would be a unique economic trait for any key forest species.</w:t>
      </w:r>
    </w:p>
    <w:p>
      <w:pPr>
        <w:spacing w:before="120" w:after="120"/>
      </w:pPr>
      <w:r>
        <w:rPr>
          <w:sz w:val="18"/>
        </w:rPr>
        <w:t>——————————————————————————————————————————————————————————————————————</w:t>
      </w:r>
    </w:p>
    <w:p>
      <w:pPr>
        <w:spacing w:before="160" w:after="40" w:line="240" w:lineRule="auto"/>
      </w:pPr>
      <w:r>
        <w:rPr>
          <w:b/>
        </w:rPr>
        <w:t xml:space="preserve">[83] </w:t>
      </w:r>
      <w:hyperlink r:id="rId311">
        <w:r>
          <w:rPr>
            <w:color w:val="1155CC"/>
            <w:u w:val="single"/>
          </w:rPr>
          <w:t>细胞外基质化学调节细菌生物膜代谢并优化适应性</w:t>
        </w:r>
      </w:hyperlink>
    </w:p>
    <w:p>
      <w:pPr>
        <w:spacing w:before="0" w:after="80"/>
      </w:pPr>
      <w:r>
        <w:rPr>
          <w:i/>
          <w:sz w:val="20"/>
        </w:rPr>
        <w:t>EN: Extracellular matrix chemistry tunes bacterial biofilm metabolism and optimizes fitness</w:t>
      </w:r>
    </w:p>
    <w:p>
      <w:pPr>
        <w:spacing w:before="0" w:after="120"/>
      </w:pPr>
      <w:r>
        <w:rPr>
          <w:b/>
        </w:rPr>
        <w:t xml:space="preserve">Source: </w:t>
      </w:r>
      <w:r>
        <w:t>Proceedings of the National Academy of Sciences: Keyword search for query</w:t>
      </w:r>
      <w:r>
        <w:t xml:space="preserve">    </w:t>
      </w:r>
      <w:r>
        <w:rPr>
          <w:b/>
        </w:rPr>
        <w:t xml:space="preserve">Pub date: </w:t>
      </w:r>
      <w:r>
        <w:t>2026-04-06 07:00:00+00:00</w:t>
      </w:r>
      <w:r>
        <w:t xml:space="preserve">    </w:t>
      </w:r>
      <w:r>
        <w:rPr>
          <w:b/>
        </w:rPr>
        <w:t xml:space="preserve">DOI: </w:t>
      </w:r>
      <w:hyperlink r:id="rId312">
        <w:r>
          <w:rPr>
            <w:color w:val="1155CC"/>
            <w:u w:val="single"/>
          </w:rPr>
          <w:t>10.1073/pnas.2528666123</w:t>
        </w:r>
      </w:hyperlink>
    </w:p>
    <w:p>
      <w:pPr>
        <w:spacing w:before="0" w:after="120"/>
      </w:pPr>
      <w:r>
        <w:rPr>
          <w:b/>
        </w:rPr>
        <w:t xml:space="preserve">Notes: </w:t>
      </w:r>
      <w:r>
        <w:t>abstract_source=crossref</w:t>
      </w:r>
    </w:p>
    <w:p>
      <w:pPr>
        <w:spacing w:before="0" w:after="80" w:lineRule="auto" w:line="276"/>
      </w:pPr>
      <w:r>
        <w:rPr>
          <w:b/>
        </w:rPr>
        <w:t xml:space="preserve">摘要（ZH）: </w:t>
      </w:r>
      <w:r>
        <w:t>化学复杂的细胞外基质定义了细胞微环境，并在所有生命领域中塑造细胞行为。但进化如何优化这些材料以确保多细胞群体的成功？受工程材料中已建立的组成-性质-功能关系的启发，我们假设在细胞外基质中存在类似的关系，其中各种基质成分之间的组成和相互作用决定了材料性质和细胞生理。在此，我们研究了铜绿假单胞菌（Pseudomonas aeruginosa）生物膜——自然界和疾病中普遍存在的多细胞微生物集合的代表。我们展示了阳离子多糖Pel与细胞外</w:t>
      </w:r>
    </w:p>
    <w:p>
      <w:pPr>
        <w:spacing w:before="0" w:after="200" w:lineRule="auto" w:line="276"/>
      </w:pPr>
      <w:r>
        <w:rPr>
          <w:b/>
        </w:rPr>
        <w:t xml:space="preserve">Abstract (EN): </w:t>
      </w:r>
      <w:r>
        <w:t>Chemically complex extracellular matrices define cellular microenvironments and shape cell behavior across all domains of life. But how has evolution optimized these materials to ensure the success of multicellular communities? Inspired by the well-established composition–properties–function relationships in engineered materials, we hypothesized that analogous relationships exist in extracellular matrices, where the composition and interactions among various matrix components govern material properties and cellular physiology. Here, we examine</w:t>
      </w:r>
      <w:r>
        <w:t xml:space="preserve"> </w:t>
      </w:r>
      <w:r>
        <w:t>Pseudomonas aeruginosa</w:t>
      </w:r>
      <w:r>
        <w:t xml:space="preserve"> </w:t>
      </w:r>
      <w:r>
        <w:t>biofilms—representative of ubiquitous multicellular microbial assemblies in nature and disease. We show that electrostatic interactions between the cationic polysaccharide Pel and extracellular DNA (eDNA) compete with eDNA binding to pyocyanin (PYO), a diffusible redox-active metabolite that supports anaerobic metabolism via extracellular electron transfer (EET). From a materials perspective, biofilm-mimetic hydrogels and natural biofilms revealed that altering Pel’s charge via pH adjustment or chemical acetylation, or tuning the Pel:eDNA ratio, directly and predictably modulates PYO retention and EET efficiency. Biologically, a lower Pel:eDNA ratio enhances biofilm metabolism under oxygen limitation, whereas a higher ratio promotes survival under antibiotic stress. Notably, these perturbations (pH, Pel structure, and abundance) can be achieved directly or indirectly through biological activities. Together, these findings highlight how biologically regulated matrix chemistry encodes tunable material properties that, in turn, affect cellular responses that confer biofilm fitness advantages. They further suggest cells might actively fine-tune the surrounding matrix chemistry to maximize survival across diverse environments. More broadly, our work establishes a materials-based framework for a mechanistic understanding of the biological functions of extracellular matrix components in multicellular communities.</w:t>
      </w:r>
    </w:p>
    <w:p>
      <w:pPr>
        <w:spacing w:before="120" w:after="120"/>
      </w:pPr>
      <w:r>
        <w:rPr>
          <w:sz w:val="18"/>
        </w:rPr>
        <w:t>——————————————————————————————————————————————————————————————————————</w:t>
      </w:r>
    </w:p>
    <w:p>
      <w:pPr>
        <w:spacing w:before="160" w:after="40" w:line="240" w:lineRule="auto"/>
      </w:pPr>
      <w:r>
        <w:rPr>
          <w:b/>
        </w:rPr>
        <w:t xml:space="preserve">[84] </w:t>
      </w:r>
      <w:hyperlink r:id="rId313">
        <w:r>
          <w:rPr>
            <w:color w:val="1155CC"/>
            <w:u w:val="single"/>
          </w:rPr>
          <w:t>迈向同时检测多种疾病的高性价比无细胞DNA甲基化组测试</w:t>
        </w:r>
      </w:hyperlink>
    </w:p>
    <w:p>
      <w:pPr>
        <w:spacing w:before="0" w:after="80"/>
      </w:pPr>
      <w:r>
        <w:rPr>
          <w:i/>
          <w:sz w:val="20"/>
        </w:rPr>
        <w:t>EN: Toward the simultaneous detection of multiple diseases with a highly cost-effective cell-free DNA methylome test</w:t>
      </w:r>
    </w:p>
    <w:p>
      <w:pPr>
        <w:spacing w:before="0" w:after="120"/>
      </w:pPr>
      <w:r>
        <w:rPr>
          <w:b/>
        </w:rPr>
        <w:t xml:space="preserve">Source: </w:t>
      </w:r>
      <w:r>
        <w:t>Proceedings of the National Academy of Sciences: Keyword search for query</w:t>
      </w:r>
      <w:r>
        <w:t xml:space="preserve">    </w:t>
      </w:r>
      <w:r>
        <w:rPr>
          <w:b/>
        </w:rPr>
        <w:t xml:space="preserve">Pub date: </w:t>
      </w:r>
      <w:r>
        <w:t>2026-04-06 07:00:00+00:00</w:t>
      </w:r>
      <w:r>
        <w:t xml:space="preserve">    </w:t>
      </w:r>
      <w:r>
        <w:rPr>
          <w:b/>
        </w:rPr>
        <w:t xml:space="preserve">DOI: </w:t>
      </w:r>
      <w:hyperlink r:id="rId314">
        <w:r>
          <w:rPr>
            <w:color w:val="1155CC"/>
            <w:u w:val="single"/>
          </w:rPr>
          <w:t>10.1073/pnas.2518347123</w:t>
        </w:r>
      </w:hyperlink>
    </w:p>
    <w:p>
      <w:pPr>
        <w:spacing w:before="0" w:after="120"/>
      </w:pPr>
      <w:r>
        <w:rPr>
          <w:b/>
        </w:rPr>
        <w:t xml:space="preserve">Notes: </w:t>
      </w:r>
      <w:r>
        <w:t>abstract_source=crossref</w:t>
      </w:r>
    </w:p>
    <w:p>
      <w:pPr>
        <w:spacing w:before="0" w:after="80" w:lineRule="auto" w:line="276"/>
      </w:pPr>
      <w:r>
        <w:rPr>
          <w:b/>
        </w:rPr>
        <w:t xml:space="preserve">摘要（ZH）: </w:t>
      </w:r>
      <w:r>
        <w:t>血浆游离DNA（cfDNA）源自多个器官，具有显著的非侵入性诊断和预后潜力。目前的cfDNA甲基化检测主要通过靶向特定基因组位点来关注单一临床指征。相比之下，cfDNA甲基组的全面分析可以通过捕获器官特异性甲基化特征实现多种疾病的同时检测，从而在疾病病因不明或常规生化诊断不可用时提供健康的整体视图。然而，敏感检测甲基化异常所需的深度测序成本高昂，限制了广泛的临床应用。为克服这一障碍，我们开发了MethylScan，</w:t>
      </w:r>
    </w:p>
    <w:p>
      <w:pPr>
        <w:spacing w:before="0" w:after="200" w:lineRule="auto" w:line="276"/>
      </w:pPr>
      <w:r>
        <w:rPr>
          <w:b/>
        </w:rPr>
        <w:t xml:space="preserve">Abstract (EN): </w:t>
      </w:r>
      <w:r>
        <w:t>Plasma cell-free DNA (cfDNA), originating from multiple organs, holds significant potential for noninvasive diagnostics and prognostics. Current cfDNA methylation assays primarily focus on single clinical indications by targeting specific genomic loci. In contrast, comprehensive profiling of cfDNA methylome can enable simultaneous detection of multiple diseases by capturing organ-specific methylation signatures, thereby offering a holistic view of health, when disease etiology is unclear or when conventional biochemical diagnostics are unavailable. However, deep sequencing required for sensitive detection of methylation abnormalities remains prohibitively expensive, limiting widespread clinical use. To overcome this barrier, we developed</w:t>
      </w:r>
      <w:r>
        <w:t xml:space="preserve"> </w:t>
      </w:r>
      <w:r>
        <w:t>MethylScan</w:t>
      </w:r>
      <w:r>
        <w:t xml:space="preserve"> </w:t>
      </w:r>
      <w:r>
        <w:t>, a highly cost-effective approach for cfDNA methylome sequencing. We demonstrated its broad clinical utility in a cohort of 1,061 individuals across diverse applications, including multicancer detection in general population, liver cancer surveillance in high-risk individuals, liver disease classification, identification of organ abnormalities, and race prediction from cfDNA. In multicancer detection (liver, lung, ovarian, and stomach cancers),</w:t>
      </w:r>
      <w:r>
        <w:t xml:space="preserve"> </w:t>
      </w:r>
      <w:r>
        <w:t>MethylScan</w:t>
      </w:r>
      <w:r>
        <w:t xml:space="preserve"> </w:t>
      </w:r>
      <w:r>
        <w:t>achieved an area under the receiver operating characteristic curve (AUROC) of 0.938 (95% CI: 0.920 to 0.954), with a sensitivity of 63.3% (95% CI: 58.9 to 67.9%) at 98.0% specificity for all cancer stages. For early-stage cancers, the AUROC was 0.916 (95% CI: 0.890 to 0.940), with 55.3% sensitivity (95% CI: 49.1 to 62.1%) at the same specificity. In liver cancer surveillance,</w:t>
      </w:r>
      <w:r>
        <w:t xml:space="preserve"> </w:t>
      </w:r>
      <w:r>
        <w:t>MethylScan</w:t>
      </w:r>
      <w:r>
        <w:t xml:space="preserve"> </w:t>
      </w:r>
      <w:r>
        <w:t>achieved an AUROC of 0.927 (95% CI: 0.889 to 0.959), with 79.6% sensitivity (95% CI: 70.6 to 87.8%) at 90.4% specificity. The assay also demonstrated strong performance in additional diagnostic tasks, supporting its potential as a versatile platform for comprehensive cfDNA-based health monitoring.</w:t>
      </w:r>
    </w:p>
    <w:p>
      <w:pPr>
        <w:spacing w:before="120" w:after="120"/>
      </w:pPr>
      <w:r>
        <w:rPr>
          <w:sz w:val="18"/>
        </w:rPr>
        <w:t>——————————————————————————————————————————————————————————————————————</w:t>
      </w:r>
    </w:p>
    <w:p>
      <w:pPr>
        <w:spacing w:before="160" w:after="40" w:line="240" w:lineRule="auto"/>
      </w:pPr>
      <w:r>
        <w:rPr>
          <w:b/>
        </w:rPr>
        <w:t xml:space="preserve">[85] </w:t>
      </w:r>
      <w:hyperlink r:id="rId315">
        <w:r>
          <w:rPr>
            <w:color w:val="1155CC"/>
            <w:u w:val="single"/>
          </w:rPr>
          <w:t>宇宙射线驱动的电子诱导反应理论未量化平流层下部臭氧和温度的时空变化</w:t>
        </w:r>
      </w:hyperlink>
    </w:p>
    <w:p>
      <w:pPr>
        <w:spacing w:before="0" w:after="80"/>
      </w:pPr>
      <w:r>
        <w:rPr>
          <w:i/>
          <w:sz w:val="20"/>
        </w:rPr>
        <w:t>EN: Cosmic ray–driven electron-induced reaction theory does not quantify spatiotemporal variations in lower-stratospheric ozone and temperature</w:t>
      </w:r>
    </w:p>
    <w:p>
      <w:pPr>
        <w:spacing w:before="0" w:after="120"/>
      </w:pPr>
      <w:r>
        <w:rPr>
          <w:b/>
        </w:rPr>
        <w:t xml:space="preserve">Source: </w:t>
      </w:r>
      <w:r>
        <w:t>Proceedings of the National Academy of Sciences: Keyword search for query</w:t>
      </w:r>
      <w:r>
        <w:t xml:space="preserve">    </w:t>
      </w:r>
      <w:r>
        <w:rPr>
          <w:b/>
        </w:rPr>
        <w:t xml:space="preserve">Pub date: </w:t>
      </w:r>
      <w:r>
        <w:t>2026-04-06 07:00:00+00:00</w:t>
      </w:r>
      <w:r>
        <w:t xml:space="preserve">    </w:t>
      </w:r>
      <w:r>
        <w:rPr>
          <w:b/>
        </w:rPr>
        <w:t xml:space="preserve">DOI: </w:t>
      </w:r>
      <w:hyperlink r:id="rId316">
        <w:r>
          <w:rPr>
            <w:color w:val="1155CC"/>
            <w:u w:val="single"/>
          </w:rPr>
          <w:t>10.1073/pnas.2528723123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[86] </w:t>
      </w:r>
      <w:hyperlink r:id="rId317">
        <w:r>
          <w:rPr>
            <w:color w:val="1155CC"/>
            <w:u w:val="single"/>
          </w:rPr>
          <w:t>质子激活的氯离子通道1对于抵御细菌败血症的先天性宿主防御至关重要</w:t>
        </w:r>
      </w:hyperlink>
    </w:p>
    <w:p>
      <w:pPr>
        <w:spacing w:before="0" w:after="80"/>
      </w:pPr>
      <w:r>
        <w:rPr>
          <w:i/>
          <w:sz w:val="20"/>
        </w:rPr>
        <w:t>EN: Proton-activated chloride channel 1 is essential for innate host defense against bacterial sepsis</w:t>
      </w:r>
    </w:p>
    <w:p>
      <w:pPr>
        <w:spacing w:before="0" w:after="120"/>
      </w:pPr>
      <w:r>
        <w:rPr>
          <w:b/>
        </w:rPr>
        <w:t xml:space="preserve">Source: </w:t>
      </w:r>
      <w:r>
        <w:t>Proceedings of the National Academy of Sciences: Keyword search for query</w:t>
      </w:r>
      <w:r>
        <w:t xml:space="preserve">    </w:t>
      </w:r>
      <w:r>
        <w:rPr>
          <w:b/>
        </w:rPr>
        <w:t xml:space="preserve">Pub date: </w:t>
      </w:r>
      <w:r>
        <w:t>2026-04-06 07:00:00+00:00</w:t>
      </w:r>
      <w:r>
        <w:t xml:space="preserve">    </w:t>
      </w:r>
      <w:r>
        <w:rPr>
          <w:b/>
        </w:rPr>
        <w:t xml:space="preserve">DOI: </w:t>
      </w:r>
      <w:hyperlink r:id="rId318">
        <w:r>
          <w:rPr>
            <w:color w:val="1155CC"/>
            <w:u w:val="single"/>
          </w:rPr>
          <w:t>10.1073/pnas.2515768123</w:t>
        </w:r>
      </w:hyperlink>
    </w:p>
    <w:p>
      <w:pPr>
        <w:spacing w:before="0" w:after="120"/>
      </w:pPr>
      <w:r>
        <w:rPr>
          <w:b/>
        </w:rPr>
        <w:t xml:space="preserve">Notes: </w:t>
      </w:r>
      <w:r>
        <w:t>abstract_source=crossref</w:t>
      </w:r>
    </w:p>
    <w:p>
      <w:pPr>
        <w:spacing w:before="0" w:after="80" w:lineRule="auto" w:line="276"/>
      </w:pPr>
      <w:r>
        <w:rPr>
          <w:b/>
        </w:rPr>
        <w:t xml:space="preserve">摘要（ZH）: </w:t>
      </w:r>
      <w:r>
        <w:t>细菌性败血症仍然是一个毁灭性的临床问题。在此，我们描述了最近发现的酸敏感、质子激活氯离子通道PACC1（PAC/ASOR/TMEM206）在败血症中的保护作用。最初，我们发现PACC1在健康的人类和小鼠单核吞噬细胞中富集，特别是在巨噬细胞中，并且受到炎症刺激的差异性调节，表明PACC1参与了先天免疫。为了进一步研究，我们生成了</w:t>
      </w:r>
      <w:r>
        <w:t xml:space="preserve"> </w:t>
      </w:r>
      <w:r>
        <w:t>de novo Pacc1</w:t>
      </w:r>
      <w:r>
        <w:t xml:space="preserve"> </w:t>
      </w:r>
      <w:r>
        <w:t>敲除（</w:t>
      </w:r>
      <w:r>
        <w:t xml:space="preserve"> </w:t>
      </w:r>
      <w:r>
        <w:t>−/−</w:t>
      </w:r>
      <w:r>
        <w:t>）小鼠，这些小鼠在基线时没有表现出主要的免疫学异常。与野生型（WT）相比，</w:t>
      </w:r>
      <w:r>
        <w:t xml:space="preserve"> </w:t>
      </w:r>
      <w:r>
        <w:t>Pacc1</w:t>
      </w:r>
      <w:r>
        <w:t xml:space="preserve"> </w:t>
      </w:r>
      <w:r>
        <w:t>−/−</w:t>
      </w:r>
      <w:r>
        <w:t xml:space="preserve"> </w:t>
      </w:r>
      <w:r>
        <w:t>m</w:t>
      </w:r>
    </w:p>
    <w:p>
      <w:pPr>
        <w:spacing w:before="0" w:after="200" w:lineRule="auto" w:line="276"/>
      </w:pPr>
      <w:r>
        <w:rPr>
          <w:b/>
        </w:rPr>
        <w:t xml:space="preserve">Abstract (EN): </w:t>
      </w:r>
      <w:r>
        <w:t>Bacterial sepsis remains a devastating clinical problem. Here, we describe a protective role for the recently discovered acid-sensitive, proton-activated chloride channel, PACC1 (PAC/ASOR/TMEM206), during sepsis. Initially, we found PACC1 was enriched in healthy human and mouse mononuclear phagocytes, particularly macrophages, and differentially regulated by inflammatory stimuli, suggesting PACC1 involvement in innate immunity. To further investigate, we generated</w:t>
      </w:r>
      <w:r>
        <w:t xml:space="preserve"> </w:t>
      </w:r>
      <w:r>
        <w:t>de novo Pacc1</w:t>
      </w:r>
      <w:r>
        <w:t xml:space="preserve"> </w:t>
      </w:r>
      <w:r>
        <w:t>knockout (</w:t>
      </w:r>
      <w:r>
        <w:t xml:space="preserve"> </w:t>
      </w:r>
      <w:r>
        <w:t>−/−</w:t>
      </w:r>
      <w:r>
        <w:t>) mice, which presented without major immunologic abnormalities at baseline. Compared to wild-type (WT),</w:t>
      </w:r>
      <w:r>
        <w:t xml:space="preserve"> </w:t>
      </w:r>
      <w:r>
        <w:t>Pacc1</w:t>
      </w:r>
      <w:r>
        <w:t xml:space="preserve"> </w:t>
      </w:r>
      <w:r>
        <w:t>−/−</w:t>
      </w:r>
      <w:r>
        <w:t xml:space="preserve"> </w:t>
      </w:r>
      <w:r>
        <w:t>myeloid cells showed normal phagocytic uptake of acid-insensitive</w:t>
      </w:r>
      <w:r>
        <w:t xml:space="preserve"> </w:t>
      </w:r>
      <w:r>
        <w:t>Escherichia coli</w:t>
      </w:r>
      <w:r>
        <w:t xml:space="preserve"> </w:t>
      </w:r>
      <w:r>
        <w:t>BioParticles</w:t>
      </w:r>
      <w:r>
        <w:t xml:space="preserve"> </w:t>
      </w:r>
      <w:r>
        <w:t>, but impaired development of the acidifying phagolysosome using acid-sensitive</w:t>
      </w:r>
      <w:r>
        <w:t xml:space="preserve"> </w:t>
      </w:r>
      <w:r>
        <w:t>E. coli</w:t>
      </w:r>
      <w:r>
        <w:t xml:space="preserve"> </w:t>
      </w:r>
      <w:r>
        <w:t>BioParticles. Transcriptomic profiling of</w:t>
      </w:r>
      <w:r>
        <w:t xml:space="preserve"> </w:t>
      </w:r>
      <w:r>
        <w:t>Pacc1</w:t>
      </w:r>
      <w:r>
        <w:t xml:space="preserve"> </w:t>
      </w:r>
      <w:r>
        <w:t>−/−</w:t>
      </w:r>
      <w:r>
        <w:t>macrophages revealed dysregulated phagolysosomal and cytokine networks (e.g., interferons). Because phagolysosomal bacterial clearance is essential to resolve infection, we challenged</w:t>
      </w:r>
      <w:r>
        <w:t xml:space="preserve"> </w:t>
      </w:r>
      <w:r>
        <w:t>Pacc1</w:t>
      </w:r>
      <w:r>
        <w:t xml:space="preserve"> </w:t>
      </w:r>
      <w:r>
        <w:t>−/−</w:t>
      </w:r>
      <w:r>
        <w:t xml:space="preserve"> </w:t>
      </w:r>
      <w:r>
        <w:t>mice with intraperitoneal gram-negative</w:t>
      </w:r>
      <w:r>
        <w:t xml:space="preserve"> </w:t>
      </w:r>
      <w:r>
        <w:t>E. coli</w:t>
      </w:r>
      <w:r>
        <w:t xml:space="preserve"> </w:t>
      </w:r>
      <w:r>
        <w:t>sepsis.</w:t>
      </w:r>
      <w:r>
        <w:t xml:space="preserve"> </w:t>
      </w:r>
      <w:r>
        <w:t>Pacc1</w:t>
      </w:r>
      <w:r>
        <w:t xml:space="preserve"> </w:t>
      </w:r>
      <w:r>
        <w:t>−/−</w:t>
      </w:r>
      <w:r>
        <w:t xml:space="preserve"> </w:t>
      </w:r>
      <w:r>
        <w:t>mice displayed increased bacterial burden, immune cell infiltration, inflammation, and lethality. In contrast, phagocytosis-independent</w:t>
      </w:r>
      <w:r>
        <w:t xml:space="preserve"> </w:t>
      </w:r>
      <w:r>
        <w:t>E. coli</w:t>
      </w:r>
      <w:r>
        <w:t xml:space="preserve"> </w:t>
      </w:r>
      <w:r>
        <w:t>lipopolysaccharide (LPS)-induced endotoxemia yielded comparable WT and</w:t>
      </w:r>
      <w:r>
        <w:t xml:space="preserve"> </w:t>
      </w:r>
      <w:r>
        <w:t>Pacc1</w:t>
      </w:r>
      <w:r>
        <w:t xml:space="preserve"> </w:t>
      </w:r>
      <w:r>
        <w:t>−/−</w:t>
      </w:r>
      <w:r>
        <w:t xml:space="preserve"> </w:t>
      </w:r>
      <w:r>
        <w:t>survival, as well as similar inflammatory responses. Finally, we engineered</w:t>
      </w:r>
      <w:r>
        <w:t xml:space="preserve"> </w:t>
      </w:r>
      <w:r>
        <w:t>Pacc1</w:t>
      </w:r>
      <w:r>
        <w:t xml:space="preserve"> </w:t>
      </w:r>
      <w:r>
        <w:t>-floxed (</w:t>
      </w:r>
      <w:r>
        <w:t xml:space="preserve"> </w:t>
      </w:r>
      <w:r>
        <w:t>fl/fl</w:t>
      </w:r>
      <w:r>
        <w:t xml:space="preserve"> </w:t>
      </w:r>
      <w:r>
        <w:t>) mice crossed with a myeloid lineage Cre-deleter strain to interrogate myeloid cell–intrinsic PACC1 in vivo. Consistent with a predominate role for PACC1 during phagocytosis and bacterial clearance in these cells,</w:t>
      </w:r>
      <w:r>
        <w:t xml:space="preserve"> </w:t>
      </w:r>
      <w:r>
        <w:t>LysM-Cre/Pacc1</w:t>
      </w:r>
      <w:r>
        <w:t xml:space="preserve"> </w:t>
      </w:r>
      <w:r>
        <w:t>fl/fl</w:t>
      </w:r>
      <w:r>
        <w:t xml:space="preserve"> </w:t>
      </w:r>
      <w:r>
        <w:t>mice exhibited impaired</w:t>
      </w:r>
      <w:r>
        <w:t xml:space="preserve"> </w:t>
      </w:r>
      <w:r>
        <w:t>E. coli</w:t>
      </w:r>
      <w:r>
        <w:t xml:space="preserve"> </w:t>
      </w:r>
      <w:r>
        <w:t>sepsis survival but indifferent endotoxemia phenotypes. In conclusion, PACC1 links sterilizing phagolysosomal activity with immune networks in sepsis pathobiology.</w:t>
      </w:r>
    </w:p>
    <w:p>
      <w:pPr>
        <w:spacing w:before="120" w:after="120"/>
      </w:pPr>
      <w:r>
        <w:rPr>
          <w:sz w:val="18"/>
        </w:rPr>
        <w:t>——————————————————————————————————————————————————————————————————————</w:t>
      </w:r>
    </w:p>
    <w:p>
      <w:pPr>
        <w:spacing w:before="160" w:after="40" w:line="240" w:lineRule="auto"/>
      </w:pPr>
      <w:r>
        <w:rPr>
          <w:b/>
        </w:rPr>
        <w:t xml:space="preserve">[87] </w:t>
      </w:r>
      <w:hyperlink r:id="rId319">
        <w:r>
          <w:rPr>
            <w:color w:val="1155CC"/>
            <w:u w:val="single"/>
          </w:rPr>
          <w:t>蜘蛛毒液磷脂酶D毒素结构：界面结合位点、机制、激活和头基团偏好</w:t>
        </w:r>
      </w:hyperlink>
    </w:p>
    <w:p>
      <w:pPr>
        <w:spacing w:before="0" w:after="80"/>
      </w:pPr>
      <w:r>
        <w:rPr>
          <w:i/>
          <w:sz w:val="20"/>
        </w:rPr>
        <w:t>EN: Spider venom phospholipase D toxin structure: Interfacial binding site, mechanism, activation, and head group preference</w:t>
      </w:r>
    </w:p>
    <w:p>
      <w:pPr>
        <w:spacing w:before="0" w:after="120"/>
      </w:pPr>
      <w:r>
        <w:rPr>
          <w:b/>
        </w:rPr>
        <w:t xml:space="preserve">Source: </w:t>
      </w:r>
      <w:r>
        <w:t>Proceedings of the National Academy of Sciences: Keyword search for query</w:t>
      </w:r>
      <w:r>
        <w:t xml:space="preserve">    </w:t>
      </w:r>
      <w:r>
        <w:rPr>
          <w:b/>
        </w:rPr>
        <w:t xml:space="preserve">Pub date: </w:t>
      </w:r>
      <w:r>
        <w:t>2026-04-06 07:00:00+00:00</w:t>
      </w:r>
      <w:r>
        <w:t xml:space="preserve">    </w:t>
      </w:r>
      <w:r>
        <w:rPr>
          <w:b/>
        </w:rPr>
        <w:t xml:space="preserve">DOI: </w:t>
      </w:r>
      <w:hyperlink r:id="rId320">
        <w:r>
          <w:rPr>
            <w:color w:val="1155CC"/>
            <w:u w:val="single"/>
          </w:rPr>
          <w:t>10.1073/pnas.2513997123</w:t>
        </w:r>
      </w:hyperlink>
    </w:p>
    <w:p>
      <w:pPr>
        <w:spacing w:before="0" w:after="120"/>
      </w:pPr>
      <w:r>
        <w:rPr>
          <w:b/>
        </w:rPr>
        <w:t xml:space="preserve">Notes: </w:t>
      </w:r>
      <w:r>
        <w:t>abstract_source=crossref</w:t>
      </w:r>
    </w:p>
    <w:p>
      <w:pPr>
        <w:spacing w:before="0" w:after="80" w:lineRule="auto" w:line="276"/>
      </w:pPr>
      <w:r>
        <w:rPr>
          <w:b/>
        </w:rPr>
        <w:t xml:space="preserve">摘要（ZH）: </w:t>
      </w:r>
      <w:r>
        <w:t>被如棕色隐士蜘蛛等六眼蜘蛛咬伤可导致loxoscelism，这是一种涉及局部皮肤坏死和/或全身性影响如溶血的综合症。致病的毒液毒素是不寻常的界面磷脂酶D酶，当结合到膜表面时会环化鞘脂和溶血磷脂底物。虽然已经报道了几种这些毒素的晶体结构，但没有一个直接揭示脂质如何在活性位点和界面结合位点（IBS）结合；实际上，外围膜蛋白的脂质界面通常抵抗晶体学测定。然而，在此我们报告了来自智利六眼沙蜘蛛</w:t>
      </w:r>
      <w:r>
        <w:t xml:space="preserve"> </w:t>
      </w:r>
      <w:r>
        <w:t>Sicarius levii</w:t>
      </w:r>
      <w:r>
        <w:t xml:space="preserve"> </w:t>
      </w:r>
      <w:r>
        <w:t>的毒液毒素的X射线晶体结构，分辨率为1.85到2.6 Å</w:t>
      </w:r>
    </w:p>
    <w:p>
      <w:pPr>
        <w:spacing w:before="0" w:after="200" w:lineRule="auto" w:line="276"/>
      </w:pPr>
      <w:r>
        <w:rPr>
          <w:b/>
        </w:rPr>
        <w:t xml:space="preserve">Abstract (EN): </w:t>
      </w:r>
      <w:r>
        <w:t>Envenomation by sicariid spiders such as the brown recluse can cause loxoscelism, a syndrome involving localized dermonecrosis and/or systemic effects like hemolysis. The causative venom toxins are unusual interfacial phospholipase D enzymes that cyclize sphingolipid and lysophospholipid substrates when bound to membrane surfaces. Crystal structures of several of these toxins have been reported, but none of them directly illuminates how lipids bind in the active site and at the interfacial binding site (IBS); indeed, as a general rule the lipid interfaces of peripheral membrane proteins resist crystallographic determination. Here, however, we report X-ray crystal structures at 1.85 to 2.6 Å resolution of a venom toxin from the Chilean six-eyed sand spider</w:t>
      </w:r>
      <w:r>
        <w:t xml:space="preserve"> </w:t>
      </w:r>
      <w:r>
        <w:t>Sicarius levii (terrosus)</w:t>
      </w:r>
      <w:r>
        <w:t xml:space="preserve"> </w:t>
      </w:r>
      <w:r>
        <w:t>bound to a micelle-like agglomeration of product and substrate sphingolipids. Each enzyme subunit binds three sphingolipid molecules, one in the active site and two at adjacent noncatalytic sites, generating an interface that approximates the IBS predicted by molecular dynamics. The conformations of substrate and cyclic product in the active site definitively confirm our previously proposed catalytic mechanism. Comparisons with lipid-free structures show conformational changes in two loops that suggest a mechanism for allosteric/surface activation. Docking studies suggest that the variable preference of these toxins for phosphocholine and phosphoethanolamine head groups involves subtle changes in size and shape of the active-site pocket. The structures reveal key facets of the molecular basis of loxoscelism and show that in favorable cases crystallography can illuminate the IBS of peripheral membrane proteins.</w:t>
      </w:r>
    </w:p>
    <w:p>
      <w:pPr>
        <w:spacing w:before="120" w:after="120"/>
      </w:pPr>
      <w:r>
        <w:rPr>
          <w:sz w:val="18"/>
        </w:rPr>
        <w:t>——————————————————————————————————————————————————————————————————————</w:t>
      </w:r>
    </w:p>
    <w:p>
      <w:pPr>
        <w:spacing w:before="160" w:after="40" w:line="240" w:lineRule="auto"/>
      </w:pPr>
      <w:r>
        <w:rPr>
          <w:b/>
        </w:rPr>
        <w:t xml:space="preserve">[88] </w:t>
      </w:r>
      <w:hyperlink r:id="rId321">
        <w:r>
          <w:rPr>
            <w:color w:val="1155CC"/>
            <w:u w:val="single"/>
          </w:rPr>
          <w:t>重新考虑安全社区的推出揭示了移民执法中地方与联邦的预防性合作</w:t>
        </w:r>
      </w:hyperlink>
    </w:p>
    <w:p>
      <w:pPr>
        <w:spacing w:before="0" w:after="80"/>
      </w:pPr>
      <w:r>
        <w:rPr>
          <w:i/>
          <w:sz w:val="20"/>
        </w:rPr>
        <w:t>EN: Reconsideration of Secure Communities rollout reveals preemptive local-federal cooperation in immigration enforcement</w:t>
      </w:r>
    </w:p>
    <w:p>
      <w:pPr>
        <w:spacing w:before="0" w:after="120"/>
      </w:pPr>
      <w:r>
        <w:rPr>
          <w:b/>
        </w:rPr>
        <w:t xml:space="preserve">Source: </w:t>
      </w:r>
      <w:r>
        <w:t>Proceedings of the National Academy of Sciences: Keyword search for query</w:t>
      </w:r>
      <w:r>
        <w:t xml:space="preserve">    </w:t>
      </w:r>
      <w:r>
        <w:rPr>
          <w:b/>
        </w:rPr>
        <w:t xml:space="preserve">Pub date: </w:t>
      </w:r>
      <w:r>
        <w:t>2026-04-06 07:00:00+00:00</w:t>
      </w:r>
      <w:r>
        <w:t xml:space="preserve">    </w:t>
      </w:r>
      <w:r>
        <w:rPr>
          <w:b/>
        </w:rPr>
        <w:t xml:space="preserve">DOI: </w:t>
      </w:r>
      <w:hyperlink r:id="rId322">
        <w:r>
          <w:rPr>
            <w:color w:val="1155CC"/>
            <w:u w:val="single"/>
          </w:rPr>
          <w:t>10.1073/pnas.2510928123</w:t>
        </w:r>
      </w:hyperlink>
    </w:p>
    <w:p>
      <w:pPr>
        <w:spacing w:before="0" w:after="120"/>
      </w:pPr>
      <w:r>
        <w:rPr>
          <w:b/>
        </w:rPr>
        <w:t xml:space="preserve">Notes: </w:t>
      </w:r>
      <w:r>
        <w:t>abstract_source=crossref</w:t>
      </w:r>
    </w:p>
    <w:p>
      <w:pPr>
        <w:spacing w:before="0" w:after="80" w:lineRule="auto" w:line="276"/>
      </w:pPr>
      <w:r>
        <w:rPr>
          <w:b/>
        </w:rPr>
        <w:t xml:space="preserve">摘要（ZH）: </w:t>
      </w:r>
      <w:r>
        <w:t>关于地方警察与联邦移民执法机构合作的定性研究揭示了对非公民，特别是无证移民及其家庭和社区福祉的风险。然而，这些政策效果的统计证据是混合的。我们提出，定量研究可能会错误识别这些政策开始扰乱移民社区的时间，因为它们依赖于政策的正式颁布日期来指示其激活。我们在“安全社区”计划的背景下测试这一提议，这是一个联邦项目，分阶段推出，要求地方警察拘留他们逮捕的非公民，以便可能转移到移民和海关执法局（ICE）拘留和驱逐。各个州与</w:t>
      </w:r>
    </w:p>
    <w:p>
      <w:pPr>
        <w:spacing w:before="0" w:after="200" w:lineRule="auto" w:line="276"/>
      </w:pPr>
      <w:r>
        <w:rPr>
          <w:b/>
        </w:rPr>
        <w:t xml:space="preserve">Abstract (EN): </w:t>
      </w:r>
      <w:r>
        <w:t>Qualitative studies on local police collaborations with federal immigration enforcement authorities reveal risks to the well-being of noncitizens, particularly the undocumented, and their families and communities. Yet statistical evidence of these policies’ effects is mixed. We propose that quantitative studies may misidentify the timing of when these policies begin disrupting immigrant communities by relying on a policy’s formal enactment date to indicate its activation. We test this proposal in the context of Secure Communities, a federal program with a staggered rollout that asked local police to detain noncitizens they arrested for possible transfer into Immigration and Customs Enforcement (ICE) custody and deportation. Individual states signed a Memorandum of Agreement (MOA) with the federal government as a framework for their county-by-county activation of Secure Communities. Counties were not required to activate immediately; their formal enactment frequently occurred later when prompted by ICE. We find that the date when a state signed an MOA consistently predicts a county’s increased probability of receiving ICE requests to hold noncitizens in detention, transferring detained noncitizens into ICE custody, and removing noncitizens from the country. This relationship operates most strongly in counties with preexisting enforcement infrastructure between local police and federal immigration authorities. By contrast, while we find that enactment dates are associated with increases in each outcome, pretreatment trends render these relationships statistically indeterminate. Our results highlight how multilayered relationships between local and federal authorities allow for policing to be used as a tool for facilitating the preemptive implementation of immigration enforcement across the country at the expense of noncitizens and their families and communities.</w:t>
      </w:r>
    </w:p>
    <w:p>
      <w:pPr>
        <w:spacing w:before="120" w:after="120"/>
      </w:pPr>
      <w:r>
        <w:rPr>
          <w:sz w:val="18"/>
        </w:rPr>
        <w:t>——————————————————————————————————————————————————————————————————————</w:t>
      </w:r>
    </w:p>
    <w:p>
      <w:pPr>
        <w:spacing w:before="160" w:after="40" w:line="240" w:lineRule="auto"/>
      </w:pPr>
      <w:r>
        <w:rPr>
          <w:b/>
        </w:rPr>
        <w:t xml:space="preserve">[89] </w:t>
      </w:r>
      <w:hyperlink r:id="rId323">
        <w:r>
          <w:rPr>
            <w:color w:val="1155CC"/>
            <w:u w:val="single"/>
          </w:rPr>
          <w:t>微囊释放驱动败血症诱导的心肌功能障碍中的线粒体自噬通量中断和炎症放大的循环</w:t>
        </w:r>
      </w:hyperlink>
    </w:p>
    <w:p>
      <w:pPr>
        <w:spacing w:before="0" w:after="80"/>
      </w:pPr>
      <w:r>
        <w:rPr>
          <w:i/>
          <w:sz w:val="20"/>
        </w:rPr>
        <w:t>EN: Microvesicle release drives cycles of mitophagy flux disruption and inflammatory amplification in sepsis-induced myocardial dysfunction</w:t>
      </w:r>
    </w:p>
    <w:p>
      <w:pPr>
        <w:spacing w:before="0" w:after="120"/>
      </w:pPr>
      <w:r>
        <w:rPr>
          <w:b/>
        </w:rPr>
        <w:t xml:space="preserve">Source: </w:t>
      </w:r>
      <w:r>
        <w:t>Proceedings of the National Academy of Sciences: Keyword search for query</w:t>
      </w:r>
      <w:r>
        <w:t xml:space="preserve">    </w:t>
      </w:r>
      <w:r>
        <w:rPr>
          <w:b/>
        </w:rPr>
        <w:t xml:space="preserve">Pub date: </w:t>
      </w:r>
      <w:r>
        <w:t>2026-04-06 07:00:00+00:00</w:t>
      </w:r>
      <w:r>
        <w:t xml:space="preserve">    </w:t>
      </w:r>
      <w:r>
        <w:rPr>
          <w:b/>
        </w:rPr>
        <w:t xml:space="preserve">DOI: </w:t>
      </w:r>
      <w:hyperlink r:id="rId324">
        <w:r>
          <w:rPr>
            <w:color w:val="1155CC"/>
            <w:u w:val="single"/>
          </w:rPr>
          <w:t>10.1073/pnas.2510914123</w:t>
        </w:r>
      </w:hyperlink>
    </w:p>
    <w:p>
      <w:pPr>
        <w:spacing w:before="0" w:after="120"/>
      </w:pPr>
      <w:r>
        <w:rPr>
          <w:b/>
        </w:rPr>
        <w:t xml:space="preserve">Notes: </w:t>
      </w:r>
      <w:r>
        <w:t>abstract_source=crossref</w:t>
      </w:r>
    </w:p>
    <w:p>
      <w:pPr>
        <w:spacing w:before="0" w:after="80" w:lineRule="auto" w:line="276"/>
      </w:pPr>
      <w:r>
        <w:rPr>
          <w:b/>
        </w:rPr>
        <w:t xml:space="preserve">摘要（ZH）: </w:t>
      </w:r>
      <w:r>
        <w:t>脓毒症诱导的心肌功能障碍通过加剧全身器官衰竭显著导致脓毒症患者的高死亡率；然而，这种恶性循环的发作和分子机制仍不清楚。在此，我们揭示了由DRP1介导的线粒体分裂和过量的活性氧（ROS）积累是破坏线粒体自噬通量和触发炎症级联反应的核心。使用盲肠结扎穿刺小鼠和脂多糖处理的HL-1细胞模型，结合先进的成像和分子分析，我们证明了升高的ROS激活RIP1/RIP3通路，损害线粒体自噬通量并促进含有线粒体内膜成分和线粒体DNA的微囊泡的释放。这些微囊泡</w:t>
      </w:r>
    </w:p>
    <w:p>
      <w:pPr>
        <w:spacing w:before="0" w:after="200" w:lineRule="auto" w:line="276"/>
      </w:pPr>
      <w:r>
        <w:rPr>
          <w:b/>
        </w:rPr>
        <w:t xml:space="preserve">Abstract (EN): </w:t>
      </w:r>
      <w:r>
        <w:t>Sepsis-induced myocardial dysfunction strongly contributes to high mortality in patients with sepsis by exacerbating systemic organ failure; however, the onset and molecular mechanisms driving this vicious cycle remain unclear. Here, we revealed that DRP1-mediated mitochondrial fission and excessive reactive oxygen species (ROS) accumulation are central to the disruption of mitophagy flux and triggering of inflammatory cascades. Using cecal ligation and puncture mice and lipopolysaccharide-treated HL-1 cell models, combined with advanced imaging and molecular analyses, we demonstrated that elevated ROS activates the RIP1/RIP3 pathway, impairing mitophagy flux and promoting the release of microvesicles containing mitochondrial inner membrane components and mitochondrial DNA. These microvesicles amplify inflammatory responses through the cGAS–STING and RIP1/RIP3 pathways, driving the production of damage- and pathogen-associated molecular patterns. This study highlights two interlinked vicious cycles, mitophagy flux disruption and damage- and pathogen-associated molecular pattern amplification, as critical drivers of sepsis-induced myocardial injury, providing therapeutic targets for mitigating inflammatory damage and improving clinical outcomes in patients with sepsis.</w:t>
      </w:r>
    </w:p>
    <w:p>
      <w:pPr>
        <w:spacing w:before="120" w:after="120"/>
      </w:pPr>
      <w:r>
        <w:rPr>
          <w:sz w:val="18"/>
        </w:rPr>
        <w:t>——————————————————————————————————————————————————————————————————————</w:t>
      </w:r>
    </w:p>
    <w:p>
      <w:pPr>
        <w:spacing w:before="160" w:after="40" w:line="240" w:lineRule="auto"/>
      </w:pPr>
      <w:r>
        <w:rPr>
          <w:b/>
        </w:rPr>
        <w:t xml:space="preserve">[90] </w:t>
      </w:r>
      <w:hyperlink r:id="rId325">
        <w:r>
          <w:rPr>
            <w:color w:val="1155CC"/>
            <w:u w:val="single"/>
          </w:rPr>
          <w:t>过度活跃的Rac将亚致死性转化为体内致死性吞噬</w:t>
        </w:r>
      </w:hyperlink>
    </w:p>
    <w:p>
      <w:pPr>
        <w:spacing w:before="0" w:after="80"/>
      </w:pPr>
      <w:r>
        <w:rPr>
          <w:i/>
          <w:sz w:val="20"/>
        </w:rPr>
        <w:t>EN: Hyperactive Rac converts sublethal to lethal trogocytosis in vivo</w:t>
      </w:r>
    </w:p>
    <w:p>
      <w:pPr>
        <w:spacing w:before="0" w:after="120"/>
      </w:pPr>
      <w:r>
        <w:rPr>
          <w:b/>
        </w:rPr>
        <w:t xml:space="preserve">Source: </w:t>
      </w:r>
      <w:r>
        <w:t>Proceedings of the National Academy of Sciences: Keyword search for query</w:t>
      </w:r>
      <w:r>
        <w:t xml:space="preserve">    </w:t>
      </w:r>
      <w:r>
        <w:rPr>
          <w:b/>
        </w:rPr>
        <w:t xml:space="preserve">Pub date: </w:t>
      </w:r>
      <w:r>
        <w:t>2026-04-06 07:00:00+00:00</w:t>
      </w:r>
      <w:r>
        <w:t xml:space="preserve">    </w:t>
      </w:r>
      <w:r>
        <w:rPr>
          <w:b/>
        </w:rPr>
        <w:t xml:space="preserve">DOI: </w:t>
      </w:r>
      <w:hyperlink r:id="rId326">
        <w:r>
          <w:rPr>
            <w:color w:val="1155CC"/>
            <w:u w:val="single"/>
          </w:rPr>
          <w:t>10.1073/pnas.2534451123</w:t>
        </w:r>
      </w:hyperlink>
    </w:p>
    <w:p>
      <w:pPr>
        <w:spacing w:before="0" w:after="120"/>
      </w:pPr>
      <w:r>
        <w:rPr>
          <w:b/>
        </w:rPr>
        <w:t xml:space="preserve">Notes: </w:t>
      </w:r>
      <w:r>
        <w:t>abstract_source=crossref</w:t>
      </w:r>
    </w:p>
    <w:p>
      <w:pPr>
        <w:spacing w:before="0" w:after="80" w:lineRule="auto" w:line="276"/>
      </w:pPr>
      <w:r>
        <w:rPr>
          <w:b/>
        </w:rPr>
        <w:t xml:space="preserve">摘要（ZH）: </w:t>
      </w:r>
      <w:r>
        <w:t>小GTP酶Rac是细胞形状、迁移、大吞噬作用和吞噬作用的基本调节因子。我们发现表达构成性活性Rac G12V足以导致一些迁移细胞称为边界细胞吞噬邻近的保姆细胞在果蝇卵巢中。基于这一见解，我们设计了哺乳动物Rac增强的嵌合抗原受体巨噬细胞（RaceCAR-Ms），以积极吞噬和杀死癌细胞。在此，我们研究了边界细胞有效杀死更大保姆细胞的细胞和分子机制。令人惊讶的是，野生型边界细胞在迁移时通常会啃食保姆细胞，而Rac G12V</w:t>
      </w:r>
    </w:p>
    <w:p>
      <w:pPr>
        <w:spacing w:before="0" w:after="200" w:lineRule="auto" w:line="276"/>
      </w:pPr>
      <w:r>
        <w:rPr>
          <w:b/>
        </w:rPr>
        <w:t xml:space="preserve">Abstract (EN): </w:t>
      </w:r>
      <w:r>
        <w:t>The small GTPase Rac is an essential regulator of cell shape, migration, macropinocytosis, and phagocytosis. We found that expression of constitutively active Rac</w:t>
      </w:r>
      <w:r>
        <w:t xml:space="preserve"> </w:t>
      </w:r>
      <w:r>
        <w:t>G12V</w:t>
      </w:r>
      <w:r>
        <w:t xml:space="preserve"> </w:t>
      </w:r>
      <w:r>
        <w:t>is sufficient to cause a few migratory cells called border cells to cannibalize neighboring nurse cells in the</w:t>
      </w:r>
      <w:r>
        <w:t xml:space="preserve"> </w:t>
      </w:r>
      <w:r>
        <w:t>Drosophila</w:t>
      </w:r>
      <w:r>
        <w:t xml:space="preserve"> </w:t>
      </w:r>
      <w:r>
        <w:t>ovary. Building on that insight, we engineered mammalian Rac-enhanced chimeric-antigen-receptor macrophages (RaceCAR-Ms) to avidly engulf and kill cancer cells. Here, we investigate the cellular and molecular mechanisms by which border cells efficiently kill the much larger nurse cells. Surprisingly, wild type border cells normally nibble on nurse cells as they migrate between them, and Rac</w:t>
      </w:r>
      <w:r>
        <w:t xml:space="preserve"> </w:t>
      </w:r>
      <w:r>
        <w:t>G12V</w:t>
      </w:r>
      <w:r>
        <w:t xml:space="preserve"> </w:t>
      </w:r>
      <w:r>
        <w:t>causes border cells to take larger, lethal bites. These larger bites trigger rapid germline shrinkage, nuclear damage, and caspase activation, which spreads through the nurse cell syncytium. Then, many somatic follicle cells join in to engulf the dying germline. Rac and the engulfment receptor Draper are critical for both sublethal and lethal nibbling (trogocytosis). Using clonal analysis, we show small groups of follicle cells expressing Rac</w:t>
      </w:r>
      <w:r>
        <w:t xml:space="preserve"> </w:t>
      </w:r>
      <w:r>
        <w:t>G12V</w:t>
      </w:r>
      <w:r>
        <w:t xml:space="preserve"> </w:t>
      </w:r>
      <w:r>
        <w:t>induced caspase activation in neighboring follicle cells while larger Rac</w:t>
      </w:r>
      <w:r>
        <w:t xml:space="preserve"> </w:t>
      </w:r>
      <w:r>
        <w:t>G12V</w:t>
      </w:r>
      <w:r>
        <w:t xml:space="preserve"> </w:t>
      </w:r>
      <w:r>
        <w:t>clones were required to cause germline killing. Increasing Draper expression or JNK activity in border cells also caused germline death, in a Rac-independent manner, suggesting that border cells can be activated to kill through multiple mechanisms. The series of events elucidated here reveals how hyperactivated Rac expressed in a few cells can trigger destruction of a much larger mass.</w:t>
      </w:r>
    </w:p>
    <w:p>
      <w:pPr>
        <w:spacing w:before="120" w:after="120"/>
      </w:pPr>
      <w:r>
        <w:rPr>
          <w:sz w:val="18"/>
        </w:rPr>
        <w:t>——————————————————————————————————————————————————————————————————————</w:t>
      </w:r>
    </w:p>
    <w:p>
      <w:pPr>
        <w:spacing w:before="160" w:after="40" w:line="240" w:lineRule="auto"/>
      </w:pPr>
      <w:r>
        <w:rPr>
          <w:b/>
        </w:rPr>
        <w:t xml:space="preserve">[91] </w:t>
      </w:r>
      <w:hyperlink r:id="rId327">
        <w:r>
          <w:rPr>
            <w:color w:val="1155CC"/>
            <w:u w:val="single"/>
          </w:rPr>
          <w:t>电荷对胞间连丝导电性的影响</w:t>
        </w:r>
      </w:hyperlink>
    </w:p>
    <w:p>
      <w:pPr>
        <w:spacing w:before="0" w:after="80"/>
      </w:pPr>
      <w:r>
        <w:rPr>
          <w:i/>
          <w:sz w:val="20"/>
        </w:rPr>
        <w:t>EN: The influence of electrical charge on plasmodesma conductivity</w:t>
      </w:r>
    </w:p>
    <w:p>
      <w:pPr>
        <w:spacing w:before="0" w:after="120"/>
      </w:pPr>
      <w:r>
        <w:rPr>
          <w:b/>
        </w:rPr>
        <w:t xml:space="preserve">Source: </w:t>
      </w:r>
      <w:r>
        <w:t>Proceedings of the National Academy of Sciences: Keyword search for query</w:t>
      </w:r>
      <w:r>
        <w:t xml:space="preserve">    </w:t>
      </w:r>
      <w:r>
        <w:rPr>
          <w:b/>
        </w:rPr>
        <w:t xml:space="preserve">Pub date: </w:t>
      </w:r>
      <w:r>
        <w:t>2026-04-06 07:00:00+00:00</w:t>
      </w:r>
      <w:r>
        <w:t xml:space="preserve">    </w:t>
      </w:r>
      <w:r>
        <w:rPr>
          <w:b/>
        </w:rPr>
        <w:t xml:space="preserve">DOI: </w:t>
      </w:r>
      <w:hyperlink r:id="rId328">
        <w:r>
          <w:rPr>
            <w:color w:val="1155CC"/>
            <w:u w:val="single"/>
          </w:rPr>
          <w:t>10.1073/pnas.2527879123</w:t>
        </w:r>
      </w:hyperlink>
    </w:p>
    <w:p>
      <w:pPr>
        <w:spacing w:before="0" w:after="120"/>
      </w:pPr>
      <w:r>
        <w:rPr>
          <w:b/>
        </w:rPr>
        <w:t xml:space="preserve">Notes: </w:t>
      </w:r>
      <w:r>
        <w:t>abstract_source=crossref</w:t>
      </w:r>
    </w:p>
    <w:p>
      <w:pPr>
        <w:spacing w:before="0" w:after="80" w:lineRule="auto" w:line="276"/>
      </w:pPr>
      <w:r>
        <w:rPr>
          <w:b/>
        </w:rPr>
        <w:t xml:space="preserve">摘要（ZH）: </w:t>
      </w:r>
      <w:r>
        <w:t>大多数植物组织是共质体，其中细胞通过胞间连丝连接，胞间连丝是膜衬的细胞质桥，能够实现细胞质成分的扩散和/或对流的细胞间运动。当前模型假设仅水动力半径决定分子通过胞间连丝的移动性。相反，物理理论预测，具有电荷壁的纳米级孔对反离子具有选择性。由膜衬的狭窄胞间连丝孔——携带负表面电荷——因此应对阳离子具有选择性。量化在具有不同大小胞间连丝的细胞类型中分子质量和电荷不同的荧光团的细胞间运动，我们证实了物理理论对胞间连丝的适用性。令人惊讶的是，</w:t>
      </w:r>
    </w:p>
    <w:p>
      <w:pPr>
        <w:spacing w:before="0" w:after="200" w:lineRule="auto" w:line="276"/>
      </w:pPr>
      <w:r>
        <w:rPr>
          <w:b/>
        </w:rPr>
        <w:t xml:space="preserve">Abstract (EN): </w:t>
      </w:r>
      <w:r>
        <w:t>Most plant tissues are symplasms in which cells are connected by plasmodesmata, membrane-lined cytosplasmic bridges that enable diffusive and/or advective cell-to-cell movements of components of the cytosol. Current models assume that hydrodynamic radius alone governs the mobility of molecules through plasmodesmata. In contrast, physical theory predicts that nm-sized pores with electrically charged walls are selective for counterions. Narrow plasmodesmal pores lined by membranes―which carry negative surface charges―therefore should be permselective for cations. Quantifying cell-to-cell movements of fluorophores varying in molecular mass and electrical charge in cell types with differently sized plasmodesmata, we confirmed the applicability of physical theory to plasmodesmata. Surprisingly, narrow plasmodesmata were permselective for anions rather than cations, suggesting a major flaw in our current understanding of plasmodesma structure. We hypothesize that structural proteins known to exist in plasmodesmata may establish the cationic electrostatic environment required to explain our findings.</w:t>
      </w:r>
    </w:p>
    <w:p>
      <w:pPr>
        <w:spacing w:before="120" w:after="120"/>
      </w:pPr>
      <w:r>
        <w:rPr>
          <w:sz w:val="18"/>
        </w:rPr>
        <w:t>——————————————————————————————————————————————————————————————————————</w:t>
      </w:r>
    </w:p>
    <w:p>
      <w:pPr>
        <w:spacing w:before="160" w:after="40" w:line="240" w:lineRule="auto"/>
      </w:pPr>
      <w:r>
        <w:rPr>
          <w:b/>
        </w:rPr>
        <w:t xml:space="preserve">[92] </w:t>
      </w:r>
      <w:hyperlink r:id="rId329">
        <w:r>
          <w:rPr>
            <w:color w:val="1155CC"/>
            <w:u w:val="single"/>
          </w:rPr>
          <w:t>对他人情景记忆的检测影响社会选择</w:t>
        </w:r>
      </w:hyperlink>
    </w:p>
    <w:p>
      <w:pPr>
        <w:spacing w:before="0" w:after="80"/>
      </w:pPr>
      <w:r>
        <w:rPr>
          <w:i/>
          <w:sz w:val="20"/>
        </w:rPr>
        <w:t>EN: The detection of episodic memory in others biases social choice</w:t>
      </w:r>
    </w:p>
    <w:p>
      <w:pPr>
        <w:spacing w:before="0" w:after="120"/>
      </w:pPr>
      <w:r>
        <w:rPr>
          <w:b/>
        </w:rPr>
        <w:t xml:space="preserve">Source: </w:t>
      </w:r>
      <w:r>
        <w:t>Proceedings of the National Academy of Sciences: Keyword search for query</w:t>
      </w:r>
      <w:r>
        <w:t xml:space="preserve">    </w:t>
      </w:r>
      <w:r>
        <w:rPr>
          <w:b/>
        </w:rPr>
        <w:t xml:space="preserve">Pub date: </w:t>
      </w:r>
      <w:r>
        <w:t>2026-04-06 07:00:00+00:00</w:t>
      </w:r>
      <w:r>
        <w:t xml:space="preserve">    </w:t>
      </w:r>
      <w:r>
        <w:rPr>
          <w:b/>
        </w:rPr>
        <w:t xml:space="preserve">DOI: </w:t>
      </w:r>
      <w:hyperlink r:id="rId330">
        <w:r>
          <w:rPr>
            <w:color w:val="1155CC"/>
            <w:u w:val="single"/>
          </w:rPr>
          <w:t>10.1073/pnas.2530482123</w:t>
        </w:r>
      </w:hyperlink>
    </w:p>
    <w:p>
      <w:pPr>
        <w:spacing w:before="0" w:after="120"/>
      </w:pPr>
      <w:r>
        <w:rPr>
          <w:b/>
        </w:rPr>
        <w:t xml:space="preserve">Notes: </w:t>
      </w:r>
      <w:r>
        <w:t>abstract_source=crossref</w:t>
      </w:r>
    </w:p>
    <w:p>
      <w:pPr>
        <w:spacing w:before="0" w:after="80" w:lineRule="auto" w:line="276"/>
      </w:pPr>
      <w:r>
        <w:rPr>
          <w:b/>
        </w:rPr>
        <w:t xml:space="preserve">摘要（ZH）: </w:t>
      </w:r>
      <w:r>
        <w:t>我们经常与他人分享个人记忆，但情景记忆检索的社会功能尚不明确。在两个实验中（N</w:t>
      </w:r>
      <w:r>
        <w:rPr>
          <w:vertAlign w:val="subscript"/>
        </w:rPr>
        <w:t>1</w:t>
      </w:r>
      <w:r>
        <w:t>= 50, N</w:t>
      </w:r>
      <w:r>
        <w:rPr>
          <w:vertAlign w:val="subscript"/>
        </w:rPr>
        <w:t>2</w:t>
      </w:r>
      <w:r>
        <w:t>= 125），在不同国家、不同语言的两个不同实验室中进行，并使用自然以及实验设计的个人叙述，我们展示了参与者可以区分他人分享的情境丰富（情景）记忆和情境贫乏（语义）记忆，并且一致地将更强的记忆能力归于分享情景记忆而非语义记忆的个体。此外，参与者报告对分享个人情景记忆的个体有更强的社会偏好和亲近感。对情景记忆的评价</w:t>
      </w:r>
    </w:p>
    <w:p>
      <w:pPr>
        <w:spacing w:before="0" w:after="200" w:lineRule="auto" w:line="276"/>
      </w:pPr>
      <w:r>
        <w:rPr>
          <w:b/>
        </w:rPr>
        <w:t xml:space="preserve">Abstract (EN): </w:t>
      </w:r>
      <w:r>
        <w:t>We often share personal memories with others, but the social function of episodic memory retrieval is not clear. In two experiments (N</w:t>
      </w:r>
      <w:r>
        <w:rPr>
          <w:vertAlign w:val="subscript"/>
        </w:rPr>
        <w:t>1</w:t>
      </w:r>
      <w:r>
        <w:t>= 50, N</w:t>
      </w:r>
      <w:r>
        <w:rPr>
          <w:vertAlign w:val="subscript"/>
        </w:rPr>
        <w:t>2</w:t>
      </w:r>
      <w:r>
        <w:t>= 125), run in two different labs, in different countries with different languages, and using naturalistic as well as experimentally crafted personal narratives, we show that participants can distinguish between context-rich (episodic) memories and context-poor (semantic) memories shared by others, and consistently ascribe greater memory ability to individuals sharing episodic compared to semantic personal memories. Moreover, participants report stronger social preference and feelings of closeness for individuals sharing personal episodic memories. The appraisal of episodic quality in memories shared by others, and not inferred personality traits of the narrator, predicted interpersonal closeness on a trial-by-trial basis. These findings reveal a fundamental social function of the episodic memory system: enabling the sharing of context-rich personal memories that foster close relationships. We propose that preferring partners who display strong episodic recall may confer adaptive advantages, linking social selection to the effectiveness of memory systems, particularly hippocampal function.</w:t>
      </w:r>
    </w:p>
    <w:p>
      <w:pPr>
        <w:spacing w:before="120" w:after="120"/>
      </w:pPr>
      <w:r>
        <w:rPr>
          <w:sz w:val="18"/>
        </w:rPr>
        <w:t>——————————————————————————————————————————————————————————————————————</w:t>
      </w:r>
    </w:p>
    <w:p>
      <w:pPr>
        <w:spacing w:before="160" w:after="40" w:line="240" w:lineRule="auto"/>
      </w:pPr>
      <w:r>
        <w:rPr>
          <w:b/>
        </w:rPr>
        <w:t xml:space="preserve">[93] </w:t>
      </w:r>
      <w:hyperlink r:id="rId331">
        <w:r>
          <w:rPr>
            <w:color w:val="1155CC"/>
            <w:u w:val="single"/>
          </w:rPr>
          <w:t>利基依赖的干细胞转录组模块化调控分离了细胞身份和潜力</w:t>
        </w:r>
      </w:hyperlink>
    </w:p>
    <w:p>
      <w:pPr>
        <w:spacing w:before="0" w:after="80"/>
      </w:pPr>
      <w:r>
        <w:rPr>
          <w:i/>
          <w:sz w:val="20"/>
        </w:rPr>
        <w:t>EN: Niche-dependent modular regulation of the stem cell transcriptome separates cell identity and potential</w:t>
      </w:r>
    </w:p>
    <w:p>
      <w:pPr>
        <w:spacing w:before="0" w:after="120"/>
      </w:pPr>
      <w:r>
        <w:rPr>
          <w:b/>
        </w:rPr>
        <w:t xml:space="preserve">Source: </w:t>
      </w:r>
      <w:r>
        <w:t>Proceedings of the National Academy of Sciences: Keyword search for query</w:t>
      </w:r>
      <w:r>
        <w:t xml:space="preserve">    </w:t>
      </w:r>
      <w:r>
        <w:rPr>
          <w:b/>
        </w:rPr>
        <w:t xml:space="preserve">Pub date: </w:t>
      </w:r>
      <w:r>
        <w:t>2026-04-06 07:00:00+00:00</w:t>
      </w:r>
      <w:r>
        <w:t xml:space="preserve">    </w:t>
      </w:r>
      <w:r>
        <w:rPr>
          <w:b/>
        </w:rPr>
        <w:t xml:space="preserve">DOI: </w:t>
      </w:r>
      <w:hyperlink r:id="rId332">
        <w:r>
          <w:rPr>
            <w:color w:val="1155CC"/>
            <w:u w:val="single"/>
          </w:rPr>
          <w:t>10.1073/pnas.2533973123</w:t>
        </w:r>
      </w:hyperlink>
    </w:p>
    <w:p>
      <w:pPr>
        <w:spacing w:before="0" w:after="120"/>
      </w:pPr>
      <w:r>
        <w:rPr>
          <w:b/>
        </w:rPr>
        <w:t xml:space="preserve">Notes: </w:t>
      </w:r>
      <w:r>
        <w:t>abstract_source=crossref</w:t>
      </w:r>
    </w:p>
    <w:p>
      <w:pPr>
        <w:spacing w:before="0" w:after="80" w:lineRule="auto" w:line="276"/>
      </w:pPr>
      <w:r>
        <w:rPr>
          <w:b/>
        </w:rPr>
        <w:t xml:space="preserve">摘要（ZH）: </w:t>
      </w:r>
      <w:r>
        <w:t>成年干细胞维持组织稳态，但自身也易于丧失。替代丧失干细胞的一种常见机制是去分化，其中后代恢复为干细胞身份。干细胞和后代如何在保持相同干细胞潜力的同时表现出自我更新、分化和去分化的不同当前身份，这是一个悖论。在此，我们展示了果蝇雄性生殖系通过两种平行且互补的机制解决了这一悖论，以分离潜力和身份。首先，分化的后代通过继承持久的干细胞mRNA而不主动转录它们来维持干细胞潜力。其次，两个已知的微环境信号（Bmp和Jak-Stat）激活不同的目标集，定义了三种身份（自我更新</w:t>
      </w:r>
    </w:p>
    <w:p>
      <w:pPr>
        <w:spacing w:before="0" w:after="200" w:lineRule="auto" w:line="276"/>
      </w:pPr>
      <w:r>
        <w:rPr>
          <w:b/>
        </w:rPr>
        <w:t xml:space="preserve">Abstract (EN): </w:t>
      </w:r>
      <w:r>
        <w:t>Adult stem cells maintain tissue homeostasis, yet are themselves vulnerable to loss. One common mechanism to replace lost stem cells is dedifferentiation, in which progeny revert to stem cell identity. It is a paradox how stem cells and progeny retain the same stem cell potential while exhibiting distinct current identities of self-renewal, differentiation, and dedifferentiation. Here, we show that the Drosophila male germline lineage solves this paradox via two parallel and complementary mechanisms to separate potential and identity. First, differentiating progeny maintain stem cell potency by inheriting perdurant stem cell mRNAs without actively transcribing them. Second, two known niche signals (Bmp and Jak-Stat) activate distinct sets of targets, defining three identities (self-renewal, differentiation, and dedifferentiation) based on the combination of their on/off states. Together, this study reveals how a pool of dedifferentiation-competent progeny is maintained to regenerate stem cells as needed without resulting in stem cell overproduction and resolves the puzzle of why most stem cell systems require multiple independent niche signals.</w:t>
      </w:r>
    </w:p>
    <w:p>
      <w:pPr>
        <w:spacing w:before="120" w:after="120"/>
      </w:pPr>
      <w:r>
        <w:rPr>
          <w:sz w:val="18"/>
        </w:rPr>
        <w:t>——————————————————————————————————————————————————————————————————————</w:t>
      </w:r>
    </w:p>
    <w:p>
      <w:pPr>
        <w:spacing w:before="160" w:after="40" w:line="240" w:lineRule="auto"/>
      </w:pPr>
      <w:r>
        <w:rPr>
          <w:b/>
        </w:rPr>
        <w:t xml:space="preserve">[94] </w:t>
      </w:r>
      <w:hyperlink r:id="rId333">
        <w:r>
          <w:rPr>
            <w:color w:val="1155CC"/>
            <w:u w:val="single"/>
          </w:rPr>
          <w:t>情境性执行功能测量的理由</w:t>
        </w:r>
      </w:hyperlink>
    </w:p>
    <w:p>
      <w:pPr>
        <w:spacing w:before="0" w:after="80"/>
      </w:pPr>
      <w:r>
        <w:rPr>
          <w:i/>
          <w:sz w:val="20"/>
        </w:rPr>
        <w:t>EN: The case for contextually grounded executive function measurement</w:t>
      </w:r>
    </w:p>
    <w:p>
      <w:pPr>
        <w:spacing w:before="0" w:after="120"/>
      </w:pPr>
      <w:r>
        <w:rPr>
          <w:b/>
        </w:rPr>
        <w:t xml:space="preserve">Source: </w:t>
      </w:r>
      <w:r>
        <w:t>Proceedings of the National Academy of Sciences: Keyword search for query</w:t>
      </w:r>
      <w:r>
        <w:t xml:space="preserve">    </w:t>
      </w:r>
      <w:r>
        <w:rPr>
          <w:b/>
        </w:rPr>
        <w:t xml:space="preserve">Pub date: </w:t>
      </w:r>
      <w:r>
        <w:t>2026-04-06 07:00:00+00:00</w:t>
      </w:r>
      <w:r>
        <w:t xml:space="preserve">    </w:t>
      </w:r>
      <w:r>
        <w:rPr>
          <w:b/>
        </w:rPr>
        <w:t xml:space="preserve">DOI: </w:t>
      </w:r>
      <w:hyperlink r:id="rId334">
        <w:r>
          <w:rPr>
            <w:color w:val="1155CC"/>
            <w:u w:val="single"/>
          </w:rPr>
          <w:t>10.1073/pnas.2533899123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[95] </w:t>
      </w:r>
      <w:hyperlink r:id="rId335">
        <w:r>
          <w:rPr>
            <w:color w:val="1155CC"/>
            <w:u w:val="single"/>
          </w:rPr>
          <w:t>AI衍生的靶向5-羟色胺受体药物用于治疗阿片类药物使用障碍的治疗开发</w:t>
        </w:r>
      </w:hyperlink>
    </w:p>
    <w:p>
      <w:pPr>
        <w:spacing w:before="0" w:after="80"/>
      </w:pPr>
      <w:r>
        <w:rPr>
          <w:i/>
          <w:sz w:val="20"/>
        </w:rPr>
        <w:t>EN: AI-derived therapeutic development of a serotonin receptor–targeting drug for the treatment of opioid use disorder</w:t>
      </w:r>
    </w:p>
    <w:p>
      <w:pPr>
        <w:spacing w:before="0" w:after="120"/>
      </w:pPr>
      <w:r>
        <w:rPr>
          <w:b/>
        </w:rPr>
        <w:t xml:space="preserve">Source: </w:t>
      </w:r>
      <w:r>
        <w:t>Proceedings of the National Academy of Sciences: Keyword search for query</w:t>
      </w:r>
      <w:r>
        <w:t xml:space="preserve">    </w:t>
      </w:r>
      <w:r>
        <w:rPr>
          <w:b/>
        </w:rPr>
        <w:t xml:space="preserve">Pub date: </w:t>
      </w:r>
      <w:r>
        <w:t>2026-04-06 07:00:00+00:00</w:t>
      </w:r>
      <w:r>
        <w:t xml:space="preserve">    </w:t>
      </w:r>
      <w:r>
        <w:rPr>
          <w:b/>
        </w:rPr>
        <w:t xml:space="preserve">DOI: </w:t>
      </w:r>
      <w:hyperlink r:id="rId336">
        <w:r>
          <w:rPr>
            <w:color w:val="1155CC"/>
            <w:u w:val="single"/>
          </w:rPr>
          <w:t>10.1073/pnas.2516807123</w:t>
        </w:r>
      </w:hyperlink>
    </w:p>
    <w:p>
      <w:pPr>
        <w:spacing w:before="0" w:after="120"/>
      </w:pPr>
      <w:r>
        <w:rPr>
          <w:b/>
        </w:rPr>
        <w:t xml:space="preserve">Notes: </w:t>
      </w:r>
      <w:r>
        <w:t>abstract_source=crossref</w:t>
      </w:r>
    </w:p>
    <w:p>
      <w:pPr>
        <w:spacing w:before="0" w:after="80" w:lineRule="auto" w:line="276"/>
      </w:pPr>
      <w:r>
        <w:rPr>
          <w:b/>
        </w:rPr>
        <w:t xml:space="preserve">摘要（ZH）: </w:t>
      </w:r>
      <w:r>
        <w:t>阿片类药物的流行导致了全国范围内的生命损失惨重。在依赖阿片类药物的人群中，许多人希望戒除或减少使用，但由于阿片类药物（包括芬太尼）强大的强化特性，他们的努力往往不成功。在此，我们开发了一种基于AI平台的治疗药物，该平台经过合理设计以识别来自人类药物使用者死后脑组织的失调标志物。合成并通过体外筛选验证了两种顶级候选化合物GATC-021和GATC-1021的目标特异性。随后，药物候选物被检验其在调节阿片类药物强化和摄入方面的有效性。GATC-1021作为最有效的化合物出现，因为它显著减少了芬太尼</w:t>
      </w:r>
    </w:p>
    <w:p>
      <w:pPr>
        <w:spacing w:before="0" w:after="200" w:lineRule="auto" w:line="276"/>
      </w:pPr>
      <w:r>
        <w:rPr>
          <w:b/>
        </w:rPr>
        <w:t xml:space="preserve">Abstract (EN): </w:t>
      </w:r>
      <w:r>
        <w:t>The opioid epidemic has led to a devastating loss of life nationwide. Of those dependent on opioids, many individuals desire to quit or reduce use, but their efforts are often unsuccessful given the powerful reinforcing properties associated with opioid drugs, including fentanyl. Here, we developed a therapeutic drug based on an AI-based platform, which was rationally designed to identify markers of dysregulation from human drug user postmortem brain tissue. Two top candidate compounds, GATC-021 and GATC-1021, were synthesized and validated with in vitro screening for target specificity. Thereafter, the drug candidates were examined for their effectiveness in modulating opioid reinforcement and intake. GATC-1021 emerged as the most efficacious compound as it significantly decreased fentanyl intake in both male and female rats, without any notable side effects. GATC-1021 was further found to modulate gene expression patterns in addiction-relevant brain regions following fentanyl-induced alterations. These findings validate GATC’s AI-based platform with its polypharmacy-focused drug development approach and further support the clinical potential of GATC-1021 as a promising therapeutic for those suffering from opioid use disorder.</w:t>
      </w:r>
    </w:p>
    <w:p>
      <w:pPr>
        <w:spacing w:before="120" w:after="120"/>
      </w:pPr>
      <w:r>
        <w:rPr>
          <w:sz w:val="18"/>
        </w:rPr>
        <w:t>——————————————————————————————————————————————————————————————————————</w:t>
      </w:r>
    </w:p>
    <w:p>
      <w:pPr>
        <w:spacing w:before="160" w:after="40" w:line="240" w:lineRule="auto"/>
      </w:pPr>
      <w:r>
        <w:rPr>
          <w:b/>
        </w:rPr>
        <w:t xml:space="preserve">[96] </w:t>
      </w:r>
      <w:hyperlink r:id="rId337">
        <w:r>
          <w:rPr>
            <w:color w:val="1155CC"/>
            <w:u w:val="single"/>
          </w:rPr>
          <w:t>植物硅体的三氧同位素组成作为大气相对湿度指标的扩展适用性</w:t>
        </w:r>
      </w:hyperlink>
    </w:p>
    <w:p>
      <w:pPr>
        <w:spacing w:before="0" w:after="80"/>
      </w:pPr>
      <w:r>
        <w:rPr>
          <w:i/>
          <w:sz w:val="20"/>
        </w:rPr>
        <w:t>EN: Expanded applicability of the triple oxygen isotope composition of phytoliths as an indicator of atmospheric relative humidity</w:t>
      </w:r>
    </w:p>
    <w:p>
      <w:pPr>
        <w:spacing w:before="0" w:after="120"/>
      </w:pPr>
      <w:r>
        <w:rPr>
          <w:b/>
        </w:rPr>
        <w:t xml:space="preserve">Source: </w:t>
      </w:r>
      <w:r>
        <w:t>Proceedings of the National Academy of Sciences: Keyword search for query</w:t>
      </w:r>
      <w:r>
        <w:t xml:space="preserve">    </w:t>
      </w:r>
      <w:r>
        <w:rPr>
          <w:b/>
        </w:rPr>
        <w:t xml:space="preserve">Pub date: </w:t>
      </w:r>
      <w:r>
        <w:t>2026-04-06 07:00:00+00:00</w:t>
      </w:r>
      <w:r>
        <w:t xml:space="preserve">    </w:t>
      </w:r>
      <w:r>
        <w:rPr>
          <w:b/>
        </w:rPr>
        <w:t xml:space="preserve">DOI: </w:t>
      </w:r>
      <w:hyperlink r:id="rId338">
        <w:r>
          <w:rPr>
            <w:color w:val="1155CC"/>
            <w:u w:val="single"/>
          </w:rPr>
          <w:t>10.1073/pnas.2534827123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[97] </w:t>
      </w:r>
      <w:hyperlink r:id="rId339">
        <w:r>
          <w:rPr>
            <w:color w:val="1155CC"/>
            <w:u w:val="single"/>
          </w:rPr>
          <w:t>麻疹病毒RNA合成调控的结构见解及ERDRP-0519对泛副粘病毒聚合酶的抑制</w:t>
        </w:r>
      </w:hyperlink>
    </w:p>
    <w:p>
      <w:pPr>
        <w:spacing w:before="0" w:after="80"/>
      </w:pPr>
      <w:r>
        <w:rPr>
          <w:i/>
          <w:sz w:val="20"/>
        </w:rPr>
        <w:t>EN: Structural insights into measles virus RNA synthesis regulation and pan-paramyxoviral polymerase inhibition by ERDRP-0519</w:t>
      </w:r>
    </w:p>
    <w:p>
      <w:pPr>
        <w:spacing w:before="0" w:after="120"/>
      </w:pPr>
      <w:r>
        <w:rPr>
          <w:b/>
        </w:rPr>
        <w:t xml:space="preserve">Source: </w:t>
      </w:r>
      <w:r>
        <w:t>Proceedings of the National Academy of Sciences: Keyword search for query</w:t>
      </w:r>
      <w:r>
        <w:t xml:space="preserve">    </w:t>
      </w:r>
      <w:r>
        <w:rPr>
          <w:b/>
        </w:rPr>
        <w:t xml:space="preserve">Pub date: </w:t>
      </w:r>
      <w:r>
        <w:t>2026-04-06 07:00:00+00:00</w:t>
      </w:r>
      <w:r>
        <w:t xml:space="preserve">    </w:t>
      </w:r>
      <w:r>
        <w:rPr>
          <w:b/>
        </w:rPr>
        <w:t xml:space="preserve">DOI: </w:t>
      </w:r>
      <w:hyperlink r:id="rId340">
        <w:r>
          <w:rPr>
            <w:color w:val="1155CC"/>
            <w:u w:val="single"/>
          </w:rPr>
          <w:t>10.1073/pnas.2522978123</w:t>
        </w:r>
      </w:hyperlink>
    </w:p>
    <w:p>
      <w:pPr>
        <w:spacing w:before="0" w:after="120"/>
      </w:pPr>
      <w:r>
        <w:rPr>
          <w:b/>
        </w:rPr>
        <w:t xml:space="preserve">Notes: </w:t>
      </w:r>
      <w:r>
        <w:t>abstract_source=crossref</w:t>
      </w:r>
    </w:p>
    <w:p>
      <w:pPr>
        <w:spacing w:before="0" w:after="80" w:lineRule="auto" w:line="276"/>
      </w:pPr>
      <w:r>
        <w:rPr>
          <w:b/>
        </w:rPr>
        <w:t xml:space="preserve">摘要（ZH）: </w:t>
      </w:r>
      <w:r>
        <w:t>非分节负链RNA病毒（nsNSVs）依赖多功能RNA依赖性RNA聚合酶（RdRP）复合物进行转录和复制。在麻疹病毒（MeV）中，非结构蛋白C长期以来被认为在调节RNA合成中起作用，但其确切角色仍不清楚。在此，我们展示了MeV C蛋白直接与RdRP复合物结合。通过冷冻电子显微镜，我们确定了有C和无C的MeV聚合酶的原子分辨率结构，揭示了C结合稳定了L的C末端区域，并将复合物锁定在复制能力的延长状态。生化数据进一步显示，C促进了N蛋白的招募，通过在复制过程中促进包被来增强聚合酶的过程性。此外，我们</w:t>
      </w:r>
    </w:p>
    <w:p>
      <w:pPr>
        <w:spacing w:before="0" w:after="200" w:lineRule="auto" w:line="276"/>
      </w:pPr>
      <w:r>
        <w:rPr>
          <w:b/>
        </w:rPr>
        <w:t xml:space="preserve">Abstract (EN): </w:t>
      </w:r>
      <w:r>
        <w:t>Nonsegmented negative-sense RNA viruses (nsNSVs) rely on a multifunctional RNA-dependent RNA polymerase (RdRP) complex for transcription and replication. In measles virus (MeV), the nonstructural protein C has long been implicated in regulating RNA synthesis, yet its precise role remains unclear. Here, we show that the MeV C protein directly associates with the RdRP complex. Using cryoelectron microscopy, we determined atomic-resolution structures of the MeV polymerase with and without C, revealing that C binding stabilizes the C-terminal region of L and locks the complex into a replication-competent elongation state. Biochemical data further show that C promotes N protein recruitment, enhancing polymerase processivity through facilitating encapsidation during replication. Additionally, we also resolved high-resolution structures of MeV and Nipah virus (NiV) polymerases bound to ERDRP-0519, an orally available morbillivirus inhibitor. Unexpectedly, the compound occupies an allosteric pocket within the RdRp domain rather than the previously predicted PRNTase domain, overlapping conserved resistance sites. This binding induces conformational changes in palm subdomain, blocking RNA template and nucleotide engagement, thereby halting RNA synthesis. These findings uncover distinct regulatory and inhibitory mechanisms in paramyxovirus polymerases and provide a structural framework for the rational design of broad-spectrum antivirals targeting MeV, NiV, and potentially other clinically relevant nsNSVs.</w:t>
      </w:r>
    </w:p>
    <w:p>
      <w:pPr>
        <w:spacing w:before="120" w:after="120"/>
      </w:pPr>
      <w:r>
        <w:rPr>
          <w:sz w:val="18"/>
        </w:rPr>
        <w:t>——————————————————————————————————————————————————————————————————————</w:t>
      </w:r>
    </w:p>
    <w:p>
      <w:pPr>
        <w:spacing w:before="160" w:after="40" w:line="240" w:lineRule="auto"/>
      </w:pPr>
      <w:r>
        <w:rPr>
          <w:b/>
        </w:rPr>
        <w:t xml:space="preserve">[98] </w:t>
      </w:r>
      <w:hyperlink r:id="rId341">
        <w:r>
          <w:rPr>
            <w:color w:val="1155CC"/>
            <w:u w:val="single"/>
          </w:rPr>
          <w:t>标准EF任务在多样的文化背景中仍具有预测效度</w:t>
        </w:r>
      </w:hyperlink>
    </w:p>
    <w:p>
      <w:pPr>
        <w:spacing w:before="0" w:after="80"/>
      </w:pPr>
      <w:r>
        <w:rPr>
          <w:i/>
          <w:sz w:val="20"/>
        </w:rPr>
        <w:t>EN: Standard EF tasks can still have predictive validity within diverse cultural contexts</w:t>
      </w:r>
    </w:p>
    <w:p>
      <w:pPr>
        <w:spacing w:before="0" w:after="120"/>
      </w:pPr>
      <w:r>
        <w:rPr>
          <w:b/>
        </w:rPr>
        <w:t xml:space="preserve">Source: </w:t>
      </w:r>
      <w:r>
        <w:t>Proceedings of the National Academy of Sciences: Keyword search for query</w:t>
      </w:r>
      <w:r>
        <w:t xml:space="preserve">    </w:t>
      </w:r>
      <w:r>
        <w:rPr>
          <w:b/>
        </w:rPr>
        <w:t xml:space="preserve">Pub date: </w:t>
      </w:r>
      <w:r>
        <w:t>2026-04-06 07:00:00+00:00</w:t>
      </w:r>
      <w:r>
        <w:t xml:space="preserve">    </w:t>
      </w:r>
      <w:r>
        <w:rPr>
          <w:b/>
        </w:rPr>
        <w:t xml:space="preserve">DOI: </w:t>
      </w:r>
      <w:hyperlink r:id="rId342">
        <w:r>
          <w:rPr>
            <w:color w:val="1155CC"/>
            <w:u w:val="single"/>
          </w:rPr>
          <w:t>10.1073/pnas.2536826123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[99] </w:t>
      </w:r>
      <w:hyperlink r:id="rId343">
        <w:r>
          <w:rPr>
            <w:color w:val="1155CC"/>
            <w:u w:val="single"/>
          </w:rPr>
          <w:t>半化学物质和气味受体在马铃薯品种对马铃薯块茎蛾的易感性和抗性中的作用</w:t>
        </w:r>
      </w:hyperlink>
    </w:p>
    <w:p>
      <w:pPr>
        <w:spacing w:before="0" w:after="80"/>
      </w:pPr>
      <w:r>
        <w:rPr>
          <w:i/>
          <w:sz w:val="20"/>
        </w:rPr>
        <w:t>EN: Semiochemicals and odorant receptors underlying potato cultivar susceptibility and resistance to potato tuber moth</w:t>
      </w:r>
    </w:p>
    <w:p>
      <w:pPr>
        <w:spacing w:before="0" w:after="120"/>
      </w:pPr>
      <w:r>
        <w:rPr>
          <w:b/>
        </w:rPr>
        <w:t xml:space="preserve">Source: </w:t>
      </w:r>
      <w:r>
        <w:t>Proceedings of the National Academy of Sciences: Keyword search for query</w:t>
      </w:r>
      <w:r>
        <w:t xml:space="preserve">    </w:t>
      </w:r>
      <w:r>
        <w:rPr>
          <w:b/>
        </w:rPr>
        <w:t xml:space="preserve">Pub date: </w:t>
      </w:r>
      <w:r>
        <w:t>2026-04-06 07:00:00+00:00</w:t>
      </w:r>
      <w:r>
        <w:t xml:space="preserve">    </w:t>
      </w:r>
      <w:r>
        <w:rPr>
          <w:b/>
        </w:rPr>
        <w:t xml:space="preserve">DOI: </w:t>
      </w:r>
      <w:hyperlink r:id="rId344">
        <w:r>
          <w:rPr>
            <w:color w:val="1155CC"/>
            <w:u w:val="single"/>
          </w:rPr>
          <w:t>10.1073/pnas.2537754123</w:t>
        </w:r>
      </w:hyperlink>
    </w:p>
    <w:p>
      <w:pPr>
        <w:spacing w:before="0" w:after="120"/>
      </w:pPr>
      <w:r>
        <w:rPr>
          <w:b/>
        </w:rPr>
        <w:t xml:space="preserve">Notes: </w:t>
      </w:r>
      <w:r>
        <w:t>abstract_source=crossref</w:t>
      </w:r>
    </w:p>
    <w:p>
      <w:pPr>
        <w:spacing w:before="0" w:after="80" w:lineRule="auto" w:line="276"/>
      </w:pPr>
      <w:r>
        <w:rPr>
          <w:b/>
        </w:rPr>
        <w:t xml:space="preserve">摘要（ZH）: </w:t>
      </w:r>
      <w:r>
        <w:t>马铃薯块茎蛾（</w:t>
      </w:r>
      <w:r>
        <w:t xml:space="preserve"> </w:t>
      </w:r>
      <w:r>
        <w:t>Phthorimaea operculella</w:t>
      </w:r>
      <w:r>
        <w:t xml:space="preserve"> </w:t>
      </w:r>
      <w:r>
        <w:t>）对马铃薯的侵染在不同品种间差异显著，但这种差异背后的化学和分子机制仍然知之甚少。在此，我们结合田间调查、化学生态学、功能基因组学和结构建模，揭示了品种特异性挥发物谱如何影响蛾类产卵行为和害虫结果。田间和实验室测定发现，不同马铃薯品种在成虫吸引、产卵和幼虫损害方面存在显著差异，这与释放的挥发性有机化合物（VOCs）的不同混合物相关。行为分析显示，在其他VOCs中，</w:t>
      </w:r>
      <w:r>
        <w:t xml:space="preserve"> </w:t>
      </w:r>
      <w:r>
        <w:t>trans</w:t>
      </w:r>
      <w:r>
        <w:t xml:space="preserve"> </w:t>
      </w:r>
      <w:r>
        <w:t>-nerolidol和β-ionone作为吸引剂，</w:t>
      </w:r>
    </w:p>
    <w:p>
      <w:pPr>
        <w:spacing w:before="0" w:after="200" w:lineRule="auto" w:line="276"/>
      </w:pPr>
      <w:r>
        <w:rPr>
          <w:b/>
        </w:rPr>
        <w:t xml:space="preserve">Abstract (EN): </w:t>
      </w:r>
      <w:r>
        <w:t>Infestation of potato by the potato tuber moth (</w:t>
      </w:r>
      <w:r>
        <w:t xml:space="preserve"> </w:t>
      </w:r>
      <w:r>
        <w:t>Phthorimaea operculella</w:t>
      </w:r>
      <w:r>
        <w:t xml:space="preserve"> </w:t>
      </w:r>
      <w:r>
        <w:t>) varies markedly among cultivars, yet the chemical and molecular mechanisms underlying this variation remain poorly understood. Here, we combine field surveys, chemical ecology, functional genomics, and structural modeling to reveal how cultivar-specific volatile profiles shape moth oviposition behavior and pest outcomes. Field and laboratory assays identified marked differences in adult attraction, oviposition, and larval damage among potato cultivars, which correlated with distinct blends of emitted volatile organic compounds (VOCs). Behavioral analyses revealed that among other VOCs,</w:t>
      </w:r>
      <w:r>
        <w:t xml:space="preserve"> </w:t>
      </w:r>
      <w:r>
        <w:t>trans</w:t>
      </w:r>
      <w:r>
        <w:t xml:space="preserve"> </w:t>
      </w:r>
      <w:r>
        <w:t>-nerolidol and β-ionone act as attractants, whereas 3-carene and benzyl tiglate function as oviposition deterrents. Electrophysiological screening and heterologous expression deorphanized six female-biased odorant receptors (ORs), identifying three narrowly tuned receptors linked to cultivar susceptibility or resistance. PopeOR01, upregulated following mating, selectively detects the attractant</w:t>
      </w:r>
      <w:r>
        <w:t xml:space="preserve"> </w:t>
      </w:r>
      <w:r>
        <w:t>trans</w:t>
      </w:r>
      <w:r>
        <w:t xml:space="preserve"> </w:t>
      </w:r>
      <w:r>
        <w:t>-nerolidol, which is enriched in susceptible cultivars, whereas PopeOR15 and PopeOR73 are tuned to repellents benzyl tiglate and 3-carene, respectively, which are enriched in resistant cultivars. CRISPR/Cas9-mediated knockouts confirmed that PopeOR01 and PopeOR73 are essential for antennal detection and behavioral responses to their cognate ligands. AlphaFold3 modeling, molecular docking, and molecular dynamics simulations revealed conserved OR-Orco channel architecture and stable ligand-binding modes consistent with physiological and behavioral data. Together, our results establish a mechanistic link between potato cultivar chemistry, insect olfactory receptor function, and pest behavior, providing a molecular framework for sustainable, semiochemical-based management of the potato tuber moth.</w:t>
      </w:r>
    </w:p>
    <w:p>
      <w:pPr>
        <w:spacing w:before="120" w:after="120"/>
      </w:pPr>
      <w:r>
        <w:rPr>
          <w:sz w:val="18"/>
        </w:rPr>
        <w:t>——————————————————————————————————————————————————————————————————————</w:t>
      </w:r>
    </w:p>
    <w:p>
      <w:pPr>
        <w:spacing w:before="160" w:after="40" w:line="240" w:lineRule="auto"/>
      </w:pPr>
      <w:r>
        <w:rPr>
          <w:b/>
        </w:rPr>
        <w:t xml:space="preserve">[100] </w:t>
      </w:r>
      <w:hyperlink r:id="rId345">
        <w:r>
          <w:rPr>
            <w:color w:val="1155CC"/>
            <w:u w:val="single"/>
          </w:rPr>
          <w:t>来自野生马铃薯的稀有糖苷生物合成途径揭示了对科罗拉多马铃薯甲虫抗性的遗传途径</w:t>
        </w:r>
      </w:hyperlink>
    </w:p>
    <w:p>
      <w:pPr>
        <w:spacing w:before="0" w:after="80"/>
      </w:pPr>
      <w:r>
        <w:rPr>
          <w:i/>
          <w:sz w:val="20"/>
        </w:rPr>
        <w:t>EN: A rare glycoalkaloid biosynthetic pathway from wild potato unlocks genetic routes to Colorado potato beetle resistance</w:t>
      </w:r>
    </w:p>
    <w:p>
      <w:pPr>
        <w:spacing w:before="0" w:after="120"/>
      </w:pPr>
      <w:r>
        <w:rPr>
          <w:b/>
        </w:rPr>
        <w:t xml:space="preserve">Source: </w:t>
      </w:r>
      <w:r>
        <w:t>Proceedings of the National Academy of Sciences: Keyword search for query</w:t>
      </w:r>
      <w:r>
        <w:t xml:space="preserve">    </w:t>
      </w:r>
      <w:r>
        <w:rPr>
          <w:b/>
        </w:rPr>
        <w:t xml:space="preserve">Pub date: </w:t>
      </w:r>
      <w:r>
        <w:t>2026-04-06 07:00:00+00:00</w:t>
      </w:r>
      <w:r>
        <w:t xml:space="preserve">    </w:t>
      </w:r>
      <w:r>
        <w:rPr>
          <w:b/>
        </w:rPr>
        <w:t xml:space="preserve">DOI: </w:t>
      </w:r>
      <w:hyperlink r:id="rId346">
        <w:r>
          <w:rPr>
            <w:color w:val="1155CC"/>
            <w:u w:val="single"/>
          </w:rPr>
          <w:t>10.1073/pnas.2537847123</w:t>
        </w:r>
      </w:hyperlink>
    </w:p>
    <w:p>
      <w:pPr>
        <w:spacing w:before="0" w:after="120"/>
      </w:pPr>
      <w:r>
        <w:rPr>
          <w:b/>
        </w:rPr>
        <w:t xml:space="preserve">Notes: </w:t>
      </w:r>
      <w:r>
        <w:t>abstract_source=crossref</w:t>
      </w:r>
    </w:p>
    <w:p>
      <w:pPr>
        <w:spacing w:before="0" w:after="80" w:lineRule="auto" w:line="276"/>
      </w:pPr>
      <w:r>
        <w:rPr>
          <w:b/>
        </w:rPr>
        <w:t xml:space="preserve">摘要（ZH）: </w:t>
      </w:r>
      <w:r>
        <w:t>茄科植物产生甾体糖生物碱（SGAs），这些是对消费者有毒的专门代谢物，同时提供对食草动物的保护。科罗拉多马铃薯甲虫（CPB）是马铃薯的主要叶片害虫，而野生种</w:t>
      </w:r>
      <w:r>
        <w:t xml:space="preserve"> </w:t>
      </w:r>
      <w:r>
        <w:t>Solanum chacoense</w:t>
      </w:r>
      <w:r>
        <w:t xml:space="preserve"> </w:t>
      </w:r>
      <w:r>
        <w:t>PI458310通过积累特定的SGAs leptine I/II，即α-chaconine/α-solanine的C-23-乙酰氧基衍生物，表现出抗性。尽管这些leptines及其推测的C-23-羟基化前体leptinine I/II已被认识数十年，但其生物合成途径仍未解决。在本研究中，我们表明leptinines和leptines并非直接由α-chaconine/α-sol</w:t>
      </w:r>
    </w:p>
    <w:p>
      <w:pPr>
        <w:spacing w:before="0" w:after="200" w:lineRule="auto" w:line="276"/>
      </w:pPr>
      <w:r>
        <w:rPr>
          <w:b/>
        </w:rPr>
        <w:t xml:space="preserve">Abstract (EN): </w:t>
      </w:r>
      <w:r>
        <w:t>Plants in the family</w:t>
      </w:r>
      <w:r>
        <w:t xml:space="preserve"> </w:t>
      </w:r>
      <w:r>
        <w:t>Solanaceae</w:t>
      </w:r>
      <w:r>
        <w:t xml:space="preserve"> </w:t>
      </w:r>
      <w:r>
        <w:t>produce steroidal glycoalkaloids (SGAs), specialized metabolites that are toxic to consumers while providing protection against herbivores. The Colorado potato beetle (CPB) is a major foliar pest of potatoes, and the wild species</w:t>
      </w:r>
      <w:r>
        <w:t xml:space="preserve"> </w:t>
      </w:r>
      <w:r>
        <w:t>Solanum chacoense</w:t>
      </w:r>
      <w:r>
        <w:t xml:space="preserve"> </w:t>
      </w:r>
      <w:r>
        <w:t>PI458310 displays resistance through the accumulation of the specific SGAs leptine I/II, the C-23-acetoxylated derivatives of α-chaconine/α-solanine. Although these leptines and their presumed C-23-hydroxylated precursors, leptinine I/II, have been recognized for decades, their biosynthetic routes have remained unresolved. In this study, we show that leptinines and leptines do not originate from direct modificfation of α-chaconine/α-solanine, but instead arise from earlier transformations of spirosolane-type precursors. We identified</w:t>
      </w:r>
      <w:r>
        <w:t xml:space="preserve"> </w:t>
      </w:r>
      <w:r>
        <w:t>Sc23DOX</w:t>
      </w:r>
      <w:r>
        <w:t xml:space="preserve"> </w:t>
      </w:r>
      <w:r>
        <w:t>, a spirosolane C-23 hydroxylase, and</w:t>
      </w:r>
      <w:r>
        <w:t xml:space="preserve"> </w:t>
      </w:r>
      <w:r>
        <w:t>Sc23ACT</w:t>
      </w:r>
      <w:r>
        <w:t xml:space="preserve"> </w:t>
      </w:r>
      <w:r>
        <w:t>, a 23-</w:t>
      </w:r>
      <w:r>
        <w:t>O</w:t>
      </w:r>
      <w:r>
        <w:t xml:space="preserve"> </w:t>
      </w:r>
      <w:r>
        <w:t>-acetyltransferase, and demonstrated in vitro that these enzymes convert α/β-solamarine into 23-hydroxy and 23-</w:t>
      </w:r>
      <w:r>
        <w:t>O</w:t>
      </w:r>
      <w:r>
        <w:t xml:space="preserve"> </w:t>
      </w:r>
      <w:r>
        <w:t>-acetyl intermediates, which are subsequently processed into leptinines and leptines by the ring-rearrangement enzymes Dioxygenase for Potato Solanidane synthesis (DPS), Reductase for Potato Glycoalkaloid biosynthesis 1 (RPG1), and RPG2. Notably, these C-23 hydroxylation and O-acetylation reactions parallel the initial steps of α-tomatine detoxification during fruit ripening in tomato (</w:t>
      </w:r>
      <w:r>
        <w:t xml:space="preserve"> </w:t>
      </w:r>
      <w:r>
        <w:t>Solanum lycopersicum</w:t>
      </w:r>
      <w:r>
        <w:t xml:space="preserve"> </w:t>
      </w:r>
      <w:r>
        <w:t>). Moreover, when</w:t>
      </w:r>
      <w:r>
        <w:t xml:space="preserve"> </w:t>
      </w:r>
      <w:r>
        <w:t>Sc23DOX</w:t>
      </w:r>
      <w:r>
        <w:t xml:space="preserve"> </w:t>
      </w:r>
      <w:r>
        <w:t>and</w:t>
      </w:r>
      <w:r>
        <w:t xml:space="preserve"> </w:t>
      </w:r>
      <w:r>
        <w:t>Sc23ACT</w:t>
      </w:r>
      <w:r>
        <w:t xml:space="preserve"> </w:t>
      </w:r>
      <w:r>
        <w:t>were expressed heterologously in cultivated potato, the plants produced leptinines and leptines de novo. Genomic and transcriptomic analyses further revealed that many cultivated potatoes (</w:t>
      </w:r>
      <w:r>
        <w:t xml:space="preserve"> </w:t>
      </w:r>
      <w:r>
        <w:t>Solanum tuberosum</w:t>
      </w:r>
      <w:r>
        <w:t xml:space="preserve"> </w:t>
      </w:r>
      <w:r>
        <w:t>) retain apparently functional 23DOX and 23ACT orthologues, and that expression of 23DOX alone can restore leptine biosynthesis in certain cultivars. Collectively, these findings clarify the leptinine/leptine biosynthetic pathway, illustrate the co-option of a detoxification-related module into a defense system, and provide a genetic basis for breeding or engineering CPB-resistant potatoes.</w:t>
      </w:r>
    </w:p>
    <w:p>
      <w:pPr>
        <w:spacing w:before="120" w:after="120"/>
      </w:pPr>
      <w:r>
        <w:rPr>
          <w:sz w:val="18"/>
        </w:rPr>
        <w:t>——————————————————————————————————————————————————————————————————————</w:t>
      </w:r>
    </w:p>
    <w:p>
      <w:pPr>
        <w:spacing w:before="160" w:after="40" w:line="240" w:lineRule="auto"/>
      </w:pPr>
      <w:r>
        <w:rPr>
          <w:b/>
        </w:rPr>
        <w:t xml:space="preserve">[101] </w:t>
      </w:r>
      <w:hyperlink r:id="rId347">
        <w:r>
          <w:rPr>
            <w:color w:val="1155CC"/>
            <w:u w:val="single"/>
          </w:rPr>
          <w:t>回复Mazzaferro等人和Niebaum：对齐的极限：在不假设特殊背景的情况下奠定执行功能的基础</w:t>
        </w:r>
      </w:hyperlink>
    </w:p>
    <w:p>
      <w:pPr>
        <w:spacing w:before="0" w:after="80"/>
      </w:pPr>
      <w:r>
        <w:rPr>
          <w:i/>
          <w:sz w:val="20"/>
        </w:rPr>
        <w:t>EN: Reply to Mazzaferro et al. and Niebaum: The limits of alignment: Grounding executive functions without assuming special contexts</w:t>
      </w:r>
    </w:p>
    <w:p>
      <w:pPr>
        <w:spacing w:before="0" w:after="120"/>
      </w:pPr>
      <w:r>
        <w:rPr>
          <w:b/>
        </w:rPr>
        <w:t xml:space="preserve">Source: </w:t>
      </w:r>
      <w:r>
        <w:t>Proceedings of the National Academy of Sciences: Keyword search for query</w:t>
      </w:r>
      <w:r>
        <w:t xml:space="preserve">    </w:t>
      </w:r>
      <w:r>
        <w:rPr>
          <w:b/>
        </w:rPr>
        <w:t xml:space="preserve">Pub date: </w:t>
      </w:r>
      <w:r>
        <w:t>2026-04-06 07:00:00+00:00</w:t>
      </w:r>
      <w:r>
        <w:t xml:space="preserve">    </w:t>
      </w:r>
      <w:r>
        <w:rPr>
          <w:b/>
        </w:rPr>
        <w:t xml:space="preserve">DOI: </w:t>
      </w:r>
      <w:hyperlink r:id="rId348">
        <w:r>
          <w:rPr>
            <w:color w:val="1155CC"/>
            <w:u w:val="single"/>
          </w:rPr>
          <w:t>10.1073/pnas.2603106123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[102] </w:t>
      </w:r>
      <w:hyperlink r:id="rId349">
        <w:r>
          <w:rPr>
            <w:color w:val="1155CC"/>
            <w:u w:val="single"/>
          </w:rPr>
          <w:t>衰退的时机：细胞昼夜节律与阿尔茨海默病</w:t>
        </w:r>
      </w:hyperlink>
    </w:p>
    <w:p>
      <w:pPr>
        <w:spacing w:before="0" w:after="80"/>
      </w:pPr>
      <w:r>
        <w:rPr>
          <w:i/>
          <w:sz w:val="20"/>
        </w:rPr>
        <w:t>EN: Timing the decline: Cellular circadian rhythms and Alzheimer’s disease</w:t>
      </w:r>
    </w:p>
    <w:p>
      <w:pPr>
        <w:spacing w:before="0" w:after="120"/>
      </w:pPr>
      <w:r>
        <w:rPr>
          <w:b/>
        </w:rPr>
        <w:t xml:space="preserve">Source: </w:t>
      </w:r>
      <w:r>
        <w:t>Proceedings of the National Academy of Sciences: Keyword search for query</w:t>
      </w:r>
      <w:r>
        <w:t xml:space="preserve">    </w:t>
      </w:r>
      <w:r>
        <w:rPr>
          <w:b/>
        </w:rPr>
        <w:t xml:space="preserve">Pub date: </w:t>
      </w:r>
      <w:r>
        <w:t>2026-04-06 07:00:00+00:00</w:t>
      </w:r>
      <w:r>
        <w:t xml:space="preserve">    </w:t>
      </w:r>
      <w:r>
        <w:rPr>
          <w:b/>
        </w:rPr>
        <w:t xml:space="preserve">DOI: </w:t>
      </w:r>
      <w:hyperlink r:id="rId350">
        <w:r>
          <w:rPr>
            <w:color w:val="1155CC"/>
            <w:u w:val="single"/>
          </w:rPr>
          <w:t>10.1073/pnas.2604049123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[103] </w:t>
      </w:r>
      <w:hyperlink r:id="rId351">
        <w:r>
          <w:rPr>
            <w:color w:val="1155CC"/>
            <w:u w:val="single"/>
          </w:rPr>
          <w:t>回复Alexandre等人：木贼的Δ′17O值对大气相对湿度的不敏感性</w:t>
        </w:r>
      </w:hyperlink>
    </w:p>
    <w:p>
      <w:pPr>
        <w:spacing w:before="0" w:after="80"/>
      </w:pPr>
      <w:r>
        <w:rPr>
          <w:i/>
          <w:sz w:val="20"/>
        </w:rPr>
        <w:t>EN: Reply to Alexandre et al.: Insensitivity of the Δ′17O value of equisetum to atmospheric relative humidity</w:t>
      </w:r>
    </w:p>
    <w:p>
      <w:pPr>
        <w:spacing w:before="0" w:after="120"/>
      </w:pPr>
      <w:r>
        <w:rPr>
          <w:b/>
        </w:rPr>
        <w:t xml:space="preserve">Source: </w:t>
      </w:r>
      <w:r>
        <w:t>Proceedings of the National Academy of Sciences: Keyword search for query</w:t>
      </w:r>
      <w:r>
        <w:t xml:space="preserve">    </w:t>
      </w:r>
      <w:r>
        <w:rPr>
          <w:b/>
        </w:rPr>
        <w:t xml:space="preserve">Pub date: </w:t>
      </w:r>
      <w:r>
        <w:t>2026-04-06 07:00:00+00:00</w:t>
      </w:r>
      <w:r>
        <w:t xml:space="preserve">    </w:t>
      </w:r>
      <w:r>
        <w:rPr>
          <w:b/>
        </w:rPr>
        <w:t xml:space="preserve">DOI: </w:t>
      </w:r>
      <w:hyperlink r:id="rId352">
        <w:r>
          <w:rPr>
            <w:color w:val="1155CC"/>
            <w:u w:val="single"/>
          </w:rPr>
          <w:t>10.1073/pnas.2604539123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[104] </w:t>
      </w:r>
      <w:hyperlink r:id="rId353">
        <w:r>
          <w:rPr>
            <w:color w:val="1155CC"/>
            <w:u w:val="single"/>
          </w:rPr>
          <w:t>中心法则的逆转</w:t>
        </w:r>
      </w:hyperlink>
    </w:p>
    <w:p>
      <w:pPr>
        <w:spacing w:before="0" w:after="80"/>
      </w:pPr>
      <w:r>
        <w:rPr>
          <w:i/>
          <w:sz w:val="20"/>
        </w:rPr>
        <w:t>EN: The central dogma in reverse</w:t>
      </w:r>
    </w:p>
    <w:p>
      <w:pPr>
        <w:spacing w:before="0" w:after="120"/>
      </w:pPr>
      <w:r>
        <w:rPr>
          <w:b/>
        </w:rPr>
        <w:t xml:space="preserve">Source: </w:t>
      </w:r>
      <w:r>
        <w:t>Proceedings of the National Academy of Sciences: Keyword search for query</w:t>
      </w:r>
      <w:r>
        <w:t xml:space="preserve">    </w:t>
      </w:r>
      <w:r>
        <w:rPr>
          <w:b/>
        </w:rPr>
        <w:t xml:space="preserve">Pub date: </w:t>
      </w:r>
      <w:r>
        <w:t>2026-04-06 07:00:00+00:00</w:t>
      </w:r>
      <w:r>
        <w:t xml:space="preserve">    </w:t>
      </w:r>
      <w:r>
        <w:rPr>
          <w:b/>
        </w:rPr>
        <w:t xml:space="preserve">DOI: </w:t>
      </w:r>
      <w:hyperlink r:id="rId354">
        <w:r>
          <w:rPr>
            <w:color w:val="1155CC"/>
            <w:u w:val="single"/>
          </w:rPr>
          <w:t>10.1073/pnas.2604888123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[105] </w:t>
      </w:r>
      <w:hyperlink r:id="rId355">
        <w:r>
          <w:rPr>
            <w:color w:val="1155CC"/>
            <w:u w:val="single"/>
          </w:rPr>
          <w:t>查尔斯·魏斯曼（1931–2025），一位杰出且迷人的分子生物学家</w:t>
        </w:r>
      </w:hyperlink>
    </w:p>
    <w:p>
      <w:pPr>
        <w:spacing w:before="0" w:after="80"/>
      </w:pPr>
      <w:r>
        <w:rPr>
          <w:i/>
          <w:sz w:val="20"/>
        </w:rPr>
        <w:t>EN: Charles Weissmann (1931–2025), an outstanding and captivating molecular biologist</w:t>
      </w:r>
    </w:p>
    <w:p>
      <w:pPr>
        <w:spacing w:before="0" w:after="120"/>
      </w:pPr>
      <w:r>
        <w:rPr>
          <w:b/>
        </w:rPr>
        <w:t xml:space="preserve">Source: </w:t>
      </w:r>
      <w:r>
        <w:t>Proceedings of the National Academy of Sciences: Keyword search for query</w:t>
      </w:r>
      <w:r>
        <w:t xml:space="preserve">    </w:t>
      </w:r>
      <w:r>
        <w:rPr>
          <w:b/>
        </w:rPr>
        <w:t xml:space="preserve">Pub date: </w:t>
      </w:r>
      <w:r>
        <w:t>2026-04-06 07:00:00+00:00</w:t>
      </w:r>
      <w:r>
        <w:t xml:space="preserve">    </w:t>
      </w:r>
      <w:r>
        <w:rPr>
          <w:b/>
        </w:rPr>
        <w:t xml:space="preserve">DOI: </w:t>
      </w:r>
      <w:hyperlink r:id="rId356">
        <w:r>
          <w:rPr>
            <w:color w:val="1155CC"/>
            <w:u w:val="single"/>
          </w:rPr>
          <w:t>10.1073/pnas.2606086123</w:t>
        </w:r>
      </w:hyperlink>
    </w:p>
    <w:p>
      <w:pPr>
        <w:spacing w:before="0" w:after="120"/>
      </w:pPr>
      <w:r>
        <w:rPr>
          <w:b/>
        </w:rPr>
        <w:t xml:space="preserve">Notes: </w:t>
      </w:r>
      <w:r>
        <w:t>abstract_source=crossref</w:t>
      </w:r>
    </w:p>
    <w:p>
      <w:pPr>
        <w:spacing w:before="0" w:after="80" w:lineRule="auto" w:line="276"/>
      </w:pPr>
      <w:r>
        <w:rPr>
          <w:b/>
        </w:rPr>
        <w:t xml:space="preserve">摘要（ZH）: </w:t>
      </w:r>
      <w:r>
        <w:t>随着查尔斯·魏斯曼的去世，分子生物学失去了其最具生产力、杰出和批判性的代表之一。这位分子生物学家因其开创性的发现以及科学演讲而闻名，他的演讲总是包含“小故事”，用以生动有趣地说明演讲的要点。他因揭示RNA噬菌体的复制、利用病毒RNA开发首例定向诱变、克隆首个干扰素基因、对朊病毒起源和致病效应的决定性贡献以及其卓越的实验工作和指导能力而被铭记。</w:t>
      </w:r>
    </w:p>
    <w:p>
      <w:pPr>
        <w:spacing w:before="0" w:after="200" w:lineRule="auto" w:line="276"/>
      </w:pPr>
      <w:r>
        <w:rPr>
          <w:b/>
        </w:rPr>
        <w:t xml:space="preserve">Abstract (EN): </w:t>
      </w:r>
      <w:r>
        <w:t>With the death of Charles Weissmann, molecular biology has lost of one of its most productive, outstanding, and critical representatives. A molecular biologist who became famous through his ground-breaking discoveries, as well as his scientific presentations, which always included “little stories,” used to illustrate the main points of his talks in a persuasive and amusing fashion. He will be remembered for unraveling the replication of RNA bacteriophages; for developing the first example of targeted mutagenesis, using viral RNA; for cloning the first interferon gene; for his decisive contributions to the origin and pathogenic effects of prions; and for the superb quality of his experimental work and mentorship.</w:t>
      </w:r>
    </w:p>
    <w:p>
      <w:pPr>
        <w:spacing w:before="120" w:after="120"/>
      </w:pPr>
      <w:r>
        <w:rPr>
          <w:sz w:val="18"/>
        </w:rPr>
        <w:t>——————————————————————————————————————————————————————————————————————</w:t>
      </w:r>
    </w:p>
    <w:p>
      <w:pPr>
        <w:spacing w:before="160" w:after="40" w:line="240" w:lineRule="auto"/>
      </w:pPr>
      <w:r>
        <w:rPr>
          <w:b/>
        </w:rPr>
        <w:t xml:space="preserve">[106] </w:t>
      </w:r>
      <w:hyperlink r:id="rId357">
        <w:r>
          <w:rPr>
            <w:color w:val="1155CC"/>
            <w:u w:val="single"/>
          </w:rPr>
          <w:t>噬菌体展示介导的免疫PCR用于检测果蝇中低丰度的分泌蛋白</w:t>
        </w:r>
      </w:hyperlink>
    </w:p>
    <w:p>
      <w:pPr>
        <w:spacing w:before="0" w:after="80"/>
      </w:pPr>
      <w:r>
        <w:rPr>
          <w:i/>
          <w:sz w:val="20"/>
        </w:rPr>
        <w:t>EN: Phage display–mediated immuno-PCR to detect low-abundance secreted proteins in Drosophila</w:t>
      </w:r>
    </w:p>
    <w:p>
      <w:pPr>
        <w:spacing w:before="0" w:after="120"/>
      </w:pPr>
      <w:r>
        <w:rPr>
          <w:b/>
        </w:rPr>
        <w:t xml:space="preserve">Source: </w:t>
      </w:r>
      <w:r>
        <w:t>Proceedings of the National Academy of Sciences: Keyword search for query</w:t>
      </w:r>
      <w:r>
        <w:t xml:space="preserve">    </w:t>
      </w:r>
      <w:r>
        <w:rPr>
          <w:b/>
        </w:rPr>
        <w:t xml:space="preserve">Pub date: </w:t>
      </w:r>
      <w:r>
        <w:t>2026-04-06 07:00:00+00:00</w:t>
      </w:r>
      <w:r>
        <w:t xml:space="preserve">    </w:t>
      </w:r>
      <w:r>
        <w:rPr>
          <w:b/>
        </w:rPr>
        <w:t xml:space="preserve">DOI: </w:t>
      </w:r>
      <w:hyperlink r:id="rId358">
        <w:r>
          <w:rPr>
            <w:color w:val="1155CC"/>
            <w:u w:val="single"/>
          </w:rPr>
          <w:t>10.1073/pnas.2531777123</w:t>
        </w:r>
      </w:hyperlink>
    </w:p>
    <w:p>
      <w:pPr>
        <w:spacing w:before="0" w:after="120"/>
      </w:pPr>
      <w:r>
        <w:rPr>
          <w:b/>
        </w:rPr>
        <w:t xml:space="preserve">Notes: </w:t>
      </w:r>
      <w:r>
        <w:t>abstract_source=crossref</w:t>
      </w:r>
    </w:p>
    <w:p>
      <w:pPr>
        <w:spacing w:before="0" w:after="80" w:lineRule="auto" w:line="276"/>
      </w:pPr>
      <w:r>
        <w:rPr>
          <w:b/>
        </w:rPr>
        <w:t xml:space="preserve">摘要（ZH）: </w:t>
      </w:r>
      <w:r>
        <w:t>循环激素通过跨器官的交流来维持生理平衡，通常使用酶联免疫吸附测定（ELISA）进行检测和定量。然而，虽然ELISA非常适合于可以轻松获得样本血液的生物体，但在较小的生物体中应用则更加具有挑战性，特别是近年来在生理研究中广泛使用的果蝇。在此，我们提出了一种敏感的噬菌体展示介导的免疫PCR（PD-iPCR）方法，通过两种方法检测果蝇血淋巴蛋白质：1）通过噬菌体展示文库筛选和后续亲和力成熟识别高亲和力纳米抗体；2）通过生成</w:t>
      </w:r>
    </w:p>
    <w:p>
      <w:pPr>
        <w:spacing w:before="0" w:after="200" w:lineRule="auto" w:line="276"/>
      </w:pPr>
      <w:r>
        <w:rPr>
          <w:b/>
        </w:rPr>
        <w:t xml:space="preserve">Abstract (EN): </w:t>
      </w:r>
      <w:r>
        <w:t>Circulating hormones, that mediate communications across organs to maintain physiological balance, are commonly detected and quantified using enzyme-linked immunosorbent assays (ELISAs). However, while ELISA is well suited for organisms where sample blood can be readily obtained, its application is considerably more challenging in smaller organisms, particularly</w:t>
      </w:r>
      <w:r>
        <w:t xml:space="preserve"> </w:t>
      </w:r>
      <w:r>
        <w:t>Drosophila</w:t>
      </w:r>
      <w:r>
        <w:t xml:space="preserve"> </w:t>
      </w:r>
      <w:r>
        <w:t>, which has gained widespread use in recent years for physiological studies. Here, we present sensitive phage display–mediated immuno-PCR (PD-iPCR) to detect</w:t>
      </w:r>
      <w:r>
        <w:t xml:space="preserve"> </w:t>
      </w:r>
      <w:r>
        <w:t>Drosophila</w:t>
      </w:r>
      <w:r>
        <w:t xml:space="preserve"> </w:t>
      </w:r>
      <w:r>
        <w:t>hemolymph proteins via two approaches: 1) by identifying high-affinity nanobodies through phage display library screening and subsequent affinity maturation and 2) by generating a knock-in fly line producing secreted proteins tagged with tandem NanoTags composed of VHH05 and 127D01. Using these approaches, we successfully established PD-iPCR to detect insulin-binding ImpL2 protein in fly hemolymph. Notably, the tandem NanoTag-based sandwich PD-iPCR enabled highly sensitive detection of tagged antigens, allowing us to quantify elevated ImpL2 levels in the hemolymph of starved flies and those bearing</w:t>
      </w:r>
      <w:r>
        <w:t xml:space="preserve"> </w:t>
      </w:r>
      <w:r>
        <w:t>Yki</w:t>
      </w:r>
      <w:r>
        <w:t xml:space="preserve"> </w:t>
      </w:r>
      <w:r>
        <w:t>-induced gut tumors. Collectively, our results demonstrate that PD-iPCR enables detection of endogenous, low-abundance circulating hormones in</w:t>
      </w:r>
      <w:r>
        <w:t xml:space="preserve"> </w:t>
      </w:r>
      <w:r>
        <w:t>Drosophila</w:t>
      </w:r>
      <w:r>
        <w:t xml:space="preserve"> </w:t>
      </w:r>
      <w:r>
        <w:t>, providing a powerful tool for studying interorgan communication.</w:t>
      </w:r>
    </w:p>
    <w:p>
      <w:pPr>
        <w:spacing w:before="120" w:after="120"/>
      </w:pPr>
      <w:r>
        <w:rPr>
          <w:sz w:val="18"/>
        </w:rPr>
        <w:t>——————————————————————————————————————————————————————————————————————</w:t>
      </w:r>
    </w:p>
    <w:p>
      <w:pPr>
        <w:spacing w:before="160" w:after="40" w:line="240" w:lineRule="auto"/>
      </w:pPr>
      <w:r>
        <w:rPr>
          <w:b/>
        </w:rPr>
        <w:t xml:space="preserve">[107] </w:t>
      </w:r>
      <w:hyperlink r:id="rId359">
        <w:r>
          <w:rPr>
            <w:color w:val="1155CC"/>
            <w:u w:val="single"/>
          </w:rPr>
          <w:t>单细胞见解：蚊子Toll激活通过Notch抑制增强粒细胞分化和免疫监视</w:t>
        </w:r>
      </w:hyperlink>
    </w:p>
    <w:p>
      <w:pPr>
        <w:spacing w:before="0" w:after="80"/>
      </w:pPr>
      <w:r>
        <w:rPr>
          <w:i/>
          <w:sz w:val="20"/>
        </w:rPr>
        <w:t>EN: Single-cell insights: Mosquito Toll activation enhances granulocyte differentiation and immune surveillance via Notch suppression</w:t>
      </w:r>
    </w:p>
    <w:p>
      <w:pPr>
        <w:spacing w:before="0" w:after="120"/>
      </w:pPr>
      <w:r>
        <w:rPr>
          <w:b/>
        </w:rPr>
        <w:t xml:space="preserve">Source: </w:t>
      </w:r>
      <w:r>
        <w:t>Proceedings of the National Academy of Sciences: Keyword search for query</w:t>
      </w:r>
      <w:r>
        <w:t xml:space="preserve">    </w:t>
      </w:r>
      <w:r>
        <w:rPr>
          <w:b/>
        </w:rPr>
        <w:t xml:space="preserve">Pub date: </w:t>
      </w:r>
      <w:r>
        <w:t>2026-04-06 07:00:00+00:00</w:t>
      </w:r>
      <w:r>
        <w:t xml:space="preserve">    </w:t>
      </w:r>
      <w:r>
        <w:rPr>
          <w:b/>
        </w:rPr>
        <w:t xml:space="preserve">DOI: </w:t>
      </w:r>
      <w:hyperlink r:id="rId360">
        <w:r>
          <w:rPr>
            <w:color w:val="1155CC"/>
            <w:u w:val="single"/>
          </w:rPr>
          <w:t>10.1073/pnas.2531951123</w:t>
        </w:r>
      </w:hyperlink>
    </w:p>
    <w:p>
      <w:pPr>
        <w:spacing w:before="0" w:after="120"/>
      </w:pPr>
      <w:r>
        <w:rPr>
          <w:b/>
        </w:rPr>
        <w:t xml:space="preserve">Notes: </w:t>
      </w:r>
      <w:r>
        <w:t>abstract_source=crossref</w:t>
      </w:r>
    </w:p>
    <w:p>
      <w:pPr>
        <w:spacing w:before="0" w:after="80" w:lineRule="auto" w:line="276"/>
      </w:pPr>
      <w:r>
        <w:rPr>
          <w:b/>
        </w:rPr>
        <w:t xml:space="preserve">摘要（ZH）: </w:t>
      </w:r>
      <w:r>
        <w:t>Toll、免疫缺陷（IMD）、Jun激酶（JNK）和信号转导及转录激活因子（STAT）先天免疫信号通路的激活限制了按蚊中的疟原虫感染。血细胞（蚊子免疫细胞）通过补体介导的溶解和吞噬作用消除疟原虫寄生虫，从而限制疟疾传播。然而，蚊子血细胞谱系决定和成熟的机制仍然知之甚少。在此，我们使用单细胞转录组学研究这些免疫信号通路如何调节血细胞分化和功能。对37,529个血细胞的分析揭示了oenocytoid和granuloc</w:t>
      </w:r>
    </w:p>
    <w:p>
      <w:pPr>
        <w:spacing w:before="0" w:after="200" w:lineRule="auto" w:line="276"/>
      </w:pPr>
      <w:r>
        <w:rPr>
          <w:b/>
        </w:rPr>
        <w:t xml:space="preserve">Abstract (EN): </w:t>
      </w:r>
      <w:r>
        <w:t>Activation of the Toll, Immunodeficiency (IMD), Jun-kinase (JNK), and Signal Transducer and Activator of Transcription (STAT) innate immune signaling pathways limits</w:t>
      </w:r>
      <w:r>
        <w:t xml:space="preserve"> </w:t>
      </w:r>
      <w:r>
        <w:t>Plasmodium</w:t>
      </w:r>
      <w:r>
        <w:t xml:space="preserve"> </w:t>
      </w:r>
      <w:r>
        <w:t>infection in</w:t>
      </w:r>
      <w:r>
        <w:t xml:space="preserve"> </w:t>
      </w:r>
      <w:r>
        <w:t>Anopheles gambiae</w:t>
      </w:r>
      <w:r>
        <w:t xml:space="preserve"> </w:t>
      </w:r>
      <w:r>
        <w:t>. Hemocytes (mosquito immune cells) restrict malaria transmission by eliminating</w:t>
      </w:r>
      <w:r>
        <w:t xml:space="preserve"> </w:t>
      </w:r>
      <w:r>
        <w:t>Plasmodium</w:t>
      </w:r>
      <w:r>
        <w:t xml:space="preserve"> </w:t>
      </w:r>
      <w:r>
        <w:t>parasites through complement-mediated lysis and phagocytosis. However, the mechanisms underlying mosquito hemocyte lineage determination and maturation remain poorly understood. Here, we used single-cell transcriptomics to investigate how these immune signaling pathways regulate hemocyte differentiation and function. Analysis of 37,529 hemocytes revealed oenocytoid and granulocyte subpopulations not previously described that express specific molecular markers, as well as the expansion of selective subpopulations by different signaling pathways. Toll and JNK activation trigger terminal differentiation of granulocytes (phagocytic cells) with a dramatic increase in megacytes and reduce oenocytoids by transcriptionally suppressing Notch signaling. Toll activation strongly affects gene expression in most hemocyte clusters, whereas STAT and IMD activation impact only specific clusters. Moreover, Toll activation induces the expression of extracellular matrix-interacting genes in megacytes, enhancing midgut immune surveillance. Collectively, these findings uncover how immune signaling modulates hemocyte differentiation and function in a medically relevant mosquito species, providing insights into the mechanism by which hemocytes hinder</w:t>
      </w:r>
      <w:r>
        <w:t xml:space="preserve"> </w:t>
      </w:r>
      <w:r>
        <w:t>Plasmodium</w:t>
      </w:r>
      <w:r>
        <w:t xml:space="preserve"> </w:t>
      </w:r>
      <w:r>
        <w:t>infection.</w:t>
      </w:r>
    </w:p>
    <w:p>
      <w:pPr>
        <w:spacing w:before="120" w:after="120"/>
      </w:pPr>
      <w:r>
        <w:rPr>
          <w:sz w:val="18"/>
        </w:rPr>
        <w:t>——————————————————————————————————————————————————————————————————————</w:t>
      </w:r>
    </w:p>
    <w:p>
      <w:pPr>
        <w:spacing w:before="160" w:after="40" w:line="240" w:lineRule="auto"/>
      </w:pPr>
      <w:r>
        <w:rPr>
          <w:b/>
        </w:rPr>
        <w:t xml:space="preserve">[108] </w:t>
      </w:r>
      <w:hyperlink r:id="rId361">
        <w:r>
          <w:rPr>
            <w:color w:val="1155CC"/>
            <w:u w:val="single"/>
          </w:rPr>
          <w:t>回复Godin-Beekmann等人：CRE理论与时空臭氧观测的定量一致性是有依据的</w:t>
        </w:r>
      </w:hyperlink>
    </w:p>
    <w:p>
      <w:pPr>
        <w:spacing w:before="0" w:after="80"/>
      </w:pPr>
      <w:r>
        <w:rPr>
          <w:i/>
          <w:sz w:val="20"/>
        </w:rPr>
        <w:t>EN: Reply to Godin-Beekmann et al.: Quantitative agreement between the CRE theory and spatiotemporal ozone observations is well founded</w:t>
      </w:r>
    </w:p>
    <w:p>
      <w:pPr>
        <w:spacing w:before="0" w:after="120"/>
      </w:pPr>
      <w:r>
        <w:rPr>
          <w:b/>
        </w:rPr>
        <w:t xml:space="preserve">Source: </w:t>
      </w:r>
      <w:r>
        <w:t>Proceedings of the National Academy of Sciences: Keyword search for query</w:t>
      </w:r>
      <w:r>
        <w:t xml:space="preserve">    </w:t>
      </w:r>
      <w:r>
        <w:rPr>
          <w:b/>
        </w:rPr>
        <w:t xml:space="preserve">Pub date: </w:t>
      </w:r>
      <w:r>
        <w:t>2026-04-06 07:00:00+00:00</w:t>
      </w:r>
      <w:r>
        <w:t xml:space="preserve">    </w:t>
      </w:r>
      <w:r>
        <w:rPr>
          <w:b/>
        </w:rPr>
        <w:t xml:space="preserve">DOI: </w:t>
      </w:r>
      <w:hyperlink r:id="rId362">
        <w:r>
          <w:rPr>
            <w:color w:val="1155CC"/>
            <w:u w:val="single"/>
          </w:rPr>
          <w:t>10.1073/pnas.2537183123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[109] </w:t>
      </w:r>
      <w:hyperlink r:id="rId363">
        <w:r>
          <w:rPr>
            <w:color w:val="1155CC"/>
            <w:u w:val="single"/>
          </w:rPr>
          <w:t>水力应力限制了树木在长期干旱下的热适应能力</w:t>
        </w:r>
      </w:hyperlink>
    </w:p>
    <w:p>
      <w:pPr>
        <w:spacing w:before="0" w:after="80"/>
      </w:pPr>
      <w:r>
        <w:rPr>
          <w:i/>
          <w:sz w:val="20"/>
        </w:rPr>
        <w:t>EN: Hydraulic stress limits thermal acclimation in trees under chronic drought</w:t>
      </w:r>
    </w:p>
    <w:p>
      <w:pPr>
        <w:spacing w:before="0" w:after="120"/>
      </w:pPr>
      <w:r>
        <w:rPr>
          <w:b/>
        </w:rPr>
        <w:t xml:space="preserve">Source: </w:t>
      </w:r>
      <w:r>
        <w:t>Proceedings of the National Academy of Sciences: Keyword search for query</w:t>
      </w:r>
      <w:r>
        <w:t xml:space="preserve">    </w:t>
      </w:r>
      <w:r>
        <w:rPr>
          <w:b/>
        </w:rPr>
        <w:t xml:space="preserve">Pub date: </w:t>
      </w:r>
      <w:r>
        <w:t>2026-04-06 07:00:00+00:00</w:t>
      </w:r>
      <w:r>
        <w:t xml:space="preserve">    </w:t>
      </w:r>
      <w:r>
        <w:rPr>
          <w:b/>
        </w:rPr>
        <w:t xml:space="preserve">DOI: </w:t>
      </w:r>
      <w:hyperlink r:id="rId364">
        <w:r>
          <w:rPr>
            <w:color w:val="1155CC"/>
            <w:u w:val="single"/>
          </w:rPr>
          <w:t>10.1073/pnas.2531865123</w:t>
        </w:r>
      </w:hyperlink>
    </w:p>
    <w:p>
      <w:pPr>
        <w:spacing w:before="0" w:after="120"/>
      </w:pPr>
      <w:r>
        <w:rPr>
          <w:b/>
        </w:rPr>
        <w:t xml:space="preserve">Notes: </w:t>
      </w:r>
      <w:r>
        <w:t>abstract_source=crossref</w:t>
      </w:r>
    </w:p>
    <w:p>
      <w:pPr>
        <w:spacing w:before="0" w:after="80" w:lineRule="auto" w:line="276"/>
      </w:pPr>
      <w:r>
        <w:rPr>
          <w:b/>
        </w:rPr>
        <w:t xml:space="preserve">摘要（ZH）: </w:t>
      </w:r>
      <w:r>
        <w:t>树木抵御日益加剧的高温干旱事件的能力取决于水力安全与叶片热调节之间的协调，但在慢性压力下这种协调的极限仍然知之甚少。在此，我们展示了5年的慢性土壤水分限制从根本上限制了叶片维持适当热调节的能力。我们专注于两种具有不同用水策略的温带树种，欧洲山毛榉（Fagus sylvatica）和绒毛栎（Quercus pubescens），它们经历了为期5年的土壤水分和空气温度操控，我们测试了驯化如何影响叶片热调节、水力安全边际（HSMs）、热安全边际。</w:t>
      </w:r>
    </w:p>
    <w:p>
      <w:pPr>
        <w:spacing w:before="0" w:after="200" w:lineRule="auto" w:line="276"/>
      </w:pPr>
      <w:r>
        <w:rPr>
          <w:b/>
        </w:rPr>
        <w:t xml:space="preserve">Abstract (EN): </w:t>
      </w:r>
      <w:r>
        <w:t>The capacity of trees to withstand intensifying hot drought events depends on the coordination between hydraulic safety and leaf thermoregulation, yet the limits of this coordination under chronic stress remain poorly understood. Here, we show that 5 y of chronic soil moisture limitation fundamentally constrains the capacity of leaves to maintain adequate thermoregulation. Focusing on two temperate tree species with contrasting water-use strategies, European beech (</w:t>
      </w:r>
      <w:r>
        <w:t xml:space="preserve"> </w:t>
      </w:r>
      <w:r>
        <w:t>Fagus sylvatica</w:t>
      </w:r>
      <w:r>
        <w:t xml:space="preserve"> </w:t>
      </w:r>
      <w:r>
        <w:t>) and downy oak (</w:t>
      </w:r>
      <w:r>
        <w:t xml:space="preserve"> </w:t>
      </w:r>
      <w:r>
        <w:t>Quercus pubescens</w:t>
      </w:r>
      <w:r>
        <w:t xml:space="preserve"> </w:t>
      </w:r>
      <w:r>
        <w:t>), which were subjected to a 5-y manipulation of soil moisture and air temperature, we tested how acclimation influences leaf thermoregulation, hydraulic safety margins (HSMs), thermal safety margins (TSMs), and leaf scorching. Under sustained heating with ample soil water availability, both species acclimated to maintain stable leaf temperature and positive TSMs despite warmer conditions, demonstrating that thermal acclimation is possible without hydraulic stress. By contrast, chronic soil drought narrowed HSMs and weakened evaporative cooling, reducing leaf thermoregulation capacity. When drought and heat co-occurred, stomatal closure triggered a runaway feedback loop: Impaired water transport led to loss of cooling, causing breaching of critical thermal thresholds. These events coincided with failures of photosystem II and scorching in drought-vulnerable beech, linking drought-induced stomatal limitation directly to thermal injury. Our results reveal that oak and beech can acclimate to warming alone, but not to simultaneous heat and drought, which together drive a hydraulic–thermal cascade exceeding both safety margins. This interaction sets fundamental limits on the resilience of temperate forests to future hot droughts.</w:t>
      </w:r>
    </w:p>
    <w:p>
      <w:pPr>
        <w:spacing w:before="120" w:after="120"/>
      </w:pPr>
      <w:r>
        <w:rPr>
          <w:sz w:val="18"/>
        </w:rPr>
        <w:t>——————————————————————————————————————————————————————————————————————</w:t>
      </w:r>
    </w:p>
    <w:p>
      <w:pPr>
        <w:spacing w:before="160" w:after="40" w:line="240" w:lineRule="auto"/>
      </w:pPr>
      <w:r>
        <w:rPr>
          <w:b/>
        </w:rPr>
        <w:t xml:space="preserve">[110] </w:t>
      </w:r>
      <w:hyperlink r:id="rId365">
        <w:r>
          <w:rPr>
            <w:color w:val="1155CC"/>
            <w:u w:val="single"/>
          </w:rPr>
          <w:t>全蛋白组预测结构域与肽基序之间的相互作用揭示了功能一致的子网络</w:t>
        </w:r>
      </w:hyperlink>
    </w:p>
    <w:p>
      <w:pPr>
        <w:spacing w:before="0" w:after="80"/>
      </w:pPr>
      <w:r>
        <w:rPr>
          <w:i/>
          <w:sz w:val="20"/>
        </w:rPr>
        <w:t>EN: Proteome-wide prediction of interactions between structured domains and peptide motifs reveals functionally coherent subnetworks</w:t>
      </w:r>
    </w:p>
    <w:p>
      <w:pPr>
        <w:spacing w:before="0" w:after="120"/>
      </w:pPr>
      <w:r>
        <w:rPr>
          <w:b/>
        </w:rPr>
        <w:t xml:space="preserve">Source: </w:t>
      </w:r>
      <w:r>
        <w:t>Proceedings of the National Academy of Sciences: Keyword search for query</w:t>
      </w:r>
      <w:r>
        <w:t xml:space="preserve">    </w:t>
      </w:r>
      <w:r>
        <w:rPr>
          <w:b/>
        </w:rPr>
        <w:t xml:space="preserve">Pub date: </w:t>
      </w:r>
      <w:r>
        <w:t>2026-04-06 07:00:00+00:00</w:t>
      </w:r>
      <w:r>
        <w:t xml:space="preserve">    </w:t>
      </w:r>
      <w:r>
        <w:rPr>
          <w:b/>
        </w:rPr>
        <w:t xml:space="preserve">DOI: </w:t>
      </w:r>
      <w:hyperlink r:id="rId366">
        <w:r>
          <w:rPr>
            <w:color w:val="1155CC"/>
            <w:u w:val="single"/>
          </w:rPr>
          <w:t>10.1073/pnas.2527957123</w:t>
        </w:r>
      </w:hyperlink>
    </w:p>
    <w:p>
      <w:pPr>
        <w:spacing w:before="0" w:after="120"/>
      </w:pPr>
      <w:r>
        <w:rPr>
          <w:b/>
        </w:rPr>
        <w:t xml:space="preserve">Notes: </w:t>
      </w:r>
      <w:r>
        <w:t>abstract_source=crossref</w:t>
      </w:r>
    </w:p>
    <w:p>
      <w:pPr>
        <w:spacing w:before="0" w:after="80" w:lineRule="auto" w:line="276"/>
      </w:pPr>
      <w:r>
        <w:rPr>
          <w:b/>
        </w:rPr>
        <w:t xml:space="preserve">摘要（ZH）: </w:t>
      </w:r>
      <w:r>
        <w:t>许多蛋白质-蛋白质相互作用（PPIs）是通过短线性基序（SLiMs）与肽识别域（PRDs）的结合介导的。在此，我们描述了PrePPI-SLiM，这是一种蛋白质组规模的计算管道，利用来自真核线性基序（ELM）数据库的数据来预测两个蛋白质是否会形成肽介导的复合物。ELM数据库定义了蛋白质-肽相互作用的类别，其中SLiMs由序列基序表示，PRDs由Pfam域表示。PrePPI-SLiM系统地评估蛋白质组内所有蛋白质的成对组合，并识别出在同一ELM类别中出现的PRD-SLiM对。这些证据与无序预测和基序的序列保守性一起被整合到一个朴素贝叶斯框架中，以分配一个可能性。</w:t>
      </w:r>
    </w:p>
    <w:p>
      <w:pPr>
        <w:spacing w:before="0" w:after="200" w:lineRule="auto" w:line="276"/>
      </w:pPr>
      <w:r>
        <w:rPr>
          <w:b/>
        </w:rPr>
        <w:t xml:space="preserve">Abstract (EN): </w:t>
      </w:r>
      <w:r>
        <w:t>Many protein–protein interactions (PPIs) are mediated by the binding of short linear motifs (SLiMs) to peptide recognition domains (PRDs). Here, we describe PrePPI-SLiM, a proteome-scale computational pipeline that leverages data from the Eukaryotic Linear Motif (ELM) database to predict whether two proteins will form a peptide-mediated complex. The ELM database defines classes of protein–peptide interactions with SLiMs represented by sequence motifs and PRDs represented by Pfam domains. PrePPI-SLiM systematically evaluates all pairwise combinations of proteins within a proteome and identifies PRD–SLiM pairs that occur in the same ELM class. This evidence together with disorder prediction and sequence conservation of the motif are integrated in a naïve Bayes framework to assign a likelihood for complex formation. To obtain potential PDB templates for atomistic models of PrePPI–SLiM interactions, we associate individual PPI predictions with homologous PDB complexes involving the same PRD Pfam domain and SLIM, and obtain PDB templates for 92% of our high-confidence predictions. Moreover, studies with AF3Complex suggest that prior knowledge of the interacting PRD and SLiM, as provided here, is a critical starting point for creating a 3D model of the specific sequences of the PRD and SLiM query proteins. Finally, we demonstrate that clustering of the high-confidence PrePPI-SLiM interactome yields functionally coherent PPI networks that reveal mechanistic insights into cellular processes. The PrePPI webserver provides convenient access to high-confidence PrePPI-SLiM predictions, PDB templates for modeling, and functional networks.</w:t>
      </w:r>
    </w:p>
    <w:p>
      <w:pPr>
        <w:spacing w:before="120" w:after="120"/>
      </w:pPr>
      <w:r>
        <w:rPr>
          <w:sz w:val="18"/>
        </w:rPr>
        <w:t>——————————————————————————————————————————————————————————————————————</w:t>
      </w:r>
    </w:p>
    <w:p>
      <w:pPr>
        <w:spacing w:before="160" w:after="40" w:line="240" w:lineRule="auto"/>
      </w:pPr>
      <w:r>
        <w:rPr>
          <w:b/>
        </w:rPr>
        <w:t xml:space="preserve">[111] </w:t>
      </w:r>
      <w:hyperlink r:id="rId367">
        <w:r>
          <w:rPr>
            <w:color w:val="1155CC"/>
            <w:u w:val="single"/>
          </w:rPr>
          <w:t>Lazzaroni等人的更正，狼在扩展到城市景观时对人类线索的反应不同</w:t>
        </w:r>
      </w:hyperlink>
    </w:p>
    <w:p>
      <w:pPr>
        <w:spacing w:before="0" w:after="80"/>
      </w:pPr>
      <w:r>
        <w:rPr>
          <w:i/>
          <w:sz w:val="20"/>
        </w:rPr>
        <w:t>EN: Correction for Lazzaroni et al., Wolves respond differently to human cues as they expand into urban landscapes</w:t>
      </w:r>
    </w:p>
    <w:p>
      <w:pPr>
        <w:spacing w:before="0" w:after="120"/>
      </w:pPr>
      <w:r>
        <w:rPr>
          <w:b/>
        </w:rPr>
        <w:t xml:space="preserve">Source: </w:t>
      </w:r>
      <w:r>
        <w:t>Proceedings of the National Academy of Sciences: Keyword search for query</w:t>
      </w:r>
      <w:r>
        <w:t xml:space="preserve">    </w:t>
      </w:r>
      <w:r>
        <w:rPr>
          <w:b/>
        </w:rPr>
        <w:t xml:space="preserve">Pub date: </w:t>
      </w:r>
      <w:r>
        <w:t>2026-04-06 07:00:00+00:00</w:t>
      </w:r>
      <w:r>
        <w:t xml:space="preserve">    </w:t>
      </w:r>
      <w:r>
        <w:rPr>
          <w:b/>
        </w:rPr>
        <w:t xml:space="preserve">DOI: </w:t>
      </w:r>
      <w:hyperlink r:id="rId368">
        <w:r>
          <w:rPr>
            <w:color w:val="1155CC"/>
            <w:u w:val="single"/>
          </w:rPr>
          <w:t>10.1073/pnas.2609972123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[112] </w:t>
      </w:r>
      <w:hyperlink r:id="rId369">
        <w:r>
          <w:rPr>
            <w:color w:val="1155CC"/>
            <w:u w:val="single"/>
          </w:rPr>
          <w:t>与山下幸子的问答</w:t>
        </w:r>
      </w:hyperlink>
    </w:p>
    <w:p>
      <w:pPr>
        <w:spacing w:before="0" w:after="80"/>
      </w:pPr>
      <w:r>
        <w:rPr>
          <w:i/>
          <w:sz w:val="20"/>
        </w:rPr>
        <w:t>EN: QnAs with Yukiko Yamashita</w:t>
      </w:r>
    </w:p>
    <w:p>
      <w:pPr>
        <w:spacing w:before="0" w:after="120"/>
      </w:pPr>
      <w:r>
        <w:rPr>
          <w:b/>
        </w:rPr>
        <w:t xml:space="preserve">Source: </w:t>
      </w:r>
      <w:r>
        <w:t>Proceedings of the National Academy of Sciences: Keyword search for query</w:t>
      </w:r>
      <w:r>
        <w:t xml:space="preserve">    </w:t>
      </w:r>
      <w:r>
        <w:rPr>
          <w:b/>
        </w:rPr>
        <w:t xml:space="preserve">Pub date: </w:t>
      </w:r>
      <w:r>
        <w:t>2026-04-06 07:00:00+00:00</w:t>
      </w:r>
      <w:r>
        <w:t xml:space="preserve">    </w:t>
      </w:r>
      <w:r>
        <w:rPr>
          <w:b/>
        </w:rPr>
        <w:t xml:space="preserve">DOI: </w:t>
      </w:r>
      <w:hyperlink r:id="rId370">
        <w:r>
          <w:rPr>
            <w:color w:val="1155CC"/>
            <w:u w:val="single"/>
          </w:rPr>
          <w:t>10.1073/pnas.2608498123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[113] </w:t>
      </w:r>
      <w:hyperlink r:id="rId371">
        <w:r>
          <w:rPr>
            <w:color w:val="1155CC"/>
            <w:u w:val="single"/>
          </w:rPr>
          <w:t>像细菌一样合作的昆虫</w:t>
        </w:r>
      </w:hyperlink>
    </w:p>
    <w:p>
      <w:pPr>
        <w:spacing w:before="0" w:after="80"/>
      </w:pPr>
      <w:r>
        <w:rPr>
          <w:i/>
          <w:sz w:val="20"/>
        </w:rPr>
        <w:t>EN: An insect that cooperates like bacteria</w:t>
      </w:r>
    </w:p>
    <w:p>
      <w:pPr>
        <w:spacing w:before="0" w:after="120"/>
      </w:pPr>
      <w:r>
        <w:rPr>
          <w:b/>
        </w:rPr>
        <w:t xml:space="preserve">Source: </w:t>
      </w:r>
      <w:r>
        <w:t>Proceedings of the National Academy of Sciences: Keyword search for query</w:t>
      </w:r>
      <w:r>
        <w:t xml:space="preserve">    </w:t>
      </w:r>
      <w:r>
        <w:rPr>
          <w:b/>
        </w:rPr>
        <w:t xml:space="preserve">Pub date: </w:t>
      </w:r>
      <w:r>
        <w:t>2026-04-06 07:00:00+00:00</w:t>
      </w:r>
      <w:r>
        <w:t xml:space="preserve">    </w:t>
      </w:r>
      <w:r>
        <w:rPr>
          <w:b/>
        </w:rPr>
        <w:t xml:space="preserve">DOI: </w:t>
      </w:r>
      <w:hyperlink r:id="rId372">
        <w:r>
          <w:rPr>
            <w:color w:val="1155CC"/>
            <w:u w:val="single"/>
          </w:rPr>
          <w:t>10.1073/pnas.2605413123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[114] </w:t>
      </w:r>
      <w:hyperlink r:id="rId373">
        <w:r>
          <w:rPr>
            <w:color w:val="1155CC"/>
            <w:u w:val="single"/>
          </w:rPr>
          <w:t>植物化学防御中的结构创新和灵活性</w:t>
        </w:r>
      </w:hyperlink>
    </w:p>
    <w:p>
      <w:pPr>
        <w:spacing w:before="0" w:after="80"/>
      </w:pPr>
      <w:r>
        <w:rPr>
          <w:i/>
          <w:sz w:val="20"/>
        </w:rPr>
        <w:t>EN: Structural innovation and flexibility in plant chemical defenses</w:t>
      </w:r>
    </w:p>
    <w:p>
      <w:pPr>
        <w:spacing w:before="0" w:after="120"/>
      </w:pPr>
      <w:r>
        <w:rPr>
          <w:b/>
        </w:rPr>
        <w:t xml:space="preserve">Source: </w:t>
      </w:r>
      <w:r>
        <w:t>Proceedings of the National Academy of Sciences: Keyword search for query</w:t>
      </w:r>
      <w:r>
        <w:t xml:space="preserve">    </w:t>
      </w:r>
      <w:r>
        <w:rPr>
          <w:b/>
        </w:rPr>
        <w:t xml:space="preserve">Pub date: </w:t>
      </w:r>
      <w:r>
        <w:t>2026-04-06 07:00:00+00:00</w:t>
      </w:r>
      <w:r>
        <w:t xml:space="preserve">    </w:t>
      </w:r>
      <w:r>
        <w:rPr>
          <w:b/>
        </w:rPr>
        <w:t xml:space="preserve">DOI: </w:t>
      </w:r>
      <w:hyperlink r:id="rId374">
        <w:r>
          <w:rPr>
            <w:color w:val="1155CC"/>
            <w:u w:val="single"/>
          </w:rPr>
          <w:t>10.1073/pnas.2606250123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[115] </w:t>
      </w:r>
      <w:hyperlink r:id="rId375">
        <w:r>
          <w:rPr>
            <w:color w:val="1155CC"/>
            <w:u w:val="single"/>
          </w:rPr>
          <w:t>[ASAP] 将二茂铁单元定制为原子精确的Cu11簇以促进氧还原为H2O2</w:t>
        </w:r>
      </w:hyperlink>
    </w:p>
    <w:p>
      <w:pPr>
        <w:spacing w:before="0" w:after="80"/>
      </w:pPr>
      <w:r>
        <w:rPr>
          <w:i/>
          <w:sz w:val="20"/>
        </w:rPr>
        <w:t>EN: [ASAP] Customizing Ferrocene Units into Atomically Precise Cu11 Clusters for Boosting Oxygen Reduction to H2O2</w:t>
      </w:r>
    </w:p>
    <w:p>
      <w:pPr>
        <w:spacing w:before="0" w:after="120"/>
      </w:pPr>
      <w:r>
        <w:rPr>
          <w:b/>
        </w:rPr>
        <w:t xml:space="preserve">Source: </w:t>
      </w:r>
      <w:r>
        <w:t>Journal of the American Chemical Society: Latest Articles (ACS Publications)</w:t>
      </w:r>
      <w:r>
        <w:t xml:space="preserve">    </w:t>
      </w:r>
      <w:r>
        <w:rPr>
          <w:b/>
        </w:rPr>
        <w:t xml:space="preserve">Pub date: </w:t>
      </w:r>
      <w:r>
        <w:t>2026-04-06 08:21:17+00:00</w:t>
      </w:r>
      <w:r>
        <w:t xml:space="preserve">    </w:t>
      </w:r>
      <w:r>
        <w:rPr>
          <w:b/>
        </w:rPr>
        <w:t xml:space="preserve">DOI: </w:t>
      </w:r>
      <w:hyperlink r:id="rId376">
        <w:r>
          <w:rPr>
            <w:color w:val="1155CC"/>
            <w:u w:val="single"/>
          </w:rPr>
          <w:t>10.1021/jacs.5c16073</w:t>
        </w:r>
      </w:hyperlink>
    </w:p>
    <w:p>
      <w:pPr>
        <w:spacing w:before="0" w:after="120"/>
      </w:pPr>
      <w:r>
        <w:rPr>
          <w:b/>
        </w:rPr>
        <w:t xml:space="preserve">Notes: </w:t>
      </w:r>
      <w:r>
        <w:t>abstract_source=pubmed</w:t>
      </w:r>
    </w:p>
    <w:p>
      <w:pPr>
        <w:spacing w:before="0" w:after="80" w:lineRule="auto" w:line="276"/>
      </w:pPr>
      <w:r>
        <w:rPr>
          <w:b/>
        </w:rPr>
        <w:t xml:space="preserve">摘要（ZH）: </w:t>
      </w:r>
      <w:r>
        <w:t>将有机金属化合物精确整合到原子级定义的铜簇中，对于提升催化性能和揭示详细的结构-活性关系具有巨大潜力。在此，我们首次成功合成了原子精确的铜簇（Cu11-DPPF，DPPF = 1,1-二(二苯基膦)二茂铁），通过使用DPPF和环己烷硫醇作为共配体，通过一种简单、可扩展且多功能的合成策略，这种策略也适用于合成其类似物Cu11-DPPM（DPPM = 二(二苯基膦)甲烷）和Cu11-DPPE（DPPE = 1,2-二(二苯基膦)乙烷）簇。所有三个Cu11簇都表现出类似的结构特征，如三叶草状的旋转组装，包含三个融合的蝴蝶形C</w:t>
      </w:r>
    </w:p>
    <w:p>
      <w:pPr>
        <w:spacing w:before="0" w:after="200" w:lineRule="auto" w:line="276"/>
      </w:pPr>
      <w:r>
        <w:rPr>
          <w:b/>
        </w:rPr>
        <w:t xml:space="preserve">Abstract (EN): </w:t>
      </w:r>
      <w:r>
        <w:t>Precisely integrating an organometallic compound into atomically defined copper clusters holds great promise for boosting catalytic performance and uncovering detailed structure-activity relationships. Herein, we report the first successful synthesis of atomically precise copper clusters (Cu11-DPPF, DPPF = 1,1-bis(diphenylphosphino)ferrocene) carrying ferrocene units using DPPF and cyclohexanethiol as coligands through a straightforward, scalable, and versatile synthetic strategy, which is also applicable to synthesize its analogous Cu11-DPPM (DPPM = bis(diphenylphosphino)methane) and Cu11-DPPE (DPPE = 1,2-bis(diphenylphosphino)ethane) clusters. All three Cu11 clusters exhibit a similar structural feature like a cloverleaf-like rotational assembly, comprising three fused butterfly-shaped Cu5S7P2 subunits. Among them, Cu11-DPPF exhibits superior catalytic performance in the two-electron oxygen reduction reaction (2e- ORR), achieving H2O2 selectivity exceeding 97.5% within the whole potential range of 0.35 to 0.55 V versus the reversible hydrogen electrode (RHE), fully deserving to be called the optimal 2e- ORR catalyst in the metal cluster community. DFT simulations, in conjunction with multiple characterization techniques such as operando infrared spectroscopy and X-ray absorption fine structure spectroscopy, reveal that the introduction of ferrocene units in Cu11 clusters facilitates favorable electron redistribution, which optimizes the adsorption of OOH* in the rate-determining step, thereby promoting efficient conversion of OOH* to H2O2. The practical efficacy of Cu11-DPPF is further demonstrated in Fenton-like reactions for hydroxyl radical-initiated pollutant degradation via in situ H2O2 generation. This work provides crucial insights into the design of atomically precise ferrocene-functionalized copper cluster hybrid catalysts and deepens our understanding of their structure-activity relationships in 2e- ORR pathways for H2O2 production.</w:t>
      </w:r>
    </w:p>
    <w:p>
      <w:pPr>
        <w:spacing w:before="120" w:after="120"/>
      </w:pPr>
      <w:r>
        <w:rPr>
          <w:sz w:val="18"/>
        </w:rPr>
        <w:t>——————————————————————————————————————————————————————————————————————</w:t>
      </w:r>
    </w:p>
    <w:p>
      <w:pPr>
        <w:spacing w:before="160" w:after="40" w:line="240" w:lineRule="auto"/>
      </w:pPr>
      <w:r>
        <w:rPr>
          <w:b/>
        </w:rPr>
        <w:t xml:space="preserve">[116] </w:t>
      </w:r>
      <w:hyperlink r:id="rId377">
        <w:r>
          <w:rPr>
            <w:color w:val="1155CC"/>
            <w:u w:val="single"/>
          </w:rPr>
          <w:t>[ASAP] 手性吡哆醛实现了α-取代色氨酸衍生物的高效对映选择性合成</w:t>
        </w:r>
      </w:hyperlink>
    </w:p>
    <w:p>
      <w:pPr>
        <w:spacing w:before="0" w:after="80"/>
      </w:pPr>
      <w:r>
        <w:rPr>
          <w:i/>
          <w:sz w:val="20"/>
        </w:rPr>
        <w:t>EN: [ASAP] Chiral Pyridoxals Enabled Efficient Enantioselective Synthesis of α-Substituted Tryptophan Derivatives</w:t>
      </w:r>
    </w:p>
    <w:p>
      <w:pPr>
        <w:spacing w:before="0" w:after="120"/>
      </w:pPr>
      <w:r>
        <w:rPr>
          <w:b/>
        </w:rPr>
        <w:t xml:space="preserve">Source: </w:t>
      </w:r>
      <w:r>
        <w:t>Journal of the American Chemical Society: Latest Articles (ACS Publications)</w:t>
      </w:r>
      <w:r>
        <w:t xml:space="preserve">    </w:t>
      </w:r>
      <w:r>
        <w:rPr>
          <w:b/>
        </w:rPr>
        <w:t xml:space="preserve">Pub date: </w:t>
      </w:r>
      <w:r>
        <w:t>2026-04-06 09:10:29+00:00</w:t>
      </w:r>
      <w:r>
        <w:t xml:space="preserve">    </w:t>
      </w:r>
      <w:r>
        <w:rPr>
          <w:b/>
        </w:rPr>
        <w:t xml:space="preserve">DOI: </w:t>
      </w:r>
      <w:hyperlink r:id="rId378">
        <w:r>
          <w:rPr>
            <w:color w:val="1155CC"/>
            <w:u w:val="single"/>
          </w:rPr>
          <w:t>10.1021/jacs.6c03032</w:t>
        </w:r>
      </w:hyperlink>
    </w:p>
    <w:p>
      <w:pPr>
        <w:spacing w:before="0" w:after="120"/>
      </w:pPr>
      <w:r>
        <w:rPr>
          <w:b/>
        </w:rPr>
        <w:t xml:space="preserve">Notes: </w:t>
      </w:r>
      <w:r>
        <w:t>abstract_source=pubmed</w:t>
      </w:r>
    </w:p>
    <w:p>
      <w:pPr>
        <w:spacing w:before="0" w:after="80" w:lineRule="auto" w:line="276"/>
      </w:pPr>
      <w:r>
        <w:rPr>
          <w:b/>
        </w:rPr>
        <w:t xml:space="preserve">摘要（ZH）: </w:t>
      </w:r>
      <w:r>
        <w:t>色氨酸衍生物在化学生物学和药物化学中代表了特权的分子结构。尽管已投入大量努力进行多样化，但具有α-季碳立体中心的色氨酸类似物是高度生物活性的，但在合成上具有挑战性。直接和模块化地结合基于吲哚的亲电模板与未保护的氨基酸亲核体将提供一种极其高效的方法来合成这种α-季碳色氨酸衍生物。在此，我们报告了一种轴向手性吡哆醛催化的对映选择性共轭加成反应，该反应在吲哚烯基亚胺亲电体和未保护的α-取代甘氨酸酯之间形成关键的C-C键。在温和条件下，这种有机催化协议提供了st</w:t>
      </w:r>
    </w:p>
    <w:p>
      <w:pPr>
        <w:spacing w:before="0" w:after="200" w:lineRule="auto" w:line="276"/>
      </w:pPr>
      <w:r>
        <w:rPr>
          <w:b/>
        </w:rPr>
        <w:t xml:space="preserve">Abstract (EN): </w:t>
      </w:r>
      <w:r>
        <w:t>Tryptophan derivatives represent privileged molecular architectures in chemical biology and medicinal chemistry. Although extensive efforts have been devoted to their diversification, tryptophan analogues bearing an α-quaternary stereogenic center are highly bioactive yet synthetically challenging subclass. The direct and modular union of an indole-based electrophilic template with an N-unprotected amino acid nucleophile would provide an exceptionally efficient approach to such α-quaternary tryptophan derivatives. Here we report an axially chiral pyridoxal-catalyzed, enantioselective conjugate addition that forges the key C-C bond between indolenyl vinylogous imino electrophiles and N-unprotected α-substituted glycine esters. Under mild conditions, this organocatalytic protocol delivers structurally diverse α-quaternary tryptophan derivatives in up to 94% yield and 99% ee, and exhibits broad tolerance toward indole ring substitution as well as α-alkyl substituted glycinates. This carbonyl catalysis strategy establishes a modular and efficient platform for accessing α-quaternary tryptophan derivatives, underscoring the unique capability of carbonyl catalysis in the synthesis of structurally complex chiral amine compounds.</w:t>
      </w:r>
    </w:p>
    <w:p>
      <w:pPr>
        <w:spacing w:before="120" w:after="120"/>
      </w:pPr>
      <w:r>
        <w:rPr>
          <w:sz w:val="18"/>
        </w:rPr>
        <w:t>——————————————————————————————————————————————————————————————————————</w:t>
      </w:r>
    </w:p>
    <w:p>
      <w:pPr>
        <w:spacing w:before="160" w:after="40" w:line="240" w:lineRule="auto"/>
      </w:pPr>
      <w:r>
        <w:rPr>
          <w:b/>
        </w:rPr>
        <w:t xml:space="preserve">[117] </w:t>
      </w:r>
      <w:hyperlink r:id="rId379">
        <w:r>
          <w:rPr>
            <w:color w:val="1155CC"/>
            <w:u w:val="single"/>
          </w:rPr>
          <w:t>刺激响应型倍半硅氧烷纳米酶用于水中有机催化和细胞内前药激活</w:t>
        </w:r>
      </w:hyperlink>
    </w:p>
    <w:p>
      <w:pPr>
        <w:spacing w:before="0" w:after="80"/>
      </w:pPr>
      <w:r>
        <w:rPr>
          <w:i/>
          <w:sz w:val="20"/>
        </w:rPr>
        <w:t>EN: Stimuli‐Responsive Silsesquioxane Nanozymes for Organocatalysis in Water and Prodrug Activation in Cells</w:t>
      </w:r>
    </w:p>
    <w:p>
      <w:pPr>
        <w:spacing w:before="0" w:after="120"/>
      </w:pPr>
      <w:r>
        <w:rPr>
          <w:b/>
        </w:rPr>
        <w:t xml:space="preserve">Source: </w:t>
      </w:r>
      <w:r>
        <w:t>Wiley: Angewandte Chemie International Edition: Table of Contents</w:t>
      </w:r>
      <w:r>
        <w:t xml:space="preserve">    </w:t>
      </w:r>
      <w:r>
        <w:rPr>
          <w:b/>
        </w:rPr>
        <w:t xml:space="preserve">Pub date: </w:t>
      </w:r>
      <w:r>
        <w:t>2026-04-06 09:13:51+00:00</w:t>
      </w:r>
      <w:r>
        <w:t xml:space="preserve">    </w:t>
      </w:r>
      <w:r>
        <w:rPr>
          <w:b/>
        </w:rPr>
        <w:t xml:space="preserve">DOI: </w:t>
      </w:r>
      <w:hyperlink r:id="rId380">
        <w:r>
          <w:rPr>
            <w:color w:val="1155CC"/>
            <w:u w:val="single"/>
          </w:rPr>
          <w:t>10.1002/anie.8446184</w:t>
        </w:r>
      </w:hyperlink>
    </w:p>
    <w:p>
      <w:pPr>
        <w:spacing w:before="0" w:after="120"/>
      </w:pPr>
      <w:r>
        <w:rPr>
          <w:b/>
        </w:rPr>
        <w:t xml:space="preserve">Notes: </w:t>
      </w:r>
      <w:r>
        <w:t>abstract_source=crossref</w:t>
      </w:r>
    </w:p>
    <w:p>
      <w:pPr>
        <w:spacing w:before="0" w:after="80" w:lineRule="auto" w:line="276"/>
      </w:pPr>
      <w:r>
        <w:rPr>
          <w:b/>
        </w:rPr>
        <w:t xml:space="preserve">摘要（ZH）: </w:t>
      </w:r>
      <w:r>
        <w:t>合成纳米酶作为天然酶在催化和治疗应用中的有前途的替代品出现，但其有限的稳定性、水相兼容性和催化范围阻碍了更广泛的利用。在此，我们报告了一种温和的一步溶胶-凝胶合成方法，产生了超小的水稳定的八氨基倍半硅氧烷，作为无金属纳米酶。这些极简的纳米结构在水中表现出醛缩酶样有机催化活性，并通过特定化学输入触发的可逆超分子聚集和解聚，实现催化的动态、刺激响应调节，从而形成一个可调节催化和生物医学应用的多功能平台。结构简单、稳定性和功能ve</w:t>
      </w:r>
    </w:p>
    <w:p>
      <w:pPr>
        <w:spacing w:before="0" w:after="200" w:lineRule="auto" w:line="276"/>
      </w:pPr>
      <w:r>
        <w:rPr>
          <w:b/>
        </w:rPr>
        <w:t xml:space="preserve">Abstract (EN): </w:t>
      </w:r>
      <w:r>
        <w:t>Synthetic nanozymes have emerged as promising alternatives to natural enzymes for catalytic and therapeutic applications, yet their limited stability, aqueous compatibility, and catalytic scope impede broader utilization. Here, we report a mild, one‐step sol–gel synthesis that yields ultrasmall, water‐stable octa‐amino silsesquioxanes functioning as metal‐free nanozymes. These minimalistic nanostructures exhibit aldolase‐like organocatalytic activity in water and enable dynamic, stimuli‐responsive modulation of catalysis through reversible supramolecular aggregation and disaggregation triggered by specific chemical inputs, thus forming a multifunctional platform for tunable catalysis and biomedical applications. Structural simplicity, stability, and functional versatility together permit tunable, enzyme‐like catalysis in water without auxiliary surfactants or phase‐transfer additives. Furthermore, the nanozymes display high biocompatibility and efficient cellular internalization, enabling their use in living cells, for instance, as intracellular prodrug activators via retro‐aldol activation of a doxorubicin prodrug in human glioblastoma and metastatic melanoma cells, resulting in selective cytotoxicity. This system provides a cost‐effective, sustainable, and scalable platform for water‐compatible, metal‐free organocatalysis that bridges abiotic catalysis and biological function. These findings demonstrate how rationally designed silsesquioxane frameworks can emulate natural enzyme reactivity while integrating adaptive, stimuli‐responsive behavior, broadening the applicability of synthetic nanozymes to catalytic and therapeutic contexts.</w:t>
      </w:r>
    </w:p>
    <w:p>
      <w:pPr>
        <w:spacing w:before="120" w:after="120"/>
      </w:pPr>
      <w:r>
        <w:rPr>
          <w:sz w:val="18"/>
        </w:rPr>
        <w:t>——————————————————————————————————————————————————————————————————————</w:t>
      </w:r>
    </w:p>
    <w:p>
      <w:pPr>
        <w:spacing w:before="160" w:after="40" w:line="240" w:lineRule="auto"/>
      </w:pPr>
      <w:r>
        <w:rPr>
          <w:b/>
        </w:rPr>
        <w:t xml:space="preserve">[118] </w:t>
      </w:r>
      <w:hyperlink r:id="rId381">
        <w:r>
          <w:rPr>
            <w:color w:val="1155CC"/>
            <w:u w:val="single"/>
          </w:rPr>
          <w:t>4-二甲氨基苯酚：针对缺血性中风的PSD95 GK结构域的小分子PPI抑制剂</w:t>
        </w:r>
      </w:hyperlink>
    </w:p>
    <w:p>
      <w:pPr>
        <w:spacing w:before="0" w:after="80"/>
      </w:pPr>
      <w:r>
        <w:rPr>
          <w:i/>
          <w:sz w:val="20"/>
        </w:rPr>
        <w:t>EN: 4‐Dimethylaminophenol: A ‘Smaller’‐Molecule PPI Inhibitor Targeting the PSD95 GK Domain Against Ischemic Stroke</w:t>
      </w:r>
    </w:p>
    <w:p>
      <w:pPr>
        <w:spacing w:before="0" w:after="120"/>
      </w:pPr>
      <w:r>
        <w:rPr>
          <w:b/>
        </w:rPr>
        <w:t xml:space="preserve">Source: </w:t>
      </w:r>
      <w:r>
        <w:t>Wiley: Angewandte Chemie International Edition: Table of Contents</w:t>
      </w:r>
      <w:r>
        <w:t xml:space="preserve">    </w:t>
      </w:r>
      <w:r>
        <w:rPr>
          <w:b/>
        </w:rPr>
        <w:t xml:space="preserve">Pub date: </w:t>
      </w:r>
      <w:r>
        <w:t>2026-04-06 09:21:03+00:00</w:t>
      </w:r>
      <w:r>
        <w:t xml:space="preserve">    </w:t>
      </w:r>
      <w:r>
        <w:rPr>
          <w:b/>
        </w:rPr>
        <w:t xml:space="preserve">DOI: </w:t>
      </w:r>
      <w:hyperlink r:id="rId382">
        <w:r>
          <w:rPr>
            <w:color w:val="1155CC"/>
            <w:u w:val="single"/>
          </w:rPr>
          <w:t>10.1002/anie.4654079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蛋白质-蛋白质相互作用（PPIs）是具有挑战性但有前景的治疗靶点。本研究从基于片段的库中鉴定出4-二甲氨基苯酚，这是一种超低分子量化合物（137 Da），作为一种新型PPI抑制剂，靶向突触后密度蛋白95（PSD95）的鸟苷酸激酶样（GK）结构域。通过X射线晶体学确认了4-二甲氨基苯酚与PSD95 GK的直接结合。重要的是，我们发现了PSD95 GK结构域与神经元一氧化氮合酶（nNOS）之间一种先前未知的PDZ非依赖性相互作用。4-二甲氨基苯酚抑制了这种PSD95/nNOS相互作用，减少了一氧化氮（NO）的过度产生和神经元兴奋毒性，从而在体外和体内发挥了神经保护作用。此外</w:t>
      </w:r>
    </w:p>
    <w:p>
      <w:pPr>
        <w:spacing w:before="0" w:after="200" w:lineRule="auto" w:line="276"/>
      </w:pPr>
      <w:r>
        <w:rPr>
          <w:b/>
        </w:rPr>
        <w:t xml:space="preserve">Abstract (EN): </w:t>
      </w:r>
      <w:r>
        <w:t>Protein–protein interactions (PPIs) represent challenging yet promising therapeutic targets. This study identifies 4‐dimethylaminophenol, an ultralow molecular weight compound (137 Da) from a fragment‐based library, as a novel PPI inhibitor targeting the Guanylate Kinase‐like (GK) domain of postsynaptic density protein 95 (PSD95). The direct binding of 4‐dimethylaminophenol with PSD95 GK was confirmed by X‐ray crystallography. Crucially, we uncovered a previously unknown PDZ‐independent interaction between the PSD95 GK domain and neuronal nitric oxide synthase (nNOS). 4‐Dimethylaminophenol inhibited this PSD95/nNOS interaction, reducing nitric oxide (NO) overproduction and neuronal excitotoxicity, thus exerted neuroprotective effects in vitro and in vivo. Moreover, structure–activity relationship (SAR) study showed that the phenolic hydroxyl and dimethylamino groups were crucial to the activity, and the introduction of ortho‐halogen substitution could enhance binding affinity. Leveraging its established clinical application as a cyanide antidote, low molecular weight, blood–brain barrier permeability (BBB) and proven neuroprotection, 4‐dimethylaminophenol presents a promising neuroprotective lead for drug discovery targeting ischemic stroke. The study also highlights the potential of the smaller molecules as PPI inhibitors, offering new insights into drug development of small‐molecule PPIs.</w:t>
      </w:r>
    </w:p>
    <w:p>
      <w:pPr>
        <w:spacing w:before="120" w:after="120"/>
      </w:pPr>
      <w:r>
        <w:rPr>
          <w:sz w:val="18"/>
        </w:rPr>
        <w:t>——————————————————————————————————————————————————————————————————————</w:t>
      </w:r>
    </w:p>
    <w:p>
      <w:pPr>
        <w:spacing w:before="160" w:after="40" w:line="240" w:lineRule="auto"/>
      </w:pPr>
      <w:r>
        <w:rPr>
          <w:b/>
        </w:rPr>
        <w:t xml:space="preserve">[119] </w:t>
      </w:r>
      <w:hyperlink r:id="rId383">
        <w:r>
          <w:rPr>
            <w:color w:val="1155CC"/>
            <w:u w:val="single"/>
          </w:rPr>
          <w:t>电荷可调的致密双原子纳米酶通过多酶模拟催化重编程生物硫醇代谢以协同诱导铁死亡和二硫化物死亡</w:t>
        </w:r>
      </w:hyperlink>
    </w:p>
    <w:p>
      <w:pPr>
        <w:spacing w:before="0" w:after="80"/>
      </w:pPr>
      <w:r>
        <w:rPr>
          <w:i/>
          <w:sz w:val="20"/>
        </w:rPr>
        <w:t>EN: Charge‐Tunable Dense Dual‐Atom Nanozymes Reprogram Biothiol Metabolism Through Multi‐Enzyme‐Mimetic Catalysis to Synergistically Induce Ferroptosis and Disulfidptosis</w:t>
      </w:r>
    </w:p>
    <w:p>
      <w:pPr>
        <w:spacing w:before="0" w:after="120"/>
      </w:pPr>
      <w:r>
        <w:rPr>
          <w:b/>
        </w:rPr>
        <w:t xml:space="preserve">Source: </w:t>
      </w:r>
      <w:r>
        <w:t>Wiley: Angewandte Chemie International Edition: Table of Contents</w:t>
      </w:r>
      <w:r>
        <w:t xml:space="preserve">    </w:t>
      </w:r>
      <w:r>
        <w:rPr>
          <w:b/>
        </w:rPr>
        <w:t xml:space="preserve">Pub date: </w:t>
      </w:r>
      <w:r>
        <w:t>2026-04-06 09:26:54+00:00</w:t>
      </w:r>
      <w:r>
        <w:t xml:space="preserve">    </w:t>
      </w:r>
      <w:r>
        <w:rPr>
          <w:b/>
        </w:rPr>
        <w:t xml:space="preserve">DOI: </w:t>
      </w:r>
      <w:hyperlink r:id="rId384">
        <w:r>
          <w:rPr>
            <w:color w:val="1155CC"/>
            <w:u w:val="single"/>
          </w:rPr>
          <w:t>10.1002/anie.202524634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生物硫醇在维持细胞氧化还原稳态、协调程序性细胞死亡途径和调节免疫反应中起着关键作用。因此，重新编程肿瘤细胞中的生物硫醇代谢是增强抗肿瘤免疫的一个有前景的策略。在此，我们报告了一种密集可及的异核Fe/Co双原子纳米酶（FeCo DDA）的合理设计，该纳米酶通过协调高密度的Fe和Co活性中心来模拟天然黄素酶，以调节生物硫醇代谢并诱导细胞内二硫化物积累。密集的异核双原子催化中心（Fe和Co的质量分数分别为10.35%和11.32%）通过调整电子重新分布来优化Bader电荷和d带中心，使其具有优良的催化性能。</w:t>
      </w:r>
    </w:p>
    <w:p>
      <w:pPr>
        <w:spacing w:before="0" w:after="200" w:lineRule="auto" w:line="276"/>
      </w:pPr>
      <w:r>
        <w:rPr>
          <w:b/>
        </w:rPr>
        <w:t xml:space="preserve">Abstract (EN): </w:t>
      </w:r>
      <w:r>
        <w:t>Biothiols play a pivotal role in maintaining cellular redox homeostasis, coordinating programmed cell death pathways, and modulating immune responses. Reprogramming biothiol metabolism in tumor cells thus presents a promising strategy for enhancing anti‐tumor immunity. Here, we report the rational design of a densely accessible heteronuclear Fe/Co dual‐atom nanozyme (FeCo DDA), which mimics natural flavoenzymes by coordinating high‐density Fe and Co active centers to regulate biothiol metabolism and induce intracellular disulfide accumulation. The dense heteronuclear diatomic catalytic center (with Fe and Co mass fractions of 10.35% and 11.32%, respectively) optimizes the Bader charge and d‐band center by adjusting electron redistribution, endowing it with excellent mimetic enzymatic activities for catalyzing the oxidation of biothiols to disrupt the homeostasis of tumor cells. Simultaneously, co‐loaded phlorizin inhibits glucose uptake, further driving compensatory cystine accumulation and disrupting glutathione biosynthesis. This dual action synergistically induces ferroptosis‐enhanced disulfidptosis, disrupting redox homeostasis and triggering immunogenic cell death. As a result, FeCo DDA co‐loaded with phlorizin (FeCo DDA/P) not only enhances tumor cell immunogenicity but also reshapes the immunosuppressive tumor microenvironment, thereby potentiating anti‐tumor immune responses. This work highlights a dual‐atom nanozyme strategy to reprogram tumor metabolism and orchestrate multimodal cell death for effective tumor immunotherapy.</w:t>
      </w:r>
    </w:p>
    <w:p>
      <w:pPr>
        <w:spacing w:before="120" w:after="120"/>
      </w:pPr>
      <w:r>
        <w:rPr>
          <w:sz w:val="18"/>
        </w:rPr>
        <w:t>——————————————————————————————————————————————————————————————————————</w:t>
      </w:r>
    </w:p>
    <w:p>
      <w:pPr>
        <w:spacing w:before="160" w:after="40" w:line="240" w:lineRule="auto"/>
      </w:pPr>
      <w:r>
        <w:rPr>
          <w:b/>
        </w:rPr>
        <w:t xml:space="preserve">[120] </w:t>
      </w:r>
      <w:hyperlink r:id="rId385">
        <w:r>
          <w:rPr>
            <w:color w:val="1155CC"/>
            <w:u w:val="single"/>
          </w:rPr>
          <w:t>[ASAP] 动态双碳卟啉融合纳米石墨烯：简易单层和持久双层切换</w:t>
        </w:r>
      </w:hyperlink>
    </w:p>
    <w:p>
      <w:pPr>
        <w:spacing w:before="0" w:after="80"/>
      </w:pPr>
      <w:r>
        <w:rPr>
          <w:i/>
          <w:sz w:val="20"/>
        </w:rPr>
        <w:t>EN: [ASAP] Dynamic Double Carbaporphyrin-Fused Nanographene: Facile Monolayer and Persistent Bilayer Switching</w:t>
      </w:r>
    </w:p>
    <w:p>
      <w:pPr>
        <w:spacing w:before="0" w:after="120"/>
      </w:pPr>
      <w:r>
        <w:rPr>
          <w:b/>
        </w:rPr>
        <w:t xml:space="preserve">Source: </w:t>
      </w:r>
      <w:r>
        <w:t>Journal of the American Chemical Society: Latest Articles (ACS Publications)</w:t>
      </w:r>
      <w:r>
        <w:t xml:space="preserve">    </w:t>
      </w:r>
      <w:r>
        <w:rPr>
          <w:b/>
        </w:rPr>
        <w:t xml:space="preserve">Pub date: </w:t>
      </w:r>
      <w:r>
        <w:t>2026-04-06 09:50:26+00:00</w:t>
      </w:r>
      <w:r>
        <w:t xml:space="preserve">    </w:t>
      </w:r>
      <w:r>
        <w:rPr>
          <w:b/>
        </w:rPr>
        <w:t xml:space="preserve">DOI: </w:t>
      </w:r>
      <w:hyperlink r:id="rId386">
        <w:r>
          <w:rPr>
            <w:color w:val="1155CC"/>
            <w:u w:val="single"/>
          </w:rPr>
          <w:t>10.1021/jacs.5c22919</w:t>
        </w:r>
      </w:hyperlink>
    </w:p>
    <w:p>
      <w:pPr>
        <w:spacing w:before="0" w:after="120"/>
      </w:pPr>
      <w:r>
        <w:rPr>
          <w:b/>
        </w:rPr>
        <w:t xml:space="preserve">Notes: </w:t>
      </w:r>
      <w:r>
        <w:t>abstract_source=pubmed</w:t>
      </w:r>
    </w:p>
    <w:p>
      <w:pPr>
        <w:spacing w:before="0" w:after="80" w:lineRule="auto" w:line="276"/>
      </w:pPr>
      <w:r>
        <w:rPr>
          <w:b/>
        </w:rPr>
        <w:t xml:space="preserve">摘要（ZH）: </w:t>
      </w:r>
      <w:r>
        <w:t>操控纳米石墨烯的动态过程，从构象翻转到超分子二聚化，对于精确控制其性质和功能至关重要。在本研究中，通过在六苯并苯（HBC）的相对湾区引入二吡咯甲烷单元，合成了一种具有两个融合碳卟啉单元的纳米石墨烯（HBC2P）。HBC2P具有灵活的单片骨架，主链长度超过1.8 nm。其两种构象，称为“船形”和“椅形”，通过选择合适的溶剂分别实现。值得注意的是，HBC2P在极性溶剂中形成稳定的双层结构，其中两个“船形”单体背靠背排列。此外，其灵活的结构可以通过金属配位固定。</w:t>
      </w:r>
    </w:p>
    <w:p>
      <w:pPr>
        <w:spacing w:before="0" w:after="200" w:lineRule="auto" w:line="276"/>
      </w:pPr>
      <w:r>
        <w:rPr>
          <w:b/>
        </w:rPr>
        <w:t xml:space="preserve">Abstract (EN): </w:t>
      </w:r>
      <w:r>
        <w:t>Manipulating the dynamic processes of nanographenes, from conformational flipping to supramolecular dimerization, is essential for gaining precise control over their properties and functions. In this study, a nanographene with two fused carbaporphyrin units (HBC2P) was synthesized by introducing dipyrromethene units into opposite bay areas of hexa-peri-hexabenzocoronene (HBC). HBC2P has a flexible monolithic skeleton, with a backbone length exceeding 1.8 nm. Its two conformations, referred to as "boat-shaped" and "chair-shaped," were individually achieved by selecting a suitable solvent. Notably, HBC2P forms a stable bilayer structure with two "boat-shaped" monomers arranged back-to-back in the polar solvents. Moreover, its flexible structure can be fixed by metal coordination, where the hollow ribbon-like nanographene is transformed into a planar metallized nanographene after the insertion of two Cu(III) ions. This metallization modulates the assembly behavior and terminates the dimerization behavior observed in the free-base form. This work provides a unique example of a nanographene that is fully tunable in its monomeric and dimeric forms, forms a stable bilayer in polar solvents, and has an assembly behavior that can be tuned further through metalation. The clarification of the structure-photophysical property relationships of such a dynamic nanographene offers guiding principles for the rational design of molecular bilayer graphenes and related π-conjugated systems with both tailored structures and tailored properties.</w:t>
      </w:r>
    </w:p>
    <w:p>
      <w:pPr>
        <w:spacing w:before="120" w:after="120"/>
      </w:pPr>
      <w:r>
        <w:rPr>
          <w:sz w:val="18"/>
        </w:rPr>
        <w:t>——————————————————————————————————————————————————————————————————————</w:t>
      </w:r>
    </w:p>
    <w:p>
      <w:pPr>
        <w:spacing w:before="160" w:after="40" w:line="240" w:lineRule="auto"/>
      </w:pPr>
      <w:r>
        <w:rPr>
          <w:b/>
        </w:rPr>
        <w:t xml:space="preserve">[121] </w:t>
      </w:r>
      <w:hyperlink r:id="rId387">
        <w:r>
          <w:rPr>
            <w:color w:val="1155CC"/>
            <w:u w:val="single"/>
          </w:rPr>
          <w:t>同构金属有机框架中静电势调节驱动的分子转子旋转用于C3H6/C3H8分离</w:t>
        </w:r>
      </w:hyperlink>
    </w:p>
    <w:p>
      <w:pPr>
        <w:spacing w:before="0" w:after="80"/>
      </w:pPr>
      <w:r>
        <w:rPr>
          <w:i/>
          <w:sz w:val="20"/>
        </w:rPr>
        <w:t>EN: Electrostatic Potential Tuning‐Driven Molecular Rotor Rotation in Isostructural Metal‐Organic Frameworks for C3H6/C3H8 Separation</w:t>
      </w:r>
    </w:p>
    <w:p>
      <w:pPr>
        <w:spacing w:before="0" w:after="120"/>
      </w:pPr>
      <w:r>
        <w:rPr>
          <w:b/>
        </w:rPr>
        <w:t xml:space="preserve">Source: </w:t>
      </w:r>
      <w:r>
        <w:t>Wiley: Angewandte Chemie International Edition: Table of Contents</w:t>
      </w:r>
      <w:r>
        <w:t xml:space="preserve">    </w:t>
      </w:r>
      <w:r>
        <w:rPr>
          <w:b/>
        </w:rPr>
        <w:t xml:space="preserve">Pub date: </w:t>
      </w:r>
      <w:r>
        <w:t>2026-04-06 12:49:36+00:00</w:t>
      </w:r>
      <w:r>
        <w:t xml:space="preserve">    </w:t>
      </w:r>
      <w:r>
        <w:rPr>
          <w:b/>
        </w:rPr>
        <w:t xml:space="preserve">DOI: </w:t>
      </w:r>
      <w:hyperlink r:id="rId388">
        <w:r>
          <w:rPr>
            <w:color w:val="1155CC"/>
            <w:u w:val="single"/>
          </w:rPr>
          <w:t>10.1002/anie.8666581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C3烃类分离是精炼高附加值石化产品的核心过程。然而，由于这些分子的物理化学性质极为相似，金属有机框架（MOFs）通常面临固有的吸附容量-选择性权衡。分子转子功能化MOFs的动态孔特性提供了一种解决这一挑战的新方法。在此，我们提出了一种静电势匹配策略，以驱动MOF内分子转子的旋转，提升C3H6/C3H8</w:t>
      </w:r>
    </w:p>
    <w:p>
      <w:pPr>
        <w:spacing w:before="0" w:after="200" w:lineRule="auto" w:line="276"/>
      </w:pPr>
      <w:r>
        <w:rPr>
          <w:b/>
        </w:rPr>
        <w:t xml:space="preserve">Abstract (EN): </w:t>
      </w:r>
      <w:r>
        <w:t>C</w:t>
      </w:r>
      <w:r>
        <w:rPr>
          <w:vertAlign w:val="subscript"/>
        </w:rPr>
        <w:t>3</w:t>
      </w:r>
      <w:r>
        <w:t>hydrocarbon separation is a core process for refining high‐value‐added petrochemical products. However, due to the remarkably similar physicochemical properties of these molecules, metal‐organic frameworks (MOFs) typically encounter an inherent adsorption capacity‐selectivity trade‐off. The dynamic pore characteristics of molecular rotor‐functionalized MOFs offer a novel approach to address this challenge. Herein, we propose an electrostatic potential matching strategy to drive the rotation of molecular rotors within MOF, boosting C</w:t>
      </w:r>
      <w:r>
        <w:rPr>
          <w:vertAlign w:val="subscript"/>
        </w:rPr>
        <w:t>3</w:t>
      </w:r>
      <w:r>
        <w:t>H</w:t>
      </w:r>
      <w:r>
        <w:rPr>
          <w:vertAlign w:val="subscript"/>
        </w:rPr>
        <w:t>6</w:t>
      </w:r>
      <w:r>
        <w:t>/C</w:t>
      </w:r>
      <w:r>
        <w:rPr>
          <w:vertAlign w:val="subscript"/>
        </w:rPr>
        <w:t>3</w:t>
      </w:r>
      <w:r>
        <w:t>H</w:t>
      </w:r>
      <w:r>
        <w:rPr>
          <w:vertAlign w:val="subscript"/>
        </w:rPr>
        <w:t>8</w:t>
      </w:r>
      <w:r>
        <w:t>separation. By modulating the amino density in MOFs through crystal engineering, three isomorphous MOFs (CoNi‐PYZ, CoNi‐PYZ‐NH</w:t>
      </w:r>
      <w:r>
        <w:rPr>
          <w:vertAlign w:val="subscript"/>
        </w:rPr>
        <w:t>2</w:t>
      </w:r>
      <w:r>
        <w:t>, and CoNi‐PYZ‐2NH</w:t>
      </w:r>
      <w:r>
        <w:rPr>
          <w:vertAlign w:val="subscript"/>
        </w:rPr>
        <w:t>2</w:t>
      </w:r>
      <w:r>
        <w:t>). CoNi‐PYZ‐2NH</w:t>
      </w:r>
      <w:r>
        <w:rPr>
          <w:vertAlign w:val="subscript"/>
        </w:rPr>
        <w:t>2</w:t>
      </w:r>
      <w:r>
        <w:t>with a highly electronegative pore surface precisely matches the C</w:t>
      </w:r>
      <w:r>
        <w:rPr>
          <w:vertAlign w:val="subscript"/>
        </w:rPr>
        <w:t>3</w:t>
      </w:r>
      <w:r>
        <w:t>H</w:t>
      </w:r>
      <w:r>
        <w:rPr>
          <w:vertAlign w:val="subscript"/>
        </w:rPr>
        <w:t>6</w:t>
      </w:r>
      <w:r>
        <w:t>molecules, driving the molecular rotor rotation within the MOF, endowing the framework with unique flexibility, and thereby exhibiting a distinctive gate‐opening effect toward C</w:t>
      </w:r>
      <w:r>
        <w:rPr>
          <w:vertAlign w:val="subscript"/>
        </w:rPr>
        <w:t>3</w:t>
      </w:r>
      <w:r>
        <w:t>H</w:t>
      </w:r>
      <w:r>
        <w:rPr>
          <w:vertAlign w:val="subscript"/>
        </w:rPr>
        <w:t>6</w:t>
      </w:r>
      <w:r>
        <w:t>. This grants CoNi‐PYZ‐2NH</w:t>
      </w:r>
      <w:r>
        <w:rPr>
          <w:vertAlign w:val="subscript"/>
        </w:rPr>
        <w:t>2</w:t>
      </w:r>
      <w:r>
        <w:t>exceptional C</w:t>
      </w:r>
      <w:r>
        <w:rPr>
          <w:vertAlign w:val="subscript"/>
        </w:rPr>
        <w:t>3</w:t>
      </w:r>
      <w:r>
        <w:t>H</w:t>
      </w:r>
      <w:r>
        <w:rPr>
          <w:vertAlign w:val="subscript"/>
        </w:rPr>
        <w:t>6</w:t>
      </w:r>
      <w:r>
        <w:t>/C</w:t>
      </w:r>
      <w:r>
        <w:rPr>
          <w:vertAlign w:val="subscript"/>
        </w:rPr>
        <w:t>3</w:t>
      </w:r>
      <w:r>
        <w:t>H</w:t>
      </w:r>
      <w:r>
        <w:rPr>
          <w:vertAlign w:val="subscript"/>
        </w:rPr>
        <w:t>8</w:t>
      </w:r>
      <w:r>
        <w:t>(50/50, v/v) selectivity (96.5), which is 13.8 and 21.4 times higher than those of CoNi‐PYZ and CoNi‐PYZ‐NH</w:t>
      </w:r>
      <w:r>
        <w:rPr>
          <w:vertAlign w:val="subscript"/>
        </w:rPr>
        <w:t>2</w:t>
      </w:r>
      <w:r>
        <w:t>and significantly enhances C</w:t>
      </w:r>
      <w:r>
        <w:rPr>
          <w:vertAlign w:val="subscript"/>
        </w:rPr>
        <w:t>3</w:t>
      </w:r>
      <w:r>
        <w:t>H</w:t>
      </w:r>
      <w:r>
        <w:rPr>
          <w:vertAlign w:val="subscript"/>
        </w:rPr>
        <w:t>6</w:t>
      </w:r>
      <w:r>
        <w:t>uptake at low pressure (30.6 cm</w:t>
      </w:r>
      <w:r>
        <w:rPr>
          <w:vertAlign w:val="subscript"/>
        </w:rPr>
        <w:t>3</w:t>
      </w:r>
      <w:r>
        <w:t>g</w:t>
      </w:r>
      <w:r>
        <w:t xml:space="preserve"> </w:t>
      </w:r>
      <w:r>
        <w:t>−1</w:t>
      </w:r>
      <w:r>
        <w:t xml:space="preserve"> </w:t>
      </w:r>
      <w:r>
        <w:t>at 0.01 bar and 298 K). Moreover, it exhibits an excellent C</w:t>
      </w:r>
      <w:r>
        <w:rPr>
          <w:vertAlign w:val="subscript"/>
        </w:rPr>
        <w:t>3</w:t>
      </w:r>
      <w:r>
        <w:t>H</w:t>
      </w:r>
      <w:r>
        <w:rPr>
          <w:vertAlign w:val="subscript"/>
        </w:rPr>
        <w:t>6</w:t>
      </w:r>
      <w:r>
        <w:t>storage density of 0.785 kg L</w:t>
      </w:r>
      <w:r>
        <w:t xml:space="preserve"> </w:t>
      </w:r>
      <w:r>
        <w:t>−1</w:t>
      </w:r>
      <w:r>
        <w:t xml:space="preserve"> </w:t>
      </w:r>
      <w:r>
        <w:t>. Dynamic breakthrough experiments validate its superior dynamic separation performance. This study establishes an electrostatic potential‐driven molecular rotor rotation strategy, providing valuable insights for the development of high‐performance adsorbents.</w:t>
      </w:r>
    </w:p>
    <w:p>
      <w:pPr>
        <w:spacing w:before="120" w:after="120"/>
      </w:pPr>
      <w:r>
        <w:rPr>
          <w:sz w:val="18"/>
        </w:rPr>
        <w:t>——————————————————————————————————————————————————————————————————————</w:t>
      </w:r>
    </w:p>
    <w:p>
      <w:pPr>
        <w:spacing w:before="160" w:after="40" w:line="240" w:lineRule="auto"/>
      </w:pPr>
      <w:r>
        <w:rPr>
          <w:b/>
        </w:rPr>
        <w:t xml:space="preserve">[122] </w:t>
      </w:r>
      <w:hyperlink r:id="rId389">
        <w:r>
          <w:rPr>
            <w:color w:val="1155CC"/>
            <w:u w:val="single"/>
          </w:rPr>
          <w:t>用于位点特异性N4-胞苷烷基化的烷基转移酶核酶</w:t>
        </w:r>
      </w:hyperlink>
    </w:p>
    <w:p>
      <w:pPr>
        <w:spacing w:before="0" w:after="80"/>
      </w:pPr>
      <w:r>
        <w:rPr>
          <w:i/>
          <w:sz w:val="20"/>
        </w:rPr>
        <w:t>EN: Alkyltransferase Ribozyme for Site‐Specific N4‐Cytidine Alkylation</w:t>
      </w:r>
    </w:p>
    <w:p>
      <w:pPr>
        <w:spacing w:before="0" w:after="120"/>
      </w:pPr>
      <w:r>
        <w:rPr>
          <w:b/>
        </w:rPr>
        <w:t xml:space="preserve">Source: </w:t>
      </w:r>
      <w:r>
        <w:t>Wiley: Angewandte Chemie International Edition: Table of Contents</w:t>
      </w:r>
      <w:r>
        <w:t xml:space="preserve">    </w:t>
      </w:r>
      <w:r>
        <w:rPr>
          <w:b/>
        </w:rPr>
        <w:t xml:space="preserve">Pub date: </w:t>
      </w:r>
      <w:r>
        <w:t>2026-04-06 12:51:43+00:00</w:t>
      </w:r>
      <w:r>
        <w:t xml:space="preserve">    </w:t>
      </w:r>
      <w:r>
        <w:rPr>
          <w:b/>
        </w:rPr>
        <w:t xml:space="preserve">DOI: </w:t>
      </w:r>
      <w:hyperlink r:id="rId390">
        <w:r>
          <w:rPr>
            <w:color w:val="1155CC"/>
            <w:u w:val="single"/>
          </w:rPr>
          <w:t>10.1002/anie.6447137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用于特定位点RNA修饰的核酶提供了一种优雅的方法，可以在感兴趣的RNA的特定位置安装多种功能基团、荧光团、亲和标签或交联剂。由于最近报道的体外选择核酶大多仅限于腺苷位点的标记，或者通过碱基烷基化或在2'-OH基团处形成磷酸二酯，因此对扩展核酶工具箱的兴趣日益增加。在此，我们报告了一种胞苷特异性烷基转移酶核酶（CSAR），它使用O6-苄基鸟嘌呤作为烷基基团供体。CSAR是第一个催化外环氨基基团直接烷基化的核酶</w:t>
      </w:r>
    </w:p>
    <w:p>
      <w:pPr>
        <w:spacing w:before="0" w:after="200" w:lineRule="auto" w:line="276"/>
      </w:pPr>
      <w:r>
        <w:rPr>
          <w:b/>
        </w:rPr>
        <w:t xml:space="preserve">Abstract (EN): </w:t>
      </w:r>
      <w:r>
        <w:t>Ribozymes for site‐specific RNA modification provide an elegant approach for the installation of diverse functional groups, fluorophores, affinity tags, or crosslinkers at defined positions within an RNA of interest. There is increasing interest in expanding the ribozyme toolbox, since recently reported in vitro selected ribozymes have been mostly limited to labeling at adenosine sites, either by alkylation of the nucleobase or phosphodiester formation at the 2’‐OH group. Here we report a cytidine‐specific alkyltransferase ribozyme (CSAR) that uses</w:t>
      </w:r>
      <w:r>
        <w:t xml:space="preserve"> </w:t>
      </w:r>
      <w:r>
        <w:t>O</w:t>
      </w:r>
      <w:r>
        <w:rPr>
          <w:vertAlign w:val="subscript"/>
        </w:rPr>
        <w:t>6</w:t>
      </w:r>
      <w:r>
        <w:t>‐benzylguanines as alkyl group donors. CSAR is the first ribozyme that catalyzes direct alkylation of the exocyclic amino group of a nucleobase and generates</w:t>
      </w:r>
      <w:r>
        <w:t xml:space="preserve"> </w:t>
      </w:r>
      <w:r>
        <w:t>N</w:t>
      </w:r>
      <w:r>
        <w:rPr>
          <w:vertAlign w:val="subscript"/>
        </w:rPr>
        <w:t>4</w:t>
      </w:r>
      <w:r>
        <w:t>‐alkylated cytidine in a defined sequence context of a short RNA hairpin loop. In combination with tuning the electronic parameters of the transferred benzyl group, CSAR enables highly efficient cytidine alkylation for the installation of bioorthogonal functional groups.</w:t>
      </w:r>
    </w:p>
    <w:p>
      <w:pPr>
        <w:spacing w:before="120" w:after="120"/>
      </w:pPr>
      <w:r>
        <w:rPr>
          <w:sz w:val="18"/>
        </w:rPr>
        <w:t>——————————————————————————————————————————————————————————————————————</w:t>
      </w:r>
    </w:p>
    <w:p>
      <w:pPr>
        <w:spacing w:before="160" w:after="40" w:line="240" w:lineRule="auto"/>
      </w:pPr>
      <w:r>
        <w:rPr>
          <w:b/>
        </w:rPr>
        <w:t xml:space="preserve">[123] </w:t>
      </w:r>
      <w:hyperlink r:id="rId391">
        <w:r>
          <w:rPr>
            <w:color w:val="1155CC"/>
            <w:u w:val="single"/>
          </w:rPr>
          <w:t>[ASAP] 由管状纳米颗粒稳定的分级油-水-油Pickering双重乳液</w:t>
        </w:r>
      </w:hyperlink>
    </w:p>
    <w:p>
      <w:pPr>
        <w:spacing w:before="0" w:after="80"/>
      </w:pPr>
      <w:r>
        <w:rPr>
          <w:i/>
          <w:sz w:val="20"/>
        </w:rPr>
        <w:t>EN: [ASAP] Hierarchical Oil–Water–Oil Pickering Double Emulsions Stabilized by Tubular Nanoparticles</w:t>
      </w:r>
    </w:p>
    <w:p>
      <w:pPr>
        <w:spacing w:before="0" w:after="120"/>
      </w:pPr>
      <w:r>
        <w:rPr>
          <w:b/>
        </w:rPr>
        <w:t xml:space="preserve">Source: </w:t>
      </w:r>
      <w:r>
        <w:t>Journal of the American Chemical Society: Latest Articles (ACS Publications)</w:t>
      </w:r>
      <w:r>
        <w:t xml:space="preserve">    </w:t>
      </w:r>
      <w:r>
        <w:rPr>
          <w:b/>
        </w:rPr>
        <w:t xml:space="preserve">Pub date: </w:t>
      </w:r>
      <w:r>
        <w:t>2026-04-06 12:52:26+00:00</w:t>
      </w:r>
      <w:r>
        <w:t xml:space="preserve">    </w:t>
      </w:r>
      <w:r>
        <w:rPr>
          <w:b/>
        </w:rPr>
        <w:t xml:space="preserve">DOI: </w:t>
      </w:r>
      <w:hyperlink r:id="rId392">
        <w:r>
          <w:rPr>
            <w:color w:val="1155CC"/>
            <w:u w:val="single"/>
          </w:rPr>
          <w:t>10.1021/jacs.6c01861</w:t>
        </w:r>
      </w:hyperlink>
    </w:p>
    <w:p>
      <w:pPr>
        <w:spacing w:before="0" w:after="120"/>
      </w:pPr>
      <w:r>
        <w:rPr>
          <w:b/>
        </w:rPr>
        <w:t xml:space="preserve">Notes: </w:t>
      </w:r>
      <w:r>
        <w:t>abstract_source=pubmed</w:t>
      </w:r>
    </w:p>
    <w:p>
      <w:pPr>
        <w:spacing w:before="0" w:after="80" w:lineRule="auto" w:line="276"/>
      </w:pPr>
      <w:r>
        <w:rPr>
          <w:b/>
        </w:rPr>
        <w:t xml:space="preserve">摘要（ZH）: </w:t>
      </w:r>
      <w:r>
        <w:t>由亚微米大小的粘土管小部分稳定的Pickering乳液提供了稳定且可调的软物质系统，在多个领域具有相关性。我们在此介绍了一种新型的油包水包油Pickering双重乳液系统，该系统由选择性功能化的高岭石纳米管稳定。双重乳液的稳定性是通过结合使用原始和表面改性的高岭石纳米管实现的，这些纳米管选择性地稳定了在两个分别制备的胶体中的油包水和水包油界面。在混合和搅拌这两个样品后，获得了分散在散装油中的水滴内的油微滴的分层结构。荧光显微镜和粒子跟踪分析证实了油滴被限制</w:t>
      </w:r>
    </w:p>
    <w:p>
      <w:pPr>
        <w:spacing w:before="0" w:after="200" w:lineRule="auto" w:line="276"/>
      </w:pPr>
      <w:r>
        <w:rPr>
          <w:b/>
        </w:rPr>
        <w:t xml:space="preserve">Abstract (EN): </w:t>
      </w:r>
      <w:r>
        <w:t>Pickering emulsions stabilized by a small fraction of submicrometer-size clay tubes provide stable and tunable soft-matter systems with relevance across multiple fields. We here introduce a novel oil-in-water-in-oil Pickering double emulsion system stabilized by selectively functionalized halloysite nanotubes. The stability of the double emulsions was achieved through the combined use of pristine and surface-modified halloysite nanotubes, which selectively stabilized the oil-in-water and water-in-oil interfaces in the two separately prepared colloids. After these two samples were mixed and stirred, a hierarchical structure of oil microdroplets inside water droplets dispersed in bulk oil was obtained. Fluorescent microscopy and particle-tracking analyses confirmed that oil droplets confined within the double emulsion exhibit Brownian motion with decreased diffusion coefficients. The resulting dual-compartment structure enables the simultaneous encapsulation of hydrophilic and hydrophobic species, promising applications in controlled delivery and multifunctional formulations.</w:t>
      </w:r>
    </w:p>
    <w:p>
      <w:pPr>
        <w:spacing w:before="120" w:after="120"/>
      </w:pPr>
      <w:r>
        <w:rPr>
          <w:sz w:val="18"/>
        </w:rPr>
        <w:t>——————————————————————————————————————————————————————————————————————</w:t>
      </w:r>
    </w:p>
    <w:p>
      <w:pPr>
        <w:spacing w:before="160" w:after="40" w:line="240" w:lineRule="auto"/>
      </w:pPr>
      <w:r>
        <w:rPr>
          <w:b/>
        </w:rPr>
        <w:t xml:space="preserve">[124] </w:t>
      </w:r>
      <w:hyperlink r:id="rId393">
        <w:r>
          <w:rPr>
            <w:color w:val="1155CC"/>
            <w:u w:val="single"/>
          </w:rPr>
          <w:t>[ASAP] 具有两步二次谐波生成切换的超宽带隙磺酸盐</w:t>
        </w:r>
      </w:hyperlink>
    </w:p>
    <w:p>
      <w:pPr>
        <w:spacing w:before="0" w:after="80"/>
      </w:pPr>
      <w:r>
        <w:rPr>
          <w:i/>
          <w:sz w:val="20"/>
        </w:rPr>
        <w:t>EN: [ASAP] An Ultra-Wide Bandgap Sulfonate with Two-Step Second-Harmonic Generation Switching</w:t>
      </w:r>
    </w:p>
    <w:p>
      <w:pPr>
        <w:spacing w:before="0" w:after="120"/>
      </w:pPr>
      <w:r>
        <w:rPr>
          <w:b/>
        </w:rPr>
        <w:t xml:space="preserve">Source: </w:t>
      </w:r>
      <w:r>
        <w:t>Journal of the American Chemical Society: Latest Articles (ACS Publications)</w:t>
      </w:r>
      <w:r>
        <w:t xml:space="preserve">    </w:t>
      </w:r>
      <w:r>
        <w:rPr>
          <w:b/>
        </w:rPr>
        <w:t xml:space="preserve">Pub date: </w:t>
      </w:r>
      <w:r>
        <w:t>2026-04-06 13:01:20+00:00</w:t>
      </w:r>
      <w:r>
        <w:t xml:space="preserve">    </w:t>
      </w:r>
      <w:r>
        <w:rPr>
          <w:b/>
        </w:rPr>
        <w:t xml:space="preserve">DOI: </w:t>
      </w:r>
      <w:hyperlink r:id="rId394">
        <w:r>
          <w:rPr>
            <w:color w:val="1155CC"/>
            <w:u w:val="single"/>
          </w:rPr>
          <w:t>10.1021/jacs.5c21123</w:t>
        </w:r>
      </w:hyperlink>
    </w:p>
    <w:p>
      <w:pPr>
        <w:spacing w:before="0" w:after="120"/>
      </w:pPr>
      <w:r>
        <w:rPr>
          <w:b/>
        </w:rPr>
        <w:t xml:space="preserve">Notes: </w:t>
      </w:r>
      <w:r>
        <w:t>abstract_source=pubmed</w:t>
      </w:r>
    </w:p>
    <w:p>
      <w:pPr>
        <w:spacing w:before="0" w:after="80" w:lineRule="auto" w:line="276"/>
      </w:pPr>
      <w:r>
        <w:rPr>
          <w:b/>
        </w:rPr>
        <w:t xml:space="preserve">摘要（ZH）: </w:t>
      </w:r>
      <w:r>
        <w:t>非线性光学（NLO）开关具有多态稳定性和外部刺激响应性，是光子学和传感应用中重要的功能材料类别。然而，其实际应用受到其窄带隙的严重阻碍，这限制了在（深）紫外（UV）光谱区域的传输。在此，我们报告了第一个有机深紫外透明NLO开关[NH(CH3)3][CH3SO3]，其在293-428 K的温度范围内通过低、无和高响应状态表现出热激活的可逆二步切换的二次谐波产生（SHG），并具有跨越多个数量级的显著SHG对比度。温度激活的SHG在紫外-可见波长区域具有响应性，达到2.6 × KH2PO4</w:t>
      </w:r>
    </w:p>
    <w:p>
      <w:pPr>
        <w:spacing w:before="0" w:after="200" w:lineRule="auto" w:line="276"/>
      </w:pPr>
      <w:r>
        <w:rPr>
          <w:b/>
        </w:rPr>
        <w:t xml:space="preserve">Abstract (EN): </w:t>
      </w:r>
      <w:r>
        <w:t>Nonlinear optical (NLO) switches featuring multistate stability and external-stimuli responsiveness represent an important class of functional materials for photonics and sensing applications. However, their practical application has been seriously impeded by their narrow bandgaps, which limit transmission in the (deep-)ultraviolet (UV) spectral region. Herein, we report the first organic deep-UV-transparent NLO switch [NH(CH3)3][CH3SO3], which exhibits a thermally activated reversible two-step switching of second-harmonic generation (SHG) via low-, no-, and high-response states over the temperature range 293-428 K, and with remarkable SHG contrasts that span many orders of magnitude. The temperature activated SHG is responsive in the UV-visible wavelength region, reaching 2.6 × KH2PO4 at 1064 nm, setting a new record for deep-UV-transparent NLO switches. Detailed experimental and mechanistic studies demonstrate that the reversible single-crystal-to-single-crystal structure transformation responsive to thermal stimulation arises from the translation and rotation of the [NH(CH3)3]+ and [CH3SO3]- primitives driven by the rearrangement of intermolecular hydrogen bonds, and the progressive disordering of these primitives at elevated temperatures.</w:t>
      </w:r>
    </w:p>
    <w:p>
      <w:pPr>
        <w:spacing w:before="120" w:after="120"/>
      </w:pPr>
      <w:r>
        <w:rPr>
          <w:sz w:val="18"/>
        </w:rPr>
        <w:t>——————————————————————————————————————————————————————————————————————</w:t>
      </w:r>
    </w:p>
    <w:p>
      <w:pPr>
        <w:spacing w:before="160" w:after="40" w:line="240" w:lineRule="auto"/>
      </w:pPr>
      <w:r>
        <w:rPr>
          <w:b/>
        </w:rPr>
        <w:t xml:space="preserve">[125] </w:t>
      </w:r>
      <w:hyperlink r:id="rId395">
        <w:r>
          <w:rPr>
            <w:color w:val="1155CC"/>
            <w:u w:val="single"/>
          </w:rPr>
          <w:t>RaPID选择靶向Akt2的骨架大环肽</w:t>
        </w:r>
      </w:hyperlink>
    </w:p>
    <w:p>
      <w:pPr>
        <w:spacing w:before="0" w:after="80"/>
      </w:pPr>
      <w:r>
        <w:rPr>
          <w:i/>
          <w:sz w:val="20"/>
        </w:rPr>
        <w:t>EN: RaPID Selection of Backbone Macrocyclic Peptides Targeting Akt2</w:t>
      </w:r>
    </w:p>
    <w:p>
      <w:pPr>
        <w:spacing w:before="0" w:after="120"/>
      </w:pPr>
      <w:r>
        <w:rPr>
          <w:b/>
        </w:rPr>
        <w:t xml:space="preserve">Source: </w:t>
      </w:r>
      <w:r>
        <w:t>Wiley: Angewandte Chemie International Edition: Table of Contents</w:t>
      </w:r>
      <w:r>
        <w:t xml:space="preserve">    </w:t>
      </w:r>
      <w:r>
        <w:rPr>
          <w:b/>
        </w:rPr>
        <w:t xml:space="preserve">Pub date: </w:t>
      </w:r>
      <w:r>
        <w:t>2026-04-06 13:04:12+00:00</w:t>
      </w:r>
      <w:r>
        <w:t xml:space="preserve">    </w:t>
      </w:r>
      <w:r>
        <w:rPr>
          <w:b/>
        </w:rPr>
        <w:t xml:space="preserve">DOI: </w:t>
      </w:r>
      <w:hyperlink r:id="rId396">
        <w:r>
          <w:rPr>
            <w:color w:val="1155CC"/>
            <w:u w:val="single"/>
          </w:rPr>
          <w:t>10.1002/anie.7837067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骨架环肽（BMPs）是一类在多种天然生物活性产品中出现的有吸引力的分子。然而，mRNA展示技术与核糖体合成结合使用时，本质上不适用于此类肽表型，因为C末端肽区域与mRNA基因型的连接丢失。为了解决这个问题，我们设计了一种新策略，通过侧链到S主链键的S到N酰基转移将BMPs连接到肽的C末端片段。在此，我们报告了该策略的应用，以构建与同源mRNA融合的BMPs库。该库被应用于选择靶向Ak的BMP配体</w:t>
      </w:r>
    </w:p>
    <w:p>
      <w:pPr>
        <w:spacing w:before="0" w:after="200" w:lineRule="auto" w:line="276"/>
      </w:pPr>
      <w:r>
        <w:rPr>
          <w:b/>
        </w:rPr>
        <w:t xml:space="preserve">Abstract (EN): </w:t>
      </w:r>
      <w:r>
        <w:t>Backbone‐cyclic peptides (BMPs) are an attractive class of molecules appeared in diverse natural bioactive products. However, mRNA display technology coupled with ribosomal synthesis is intrinsically inapplicable to such peptide phenotypes due to loss of the C‐terminal peptide region linking to the mRNA genotypes. To overcome this issue, we have devised a new strategy to link the sidechain‐to‐S‐mainchain bond via an</w:t>
      </w:r>
      <w:r>
        <w:t xml:space="preserve"> </w:t>
      </w:r>
      <w:r>
        <w:t>S</w:t>
      </w:r>
      <w:r>
        <w:t xml:space="preserve"> </w:t>
      </w:r>
      <w:r>
        <w:t>‐to‐</w:t>
      </w:r>
      <w:r>
        <w:t xml:space="preserve"> </w:t>
      </w:r>
      <w:r>
        <w:t>N</w:t>
      </w:r>
      <w:r>
        <w:t xml:space="preserve"> </w:t>
      </w:r>
      <w:r>
        <w:t>acyl‐shift to connect BMPs to the C‐terminal fragment of the peptide. Here, we report the application of this strategy to construct a library of BMPs fused to cognate mRNAs. The library was applied for the selection of BMP ligands targeting Akt2, which is involved in the signal pathway to cancer pathogenesis. Consequently, BMP ligands against Akt2 were successfully uncovered from the library. The most potent Akt2 inhibitor, BMPakti‐3, showed 1.3 nM of dissociation constant and 34 nM of half‐maximal inhibitory concentration (IC</w:t>
      </w:r>
      <w:r>
        <w:rPr>
          <w:vertAlign w:val="subscript"/>
        </w:rPr>
        <w:t>50</w:t>
      </w:r>
      <w:r>
        <w:t>). This system offers a unique platform for the de novo discovery of bioactive BMP ligands against various protein targets of interest.</w:t>
      </w:r>
    </w:p>
    <w:p>
      <w:pPr>
        <w:spacing w:before="120" w:after="120"/>
      </w:pPr>
      <w:r>
        <w:rPr>
          <w:sz w:val="18"/>
        </w:rPr>
        <w:t>——————————————————————————————————————————————————————————————————————</w:t>
      </w:r>
    </w:p>
    <w:p>
      <w:pPr>
        <w:spacing w:before="160" w:after="40" w:line="240" w:lineRule="auto"/>
      </w:pPr>
      <w:r>
        <w:rPr>
          <w:b/>
        </w:rPr>
        <w:t xml:space="preserve">[126] </w:t>
      </w:r>
      <w:hyperlink r:id="rId397">
        <w:r>
          <w:rPr>
            <w:color w:val="1155CC"/>
            <w:u w:val="single"/>
          </w:rPr>
          <w:t>由串联单原子铈催化水分解/非键合磷位点促进的亲核取代实现的三级硅烷选择性氧化</w:t>
        </w:r>
      </w:hyperlink>
    </w:p>
    <w:p>
      <w:pPr>
        <w:spacing w:before="0" w:after="80"/>
      </w:pPr>
      <w:r>
        <w:rPr>
          <w:i/>
          <w:sz w:val="20"/>
        </w:rPr>
        <w:t>EN: Selective Oxidation of Tertiary Silanes Enabled by Tandem Single Atom Cerium Catalyzed Water Splitting/Non‐Bonding Phosphorus Site Promoted Nucleophilic Substitution</w:t>
      </w:r>
    </w:p>
    <w:p>
      <w:pPr>
        <w:spacing w:before="0" w:after="120"/>
      </w:pPr>
      <w:r>
        <w:rPr>
          <w:b/>
        </w:rPr>
        <w:t xml:space="preserve">Source: </w:t>
      </w:r>
      <w:r>
        <w:t>Wiley: Angewandte Chemie International Edition: Table of Contents</w:t>
      </w:r>
      <w:r>
        <w:t xml:space="preserve">    </w:t>
      </w:r>
      <w:r>
        <w:rPr>
          <w:b/>
        </w:rPr>
        <w:t xml:space="preserve">Pub date: </w:t>
      </w:r>
      <w:r>
        <w:t>2026-04-06 13:11:19+00:00</w:t>
      </w:r>
      <w:r>
        <w:t xml:space="preserve">    </w:t>
      </w:r>
      <w:r>
        <w:rPr>
          <w:b/>
        </w:rPr>
        <w:t xml:space="preserve">DOI: </w:t>
      </w:r>
      <w:hyperlink r:id="rId398">
        <w:r>
          <w:rPr>
            <w:color w:val="1155CC"/>
            <w:u w:val="single"/>
          </w:rPr>
          <w:t>10.1002/anie.9701815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异质催化剂的利用，特别是单原子催化剂（SACs），以模拟甚至取代其均相对应物来构建复杂的分子结构，是可持续化学中的一个长期目标，然而迄今为止仍然是一个艰巨的挑战。在此，我们报告了一种通过串联过程选择性氧化三级硅烷的方法，该过程结合了单原子铈催化的水分解与由非键合磷位点促进的亲核取代。该方法产生硅醇或硅氧烷，具有独特的选择性和良好的可重复使用性。在Ce‐SA/CN催化剂中，原子分散的铈中心的氧化还原穿梭激活水以羟基化SiH键，同时抑制硅醇缩合</w:t>
      </w:r>
    </w:p>
    <w:p>
      <w:pPr>
        <w:spacing w:before="0" w:after="200" w:lineRule="auto" w:line="276"/>
      </w:pPr>
      <w:r>
        <w:rPr>
          <w:b/>
        </w:rPr>
        <w:t xml:space="preserve">Abstract (EN): </w:t>
      </w:r>
      <w:r>
        <w:t>The utilization of heterogeneous catalysts, particularly single‐atom catalysts (SACs), to mimic or even supplant their homogeneous counterparts for building complex molecular architectures is a long‐standing objective in sustainable chemistry, however it remains a formidable challenge to date. Herein, we report a selective oxidation of tertiary silanes through a tandem process combining single‐atom cerium‐catalyzed water splitting with nucleophilic substitution promoted by a non‐bonding phosphorus site. This approach yields either silanols or siloxanes with exclusive selectivity and promising reusability. In the Ce‐SA/CN catalyst, the redox shuttle of the atomically dispersed cerium center activates water to hydroxylate SiH bond while suppressing silanol condensation. In contrast, the introduction of phosphorus sites in Ce‐SA/CNP creates an adjacent Lewis basic site that recruits and activates the –OH group of nascent silanols, thereby driving efficient interfacial dehydration to form disiloxanes. This work underscores microenvironment engineering of SACs as a pivotal strategy for steering complex reaction pathways and establishes a versatile platform for precise synthesis.</w:t>
      </w:r>
    </w:p>
    <w:p>
      <w:pPr>
        <w:spacing w:before="120" w:after="120"/>
      </w:pPr>
      <w:r>
        <w:rPr>
          <w:sz w:val="18"/>
        </w:rPr>
        <w:t>——————————————————————————————————————————————————————————————————————</w:t>
      </w:r>
    </w:p>
    <w:p>
      <w:pPr>
        <w:spacing w:before="160" w:after="40" w:line="240" w:lineRule="auto"/>
      </w:pPr>
      <w:r>
        <w:rPr>
          <w:b/>
        </w:rPr>
        <w:t xml:space="preserve">[127] </w:t>
      </w:r>
      <w:hyperlink r:id="rId399">
        <w:r>
          <w:rPr>
            <w:color w:val="1155CC"/>
            <w:u w:val="single"/>
          </w:rPr>
          <w:t>[ASAP] 利用金属对金属电子转移在Ru(II)多吡啶-去铁酮偶联物中用于缺氧光动力疗法</w:t>
        </w:r>
      </w:hyperlink>
    </w:p>
    <w:p>
      <w:pPr>
        <w:spacing w:before="0" w:after="80"/>
      </w:pPr>
      <w:r>
        <w:rPr>
          <w:i/>
          <w:sz w:val="20"/>
        </w:rPr>
        <w:t>EN: [ASAP] Exploiting Metal-to-Metal Electron Transfer in a Ru(II) Polypyridine–Deferasirox Conjugate for Hypoxic Photodynamic Therapy</w:t>
      </w:r>
    </w:p>
    <w:p>
      <w:pPr>
        <w:spacing w:before="0" w:after="120"/>
      </w:pPr>
      <w:r>
        <w:rPr>
          <w:b/>
        </w:rPr>
        <w:t xml:space="preserve">Source: </w:t>
      </w:r>
      <w:r>
        <w:t>Journal of the American Chemical Society: Latest Articles (ACS Publications)</w:t>
      </w:r>
      <w:r>
        <w:t xml:space="preserve">    </w:t>
      </w:r>
      <w:r>
        <w:rPr>
          <w:b/>
        </w:rPr>
        <w:t xml:space="preserve">Pub date: </w:t>
      </w:r>
      <w:r>
        <w:t>2026-04-06 13:26:24+00:00</w:t>
      </w:r>
      <w:r>
        <w:t xml:space="preserve">    </w:t>
      </w:r>
      <w:r>
        <w:rPr>
          <w:b/>
        </w:rPr>
        <w:t xml:space="preserve">DOI: </w:t>
      </w:r>
      <w:hyperlink r:id="rId400">
        <w:r>
          <w:rPr>
            <w:color w:val="1155CC"/>
            <w:u w:val="single"/>
          </w:rPr>
          <w:t>10.1021/jacs.5c20295</w:t>
        </w:r>
      </w:hyperlink>
    </w:p>
    <w:p>
      <w:pPr>
        <w:spacing w:before="0" w:after="120"/>
      </w:pPr>
      <w:r>
        <w:rPr>
          <w:b/>
        </w:rPr>
        <w:t xml:space="preserve">Notes: </w:t>
      </w:r>
      <w:r>
        <w:t>abstract_source=openalex</w:t>
      </w:r>
    </w:p>
    <w:p>
      <w:pPr>
        <w:spacing w:before="0" w:after="80" w:lineRule="auto" w:line="276"/>
      </w:pPr>
      <w:r>
        <w:rPr>
          <w:b/>
        </w:rPr>
        <w:t xml:space="preserve">摘要（ZH）: </w:t>
      </w:r>
      <w:r>
        <w:t>实体瘤的独特微环境，以病理性缺氧为特征，仍然是治疗抵抗和肿瘤学中临床结果不佳的主要驱动因素。虽然光动力疗法已成为一种有前景的治疗方式，但其临床疗效受限于对分子氧的依赖。传统光敏剂通常通过氧依赖的能量转移运行，导致实体瘤缺氧区域内治疗活性显著降低或完全丧失。在此，我们展示了铁配位可以作为分子开关，使钌(II)多吡啶配合物的光化学反应性转变为氧非依赖途径。在常氧条件下，结合物通过能量转移产生单线态</w:t>
      </w:r>
    </w:p>
    <w:p>
      <w:pPr>
        <w:spacing w:before="0" w:after="200" w:lineRule="auto" w:line="276"/>
      </w:pPr>
      <w:r>
        <w:rPr>
          <w:b/>
        </w:rPr>
        <w:t xml:space="preserve">Abstract (EN): </w:t>
      </w:r>
      <w:r>
        <w:t>The unique microenvironment of solid tumors, characterized by pathological hypoxia, remains a primary driver of treatment resistance and poor clinical outcomes in oncology. While photodynamic therapy has emerged as a promising treatment modality, its clinical efficacy is constrained by its dependence on molecular oxygen. Conventional photosensitizers typically operate by oxygen-dependent energy transfer, leading to a marked reduction or complete loss of therapeutic activity within the oxygen-depleted regions of solid tumors. Herein, we show that iron coordination can serve as a molecular switch to enable the photochemical reactivity of a ruthenium(II) polypyridine complex to an oxygen-independent pathway. Under normoxic conditions, the conjugate undergoes energy transfer to produce singlet oxygen. However, upon binding intracellular iron, the system activates an alternative mechanism characterized by ultrafast metal-to-metal electron transfer from the ruthenium(II) center to the iron center. This process enables the formation of cytotoxic hydroxyl radicals from endogenous hydrogen peroxide, ensuring potent phototoxicity even under severe hypoxia. We demonstrate that the resulting mitochondrial oxidative stress induces significant lipid peroxidation and glutathione depletion, ultimately triggering cell death by ferroptosis in both nonresistant and multidrug-resistant cancer cell lines. These findings establish metal-to-metal electron transfer as a general design logic for directing excited-state pathways and provide a conceptual basis for adaptive, hypoxia-tolerant photochemical systems.</w:t>
      </w:r>
    </w:p>
    <w:p>
      <w:pPr>
        <w:spacing w:before="120" w:after="120"/>
      </w:pPr>
      <w:r>
        <w:rPr>
          <w:sz w:val="18"/>
        </w:rPr>
        <w:t>——————————————————————————————————————————————————————————————————————</w:t>
      </w:r>
    </w:p>
    <w:p>
      <w:pPr>
        <w:spacing w:before="160" w:after="40" w:line="240" w:lineRule="auto"/>
      </w:pPr>
      <w:r>
        <w:rPr>
          <w:b/>
        </w:rPr>
        <w:t xml:space="preserve">[128] </w:t>
      </w:r>
      <w:hyperlink r:id="rId401">
        <w:r>
          <w:rPr>
            <w:color w:val="1155CC"/>
            <w:u w:val="single"/>
          </w:rPr>
          <w:t>[ASAP] 基于苝的金属有机框架中的量子相干性用于潜在的固态量子比特</w:t>
        </w:r>
      </w:hyperlink>
    </w:p>
    <w:p>
      <w:pPr>
        <w:spacing w:before="0" w:after="80"/>
      </w:pPr>
      <w:r>
        <w:rPr>
          <w:i/>
          <w:sz w:val="20"/>
        </w:rPr>
        <w:t>EN: [ASAP] Quantum Coherence in a Perylene-Based Metal–Organic Framework for Potential Solid-State Qubits</w:t>
      </w:r>
    </w:p>
    <w:p>
      <w:pPr>
        <w:spacing w:before="0" w:after="120"/>
      </w:pPr>
      <w:r>
        <w:rPr>
          <w:b/>
        </w:rPr>
        <w:t xml:space="preserve">Source: </w:t>
      </w:r>
      <w:r>
        <w:t>Journal of the American Chemical Society: Latest Articles (ACS Publications)</w:t>
      </w:r>
      <w:r>
        <w:t xml:space="preserve">    </w:t>
      </w:r>
      <w:r>
        <w:rPr>
          <w:b/>
        </w:rPr>
        <w:t xml:space="preserve">Pub date: </w:t>
      </w:r>
      <w:r>
        <w:t>2026-04-06 14:04:00+00:00</w:t>
      </w:r>
      <w:r>
        <w:t xml:space="preserve">    </w:t>
      </w:r>
      <w:r>
        <w:rPr>
          <w:b/>
        </w:rPr>
        <w:t xml:space="preserve">DOI: </w:t>
      </w:r>
      <w:hyperlink r:id="rId402">
        <w:r>
          <w:rPr>
            <w:color w:val="1155CC"/>
            <w:u w:val="single"/>
          </w:rPr>
          <w:t>10.1021/jacs.5c17789</w:t>
        </w:r>
      </w:hyperlink>
    </w:p>
    <w:p>
      <w:pPr>
        <w:spacing w:before="0" w:after="120"/>
      </w:pPr>
      <w:r>
        <w:rPr>
          <w:b/>
        </w:rPr>
        <w:t xml:space="preserve">Notes: </w:t>
      </w:r>
      <w:r>
        <w:t>abstract_source=pubmed</w:t>
      </w:r>
    </w:p>
    <w:p>
      <w:pPr>
        <w:spacing w:before="0" w:after="80" w:lineRule="auto" w:line="276"/>
      </w:pPr>
      <w:r>
        <w:rPr>
          <w:b/>
        </w:rPr>
        <w:t xml:space="preserve">摘要（ZH）: </w:t>
      </w:r>
      <w:r>
        <w:t>金属有机框架（MOFs）因其结构可调性和在支持相干光-物质相互作用的结构中包含分子量子比特的潜力而成为量子信息和光子应用的有前途的候选者。在这项研究中，我们使用时间分辨的双光子近场扫描光学显微镜（NSOM）研究了基于苝的MOF，UMCM-313及其相应的基于苝的有机连接体晶体的超快相干动力学。通过跟踪电子量子相干性，我们揭示了在室温下持续到几百飞秒（fs）并在173 K下延伸到皮秒范围（≈0.9-1 ps）的相干模式，这显著长于在有机连接体中观察到的相干时间。</w:t>
      </w:r>
    </w:p>
    <w:p>
      <w:pPr>
        <w:spacing w:before="0" w:after="200" w:lineRule="auto" w:line="276"/>
      </w:pPr>
      <w:r>
        <w:rPr>
          <w:b/>
        </w:rPr>
        <w:t xml:space="preserve">Abstract (EN): </w:t>
      </w:r>
      <w:r>
        <w:t>Metal-organic frameworks (MOFs) have emerged as promising candidates for quantum information and photonic applications due to their structural tunability and the potential to contain molecular qubits in architectures that support coherent light-matter interactions. In this study, we investigate the ultrafast coherent dynamics of a perylene-based MOF, UMCM-313, and its corresponding perylene-based organic linker crystal using time-resolved two-photon near-field scanning optical microscopy (NSOM). By tracking the electronic quantum coherence, we reveal coherent modes persisting up to several hundred femtoseconds (fs) at room temperature and extending to the picosecond regime (≈0.9-1 ps) at 173 K in the MOF, significantly longer than the coherence time observed in the organic linkers at the femtosecond scale. The enhanced electronic coherence of UMCM-313 is attributed to periodic chromophore separation and a reduced degree of homogeneous broadening. Because electron spin coherence can be several orders of magnitude longer than optical coherence, we further probed the spin coherence of photoexcited triplet states in UMCM-313 by using time-resolved and pulsed electron paramagnetic resonance (TREPR and pulse-EPR) spectroscopy. TREPR spectra reveal multiple triplet species within the framework, while pulse-EPR measurements yield a phase memory time of 237 ± 5 ns at 173 K. These results demonstrate that UMCM-313 supports both extended excitonic coherence and nanosecond spin coherence, underscoring the importance of periodic framework connectivity in sustaining phase-stable quantum states. The coexistence of electronic coherence and long-lived spin coherence highlights the potential of MOFs as hybrid platforms for quantum photonic and spintronic technologies capable of maintaining coherence under operationally accessible conditions.</w:t>
      </w:r>
    </w:p>
    <w:p>
      <w:pPr>
        <w:spacing w:before="120" w:after="120"/>
      </w:pPr>
      <w:r>
        <w:rPr>
          <w:sz w:val="18"/>
        </w:rPr>
        <w:t>——————————————————————————————————————————————————————————————————————</w:t>
      </w:r>
    </w:p>
    <w:p>
      <w:pPr>
        <w:spacing w:before="160" w:after="40" w:line="240" w:lineRule="auto"/>
      </w:pPr>
      <w:r>
        <w:rPr>
          <w:b/>
        </w:rPr>
        <w:t xml:space="preserve">[129] </w:t>
      </w:r>
      <w:hyperlink r:id="rId403">
        <w:r>
          <w:rPr>
            <w:color w:val="1155CC"/>
            <w:u w:val="single"/>
          </w:rPr>
          <w:t>[ASAP] 乌洛波洛斯：从线性碳到环状碳，环[25]碳和环[50]碳</w:t>
        </w:r>
      </w:hyperlink>
    </w:p>
    <w:p>
      <w:pPr>
        <w:spacing w:before="0" w:after="80"/>
      </w:pPr>
      <w:r>
        <w:rPr>
          <w:i/>
          <w:sz w:val="20"/>
        </w:rPr>
        <w:t>EN: [ASAP] Ouroboros: From Linear Carbons to Cyclic Carbons, Cyclo[25]carbon and Cyclo[50]carbon</w:t>
      </w:r>
    </w:p>
    <w:p>
      <w:pPr>
        <w:spacing w:before="0" w:after="120"/>
      </w:pPr>
      <w:r>
        <w:rPr>
          <w:b/>
        </w:rPr>
        <w:t xml:space="preserve">Source: </w:t>
      </w:r>
      <w:r>
        <w:t>Journal of the American Chemical Society: Latest Articles (ACS Publications)</w:t>
      </w:r>
      <w:r>
        <w:t xml:space="preserve">    </w:t>
      </w:r>
      <w:r>
        <w:rPr>
          <w:b/>
        </w:rPr>
        <w:t xml:space="preserve">Pub date: </w:t>
      </w:r>
      <w:r>
        <w:t>2026-04-06 16:11:40+00:00</w:t>
      </w:r>
      <w:r>
        <w:t xml:space="preserve">    </w:t>
      </w:r>
      <w:r>
        <w:rPr>
          <w:b/>
        </w:rPr>
        <w:t xml:space="preserve">DOI: </w:t>
      </w:r>
      <w:hyperlink r:id="rId404">
        <w:r>
          <w:rPr>
            <w:color w:val="1155CC"/>
            <w:u w:val="single"/>
          </w:rPr>
          <w:t>10.1021/jacs.6c00225</w:t>
        </w:r>
      </w:hyperlink>
    </w:p>
    <w:p>
      <w:pPr>
        <w:spacing w:before="0" w:after="120"/>
      </w:pPr>
      <w:r>
        <w:rPr>
          <w:b/>
        </w:rPr>
        <w:t xml:space="preserve">Notes: </w:t>
      </w:r>
      <w:r>
        <w:t>abstract_source=pubmed</w:t>
      </w:r>
    </w:p>
    <w:p>
      <w:pPr>
        <w:spacing w:before="0" w:after="80" w:lineRule="auto" w:line="276"/>
      </w:pPr>
      <w:r>
        <w:rPr>
          <w:b/>
        </w:rPr>
        <w:t xml:space="preserve">摘要（ZH）: </w:t>
      </w:r>
      <w:r>
        <w:t>仅由sp杂化碳原子组成的碳同素异形体，即线性和环状碳（Cn），代表了一类独特的材料，具有迷人的化学结构和长期争论的稳定性。在早期的气相实验和理论计算中，均表明对于较大的Cn（n ≥ 10），环状形式可能比线性形式更稳定。这意味着线性Cn原则上可以作为形成环状碳的前体。最近，表面合成已经能够生成一系列线性和环状碳（最多到环[30]碳）。然而，在实际空间中尚未实现从线性到环状碳的直接结构转变。在此，我们提出了一种新的策略来生成环状碳</w:t>
      </w:r>
    </w:p>
    <w:p>
      <w:pPr>
        <w:spacing w:before="0" w:after="200" w:lineRule="auto" w:line="276"/>
      </w:pPr>
      <w:r>
        <w:rPr>
          <w:b/>
        </w:rPr>
        <w:t xml:space="preserve">Abstract (EN): </w:t>
      </w:r>
      <w:r>
        <w:t>Carbon allotropes composed solely of sp-hybridized carbon atoms, namely, linear and cyclic carbons (Cn), represent a unique class of materials with fascinating chemical structures and long-debated stability among their various isomers. Early gas-phase experiments and theoretical calculations have both suggested that for larger Cn (n ≥ 10), the cyclic form could be more stable than the linear one. This implies that linear Cn could, in principle, serve as a precursor for the formation of cyclic carbons. Recently, on-surface synthesis has enabled the generation of a series of linear and cyclic carbons (up to cyclo[30]carbon). However, a direct structural transformation from linear to cyclic carbon has not yet been achieved in real space. Here, we present a new strategy to generate cyclic carbons from linear ones, inspired by the ancient symbol "Ouroboros", a snake eating its own tail. Using linear C5 as a precursor (derived from C5Br6) and tip-induced coupling reactions, we achieved the on-surface generation of an odd-numbered cyclic carbon, C25. Electronic characterization and calculations reveal that C25 adopts an open-shell configuration. To demonstrate the generality of this strategy, we employed linear C6 (derived from C6Br6) as the precursor, which led to the formation of the largest cyclocarbon so far, C50, on the surface, and importantly, its first and second ion resonances at two voltage polarities were probed successfully. Our work demonstrates a long-predicted strategy for the synthesis of cyclic carbons.</w:t>
      </w:r>
    </w:p>
    <w:p>
      <w:pPr>
        <w:spacing w:before="120" w:after="120"/>
      </w:pPr>
      <w:r>
        <w:rPr>
          <w:sz w:val="18"/>
        </w:rPr>
        <w:t>——————————————————————————————————————————————————————————————————————</w:t>
      </w:r>
    </w:p>
    <w:p>
      <w:pPr>
        <w:spacing w:before="160" w:after="40" w:line="240" w:lineRule="auto"/>
      </w:pPr>
      <w:r>
        <w:rPr>
          <w:b/>
        </w:rPr>
        <w:t xml:space="preserve">[130] </w:t>
      </w:r>
      <w:hyperlink r:id="rId405">
        <w:r>
          <w:rPr>
            <w:color w:val="1155CC"/>
            <w:u w:val="single"/>
          </w:rPr>
          <w:t>[ASAP] 限域酸催化广泛适用的β-选择性O-糖基化</w:t>
        </w:r>
      </w:hyperlink>
    </w:p>
    <w:p>
      <w:pPr>
        <w:spacing w:before="0" w:after="80"/>
      </w:pPr>
      <w:r>
        <w:rPr>
          <w:i/>
          <w:sz w:val="20"/>
        </w:rPr>
        <w:t>EN: [ASAP] Confined Acids Catalyze a Broadly Applicable β-Selective O-Glycosylation</w:t>
      </w:r>
    </w:p>
    <w:p>
      <w:pPr>
        <w:spacing w:before="0" w:after="120"/>
      </w:pPr>
      <w:r>
        <w:rPr>
          <w:b/>
        </w:rPr>
        <w:t xml:space="preserve">Source: </w:t>
      </w:r>
      <w:r>
        <w:t>Journal of the American Chemical Society: Latest Articles (ACS Publications)</w:t>
      </w:r>
      <w:r>
        <w:t xml:space="preserve">    </w:t>
      </w:r>
      <w:r>
        <w:rPr>
          <w:b/>
        </w:rPr>
        <w:t xml:space="preserve">Pub date: </w:t>
      </w:r>
      <w:r>
        <w:t>2026-04-06 16:31:55+00:00</w:t>
      </w:r>
      <w:r>
        <w:t xml:space="preserve">    </w:t>
      </w:r>
      <w:r>
        <w:rPr>
          <w:b/>
        </w:rPr>
        <w:t xml:space="preserve">DOI: </w:t>
      </w:r>
      <w:hyperlink r:id="rId406">
        <w:r>
          <w:rPr>
            <w:color w:val="1155CC"/>
            <w:u w:val="single"/>
          </w:rPr>
          <w:t>10.1021/jacs.6c01167</w:t>
        </w:r>
      </w:hyperlink>
    </w:p>
    <w:p>
      <w:pPr>
        <w:spacing w:before="0" w:after="120"/>
      </w:pPr>
      <w:r>
        <w:rPr>
          <w:b/>
        </w:rPr>
        <w:t xml:space="preserve">Notes: </w:t>
      </w:r>
      <w:r>
        <w:t>abstract_source=pubmed</w:t>
      </w:r>
    </w:p>
    <w:p>
      <w:pPr>
        <w:spacing w:before="0" w:after="80" w:lineRule="auto" w:line="276"/>
      </w:pPr>
      <w:r>
        <w:rPr>
          <w:b/>
        </w:rPr>
        <w:t xml:space="preserve">摘要（ZH）: </w:t>
      </w:r>
      <w:r>
        <w:t>糖是生物系统的基本组成部分，由通过糖苷键连接的单糖组成。这些糖苷键的立体性质在糖的结构和生物功能中起着决定性作用。因此，实现精确的、立体控制的糖苷键形成一直是化学家的长期目标和持续挑战。迄今为止，通用的催化β选择性糖基化仅限于通过氧杂碳鎓离子竞争SN1样途径的SN2样反应，削弱了选择性。在此，我们报告了一种替代方法：限制酸催化广泛适用的β选择性O-糖基化，包括2-脱氧葡糖基化、葡糖基化和甘露糖基化，我们建议其通过SN1样途径进行</w:t>
      </w:r>
    </w:p>
    <w:p>
      <w:pPr>
        <w:spacing w:before="0" w:after="200" w:lineRule="auto" w:line="276"/>
      </w:pPr>
      <w:r>
        <w:rPr>
          <w:b/>
        </w:rPr>
        <w:t xml:space="preserve">Abstract (EN): </w:t>
      </w:r>
      <w:r>
        <w:t>Glycans are fundamental components of biological systems, composed of monosaccharides linked through glycosidic bonds. The stereogenic nature of these glycosidic bonds plays a decisive role in the structure and biological function of the glycan. Achieving precise, stereocontrolled formation of glycosidic linkages has therefore been a long-standing objective and an ongoing challenge for chemists. To date, general catalytic β-selective glycosylations have been limited to SN2-like reactions with competing SN1-like pathways via oxocarbenium ions eroding the selectivity. Here we report an alternative approach: confined acids catalyze a broadly applicable β-selective O-glycosylation, including 2-deoxyglucosylation, glucosylation, and mannosylation, that we suggest proceeds via an SN1-like pathway. Mechanistic and theoretical studies support this view.</w:t>
      </w:r>
    </w:p>
    <w:p>
      <w:pPr>
        <w:spacing w:before="120" w:after="120"/>
      </w:pPr>
      <w:r>
        <w:rPr>
          <w:sz w:val="18"/>
        </w:rPr>
        <w:t>——————————————————————————————————————————————————————————————————————</w:t>
      </w:r>
    </w:p>
    <w:p>
      <w:pPr>
        <w:spacing w:before="160" w:after="40" w:line="240" w:lineRule="auto"/>
      </w:pPr>
      <w:r>
        <w:rPr>
          <w:b/>
        </w:rPr>
        <w:t xml:space="preserve">[131] </w:t>
      </w:r>
      <w:hyperlink r:id="rId407">
        <w:r>
          <w:rPr>
            <w:color w:val="1155CC"/>
            <w:u w:val="single"/>
          </w:rPr>
          <w:t>[ASAP] 催化性对映选择性SN2′型反应用于轴向烯丙基手性</w:t>
        </w:r>
      </w:hyperlink>
    </w:p>
    <w:p>
      <w:pPr>
        <w:spacing w:before="0" w:after="80"/>
      </w:pPr>
      <w:r>
        <w:rPr>
          <w:i/>
          <w:sz w:val="20"/>
        </w:rPr>
        <w:t>EN: [ASAP] Catalytic Enantioselective SN2′-Type Reaction for Axial Allene Chirality</w:t>
      </w:r>
    </w:p>
    <w:p>
      <w:pPr>
        <w:spacing w:before="0" w:after="120"/>
      </w:pPr>
      <w:r>
        <w:rPr>
          <w:b/>
        </w:rPr>
        <w:t xml:space="preserve">Source: </w:t>
      </w:r>
      <w:r>
        <w:t>Journal of the American Chemical Society: Latest Articles (ACS Publications)</w:t>
      </w:r>
      <w:r>
        <w:t xml:space="preserve">    </w:t>
      </w:r>
      <w:r>
        <w:rPr>
          <w:b/>
        </w:rPr>
        <w:t xml:space="preserve">Pub date: </w:t>
      </w:r>
      <w:r>
        <w:t>2026-04-06 16:56:53+00:00</w:t>
      </w:r>
      <w:r>
        <w:t xml:space="preserve">    </w:t>
      </w:r>
      <w:r>
        <w:rPr>
          <w:b/>
        </w:rPr>
        <w:t xml:space="preserve">DOI: </w:t>
      </w:r>
      <w:hyperlink r:id="rId408">
        <w:r>
          <w:rPr>
            <w:color w:val="1155CC"/>
            <w:u w:val="single"/>
          </w:rPr>
          <w:t>10.1021/jacs.6c00454</w:t>
        </w:r>
      </w:hyperlink>
    </w:p>
    <w:p>
      <w:pPr>
        <w:spacing w:before="0" w:after="120"/>
      </w:pPr>
      <w:r>
        <w:rPr>
          <w:b/>
        </w:rPr>
        <w:t xml:space="preserve">Notes: </w:t>
      </w:r>
      <w:r>
        <w:t>abstract_source=pubmed</w:t>
      </w:r>
    </w:p>
    <w:p>
      <w:pPr>
        <w:spacing w:before="0" w:after="80" w:lineRule="auto" w:line="276"/>
      </w:pPr>
      <w:r>
        <w:rPr>
          <w:b/>
        </w:rPr>
        <w:t xml:space="preserve">摘要（ZH）: </w:t>
      </w:r>
      <w:r>
        <w:t>在自然界中，光学活性化合物非常丰富，并且对有机化学、药物化学和材料化学具有根本性的研究兴趣。将易得的外消旋化合物催化转化为相同的增值对映体产品是最有效和最具成本效益的方案之一。在此，揭示了一种在铑催化剂下，通过新型磷酰胺-烯双齿配体催化的外消旋炔丙醇与芳基硼酸（两者均易得）的SN2'-型对映选择性反应，生成四取代富含对映体的烯烃。通过ESI-MS和TWIM-MS鉴定并表征了一对具有烯丙基羟基的非对映异构体乙烯基铑物种。基于催化剂的X射线衍射数据和其他机理研究</w:t>
      </w:r>
    </w:p>
    <w:p>
      <w:pPr>
        <w:spacing w:before="0" w:after="200" w:lineRule="auto" w:line="276"/>
      </w:pPr>
      <w:r>
        <w:rPr>
          <w:b/>
        </w:rPr>
        <w:t xml:space="preserve">Abstract (EN): </w:t>
      </w:r>
      <w:r>
        <w:t>Optically active compounds are abundant in nature and are of fundamental interest for organic, medicinal, and material chemistry. Catalytic transformation of readily available racemic compounds into the same value-added enantiomeric products is one of the most efficient and cost-effective protocols. Herein, an SN2'-type enantioselective reaction of racemic propargylic alcohols with aryl boronic acids (both are readily available) under a rhodium catalyst empowered by a new phosphoramidite-olefin bidentate ligand affording tetrasubstituted enantioenriched allenes has been unveiled. A pair of diastereomeric vinylic rhodium species with an allylic hydroxyl group has been identified and characterized by ESI-MS and TWIM-MS. Based on the X-ray diffraction data of the catalyst and other mechanistic studies, it is confirmed that the reaction is a conceptually new approach of parallel path enantio-convergent transformation, which is different from the classic dynamic kinetic resolution and dynamic kinetic asymmetric transformations.</w:t>
      </w:r>
    </w:p>
    <w:p>
      <w:pPr>
        <w:spacing w:before="120" w:after="120"/>
      </w:pPr>
      <w:r>
        <w:rPr>
          <w:sz w:val="18"/>
        </w:rPr>
        <w:t>——————————————————————————————————————————————————————————————————————</w:t>
      </w:r>
    </w:p>
    <w:p>
      <w:pPr>
        <w:spacing w:before="160" w:after="40" w:line="240" w:lineRule="auto"/>
      </w:pPr>
      <w:r>
        <w:rPr>
          <w:b/>
        </w:rPr>
        <w:t xml:space="preserve">[132] </w:t>
      </w:r>
      <w:hyperlink r:id="rId409">
        <w:r>
          <w:rPr>
            <w:color w:val="1155CC"/>
            <w:u w:val="single"/>
          </w:rPr>
          <w:t>[ASAP] 等离子体金属氧化物纳米晶体中近表面能带弯曲的直接观察</w:t>
        </w:r>
      </w:hyperlink>
    </w:p>
    <w:p>
      <w:pPr>
        <w:spacing w:before="0" w:after="80"/>
      </w:pPr>
      <w:r>
        <w:rPr>
          <w:i/>
          <w:sz w:val="20"/>
        </w:rPr>
        <w:t>EN: [ASAP] Direct Observation of Near-Surface Band Bending in Plasmonic Metal Oxide Nanocrystals</w:t>
      </w:r>
    </w:p>
    <w:p>
      <w:pPr>
        <w:spacing w:before="0" w:after="120"/>
      </w:pPr>
      <w:r>
        <w:rPr>
          <w:b/>
        </w:rPr>
        <w:t xml:space="preserve">Source: </w:t>
      </w:r>
      <w:r>
        <w:t>Journal of the American Chemical Society: Latest Articles (ACS Publications)</w:t>
      </w:r>
      <w:r>
        <w:t xml:space="preserve">    </w:t>
      </w:r>
      <w:r>
        <w:rPr>
          <w:b/>
        </w:rPr>
        <w:t xml:space="preserve">Pub date: </w:t>
      </w:r>
      <w:r>
        <w:t>2026-04-06 18:05:01+00:00</w:t>
      </w:r>
      <w:r>
        <w:t xml:space="preserve">    </w:t>
      </w:r>
      <w:r>
        <w:rPr>
          <w:b/>
        </w:rPr>
        <w:t xml:space="preserve">DOI: </w:t>
      </w:r>
      <w:hyperlink r:id="rId410">
        <w:r>
          <w:rPr>
            <w:color w:val="1155CC"/>
            <w:u w:val="single"/>
          </w:rPr>
          <w:t>10.1021/jacs.6c01291</w:t>
        </w:r>
      </w:hyperlink>
    </w:p>
    <w:p>
      <w:pPr>
        <w:spacing w:before="0" w:after="120"/>
      </w:pPr>
      <w:r>
        <w:rPr>
          <w:b/>
        </w:rPr>
        <w:t xml:space="preserve">Notes: </w:t>
      </w:r>
      <w:r>
        <w:t>abstract_source=pubmed</w:t>
      </w:r>
    </w:p>
    <w:p>
      <w:pPr>
        <w:spacing w:before="0" w:after="80" w:lineRule="auto" w:line="276"/>
      </w:pPr>
      <w:r>
        <w:rPr>
          <w:b/>
        </w:rPr>
        <w:t xml:space="preserve">摘要（ZH）: </w:t>
      </w:r>
      <w:r>
        <w:t>半导体表面和界面的能带弯曲是决定电荷传输、载流子动力学和器件性能的关键因素；然而，直接探测半导体纳米晶体（NCs）中能带弯曲的实验方法一直有限。在此，我们引入了一种能量依赖的X射线光电子能谱（ED-XPS）方法，作为一种通用技术，可以直接观察到掺杂过的NCs中的能带弯曲。实验和模拟表明，由于NCs的曲率，角度依赖的XPS缺乏深度灵敏度，而ED-XPS可靠地解析了核心能级结合能的深度依赖性变化，允许量化能带弯曲趋势。将此方法应用于锡掺杂氧化铟NCs的可变掺杂系列，我们观察到直接相关性</w:t>
      </w:r>
    </w:p>
    <w:p>
      <w:pPr>
        <w:spacing w:before="0" w:after="200" w:lineRule="auto" w:line="276"/>
      </w:pPr>
      <w:r>
        <w:rPr>
          <w:b/>
        </w:rPr>
        <w:t xml:space="preserve">Abstract (EN): </w:t>
      </w:r>
      <w:r>
        <w:t>Band bending at semiconductor surfaces and interfaces is a key factor governing charge transport, carrier dynamics, and device performance; yet, direct experimental methods for probing band bending in semiconductor nanocrystals (NCs) have been limited. Here, we introduce an energy-dependent X-ray photoelectron spectroscopy (ED-XPS) approach as a generalizable technique to directly observe band bending in degenerately doped NCs. Experiments and simulations reveal that angle-dependent XPS lacks depth sensitivity for NCs due to their curvature, whereas ED-XPS reliably resolves depth-dependent shifts in core-level binding energies, allowing for quantification of band bending trends. Applying this method to a variable doping series of tin-doped indium oxide NCs, we observe a direct correlation between Sn doping and band bending, which supports previously hypothesized descriptions of a surface depletion layer originating from band bending. This ED-XPS approach extends to investigate doped cubic-shaped NCs, demonstrating applicability across different morphologies and doping compositions. We show that this technique can also be used to study how postsynthetic chemical surface modification affects band bending. Using two different surface modification chemistries, dipolar ligands and redox-active phosphorus species, we observe changes in band bending influenced by either tuning the built-in potential or reactively removing surface hydroxyls and donating free electrons, respectively. These results establish ED-XPS as a powerful technique to directly observe band bending for a wide range of NCs with different morphologies, chemical doping, or surface chemistry, providing new opportunities to engineer semiconductor nanomaterials for optoelectronic, catalytic, and sensing applications.</w:t>
      </w:r>
    </w:p>
    <w:p>
      <w:pPr>
        <w:spacing w:before="120" w:after="120"/>
      </w:pPr>
      <w:r>
        <w:rPr>
          <w:sz w:val="18"/>
        </w:rPr>
        <w:t>——————————————————————————————————————————————————————————————————————</w:t>
      </w:r>
    </w:p>
    <w:p>
      <w:pPr>
        <w:spacing w:before="160" w:after="40" w:line="240" w:lineRule="auto"/>
      </w:pPr>
      <w:r>
        <w:rPr>
          <w:b/>
        </w:rPr>
        <w:t xml:space="preserve">[133] </w:t>
      </w:r>
      <w:hyperlink r:id="rId411">
        <w:r>
          <w:rPr>
            <w:color w:val="1155CC"/>
            <w:u w:val="single"/>
          </w:rPr>
          <w:t>[ASAP] 通过可移除的单导向基团实现酚类和苯胺的催化C-去甲基化</w:t>
        </w:r>
      </w:hyperlink>
    </w:p>
    <w:p>
      <w:pPr>
        <w:spacing w:before="0" w:after="80"/>
      </w:pPr>
      <w:r>
        <w:rPr>
          <w:i/>
          <w:sz w:val="20"/>
        </w:rPr>
        <w:t>EN: [ASAP] Catalytic C-Demethylation of Phenols and Anilines Enabled by a Removable Mono-Directing Group</w:t>
      </w:r>
    </w:p>
    <w:p>
      <w:pPr>
        <w:spacing w:before="0" w:after="120"/>
      </w:pPr>
      <w:r>
        <w:rPr>
          <w:b/>
        </w:rPr>
        <w:t xml:space="preserve">Source: </w:t>
      </w:r>
      <w:r>
        <w:t>Journal of the American Chemical Society: Latest Articles (ACS Publications)</w:t>
      </w:r>
      <w:r>
        <w:t xml:space="preserve">    </w:t>
      </w:r>
      <w:r>
        <w:rPr>
          <w:b/>
        </w:rPr>
        <w:t xml:space="preserve">Pub date: </w:t>
      </w:r>
      <w:r>
        <w:t>2026-04-06 19:18:36+00:00</w:t>
      </w:r>
      <w:r>
        <w:t xml:space="preserve">    </w:t>
      </w:r>
      <w:r>
        <w:rPr>
          <w:b/>
        </w:rPr>
        <w:t xml:space="preserve">DOI: </w:t>
      </w:r>
      <w:hyperlink r:id="rId412">
        <w:r>
          <w:rPr>
            <w:color w:val="1155CC"/>
            <w:u w:val="single"/>
          </w:rPr>
          <w:t>10.1021/jacs.6c01406</w:t>
        </w:r>
      </w:hyperlink>
    </w:p>
    <w:p>
      <w:pPr>
        <w:spacing w:before="0" w:after="120"/>
      </w:pPr>
      <w:r>
        <w:rPr>
          <w:b/>
        </w:rPr>
        <w:t xml:space="preserve">Notes: </w:t>
      </w:r>
      <w:r>
        <w:t>abstract_source=pubmed</w:t>
      </w:r>
    </w:p>
    <w:p>
      <w:pPr>
        <w:spacing w:before="0" w:after="80" w:lineRule="auto" w:line="276"/>
      </w:pPr>
      <w:r>
        <w:rPr>
          <w:b/>
        </w:rPr>
        <w:t xml:space="preserve">摘要（ZH）: </w:t>
      </w:r>
      <w:r>
        <w:t>非应变非极性C-C键的活化，例如C(芳基)-C(烷基)键，仍然具有挑战性。现有的催化策略主要依赖于双齿螯合导向基团（DGs）或特殊底物。在此，我们报告了一种通过可移除的单导向基团实现的Ru催化C(芳基)-C(甲基)键活化。通过使用易于安装和移除的笨重磷腈或氨基磷酸酯导向基团，可以在氢解条件下顺利删除酚类和苯胺类邻位的甲基。该反应表现出广泛的底物范围和优异的官能团耐受性。机制研究表明，原位生成的Ru氢化物物种负责C(芳基)-C(甲基)键的活化，并鉴定出甲烷</w:t>
      </w:r>
    </w:p>
    <w:p>
      <w:pPr>
        <w:spacing w:before="0" w:after="200" w:lineRule="auto" w:line="276"/>
      </w:pPr>
      <w:r>
        <w:rPr>
          <w:b/>
        </w:rPr>
        <w:t xml:space="preserve">Abstract (EN): </w:t>
      </w:r>
      <w:r>
        <w:t>The activation of unstrained nonpolar C-C bonds, such as C(aryl)-C(alkyl) bonds, remains challenging to achieve. Existing catalytic strategies predominantly rely on bidentate chelating directing groups (DGs) or special substrates. Herein, we report a Ru-catalyzed activation of C(aryl)-C(methyl) bonds enabled by a removable mono-DG. By employing a bulky phosphinite or aminophosphine-DG that can be easily installed and removed later, a methyl group at the ortho position of phenols and anilines can be smoothly deleted under the hydrogenolysis condition. This reaction exhibits a broad substrate scope and excellent functional group tolerance. Mechanistic studies suggest that a Ru-hydride species generated in situ is responsible for the C(aryl)-C(methyl) bond activation, with methane identified as a byproduct.</w:t>
      </w:r>
    </w:p>
    <w:p>
      <w:pPr>
        <w:spacing w:before="120" w:after="120"/>
      </w:pPr>
      <w:r>
        <w:rPr>
          <w:sz w:val="18"/>
        </w:rPr>
        <w:t>——————————————————————————————————————————————————————————————————————</w:t>
      </w:r>
    </w:p>
    <w:p>
      <w:pPr>
        <w:spacing w:before="160" w:after="40" w:line="240" w:lineRule="auto"/>
      </w:pPr>
      <w:r>
        <w:rPr>
          <w:b/>
        </w:rPr>
        <w:t xml:space="preserve">[134] </w:t>
      </w:r>
      <w:hyperlink r:id="rId413">
        <w:r>
          <w:rPr>
            <w:color w:val="1155CC"/>
            <w:u w:val="single"/>
          </w:rPr>
          <w:t>智能多模式侧流检测的进展：从多金属纳米材料到智能分析集成</w:t>
        </w:r>
      </w:hyperlink>
    </w:p>
    <w:p>
      <w:pPr>
        <w:spacing w:before="0" w:after="80"/>
      </w:pPr>
      <w:r>
        <w:rPr>
          <w:i/>
          <w:sz w:val="20"/>
        </w:rPr>
        <w:t>EN: Advances in intelligent multi-mode lateral flow assays: from multi-metallic nanomaterials to smart analytical integration</w:t>
      </w:r>
    </w:p>
    <w:p>
      <w:pPr>
        <w:spacing w:before="0" w:after="120"/>
      </w:pPr>
      <w:r>
        <w:rPr>
          <w:b/>
        </w:rPr>
        <w:t xml:space="preserve">Source: </w:t>
      </w:r>
      <w:r>
        <w:t>RSC - Chem. Soc. Rev. latest articles</w:t>
      </w:r>
      <w:r>
        <w:t xml:space="preserve">    </w:t>
      </w:r>
      <w:r>
        <w:rPr>
          <w:b/>
        </w:rPr>
        <w:t xml:space="preserve">Pub date: </w:t>
      </w:r>
      <w:r>
        <w:t>2026-04-06 23:00:00+00:00</w:t>
      </w:r>
    </w:p>
    <w:p>
      <w:pPr>
        <w:spacing w:before="0" w:after="120"/>
      </w:pPr>
      <w:r>
        <w:rPr>
          <w:b/>
        </w:rPr>
        <w:t xml:space="preserve">Notes: </w:t>
      </w:r>
      <w:r>
        <w:t>abstract_source=rsc_html</w:t>
      </w:r>
    </w:p>
    <w:p>
      <w:pPr>
        <w:spacing w:before="0" w:after="80" w:lineRule="auto" w:line="276"/>
      </w:pPr>
      <w:r>
        <w:rPr>
          <w:b/>
        </w:rPr>
        <w:t xml:space="preserve">摘要（ZH）: </w:t>
      </w:r>
      <w:r>
        <w:t>侧流检测（LFAs）已从简单的定性工具演变为智能的多模式分析平台，集成了合理设计的多金属纳米颗粒（MMNPs）与人工智能（AI）辅助的数据分析，重新定义了即时诊断的前沿。这一转变由MMNPs的出现推动，这些纳米颗粒在单一纳米系统中结合了等离子体、催化和磁性特性，实现了灵活的协同增强灵敏度、特异性和动态范围。合金、核壳、异质结构和空心MMNP架构的合理设计允许同时进行多信号读出（例如比色、荧光、化学发光、表面增强拉曼散射、光热和电化学</w:t>
      </w:r>
    </w:p>
    <w:p>
      <w:pPr>
        <w:spacing w:before="0" w:after="200" w:lineRule="auto" w:line="276"/>
      </w:pPr>
      <w:r>
        <w:rPr>
          <w:b/>
        </w:rPr>
        <w:t xml:space="preserve">Abstract (EN): </w:t>
      </w:r>
      <w:r>
        <w:t>Lateral flow assays (LFAs) have evolved from simple qualitative tools into intelligent, multi-modal analytical platforms that integrate rationally engineered multi-metallic nanoparticles (MMNPs) with artificial intelligence (AI)-assisted data analysis to redefine the frontier of point-of-care diagnostics. This transformation has been driven by the advent of MMNPs, which couple plasmonic, catalytic, and magnetic properties within a single nano-system to achieve the tuneable synergistic enhancement of sensitivity, specificity, and dynamic range. The rational design of alloy, core–shell, hetero-structured, and hollow MMNP architectures allows simultaneous multi-signal readouts (e.g. colourimetric, fluorescence, chemiluminescence, surface-enhanced Raman scattering, photothermal, and electrochemical), thereby enabling intrinsic cross-verification and expanding diagnostic reliability. Parallel advances in AI, smartphone integration, and the Internet of Things connectivity have further elevated LFAs into digitally networked biosensors where embedded algorithms perform automated signal interpretation, error correction, and multi-mode data fusion, while cloud-linked infrastructures enable remote monitoring and epidemiological intelligence. These developments collectively reframe LFAs as integral components of data-driven, personalised, and preventive healthcare systems. Herein, we provide a unified framework that links design-on-demand MMNP synthesis, fully automated microfluidic LFA devices, AI-enhanced clinical decision support, and regulatory standardisation, and outline strategies for translating next-generation intelligent LFAs from laboratory innovation to global medical deployment.</w:t>
      </w:r>
    </w:p>
    <w:p>
      <w:pPr>
        <w:spacing w:before="120" w:after="120"/>
      </w:pPr>
      <w:r>
        <w:rPr>
          <w:sz w:val="18"/>
        </w:rPr>
        <w:t>——————————————————————————————————————————————————————————————————————</w:t>
      </w:r>
    </w:p>
    <w:p>
      <w:pPr>
        <w:spacing w:before="160" w:after="40" w:line="240" w:lineRule="auto"/>
      </w:pPr>
      <w:r>
        <w:rPr>
          <w:b/>
        </w:rPr>
        <w:t xml:space="preserve">[135] </w:t>
      </w:r>
      <w:hyperlink r:id="rId414">
        <w:r>
          <w:rPr>
            <w:color w:val="1155CC"/>
            <w:u w:val="single"/>
          </w:rPr>
          <w:t>双环丁烷的应变释放驱动反应的最新进展：有机合成中的新兴领域</w:t>
        </w:r>
      </w:hyperlink>
    </w:p>
    <w:p>
      <w:pPr>
        <w:spacing w:before="0" w:after="80"/>
      </w:pPr>
      <w:r>
        <w:rPr>
          <w:i/>
          <w:sz w:val="20"/>
        </w:rPr>
        <w:t>EN: Recent advances in the strain-release driven reactions of bicyclobutanes: an emerging landscape in organic synthesis</w:t>
      </w:r>
    </w:p>
    <w:p>
      <w:pPr>
        <w:spacing w:before="0" w:after="120"/>
      </w:pPr>
      <w:r>
        <w:rPr>
          <w:b/>
        </w:rPr>
        <w:t xml:space="preserve">Source: </w:t>
      </w:r>
      <w:r>
        <w:t>RSC - Chem. Soc. Rev. latest articles</w:t>
      </w:r>
      <w:r>
        <w:t xml:space="preserve">    </w:t>
      </w:r>
      <w:r>
        <w:rPr>
          <w:b/>
        </w:rPr>
        <w:t xml:space="preserve">Pub date: </w:t>
      </w:r>
      <w:r>
        <w:t>2026-04-06 23:00:00+00:00</w:t>
      </w:r>
    </w:p>
    <w:p>
      <w:pPr>
        <w:spacing w:before="0" w:after="120"/>
      </w:pPr>
      <w:r>
        <w:rPr>
          <w:b/>
        </w:rPr>
        <w:t xml:space="preserve">Notes: </w:t>
      </w:r>
      <w:r>
        <w:t>abstract_source=rsc_html</w:t>
      </w:r>
    </w:p>
    <w:p>
      <w:pPr>
        <w:spacing w:before="0" w:after="80" w:lineRule="auto" w:line="276"/>
      </w:pPr>
      <w:r>
        <w:rPr>
          <w:b/>
        </w:rPr>
        <w:t xml:space="preserve">摘要（ZH）: </w:t>
      </w:r>
      <w:r>
        <w:t>双环[1.1.0]丁烷（BCBs）是最小且应变最大的碳环之一，已成为现代有机化学中强大的合成构建模块。近年来，人们对理解和利用其独特反应性的兴趣激增。与中心C–C键相关的高应变能使多种转化成为可能，包括插入、加成、环加成和分子重排，通常在温和条件下进行。这种固有的应变促进了多样化和复杂分子结构的快速高效构建。此外，作为苯衍生物的生物等排体，BCB基序的引入在药物化学中引起了极大关注，因为其高sp3特征和三维性</w:t>
      </w:r>
    </w:p>
    <w:p>
      <w:pPr>
        <w:spacing w:before="0" w:after="200" w:lineRule="auto" w:line="276"/>
      </w:pPr>
      <w:r>
        <w:rPr>
          <w:b/>
        </w:rPr>
        <w:t xml:space="preserve">Abstract (EN): </w:t>
      </w:r>
      <w:r>
        <w:t>Bicyclo[1.1.0]butanes (BCBs) are among the smallest and most strained carbocycles and have emerged as powerful synthetic building blocks in modern organic chemistry. Recent years have witnessed a surge of interest in understanding and exploiting their unique reactivity. The high strain energy associated with the central C–C bond enables a variety of transformations, including insertions, additions, cycloadditions, and molecular rearrangements, often proceeding under mild conditions. This inherent strain facilitates the rapid and efficient construction of diverse and complex molecular architectures. Moreover, the incorporation of BCB motifs as bioisosteres of benzene derivatives has drawn significant attention in medicinal chemistry, owing to their high sp3 character and three-dimensionality. In this review, we summarize the important structural features and the recent advances in the reactivity of BCBs, highlighting key developments, mechanistic insights and the associated modes of reactivity explored.</w:t>
      </w:r>
    </w:p>
    <w:p>
      <w:pPr>
        <w:spacing w:before="120" w:after="120"/>
      </w:pPr>
      <w:r>
        <w:rPr>
          <w:sz w:val="18"/>
        </w:rPr>
        <w:t>——————————————————————————————————————————————————————————————————————</w:t>
      </w:r>
    </w:p>
    <w:p>
      <w:pPr>
        <w:spacing w:before="160" w:after="40" w:line="240" w:lineRule="auto"/>
      </w:pPr>
      <w:r>
        <w:rPr>
          <w:b/>
        </w:rPr>
        <w:t xml:space="preserve">[136] </w:t>
      </w:r>
      <w:hyperlink r:id="rId415">
        <w:r>
          <w:rPr>
            <w:color w:val="1155CC"/>
            <w:u w:val="single"/>
          </w:rPr>
          <w:t>新药瞄准癌症最致命的突变之一</w:t>
        </w:r>
      </w:hyperlink>
    </w:p>
    <w:p>
      <w:pPr>
        <w:spacing w:before="0" w:after="80"/>
      </w:pPr>
      <w:r>
        <w:rPr>
          <w:i/>
          <w:sz w:val="20"/>
        </w:rPr>
        <w:t>EN: New drugs take aim at one of cancer’s deadliest mutations</w:t>
      </w:r>
    </w:p>
    <w:p>
      <w:pPr>
        <w:spacing w:before="0" w:after="120"/>
      </w:pPr>
      <w:r>
        <w:rPr>
          <w:b/>
        </w:rPr>
        <w:t xml:space="preserve">Source: </w:t>
      </w:r>
      <w:r>
        <w:t>Nature</w:t>
      </w:r>
      <w:r>
        <w:t xml:space="preserve">    </w:t>
      </w:r>
      <w:r>
        <w:rPr>
          <w:b/>
        </w:rPr>
        <w:t xml:space="preserve">Pub date: </w:t>
      </w:r>
      <w:r>
        <w:t>2026-04-07 00:00:00+00:00</w:t>
      </w:r>
      <w:r>
        <w:t xml:space="preserve">    </w:t>
      </w:r>
      <w:r>
        <w:rPr>
          <w:b/>
        </w:rPr>
        <w:t xml:space="preserve">DOI: </w:t>
      </w:r>
      <w:hyperlink r:id="rId416">
        <w:r>
          <w:rPr>
            <w:color w:val="1155CC"/>
            <w:u w:val="single"/>
          </w:rPr>
          <w:t>10.1038/d41586-026-01016-7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[137] </w:t>
      </w:r>
      <w:hyperlink r:id="rId417">
        <w:r>
          <w:rPr>
            <w:color w:val="1155CC"/>
            <w:u w:val="single"/>
          </w:rPr>
          <w:t>每日简报：阿尔忒弥斯II号特别报道</w:t>
        </w:r>
      </w:hyperlink>
    </w:p>
    <w:p>
      <w:pPr>
        <w:spacing w:before="0" w:after="80"/>
      </w:pPr>
      <w:r>
        <w:rPr>
          <w:i/>
          <w:sz w:val="20"/>
        </w:rPr>
        <w:t>EN: Daily briefing: The Artemis II special</w:t>
      </w:r>
    </w:p>
    <w:p>
      <w:pPr>
        <w:spacing w:before="0" w:after="120"/>
      </w:pPr>
      <w:r>
        <w:rPr>
          <w:b/>
        </w:rPr>
        <w:t xml:space="preserve">Source: </w:t>
      </w:r>
      <w:r>
        <w:t>Nature</w:t>
      </w:r>
      <w:r>
        <w:t xml:space="preserve">    </w:t>
      </w:r>
      <w:r>
        <w:rPr>
          <w:b/>
        </w:rPr>
        <w:t xml:space="preserve">Pub date: </w:t>
      </w:r>
      <w:r>
        <w:t>2026-04-07 00:00:00+00:00</w:t>
      </w:r>
      <w:r>
        <w:t xml:space="preserve">    </w:t>
      </w:r>
      <w:r>
        <w:rPr>
          <w:b/>
        </w:rPr>
        <w:t xml:space="preserve">DOI: </w:t>
      </w:r>
      <w:hyperlink r:id="rId418">
        <w:r>
          <w:rPr>
            <w:color w:val="1155CC"/>
            <w:u w:val="single"/>
          </w:rPr>
          <w:t>10.1038/d41586-026-01125-3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[138] </w:t>
      </w:r>
      <w:hyperlink r:id="rId419">
        <w:r>
          <w:rPr>
            <w:color w:val="1155CC"/>
            <w:u w:val="single"/>
          </w:rPr>
          <w:t>当页面重新编号引发愤怒</w:t>
        </w:r>
      </w:hyperlink>
    </w:p>
    <w:p>
      <w:pPr>
        <w:spacing w:before="0" w:after="80"/>
      </w:pPr>
      <w:r>
        <w:rPr>
          <w:i/>
          <w:sz w:val="20"/>
        </w:rPr>
        <w:t>EN: When page-renumbering causes outrage</w:t>
      </w:r>
    </w:p>
    <w:p>
      <w:pPr>
        <w:spacing w:before="0" w:after="120"/>
      </w:pPr>
      <w:r>
        <w:rPr>
          <w:b/>
        </w:rPr>
        <w:t xml:space="preserve">Source: </w:t>
      </w:r>
      <w:r>
        <w:t>Nature</w:t>
      </w:r>
      <w:r>
        <w:t xml:space="preserve">    </w:t>
      </w:r>
      <w:r>
        <w:rPr>
          <w:b/>
        </w:rPr>
        <w:t xml:space="preserve">Pub date: </w:t>
      </w:r>
      <w:r>
        <w:t>2026-04-07 00:00:00+00:00</w:t>
      </w:r>
      <w:r>
        <w:t xml:space="preserve">    </w:t>
      </w:r>
      <w:r>
        <w:rPr>
          <w:b/>
        </w:rPr>
        <w:t xml:space="preserve">DOI: </w:t>
      </w:r>
      <w:hyperlink r:id="rId420">
        <w:r>
          <w:rPr>
            <w:color w:val="1155CC"/>
            <w:u w:val="single"/>
          </w:rPr>
          <w:t>10.1038/d41586-026-00913-1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[139] </w:t>
      </w:r>
      <w:hyperlink r:id="rId421">
        <w:r>
          <w:rPr>
            <w:color w:val="1155CC"/>
            <w:u w:val="single"/>
          </w:rPr>
          <w:t>多功能介孔聚多巴胺纳米马达的多金属氧酸盐导向界面组装</w:t>
        </w:r>
      </w:hyperlink>
    </w:p>
    <w:p>
      <w:pPr>
        <w:spacing w:before="0" w:after="80"/>
      </w:pPr>
      <w:r>
        <w:rPr>
          <w:i/>
          <w:sz w:val="20"/>
        </w:rPr>
        <w:t>EN: Polyoxometalate-directed interfacial assembly of multifunctional mesoporous polydopamine nanomotors</w:t>
      </w:r>
    </w:p>
    <w:p>
      <w:pPr>
        <w:spacing w:before="0" w:after="120"/>
      </w:pPr>
      <w:r>
        <w:rPr>
          <w:b/>
        </w:rPr>
        <w:t xml:space="preserve">Source: </w:t>
      </w:r>
      <w:r>
        <w:t>National Science Review Advance Access</w:t>
      </w:r>
      <w:r>
        <w:t xml:space="preserve">    </w:t>
      </w:r>
      <w:r>
        <w:rPr>
          <w:b/>
        </w:rPr>
        <w:t xml:space="preserve">Pub date: </w:t>
      </w:r>
      <w:r>
        <w:t>2026-04-07 00:00:00+00:00</w:t>
      </w:r>
      <w:r>
        <w:t xml:space="preserve">    </w:t>
      </w:r>
      <w:r>
        <w:rPr>
          <w:b/>
        </w:rPr>
        <w:t xml:space="preserve">DOI: </w:t>
      </w:r>
      <w:hyperlink r:id="rId422">
        <w:r>
          <w:rPr>
            <w:color w:val="1155CC"/>
            <w:u w:val="single"/>
          </w:rPr>
          <w:t>10.1093/nsr/nwag214</w:t>
        </w:r>
      </w:hyperlink>
    </w:p>
    <w:p>
      <w:pPr>
        <w:spacing w:before="0" w:after="120"/>
      </w:pPr>
      <w:r>
        <w:rPr>
          <w:b/>
        </w:rPr>
        <w:t xml:space="preserve">Notes: </w:t>
      </w:r>
      <w:r>
        <w:t>abstract_source=rss_oup</w:t>
      </w:r>
    </w:p>
    <w:p>
      <w:pPr>
        <w:spacing w:before="0" w:after="80" w:lineRule="auto" w:line="276"/>
      </w:pPr>
      <w:r>
        <w:rPr>
          <w:b/>
        </w:rPr>
        <w:t xml:space="preserve">摘要（ZH）: </w:t>
      </w:r>
      <w:r>
        <w:t>聚多巴胺（PDA）是一种以其生物相容性和粘附性能而闻名的多功能材料，但其固有的化学惰性限制了更广泛的功能应用。在此，我们报道了一种一锅多金属氧酸盐（POM）介导的乳液策略，用于合成具有可控各向异性形貌和集成功能的杂化介孔PDA（HMP）纳米结构。硅钨酸（H4SiW）指导P123/1,3,5-三甲基苯（TMB）/多巴胺复合胶束的形成，同时稳定乳液，调节界面张力，并模板化分层结构。该组装路径使得从各向同性纳米球到开放腔或碗状结构的可编程形状演变成为可能。嵌入的POM保持分子分散和化学</w:t>
      </w:r>
    </w:p>
    <w:p>
      <w:pPr>
        <w:spacing w:before="0" w:after="200" w:lineRule="auto" w:line="276"/>
      </w:pPr>
      <w:r>
        <w:rPr>
          <w:b/>
        </w:rPr>
        <w:t xml:space="preserve">Abstract (EN): </w:t>
      </w:r>
      <w:r>
        <w:t>Polydopamine (PDA) is a versatile material known for its biocompatibility and adhesive properties, yet its intrinsic chemical inertness limits broader functional applications. Here, we report a one-pot polyoxometalate (POM)-mediated emulsion strategy for synthesizing hybrid mesoporous PDA (HMP) nanostructures with controllable anisotropic morphology and integrated functionality. Silicotungstic acid (H4SiW) directs the formation of P123/1,3,5-trimethylbenzene (TMB)/dopamine composite micelles, simultaneously stabilizing the emulsion, modulating interfacial tension, and templating hierarchical structures. This assembly pathway enables programmable shape evolution from isotropic nanospheres to open-cavity or bowl-shaped architectures. The embedded POMs remain molecularly dispersed and chemically active within the PDA framework, which directly endows the material with enhanced antibacterial functionality. Beyond structural sophistication, these HMPs can be driven by chemical reaction, enabling their use as artificial nanomotors. As a proof-of-concept application, Pt-loaded HMPs demonstrate self-propelled motion under H2O2 fuel and effective penetration and disruption of drug-resistant bacterial biofilms. Daptomycin-loaded nanomotors achieve near-complete eradication of drug-resistant Staphylococcus aureus</w:t>
      </w:r>
    </w:p>
    <w:p>
      <w:pPr>
        <w:spacing w:before="120" w:after="120"/>
      </w:pPr>
      <w:r>
        <w:rPr>
          <w:sz w:val="18"/>
        </w:rPr>
        <w:t>——————————————————————————————————————————————————————————————————————</w:t>
      </w:r>
    </w:p>
    <w:p>
      <w:pPr>
        <w:spacing w:before="160" w:after="40" w:line="240" w:lineRule="auto"/>
      </w:pPr>
      <w:r>
        <w:rPr>
          <w:b/>
        </w:rPr>
        <w:t xml:space="preserve">[140] </w:t>
      </w:r>
      <w:hyperlink r:id="rId423">
        <w:r>
          <w:rPr>
            <w:color w:val="1155CC"/>
            <w:u w:val="single"/>
          </w:rPr>
          <w:t>人工智能与人类思维：只有一个是黑箱</w:t>
        </w:r>
      </w:hyperlink>
    </w:p>
    <w:p>
      <w:pPr>
        <w:spacing w:before="0" w:after="80"/>
      </w:pPr>
      <w:r>
        <w:rPr>
          <w:i/>
          <w:sz w:val="20"/>
        </w:rPr>
        <w:t>EN: AI and the human mind: only one is a black box</w:t>
      </w:r>
    </w:p>
    <w:p>
      <w:pPr>
        <w:spacing w:before="0" w:after="120"/>
      </w:pPr>
      <w:r>
        <w:rPr>
          <w:b/>
        </w:rPr>
        <w:t xml:space="preserve">Source: </w:t>
      </w:r>
      <w:r>
        <w:t>Nature</w:t>
      </w:r>
      <w:r>
        <w:t xml:space="preserve">    </w:t>
      </w:r>
      <w:r>
        <w:rPr>
          <w:b/>
        </w:rPr>
        <w:t xml:space="preserve">Pub date: </w:t>
      </w:r>
      <w:r>
        <w:t>2026-04-07 00:00:00+00:00</w:t>
      </w:r>
      <w:r>
        <w:t xml:space="preserve">    </w:t>
      </w:r>
      <w:r>
        <w:rPr>
          <w:b/>
        </w:rPr>
        <w:t xml:space="preserve">DOI: </w:t>
      </w:r>
      <w:hyperlink r:id="rId424">
        <w:r>
          <w:rPr>
            <w:color w:val="1155CC"/>
            <w:u w:val="single"/>
          </w:rPr>
          <w:t>10.1038/d41586-026-01094-7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[141] </w:t>
      </w:r>
      <w:hyperlink r:id="rId425">
        <w:r>
          <w:rPr>
            <w:color w:val="1155CC"/>
            <w:u w:val="single"/>
          </w:rPr>
          <w:t>用于工业丙烯/丙烷分离的可扩展大面积ZIF-8膜</w:t>
        </w:r>
      </w:hyperlink>
    </w:p>
    <w:p>
      <w:pPr>
        <w:spacing w:before="0" w:after="80"/>
      </w:pPr>
      <w:r>
        <w:rPr>
          <w:i/>
          <w:sz w:val="20"/>
        </w:rPr>
        <w:t>EN: Scalable large-area ZIF-8 membranes for industrial propylene/propane separations</w:t>
      </w:r>
    </w:p>
    <w:p>
      <w:pPr>
        <w:spacing w:before="0" w:after="120"/>
      </w:pPr>
      <w:r>
        <w:rPr>
          <w:b/>
        </w:rPr>
        <w:t xml:space="preserve">Source: </w:t>
      </w:r>
      <w:r>
        <w:t>Nature Chemical Engineering</w:t>
      </w:r>
      <w:r>
        <w:t xml:space="preserve">    </w:t>
      </w:r>
      <w:r>
        <w:rPr>
          <w:b/>
        </w:rPr>
        <w:t xml:space="preserve">Pub date: </w:t>
      </w:r>
      <w:r>
        <w:t>2026-04-07 00:00:00+00:00</w:t>
      </w:r>
      <w:r>
        <w:t xml:space="preserve">    </w:t>
      </w:r>
      <w:r>
        <w:rPr>
          <w:b/>
        </w:rPr>
        <w:t xml:space="preserve">DOI: </w:t>
      </w:r>
      <w:hyperlink r:id="rId426">
        <w:r>
          <w:rPr>
            <w:color w:val="1155CC"/>
            <w:u w:val="single"/>
          </w:rPr>
          <w:t>10.1038/s44286-026-00373-4</w:t>
        </w:r>
      </w:hyperlink>
    </w:p>
    <w:p>
      <w:pPr>
        <w:spacing w:before="0" w:after="120"/>
      </w:pPr>
      <w:r>
        <w:rPr>
          <w:b/>
        </w:rPr>
        <w:t xml:space="preserve">Notes: </w:t>
      </w:r>
      <w:r>
        <w:t>abstract_source=nature_html</w:t>
      </w:r>
    </w:p>
    <w:p>
      <w:pPr>
        <w:spacing w:before="0" w:after="80" w:lineRule="auto" w:line="276"/>
      </w:pPr>
      <w:r>
        <w:rPr>
          <w:b/>
        </w:rPr>
        <w:t xml:space="preserve">摘要（ZH）: </w:t>
      </w:r>
      <w:r>
        <w:t>基于膜的丙烯/丙烷分离代表了一项有前景的突破，具有重塑这一高能耗化学过程的潜力。在各种材料候选中，沸石咪唑酯骨架-8（ZIF-8）膜因其优越的性能而脱颖而出。然而，将ZIF-8膜从实验室规模的演示推进到工业应用需要在可扩展、无缺陷制备方面取得突破，而传统方法尚未克服这些挑战。在此，我们提出了一种微空间转化过程（MSTP），通过解耦锌离子和配体之间的直接碰撞，实现了受控的成核和结晶。该方法允许管状支撑的密封内腔作为反应空间，以可扩展地制备</w:t>
      </w:r>
    </w:p>
    <w:p>
      <w:pPr>
        <w:spacing w:before="0" w:after="200" w:lineRule="auto" w:line="276"/>
      </w:pPr>
      <w:r>
        <w:rPr>
          <w:b/>
        </w:rPr>
        <w:t xml:space="preserve">Abstract (EN): </w:t>
      </w:r>
      <w:r>
        <w:t>The membrane-based separation of propylene/propane represents a promising breakthrough, with the potential to reshape this energy-intensive chemical process. Zeolitic imidazolate framework-8 (ZIF-8) membranes stand out among the various material candidates due to their superior performance. However, advancing ZIF-8 membranes from laboratory-scale demonstrations to industrial deployment requires breakthroughs in scalable, defect-free preparation, challenges that conventional methods have yet to overcome. Here we present a micro-space transformation process (MSTP) that enables controlled nucleation and crystallization by decoupling the direct collision between zinc ions and ligands. This approach allows the sealed inner cavities of tubular supports to serve as reaction spaces to scalably fabricate heterostructured ZIF-8 membranes with an industrially relevant area of 200 cm2. We demonstrate the batch preparation of 234 membranes (totaling &gt;4.6 m2), which were assembled into membrane modules with attractive performance and long-term stability toward industrial feed gases. We also take a critical step toward industrial implementation by developing a side-stream separation unit and demonstrating membrane integration applications, thereby establishing an energy-efficient pathway for practical membrane-based olefin purification.</w:t>
      </w:r>
    </w:p>
    <w:p>
      <w:pPr>
        <w:spacing w:before="120" w:after="120"/>
      </w:pPr>
      <w:r>
        <w:rPr>
          <w:sz w:val="18"/>
        </w:rPr>
        <w:t>——————————————————————————————————————————————————————————————————————</w:t>
      </w:r>
    </w:p>
    <w:p>
      <w:pPr>
        <w:spacing w:before="160" w:after="40" w:line="240" w:lineRule="auto"/>
      </w:pPr>
      <w:r>
        <w:rPr>
          <w:b/>
        </w:rPr>
        <w:t xml:space="preserve">[142] </w:t>
      </w:r>
      <w:hyperlink r:id="rId427">
        <w:r>
          <w:rPr>
            <w:color w:val="1155CC"/>
            <w:u w:val="single"/>
          </w:rPr>
          <w:t>揭示C-F和C-Cl键在增强氟化聚合物摩擦电性能中的协同机制</w:t>
        </w:r>
      </w:hyperlink>
    </w:p>
    <w:p>
      <w:pPr>
        <w:spacing w:before="0" w:after="80"/>
      </w:pPr>
      <w:r>
        <w:rPr>
          <w:i/>
          <w:sz w:val="20"/>
        </w:rPr>
        <w:t>EN: Unveiling the synergistic mechanism of C-F and C-Cl bonds in enhancing the triboelectric performance of fluorinated polymers</w:t>
      </w:r>
    </w:p>
    <w:p>
      <w:pPr>
        <w:spacing w:before="0" w:after="120"/>
      </w:pPr>
      <w:r>
        <w:rPr>
          <w:b/>
        </w:rPr>
        <w:t xml:space="preserve">Source: </w:t>
      </w:r>
      <w:r>
        <w:t>Nature Communications</w:t>
      </w:r>
      <w:r>
        <w:t xml:space="preserve">    </w:t>
      </w:r>
      <w:r>
        <w:rPr>
          <w:b/>
        </w:rPr>
        <w:t xml:space="preserve">Pub date: </w:t>
      </w:r>
      <w:r>
        <w:t>2026-04-07 00:00:00+00:00</w:t>
      </w:r>
      <w:r>
        <w:t xml:space="preserve">    </w:t>
      </w:r>
      <w:r>
        <w:rPr>
          <w:b/>
        </w:rPr>
        <w:t xml:space="preserve">DOI: </w:t>
      </w:r>
      <w:hyperlink r:id="rId428">
        <w:r>
          <w:rPr>
            <w:color w:val="1155CC"/>
            <w:u w:val="single"/>
          </w:rPr>
          <w:t>10.1038/s41467-026-71546-1</w:t>
        </w:r>
      </w:hyperlink>
    </w:p>
    <w:p>
      <w:pPr>
        <w:spacing w:before="0" w:after="120"/>
      </w:pPr>
      <w:r>
        <w:rPr>
          <w:b/>
        </w:rPr>
        <w:t xml:space="preserve">Notes: </w:t>
      </w:r>
      <w:r>
        <w:t>abstract_source=nature_html</w:t>
      </w:r>
    </w:p>
    <w:p>
      <w:pPr>
        <w:spacing w:before="0" w:after="80" w:lineRule="auto" w:line="276"/>
      </w:pPr>
      <w:r>
        <w:rPr>
          <w:b/>
        </w:rPr>
        <w:t xml:space="preserve">摘要（ZH）: </w:t>
      </w:r>
      <w:r>
        <w:t>实现超越传统氟化聚合物（TFPs）的优异负摩擦性能对于推进摩擦电设备至关重要。在这项工作中，我们确定了一种通过C-F和C-Cl键的协同效应来增强TFPs负摩擦性能的方法，基于在聚偏二氟乙烯（PVDF）基共聚物中观察到的显著摩擦差异。我们的研究表明，-CTFE单元，特别是其C-Cl键，显著降低了共聚物系统的LUMO，导致PVDF-CTFE（PC）表现出最强的负摩擦性能。通过氯等离子体处理控制表面Cl/F比率，证明了较高的C-Cl含量增强了电子获取，而较高的C-F含量改善了电荷保持。协同</w:t>
      </w:r>
    </w:p>
    <w:p>
      <w:pPr>
        <w:spacing w:before="0" w:after="200" w:lineRule="auto" w:line="276"/>
      </w:pPr>
      <w:r>
        <w:rPr>
          <w:b/>
        </w:rPr>
        <w:t xml:space="preserve">Abstract (EN): </w:t>
      </w:r>
      <w:r>
        <w:t>Achieving superior tribo-negative performance beyond traditional fluorinated polymers (TFPs) is crucial for advancing triboelectric devices. In this work, we identified an approach to enhance the tribo-negative properties of TFPs via synergistic effects of C-F and C-Cl bonds, based on the significant tribo-differences observed in polyvinylidene fluoride (PVDF) based copolymers. Our findings indicate that the -CTFE unit, particularly its C-Cl bond, significantly lowers the LUMO of the copolymer system, resulting in PVDF-CTFE (PC) exhibiting the strongest tribo-negative properties. By controlling the surface Cl/F ratio via chlorine plasma treatment, it was demonstrated that a higher C-Cl content enhances electron acquisition, whereas a higher C-F content improves charge retention. The synergistic effect optimally balances triboelectric charge capture and losses, enabling PC-Cl to achieve the highest triboelectric charge density (310 µC cm-2) among PVDF copolymers. Our results will provide a versatile strategy for enhancing a wide range of tribo-negative materials.</w:t>
      </w:r>
    </w:p>
    <w:p>
      <w:pPr>
        <w:spacing w:before="120" w:after="120"/>
      </w:pPr>
      <w:r>
        <w:rPr>
          <w:sz w:val="18"/>
        </w:rPr>
        <w:t>——————————————————————————————————————————————————————————————————————</w:t>
      </w:r>
    </w:p>
    <w:p>
      <w:pPr>
        <w:spacing w:before="160" w:after="40" w:line="240" w:lineRule="auto"/>
      </w:pPr>
      <w:r>
        <w:rPr>
          <w:b/>
        </w:rPr>
        <w:t xml:space="preserve">[143] </w:t>
      </w:r>
      <w:hyperlink r:id="rId429">
        <w:r>
          <w:rPr>
            <w:color w:val="1155CC"/>
            <w:u w:val="single"/>
          </w:rPr>
          <w:t>内在吸引力驱动增材制造铝合金的高温性能</w:t>
        </w:r>
      </w:hyperlink>
    </w:p>
    <w:p>
      <w:pPr>
        <w:spacing w:before="0" w:after="80"/>
      </w:pPr>
      <w:r>
        <w:rPr>
          <w:i/>
          <w:sz w:val="20"/>
        </w:rPr>
        <w:t>EN: Intrinsic attraction driving the high temperature performance of additively manufactured aluminum alloys</w:t>
      </w:r>
    </w:p>
    <w:p>
      <w:pPr>
        <w:spacing w:before="0" w:after="120"/>
      </w:pPr>
      <w:r>
        <w:rPr>
          <w:b/>
        </w:rPr>
        <w:t xml:space="preserve">Source: </w:t>
      </w:r>
      <w:r>
        <w:t>Nature Communications</w:t>
      </w:r>
      <w:r>
        <w:t xml:space="preserve">    </w:t>
      </w:r>
      <w:r>
        <w:rPr>
          <w:b/>
        </w:rPr>
        <w:t xml:space="preserve">Pub date: </w:t>
      </w:r>
      <w:r>
        <w:t>2026-04-07 00:00:00+00:00</w:t>
      </w:r>
      <w:r>
        <w:t xml:space="preserve">    </w:t>
      </w:r>
      <w:r>
        <w:rPr>
          <w:b/>
        </w:rPr>
        <w:t xml:space="preserve">DOI: </w:t>
      </w:r>
      <w:hyperlink r:id="rId430">
        <w:r>
          <w:rPr>
            <w:color w:val="1155CC"/>
            <w:u w:val="single"/>
          </w:rPr>
          <w:t>10.1038/s41467-026-71390-3</w:t>
        </w:r>
      </w:hyperlink>
    </w:p>
    <w:p>
      <w:pPr>
        <w:spacing w:before="0" w:after="120"/>
      </w:pPr>
      <w:r>
        <w:rPr>
          <w:b/>
        </w:rPr>
        <w:t xml:space="preserve">Notes: </w:t>
      </w:r>
      <w:r>
        <w:t>abstract_source=nature_html</w:t>
      </w:r>
    </w:p>
    <w:p>
      <w:pPr>
        <w:spacing w:before="0" w:after="80" w:lineRule="auto" w:line="276"/>
      </w:pPr>
      <w:r>
        <w:rPr>
          <w:b/>
        </w:rPr>
        <w:t xml:space="preserve">摘要（ZH）: </w:t>
      </w:r>
      <w:r>
        <w:t>开发具有高温强度的增材制造（AM）铝合金仍然是一个艰巨的科学挑战，主要是由于在200°C以上强化析出物的粗化。传统的耐热合金设计策略旨在通过加入低扩散性合金元素来阻止析出物的粗化。然而，这些方法对热驱动的缺陷迁移无效，特别是空位扩散和位错攀移，这些是高温弱化的主要驱动因素。因此，大多数AM铝合金在这一关键温度范围内表现出强度的快速下降。通过对内在原子-缺陷/原子吸引的逆向工程，我们采用内在吸引（IA）策略来触发多维</w:t>
      </w:r>
    </w:p>
    <w:p>
      <w:pPr>
        <w:spacing w:before="0" w:after="200" w:lineRule="auto" w:line="276"/>
      </w:pPr>
      <w:r>
        <w:rPr>
          <w:b/>
        </w:rPr>
        <w:t xml:space="preserve">Abstract (EN): </w:t>
      </w:r>
      <w:r>
        <w:t>Developing additive manufacturing (AM) aluminum alloys with high temperature strength remains a formidable scientific challenge, primarily due to the strengthening precipitates coarsening above 200°C. Conventional heat-resistant alloy design strategies aim to hinder the precipitate coarsening by incorporating low diffusive alloying elements. However, such approaches remain ineffective against thermally driven defect mobilization, especially for vacancy diffusion and dislocation climbing, which are dominant drivers of high temperature weakening. As a result, most AM Al alloys exhibit a rapid decline in strength within this critical temperature range. Through reverse-engineering of intrinsic atom-defect/atom attraction, we employ an intrinsic attraction (IA) strategy to trigger multi-dimensional defect confinement mechanisms. This approach achieves: divacancy clusters anchoring free vacancies; solute atmospheres capturing mobile dislocations and suppressing creep deformation; specific segregation forming nanostructures at precipitate interfaces and interiors to inhibit coarsening. The AM heat-resistant Al alloy demonstrates satisfactory high temperature performance, exhibiting yield strengths of ~305 MPa at 300°C, ~190 MPa at 400°C, coupled with creep resistance at 200-400°C (\(\dot{\varepsilon }\) -7/s) and prominent processability for large-size bladed disk. This strategy transcends the conventional empirical paradigm by engineering elemental segregation tendencies at specific sites, provides a universal design approach for the development of aluminum alloys or other high temperature structural materials.</w:t>
      </w:r>
    </w:p>
    <w:p>
      <w:pPr>
        <w:spacing w:before="120" w:after="120"/>
      </w:pPr>
      <w:r>
        <w:rPr>
          <w:sz w:val="18"/>
        </w:rPr>
        <w:t>——————————————————————————————————————————————————————————————————————</w:t>
      </w:r>
    </w:p>
    <w:p>
      <w:pPr>
        <w:spacing w:before="160" w:after="40" w:line="240" w:lineRule="auto"/>
      </w:pPr>
      <w:r>
        <w:rPr>
          <w:b/>
        </w:rPr>
        <w:t xml:space="preserve">[144] </w:t>
      </w:r>
      <w:hyperlink r:id="rId431">
        <w:r>
          <w:rPr>
            <w:color w:val="1155CC"/>
            <w:u w:val="single"/>
          </w:rPr>
          <w:t>铱介导的甲烷脱氢和亚甲基（=CH2）转移</w:t>
        </w:r>
      </w:hyperlink>
    </w:p>
    <w:p>
      <w:pPr>
        <w:spacing w:before="0" w:after="80"/>
      </w:pPr>
      <w:r>
        <w:rPr>
          <w:i/>
          <w:sz w:val="20"/>
        </w:rPr>
        <w:t>EN: Iridium-mediated methane dehydrogenation and methylidene (=CH2) transfer</w:t>
      </w:r>
    </w:p>
    <w:p>
      <w:pPr>
        <w:spacing w:before="0" w:after="120"/>
      </w:pPr>
      <w:r>
        <w:rPr>
          <w:b/>
        </w:rPr>
        <w:t xml:space="preserve">Source: </w:t>
      </w:r>
      <w:r>
        <w:t>Chem</w:t>
      </w:r>
      <w:r>
        <w:t xml:space="preserve">    </w:t>
      </w:r>
      <w:r>
        <w:rPr>
          <w:b/>
        </w:rPr>
        <w:t xml:space="preserve">Pub date: </w:t>
      </w:r>
      <w:r>
        <w:t>2026-04-07 00:00:00+00:00</w:t>
      </w:r>
      <w:r>
        <w:t xml:space="preserve">    </w:t>
      </w:r>
      <w:r>
        <w:rPr>
          <w:b/>
        </w:rPr>
        <w:t xml:space="preserve">DOI: </w:t>
      </w:r>
      <w:hyperlink r:id="rId432">
        <w:r>
          <w:rPr>
            <w:color w:val="1155CC"/>
            <w:u w:val="single"/>
          </w:rPr>
          <w:t>10.1016/j.chempr.2026.102999</w:t>
        </w:r>
      </w:hyperlink>
    </w:p>
    <w:p>
      <w:pPr>
        <w:spacing w:before="0" w:after="120"/>
      </w:pPr>
      <w:r>
        <w:rPr>
          <w:b/>
        </w:rPr>
        <w:t xml:space="preserve">Notes: </w:t>
      </w:r>
      <w:r>
        <w:t>abstract_source=rss_cell</w:t>
      </w:r>
    </w:p>
    <w:p>
      <w:pPr>
        <w:spacing w:before="0" w:after="80" w:lineRule="auto" w:line="276"/>
      </w:pPr>
      <w:r>
        <w:rPr>
          <w:b/>
        </w:rPr>
        <w:t xml:space="preserve">摘要（ZH）: </w:t>
      </w:r>
      <w:r>
        <w:t>一种铱配合物通过甲烷的双C–H活化过程生成的亚甲基Ir=CH2物种催化甲烷和苯的脱氢偶联。一个平行的铱催化循环在超临界条件下使用作为溶剂的二氧化碳从氢气中生成甲酸。</w:t>
      </w:r>
    </w:p>
    <w:p>
      <w:pPr>
        <w:spacing w:before="0" w:after="200" w:lineRule="auto" w:line="276"/>
      </w:pPr>
      <w:r>
        <w:rPr>
          <w:b/>
        </w:rPr>
        <w:t xml:space="preserve">Abstract (EN): </w:t>
      </w:r>
      <w:r>
        <w:t>An iridium complex catalyzes the dehydrogenative coupling of methane and benzene via a methylidene Ir=CH2 species generated through a double methane C–H activation process. A parallel Ir-catalyzed cycle produces formic acid from hydrogen and the carbon dioxide employed as the solvent under supercritical conditions.</w:t>
      </w:r>
    </w:p>
    <w:p>
      <w:pPr>
        <w:spacing w:before="120" w:after="120"/>
      </w:pPr>
      <w:r>
        <w:rPr>
          <w:sz w:val="18"/>
        </w:rPr>
        <w:t>——————————————————————————————————————————————————————————————————————</w:t>
      </w:r>
    </w:p>
    <w:p>
      <w:pPr>
        <w:spacing w:before="160" w:after="40" w:line="240" w:lineRule="auto"/>
      </w:pPr>
      <w:r>
        <w:rPr>
          <w:b/>
        </w:rPr>
        <w:t xml:space="preserve">[145] </w:t>
      </w:r>
      <w:hyperlink r:id="rId433">
        <w:r>
          <w:rPr>
            <w:color w:val="1155CC"/>
            <w:u w:val="single"/>
          </w:rPr>
          <w:t>超表面增强的中红外成像光谱学与宽带量子级联激光器</w:t>
        </w:r>
      </w:hyperlink>
    </w:p>
    <w:p>
      <w:pPr>
        <w:spacing w:before="0" w:after="80"/>
      </w:pPr>
      <w:r>
        <w:rPr>
          <w:i/>
          <w:sz w:val="20"/>
        </w:rPr>
        <w:t>EN: Metasurface-enhanced mid-infrared imaging spectroscopy with broadband quantum cascade lasers</w:t>
      </w:r>
    </w:p>
    <w:p>
      <w:pPr>
        <w:spacing w:before="0" w:after="120"/>
      </w:pPr>
      <w:r>
        <w:rPr>
          <w:b/>
        </w:rPr>
        <w:t xml:space="preserve">Source: </w:t>
      </w:r>
      <w:r>
        <w:t>Nature Communications</w:t>
      </w:r>
      <w:r>
        <w:t xml:space="preserve">    </w:t>
      </w:r>
      <w:r>
        <w:rPr>
          <w:b/>
        </w:rPr>
        <w:t xml:space="preserve">Pub date: </w:t>
      </w:r>
      <w:r>
        <w:t>2026-04-07 00:00:00+00:00</w:t>
      </w:r>
      <w:r>
        <w:t xml:space="preserve">    </w:t>
      </w:r>
      <w:r>
        <w:rPr>
          <w:b/>
        </w:rPr>
        <w:t xml:space="preserve">DOI: </w:t>
      </w:r>
      <w:hyperlink r:id="rId434">
        <w:r>
          <w:rPr>
            <w:color w:val="1155CC"/>
            <w:u w:val="single"/>
          </w:rPr>
          <w:t>10.1038/s41467-026-71611-9</w:t>
        </w:r>
      </w:hyperlink>
    </w:p>
    <w:p>
      <w:pPr>
        <w:spacing w:before="0" w:after="120"/>
      </w:pPr>
      <w:r>
        <w:rPr>
          <w:b/>
        </w:rPr>
        <w:t xml:space="preserve">Notes: </w:t>
      </w:r>
      <w:r>
        <w:t>abstract_source=nature_html</w:t>
      </w:r>
    </w:p>
    <w:p>
      <w:pPr>
        <w:spacing w:before="0" w:after="80" w:lineRule="auto" w:line="276"/>
      </w:pPr>
      <w:r>
        <w:rPr>
          <w:b/>
        </w:rPr>
        <w:t xml:space="preserve">摘要（ZH）: </w:t>
      </w:r>
      <w:r>
        <w:t>中红外光谱通过化学特异性检测分子吸收指纹提供了无与伦比的传感机会。然而，其实际应用受到光-物质相互作用弱以及依赖于扫描组件的复杂且相对缓慢的仪器的限制。在此，我们开发了一种基于快速成像的中红外光谱平台，该平台结合了宽带共振梯度超表面和射频调制量子级联激光器，生成宽（250 cm−1）瞬时光谱。我们将梯度超表面的共振光谱与激光发射匹配，以针对性地放大其所有光谱成分的局部电磁场。这使得能够捕捉到沉积在超表面上的分析物的增强吸收特征。</w:t>
      </w:r>
    </w:p>
    <w:p>
      <w:pPr>
        <w:spacing w:before="0" w:after="200" w:lineRule="auto" w:line="276"/>
      </w:pPr>
      <w:r>
        <w:rPr>
          <w:b/>
        </w:rPr>
        <w:t xml:space="preserve">Abstract (EN): </w:t>
      </w:r>
      <w:r>
        <w:t>Mid-infrared spectroscopy offers unparalleled opportunities in sensing through chemically specific detection of molecular absorption fingerprints. Yet its practical applications are limited by weak light-matter interaction and complex and relatively slow instrumentation relying on scanning components. Here, we develop a rapid imaging-based mid-IR spectroscopy platform that combines broadband resonance gradient metasurfaces and radiofrequency-modulated quantum cascade laser generating broad (250 cm−1) instantaneous spectrum. We match the resonance spectrum of the gradient metasurface with the laser emission for targeted amplification of local electromagnetic field of all its spectral components. This enables capturing of enhanced absorption signatures of analytes deposited on the metasurface as barcode images in a single shot of room-temperature low-cost mid-infrared camera, reducing the acquisition time by up to 3 orders of magnitude compared to measurements with Fourier-transform infrared spectrometers and external cavity quantum cascade lasers. Eliminating the need for tunable light sources, bulky spectrometers, and expensive low-temperature detectors, our approach enables high-throughput, miniaturized, and highly specific molecular diagnostics for diverse chemical and biological applications.</w:t>
      </w:r>
    </w:p>
    <w:p>
      <w:pPr>
        <w:spacing w:before="120" w:after="120"/>
      </w:pPr>
      <w:r>
        <w:rPr>
          <w:sz w:val="18"/>
        </w:rPr>
        <w:t>——————————————————————————————————————————————————————————————————————</w:t>
      </w:r>
    </w:p>
    <w:p>
      <w:pPr>
        <w:spacing w:before="160" w:after="40" w:line="240" w:lineRule="auto"/>
      </w:pPr>
      <w:r>
        <w:rPr>
          <w:b/>
        </w:rPr>
        <w:t xml:space="preserve">[146] </w:t>
      </w:r>
      <w:hyperlink r:id="rId435">
        <w:r>
          <w:rPr>
            <w:color w:val="1155CC"/>
            <w:u w:val="single"/>
          </w:rPr>
          <w:t>下丘脑回路对皮质酮分泌的昼夜节律调节</w:t>
        </w:r>
      </w:hyperlink>
    </w:p>
    <w:p>
      <w:pPr>
        <w:spacing w:before="0" w:after="80"/>
      </w:pPr>
      <w:r>
        <w:rPr>
          <w:i/>
          <w:sz w:val="20"/>
        </w:rPr>
        <w:t>EN: A hypothalamic circuit for circadian regulation of corticosterone secretion</w:t>
      </w:r>
    </w:p>
    <w:p>
      <w:pPr>
        <w:spacing w:before="0" w:after="120"/>
      </w:pPr>
      <w:r>
        <w:rPr>
          <w:b/>
        </w:rPr>
        <w:t xml:space="preserve">Source: </w:t>
      </w:r>
      <w:r>
        <w:t>Nature Communications</w:t>
      </w:r>
      <w:r>
        <w:t xml:space="preserve">    </w:t>
      </w:r>
      <w:r>
        <w:rPr>
          <w:b/>
        </w:rPr>
        <w:t xml:space="preserve">Pub date: </w:t>
      </w:r>
      <w:r>
        <w:t>2026-04-07 00:00:00+00:00</w:t>
      </w:r>
      <w:r>
        <w:t xml:space="preserve">    </w:t>
      </w:r>
      <w:r>
        <w:rPr>
          <w:b/>
        </w:rPr>
        <w:t xml:space="preserve">DOI: </w:t>
      </w:r>
      <w:hyperlink r:id="rId436">
        <w:r>
          <w:rPr>
            <w:color w:val="1155CC"/>
            <w:u w:val="single"/>
          </w:rPr>
          <w:t>10.1038/s41467-026-71482-0</w:t>
        </w:r>
      </w:hyperlink>
    </w:p>
    <w:p>
      <w:pPr>
        <w:spacing w:before="0" w:after="120"/>
      </w:pPr>
      <w:r>
        <w:rPr>
          <w:b/>
        </w:rPr>
        <w:t xml:space="preserve">Notes: </w:t>
      </w:r>
      <w:r>
        <w:t>abstract_source=nature_html</w:t>
      </w:r>
    </w:p>
    <w:p>
      <w:pPr>
        <w:spacing w:before="0" w:after="80" w:lineRule="auto" w:line="276"/>
      </w:pPr>
      <w:r>
        <w:rPr>
          <w:b/>
        </w:rPr>
        <w:t xml:space="preserve">摘要（ZH）: </w:t>
      </w:r>
      <w:r>
        <w:t>动物和人类的皮质类固醇分泌存在强烈的昼夜节律，但将视交叉上核（SCN）时钟的光暗周期节律转化为在活跃期开始前几小时增加皮质类固醇分泌的电路尚不清楚。我们在此表明，在雄性小鼠中，这种节律依赖于从SCN到副室区（SPZ），然后到下丘脑背内侧核（DMH）的输入。每日皮质类固醇分泌激增以预期活跃期需要谷氨酸能和GABA能DMH神经元。谷氨酸能DMH神经元直接兴奋室旁核促肾上腺皮质激素释放激素（PVH-CRH）神经元，而DMH GABA神经元通过GABA能中继解除对PVH-CRH神经元的抑制。</w:t>
      </w:r>
    </w:p>
    <w:p>
      <w:pPr>
        <w:spacing w:before="0" w:after="200" w:lineRule="auto" w:line="276"/>
      </w:pPr>
      <w:r>
        <w:rPr>
          <w:b/>
        </w:rPr>
        <w:t xml:space="preserve">Abstract (EN): </w:t>
      </w:r>
      <w:r>
        <w:t>There is a strong circadian rhythm of corticosteroid secretion in animals and humans, but the circuit for translating the suprachiasmatic (SCN) clock light-dark cycle rhythm into an increase in corticosteroid secretion beginning several hours before the active period is not known. We show here that in male mice, this rhythm depends upon input from the SCN to the subparaventricular zone (SPZ), and then to the dorsomedial nucleus of the hypothalamus (DMH). Both glutamatergic and GABAergic DMH neurons are required for the daily surge of corticosteroid secretion in anticipation of the active period. Glutamatergic DMH neurons directly excite paraventricular nucleus corticotrophin-releasing hormone (PVH-CRH) neurons, whereas DMH GABA neurons disinhibit PVH-CRH neurons via a relay in GABAergic neurons in the caudoventral PVH. This circuit underlies the daily surge in corticosteroid secretion that is temporally linked but phase advanced compared to the SCN activity cycle.</w:t>
      </w:r>
    </w:p>
    <w:p>
      <w:pPr>
        <w:spacing w:before="120" w:after="120"/>
      </w:pPr>
      <w:r>
        <w:rPr>
          <w:sz w:val="18"/>
        </w:rPr>
        <w:t>——————————————————————————————————————————————————————————————————————</w:t>
      </w:r>
    </w:p>
    <w:p>
      <w:pPr>
        <w:spacing w:before="160" w:after="40" w:line="240" w:lineRule="auto"/>
      </w:pPr>
      <w:r>
        <w:rPr>
          <w:b/>
        </w:rPr>
        <w:t xml:space="preserve">[147] </w:t>
      </w:r>
      <w:hyperlink r:id="rId437">
        <w:r>
          <w:rPr>
            <w:color w:val="1155CC"/>
            <w:u w:val="single"/>
          </w:rPr>
          <w:t>基于工程化红色杆菌的活体生物混合细菌疗法</w:t>
        </w:r>
      </w:hyperlink>
    </w:p>
    <w:p>
      <w:pPr>
        <w:spacing w:before="0" w:after="80"/>
      </w:pPr>
      <w:r>
        <w:rPr>
          <w:i/>
          <w:sz w:val="20"/>
        </w:rPr>
        <w:t>EN: A live biohybrid bacterial therapy based on engineered Serratia marcescens</w:t>
      </w:r>
    </w:p>
    <w:p>
      <w:pPr>
        <w:spacing w:before="0" w:after="120"/>
      </w:pPr>
      <w:r>
        <w:rPr>
          <w:b/>
        </w:rPr>
        <w:t xml:space="preserve">Source: </w:t>
      </w:r>
      <w:r>
        <w:t>Nature Communications</w:t>
      </w:r>
      <w:r>
        <w:t xml:space="preserve">    </w:t>
      </w:r>
      <w:r>
        <w:rPr>
          <w:b/>
        </w:rPr>
        <w:t xml:space="preserve">Pub date: </w:t>
      </w:r>
      <w:r>
        <w:t>2026-04-07 00:00:00+00:00</w:t>
      </w:r>
      <w:r>
        <w:t xml:space="preserve">    </w:t>
      </w:r>
      <w:r>
        <w:rPr>
          <w:b/>
        </w:rPr>
        <w:t xml:space="preserve">DOI: </w:t>
      </w:r>
      <w:hyperlink r:id="rId438">
        <w:r>
          <w:rPr>
            <w:color w:val="1155CC"/>
            <w:u w:val="single"/>
          </w:rPr>
          <w:t>10.1038/s41467-026-70949-4</w:t>
        </w:r>
      </w:hyperlink>
    </w:p>
    <w:p>
      <w:pPr>
        <w:spacing w:before="0" w:after="120"/>
      </w:pPr>
      <w:r>
        <w:rPr>
          <w:b/>
        </w:rPr>
        <w:t xml:space="preserve">Notes: </w:t>
      </w:r>
      <w:r>
        <w:t>abstract_source=nature_html</w:t>
      </w:r>
    </w:p>
    <w:p>
      <w:pPr>
        <w:spacing w:before="0" w:after="80" w:lineRule="auto" w:line="276"/>
      </w:pPr>
      <w:r>
        <w:rPr>
          <w:b/>
        </w:rPr>
        <w:t xml:space="preserve">摘要（ZH）: </w:t>
      </w:r>
      <w:r>
        <w:t>细菌疗法通过靶向缺氧肿瘤区域并补充现有疗法，在癌症治疗中具有巨大潜力。然而，目前的方法常常面临安全性问题和复杂的工程挑战。开发一种完全依赖天然细菌生物合成的安全有效的递送平台仍然是一个挑战。我们在此展示，减毒的红色杆菌作为癌症治疗的强大生物混合平台，通过利用其天然合成的光敏色素吩嗪。我们工程化红色杆菌以产生高水平的吩嗪，表现出强烈的内在抗癌活性和近红外光敏性。在黑色素瘤和结直肠癌的雌性小鼠模型中，该平台触发了强大的系统性免疫反应。</w:t>
      </w:r>
    </w:p>
    <w:p>
      <w:pPr>
        <w:spacing w:before="0" w:after="200" w:lineRule="auto" w:line="276"/>
      </w:pPr>
      <w:r>
        <w:rPr>
          <w:b/>
        </w:rPr>
        <w:t xml:space="preserve">Abstract (EN): </w:t>
      </w:r>
      <w:r>
        <w:t>Bacterial therapeutics hold great promise for cancer treatment by targeting oxygen-poor tumor regions and complementing existing therapies. However, current approaches often struggle with safety concerns and complex engineering. Developing a safe, effective delivery platform relying entirely on natural bacterial biosynthesis remains a challenge. Here we show that attenuated Serratia marcescens serves as a powerful biohybrid platform for cancer therapy by leveraging its natural biosynthesis of prodigiosin, a photosensitive pigment. We engineer S. marcescens to yield high prodigiosin levels, which exhibit strong intrinsic anti-cancer activity and near-infrared photosensitivity. In female mouse models of melanoma and colorectal cancer, this platform triggers robust systemic immune responses, including enhanced T cell recruitment and long-term memory against tumor recurrence. Furthermore, the bacteria induces tumor cell death via mitophagy, while photothermal properties of prodigiosin enables rapid, light-controlled bacterial clearance post-treatment. These findings establish S. marcescens as a versatile, self-regulating biosynthetic platform for precise and safe cancer immunotherapy.</w:t>
      </w:r>
    </w:p>
    <w:p>
      <w:pPr>
        <w:spacing w:before="120" w:after="120"/>
      </w:pPr>
      <w:r>
        <w:rPr>
          <w:sz w:val="18"/>
        </w:rPr>
        <w:t>——————————————————————————————————————————————————————————————————————</w:t>
      </w:r>
    </w:p>
    <w:p>
      <w:pPr>
        <w:spacing w:before="160" w:after="40" w:line="240" w:lineRule="auto"/>
      </w:pPr>
      <w:r>
        <w:rPr>
          <w:b/>
        </w:rPr>
        <w:t xml:space="preserve">[148] </w:t>
      </w:r>
      <w:hyperlink r:id="rId439">
        <w:r>
          <w:rPr>
            <w:color w:val="1155CC"/>
            <w:u w:val="single"/>
          </w:rPr>
          <w:t>呼吸作为感觉采样的动态调节器</w:t>
        </w:r>
      </w:hyperlink>
    </w:p>
    <w:p>
      <w:pPr>
        <w:spacing w:before="0" w:after="80"/>
      </w:pPr>
      <w:r>
        <w:rPr>
          <w:i/>
          <w:sz w:val="20"/>
        </w:rPr>
        <w:t>EN: Respiration as a dynamic modulator of sensory sampling</w:t>
      </w:r>
    </w:p>
    <w:p>
      <w:pPr>
        <w:spacing w:before="0" w:after="120"/>
      </w:pPr>
      <w:r>
        <w:rPr>
          <w:b/>
        </w:rPr>
        <w:t xml:space="preserve">Source: </w:t>
      </w:r>
      <w:r>
        <w:t>Nature Communications</w:t>
      </w:r>
      <w:r>
        <w:t xml:space="preserve">    </w:t>
      </w:r>
      <w:r>
        <w:rPr>
          <w:b/>
        </w:rPr>
        <w:t xml:space="preserve">Pub date: </w:t>
      </w:r>
      <w:r>
        <w:t>2026-04-07 00:00:00+00:00</w:t>
      </w:r>
      <w:r>
        <w:t xml:space="preserve">    </w:t>
      </w:r>
      <w:r>
        <w:rPr>
          <w:b/>
        </w:rPr>
        <w:t xml:space="preserve">DOI: </w:t>
      </w:r>
      <w:hyperlink r:id="rId440">
        <w:r>
          <w:rPr>
            <w:color w:val="1155CC"/>
            <w:u w:val="single"/>
          </w:rPr>
          <w:t>10.1038/s41467-026-71604-8</w:t>
        </w:r>
      </w:hyperlink>
    </w:p>
    <w:p>
      <w:pPr>
        <w:spacing w:before="0" w:after="120"/>
      </w:pPr>
      <w:r>
        <w:rPr>
          <w:b/>
        </w:rPr>
        <w:t xml:space="preserve">Notes: </w:t>
      </w:r>
      <w:r>
        <w:t>abstract_source=nature_html</w:t>
      </w:r>
    </w:p>
    <w:p>
      <w:pPr>
        <w:spacing w:before="0" w:after="80" w:lineRule="auto" w:line="276"/>
      </w:pPr>
      <w:r>
        <w:rPr>
          <w:b/>
        </w:rPr>
        <w:t xml:space="preserve">摘要（ZH）: </w:t>
      </w:r>
      <w:r>
        <w:t>呼吸通过协调大脑和身体的瞬态状态动态调节感官感知。通过同时记录高密度脑磁图（MEG）、呼吸和瞳孔测量，我们表明人类对接近阈值的视觉刺激的感知敏感性在吸气期间增强，这与呼吸调节的觉醒神经调节和皮层兴奋性增加相吻合。参与者调整他们的呼吸模式以与可预测的刺激开始对齐，这种适应性呼吸对齐与性能改善相关。我们进一步揭示，呼吸调节的α和β振荡变化分别反映了感官和运动兴奋性的不同转变。关键是，呼吸解析的多变量</w:t>
      </w:r>
    </w:p>
    <w:p>
      <w:pPr>
        <w:spacing w:before="0" w:after="200" w:lineRule="auto" w:line="276"/>
      </w:pPr>
      <w:r>
        <w:rPr>
          <w:b/>
        </w:rPr>
        <w:t xml:space="preserve">Abstract (EN): </w:t>
      </w:r>
      <w:r>
        <w:t>Respiration dynamically modulates sensory perception by orchestrating transient states of the brain and the body. Using simultaneous recordings of high-density magneto- encephalography (MEG), respiration, and pupillometry, we show that human perceptual sensitivity to near-threshold visual stimuli was enhanced during inspiration, coinciding with respiration-modulated increases in arousal neuromodulation and cortical excitability. Participants adapted their breathing patterns to align with predictable stimulus onset, and this adaptive respiratory alignment correlated with improved performance. We further reveal that respiration-modulated changes in alpha and beta oscillations reflect distinct shifts in sensory and motor excitability, respectively. Crucially, respiration-resolved multivariate Granger causality analyses demonstrate that the breathing rhythm systematically shapes directed information flow within a widespread interoceptive network. This respiration-brain coupling was flexibly adjusted based on stimulus predictability, highlighting a mechanism for active sensing which integrates internal bodily rhythms with external sensory demands to optimise perception.</w:t>
      </w:r>
    </w:p>
    <w:p>
      <w:pPr>
        <w:spacing w:before="120" w:after="120"/>
      </w:pPr>
      <w:r>
        <w:rPr>
          <w:sz w:val="18"/>
        </w:rPr>
        <w:t>——————————————————————————————————————————————————————————————————————</w:t>
      </w:r>
    </w:p>
    <w:p>
      <w:pPr>
        <w:spacing w:before="160" w:after="40" w:line="240" w:lineRule="auto"/>
      </w:pPr>
      <w:r>
        <w:rPr>
          <w:b/>
        </w:rPr>
        <w:t xml:space="preserve">[149] </w:t>
      </w:r>
      <w:hyperlink r:id="rId441">
        <w:r>
          <w:rPr>
            <w:color w:val="1155CC"/>
            <w:u w:val="single"/>
          </w:rPr>
          <w:t>小核仁RNA Snora61通过启动Lgr5转录驱动肠道干细胞的自我更新</w:t>
        </w:r>
      </w:hyperlink>
    </w:p>
    <w:p>
      <w:pPr>
        <w:spacing w:before="0" w:after="80"/>
      </w:pPr>
      <w:r>
        <w:rPr>
          <w:i/>
          <w:sz w:val="20"/>
        </w:rPr>
        <w:t>EN: Small nucleolar RNA Snora61 drives self-renewal of intestinal stem cells via initiation of Lgr5 transcription</w:t>
      </w:r>
    </w:p>
    <w:p>
      <w:pPr>
        <w:spacing w:before="0" w:after="120"/>
      </w:pPr>
      <w:r>
        <w:rPr>
          <w:b/>
        </w:rPr>
        <w:t xml:space="preserve">Source: </w:t>
      </w:r>
      <w:r>
        <w:t>Nature Communications</w:t>
      </w:r>
      <w:r>
        <w:t xml:space="preserve">    </w:t>
      </w:r>
      <w:r>
        <w:rPr>
          <w:b/>
        </w:rPr>
        <w:t xml:space="preserve">Pub date: </w:t>
      </w:r>
      <w:r>
        <w:t>2026-04-07 00:00:00+00:00</w:t>
      </w:r>
      <w:r>
        <w:t xml:space="preserve">    </w:t>
      </w:r>
      <w:r>
        <w:rPr>
          <w:b/>
        </w:rPr>
        <w:t xml:space="preserve">DOI: </w:t>
      </w:r>
      <w:hyperlink r:id="rId442">
        <w:r>
          <w:rPr>
            <w:color w:val="1155CC"/>
            <w:u w:val="single"/>
          </w:rPr>
          <w:t>10.1038/s41467-026-71620-8</w:t>
        </w:r>
      </w:hyperlink>
    </w:p>
    <w:p>
      <w:pPr>
        <w:spacing w:before="0" w:after="120"/>
      </w:pPr>
      <w:r>
        <w:rPr>
          <w:b/>
        </w:rPr>
        <w:t xml:space="preserve">Notes: </w:t>
      </w:r>
      <w:r>
        <w:t>abstract_source=nature_html</w:t>
      </w:r>
    </w:p>
    <w:p>
      <w:pPr>
        <w:spacing w:before="0" w:after="80" w:lineRule="auto" w:line="276"/>
      </w:pPr>
      <w:r>
        <w:rPr>
          <w:b/>
        </w:rPr>
        <w:t xml:space="preserve">摘要（ZH）: </w:t>
      </w:r>
      <w:r>
        <w:t>肠上皮依赖于肠干细胞（ISCs）进行快速和精确的组织补充，以维持肠道的正常功能。ISCs的自我更新维持受到多种干性因子和信号通路的精细调控。然而，一些关键干性因子的转录机制仍然知之甚少。在此，我们发现小核仁RNA Snora61在ISCs中高表达。Snora61主要分布在核质中。Snora61敲除会损害ISC的自我更新和肠道再生。在机制上，Snora61结合到Lgr5基因的启动子区域，并与RNA结合蛋白RBMX结合，将HMGB2招募到Lgr5启动子上，导致Lgr5的转录和表达。Snora61促进小肠干细胞的自我更新，</w:t>
      </w:r>
    </w:p>
    <w:p>
      <w:pPr>
        <w:spacing w:before="0" w:after="200" w:lineRule="auto" w:line="276"/>
      </w:pPr>
      <w:r>
        <w:rPr>
          <w:b/>
        </w:rPr>
        <w:t xml:space="preserve">Abstract (EN): </w:t>
      </w:r>
      <w:r>
        <w:t>Intestinal epithelium relies on intestinal stem cells (ISCs) for rapid and precise tissue replenishment to maintain gut normal function. The self-renewal maintenance of ISCs is finely regulated by multiple stemness factors and signaling pathways. However, the transcription mechanisms of some key stemness factors remain poorly understood. Here, we identify that small nucleolar RNA Snora61 is highly expressed in ISCs. Snora61 is mainly distributed in the nucleoplasm. Snora61 knockout impairs ISC self-renewal and intestinal regeneration. Mechanistically, Snora61 binds to the promoter region of Lgr5 gene and engages with RNA-binding protein RBMX to recruit HMGB2 onto Lgr5 promoter, leading to Lgr5 transcription and expression. Snora61 promotes the self-renewal of small intestinal stem cells, which in turn enhances the proliferation of differentiated epithelial cells, thereby contributing to the maintenance of intestinal homeostasis. Conversely, Snora61 knockout causes reduced LGR5 expression. Deletion of Lgr5 with Snora61 displays more severely impaired ISC self-renewal and intestinal regeneration. Our findings reveal a regulatory mechanism of Lgr5 transcription underlying ISC self-renewal maintenance.</w:t>
      </w:r>
    </w:p>
    <w:p>
      <w:pPr>
        <w:spacing w:before="120" w:after="120"/>
      </w:pPr>
      <w:r>
        <w:rPr>
          <w:sz w:val="18"/>
        </w:rPr>
        <w:t>——————————————————————————————————————————————————————————————————————</w:t>
      </w:r>
    </w:p>
    <w:p>
      <w:pPr>
        <w:spacing w:before="160" w:after="40" w:line="240" w:lineRule="auto"/>
      </w:pPr>
      <w:r>
        <w:rPr>
          <w:b/>
        </w:rPr>
        <w:t xml:space="preserve">[150] </w:t>
      </w:r>
      <w:hyperlink r:id="rId443">
        <w:r>
          <w:rPr>
            <w:color w:val="1155CC"/>
            <w:u w:val="single"/>
          </w:rPr>
          <w:t>阿尔忒弥斯II号的首批照片：欣赏惊艳的“地球落”和更多</w:t>
        </w:r>
      </w:hyperlink>
    </w:p>
    <w:p>
      <w:pPr>
        <w:spacing w:before="0" w:after="80"/>
      </w:pPr>
      <w:r>
        <w:rPr>
          <w:i/>
          <w:sz w:val="20"/>
        </w:rPr>
        <w:t>EN: First photos from Artemis II: see stunning 'Earthset' and more</w:t>
      </w:r>
    </w:p>
    <w:p>
      <w:pPr>
        <w:spacing w:before="0" w:after="120"/>
      </w:pPr>
      <w:r>
        <w:rPr>
          <w:b/>
        </w:rPr>
        <w:t xml:space="preserve">Source: </w:t>
      </w:r>
      <w:r>
        <w:t>Nature</w:t>
      </w:r>
      <w:r>
        <w:t xml:space="preserve">    </w:t>
      </w:r>
      <w:r>
        <w:rPr>
          <w:b/>
        </w:rPr>
        <w:t xml:space="preserve">Pub date: </w:t>
      </w:r>
      <w:r>
        <w:t>2026-04-07 00:00:00+00:00</w:t>
      </w:r>
      <w:r>
        <w:t xml:space="preserve">    </w:t>
      </w:r>
      <w:r>
        <w:rPr>
          <w:b/>
        </w:rPr>
        <w:t xml:space="preserve">DOI: </w:t>
      </w:r>
      <w:hyperlink r:id="rId444">
        <w:r>
          <w:rPr>
            <w:color w:val="1155CC"/>
            <w:u w:val="single"/>
          </w:rPr>
          <w:t>10.1038/d41586-026-01118-2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[151] </w:t>
      </w:r>
      <w:hyperlink r:id="rId445">
        <w:r>
          <w:rPr>
            <w:color w:val="1155CC"/>
            <w:u w:val="single"/>
          </w:rPr>
          <w:t>本地稀疏注意力：为实际长上下文效率共同设计算法和硬件</w:t>
        </w:r>
      </w:hyperlink>
    </w:p>
    <w:p>
      <w:pPr>
        <w:spacing w:before="0" w:after="80"/>
      </w:pPr>
      <w:r>
        <w:rPr>
          <w:i/>
          <w:sz w:val="20"/>
        </w:rPr>
        <w:t>EN: Native Sparse Attention: Co-Designing Algorithms and Hardware for Practical Long-Context Efficiency</w:t>
      </w:r>
    </w:p>
    <w:p>
      <w:pPr>
        <w:spacing w:before="0" w:after="120"/>
      </w:pPr>
      <w:r>
        <w:rPr>
          <w:b/>
        </w:rPr>
        <w:t xml:space="preserve">Source: </w:t>
      </w:r>
      <w:r>
        <w:t>National Science Review Advance Access</w:t>
      </w:r>
      <w:r>
        <w:t xml:space="preserve">    </w:t>
      </w:r>
      <w:r>
        <w:rPr>
          <w:b/>
        </w:rPr>
        <w:t xml:space="preserve">Pub date: </w:t>
      </w:r>
      <w:r>
        <w:t>2026-04-07 00:00:00+00:00</w:t>
      </w:r>
      <w:r>
        <w:t xml:space="preserve">    </w:t>
      </w:r>
      <w:r>
        <w:rPr>
          <w:b/>
        </w:rPr>
        <w:t xml:space="preserve">DOI: </w:t>
      </w:r>
      <w:hyperlink r:id="rId446">
        <w:r>
          <w:rPr>
            <w:color w:val="1155CC"/>
            <w:u w:val="single"/>
          </w:rPr>
          <w:t>10.1093/nsr/nwag212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[152] </w:t>
      </w:r>
      <w:hyperlink r:id="rId447">
        <w:r>
          <w:rPr>
            <w:color w:val="1155CC"/>
            <w:u w:val="single"/>
          </w:rPr>
          <w:t>DNA法医技术如何改变古代手稿研究</w:t>
        </w:r>
      </w:hyperlink>
    </w:p>
    <w:p>
      <w:pPr>
        <w:spacing w:before="0" w:after="80"/>
      </w:pPr>
      <w:r>
        <w:rPr>
          <w:i/>
          <w:sz w:val="20"/>
        </w:rPr>
        <w:t>EN: How DNA forensics is transforming studies of ancient manuscripts</w:t>
      </w:r>
    </w:p>
    <w:p>
      <w:pPr>
        <w:spacing w:before="0" w:after="120"/>
      </w:pPr>
      <w:r>
        <w:rPr>
          <w:b/>
        </w:rPr>
        <w:t xml:space="preserve">Source: </w:t>
      </w:r>
      <w:r>
        <w:t>Nature</w:t>
      </w:r>
      <w:r>
        <w:t xml:space="preserve">    </w:t>
      </w:r>
      <w:r>
        <w:rPr>
          <w:b/>
        </w:rPr>
        <w:t xml:space="preserve">Pub date: </w:t>
      </w:r>
      <w:r>
        <w:t>2026-04-07 00:00:00+00:00</w:t>
      </w:r>
      <w:r>
        <w:t xml:space="preserve">    </w:t>
      </w:r>
      <w:r>
        <w:rPr>
          <w:b/>
        </w:rPr>
        <w:t xml:space="preserve">DOI: </w:t>
      </w:r>
      <w:hyperlink r:id="rId448">
        <w:r>
          <w:rPr>
            <w:color w:val="1155CC"/>
            <w:u w:val="single"/>
          </w:rPr>
          <w:t>10.1038/d41586-026-01029-2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[153] </w:t>
      </w:r>
      <w:hyperlink r:id="rId449">
        <w:r>
          <w:rPr>
            <w:color w:val="1155CC"/>
            <w:u w:val="single"/>
          </w:rPr>
          <w:t>科学中没有权力的代表性不是公平</w:t>
        </w:r>
      </w:hyperlink>
    </w:p>
    <w:p>
      <w:pPr>
        <w:spacing w:before="0" w:after="80"/>
      </w:pPr>
      <w:r>
        <w:rPr>
          <w:i/>
          <w:sz w:val="20"/>
        </w:rPr>
        <w:t>EN: Representation without power in science isn’t equity</w:t>
      </w:r>
    </w:p>
    <w:p>
      <w:pPr>
        <w:spacing w:before="0" w:after="120"/>
      </w:pPr>
      <w:r>
        <w:rPr>
          <w:b/>
        </w:rPr>
        <w:t xml:space="preserve">Source: </w:t>
      </w:r>
      <w:r>
        <w:t>Nature</w:t>
      </w:r>
      <w:r>
        <w:t xml:space="preserve">    </w:t>
      </w:r>
      <w:r>
        <w:rPr>
          <w:b/>
        </w:rPr>
        <w:t xml:space="preserve">Pub date: </w:t>
      </w:r>
      <w:r>
        <w:t>2026-04-07 00:00:00+00:00</w:t>
      </w:r>
      <w:r>
        <w:t xml:space="preserve">    </w:t>
      </w:r>
      <w:r>
        <w:rPr>
          <w:b/>
        </w:rPr>
        <w:t xml:space="preserve">DOI: </w:t>
      </w:r>
      <w:hyperlink r:id="rId450">
        <w:r>
          <w:rPr>
            <w:color w:val="1155CC"/>
            <w:u w:val="single"/>
          </w:rPr>
          <w:t>10.1038/d41586-026-01095-6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[154] </w:t>
      </w:r>
      <w:hyperlink r:id="rId451">
        <w:r>
          <w:rPr>
            <w:color w:val="1155CC"/>
            <w:u w:val="single"/>
          </w:rPr>
          <w:t>你的大脑在药物作用下：不同的迷幻药以惊人相似的方式工作</w:t>
        </w:r>
      </w:hyperlink>
    </w:p>
    <w:p>
      <w:pPr>
        <w:spacing w:before="0" w:after="80"/>
      </w:pPr>
      <w:r>
        <w:rPr>
          <w:i/>
          <w:sz w:val="20"/>
        </w:rPr>
        <w:t>EN: Your brain on drugs: different psychedelics work in surprisingly similar ways</w:t>
      </w:r>
    </w:p>
    <w:p>
      <w:pPr>
        <w:spacing w:before="0" w:after="120"/>
      </w:pPr>
      <w:r>
        <w:rPr>
          <w:b/>
        </w:rPr>
        <w:t xml:space="preserve">Source: </w:t>
      </w:r>
      <w:r>
        <w:t>Nature</w:t>
      </w:r>
      <w:r>
        <w:t xml:space="preserve">    </w:t>
      </w:r>
      <w:r>
        <w:rPr>
          <w:b/>
        </w:rPr>
        <w:t xml:space="preserve">Pub date: </w:t>
      </w:r>
      <w:r>
        <w:t>2026-04-07 00:00:00+00:00</w:t>
      </w:r>
      <w:r>
        <w:t xml:space="preserve">    </w:t>
      </w:r>
      <w:r>
        <w:rPr>
          <w:b/>
        </w:rPr>
        <w:t xml:space="preserve">DOI: </w:t>
      </w:r>
      <w:hyperlink r:id="rId452">
        <w:r>
          <w:rPr>
            <w:color w:val="1155CC"/>
            <w:u w:val="single"/>
          </w:rPr>
          <w:t>10.1038/d41586-026-01053-2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[155] </w:t>
      </w:r>
      <w:hyperlink r:id="rId453">
        <w:r>
          <w:rPr>
            <w:color w:val="1155CC"/>
            <w:u w:val="single"/>
          </w:rPr>
          <w:t>这种逆转细胞衰老的方法即将在人体中测试</w:t>
        </w:r>
      </w:hyperlink>
    </w:p>
    <w:p>
      <w:pPr>
        <w:spacing w:before="0" w:after="80"/>
      </w:pPr>
      <w:r>
        <w:rPr>
          <w:i/>
          <w:sz w:val="20"/>
        </w:rPr>
        <w:t>EN: This method to reverse cellular ageing is about to be tested in humans</w:t>
      </w:r>
    </w:p>
    <w:p>
      <w:pPr>
        <w:spacing w:before="0" w:after="120"/>
      </w:pPr>
      <w:r>
        <w:rPr>
          <w:b/>
        </w:rPr>
        <w:t xml:space="preserve">Source: </w:t>
      </w:r>
      <w:r>
        <w:t>Nature</w:t>
      </w:r>
      <w:r>
        <w:t xml:space="preserve">    </w:t>
      </w:r>
      <w:r>
        <w:rPr>
          <w:b/>
        </w:rPr>
        <w:t xml:space="preserve">Pub date: </w:t>
      </w:r>
      <w:r>
        <w:t>2026-04-07 00:00:00+00:00</w:t>
      </w:r>
      <w:r>
        <w:t xml:space="preserve">    </w:t>
      </w:r>
      <w:r>
        <w:rPr>
          <w:b/>
        </w:rPr>
        <w:t xml:space="preserve">DOI: </w:t>
      </w:r>
      <w:hyperlink r:id="rId454">
        <w:r>
          <w:rPr>
            <w:color w:val="1155CC"/>
            <w:u w:val="single"/>
          </w:rPr>
          <w:t>10.1038/d41586-026-01024-7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[156] </w:t>
      </w:r>
      <w:hyperlink r:id="rId455">
        <w:r>
          <w:rPr>
            <w:color w:val="1155CC"/>
            <w:u w:val="single"/>
          </w:rPr>
          <w:t>二维MBenes用于下一代能量存储和电催化</w:t>
        </w:r>
      </w:hyperlink>
    </w:p>
    <w:p>
      <w:pPr>
        <w:spacing w:before="0" w:after="80"/>
      </w:pPr>
      <w:r>
        <w:rPr>
          <w:i/>
          <w:sz w:val="20"/>
        </w:rPr>
        <w:t>EN: Two-dimensional MBenes for next-generation energy storage and electrocatalysis</w:t>
      </w:r>
    </w:p>
    <w:p>
      <w:pPr>
        <w:spacing w:before="0" w:after="120"/>
      </w:pPr>
      <w:r>
        <w:rPr>
          <w:b/>
        </w:rPr>
        <w:t xml:space="preserve">Source: </w:t>
      </w:r>
      <w:r>
        <w:t>ScienceDirect Publication: Applied Energy</w:t>
      </w:r>
      <w:r>
        <w:t xml:space="preserve">    </w:t>
      </w:r>
      <w:r>
        <w:rPr>
          <w:b/>
        </w:rPr>
        <w:t xml:space="preserve">Pub date: </w:t>
      </w:r>
      <w:r>
        <w:t>2026-04-07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[157] </w:t>
      </w:r>
      <w:hyperlink r:id="rId456">
        <w:r>
          <w:rPr>
            <w:color w:val="1155CC"/>
            <w:u w:val="single"/>
          </w:rPr>
          <w:t>研究推动中国可再生能源装机容量快速扩张的因素</w:t>
        </w:r>
      </w:hyperlink>
    </w:p>
    <w:p>
      <w:pPr>
        <w:spacing w:before="0" w:after="80"/>
      </w:pPr>
      <w:r>
        <w:rPr>
          <w:i/>
          <w:sz w:val="20"/>
        </w:rPr>
        <w:t>EN: Investigating the factors driving the rapid expansion of renewable energy installed capacity in China</w:t>
      </w:r>
    </w:p>
    <w:p>
      <w:pPr>
        <w:spacing w:before="0" w:after="120"/>
      </w:pPr>
      <w:r>
        <w:rPr>
          <w:b/>
        </w:rPr>
        <w:t xml:space="preserve">Source: </w:t>
      </w:r>
      <w:r>
        <w:t>ScienceDirect Publication: Applied Energy</w:t>
      </w:r>
      <w:r>
        <w:t xml:space="preserve">    </w:t>
      </w:r>
      <w:r>
        <w:rPr>
          <w:b/>
        </w:rPr>
        <w:t xml:space="preserve">Pub date: </w:t>
      </w:r>
      <w:r>
        <w:t>2026-04-07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[158] </w:t>
      </w:r>
      <w:hyperlink r:id="rId457">
        <w:r>
          <w:rPr>
            <w:color w:val="1155CC"/>
            <w:u w:val="single"/>
          </w:rPr>
          <w:t>使用切片并行物理信息神经网络和环境PMU测量的风电集成电力系统在线惯性估计</w:t>
        </w:r>
      </w:hyperlink>
    </w:p>
    <w:p>
      <w:pPr>
        <w:spacing w:before="0" w:after="80"/>
      </w:pPr>
      <w:r>
        <w:rPr>
          <w:i/>
          <w:sz w:val="20"/>
        </w:rPr>
        <w:t>EN: Online inertia estimation for wind-integrated power systems with ambient PMU measurements using sliced parallel physics-informed neural networks</w:t>
      </w:r>
    </w:p>
    <w:p>
      <w:pPr>
        <w:spacing w:before="0" w:after="120"/>
      </w:pPr>
      <w:r>
        <w:rPr>
          <w:b/>
        </w:rPr>
        <w:t xml:space="preserve">Source: </w:t>
      </w:r>
      <w:r>
        <w:t>ScienceDirect Publication: Applied Energy</w:t>
      </w:r>
      <w:r>
        <w:t xml:space="preserve">    </w:t>
      </w:r>
      <w:r>
        <w:rPr>
          <w:b/>
        </w:rPr>
        <w:t xml:space="preserve">Pub date: </w:t>
      </w:r>
      <w:r>
        <w:t>2026-04-07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[159] </w:t>
      </w:r>
      <w:hyperlink r:id="rId458">
        <w:r>
          <w:rPr>
            <w:color w:val="1155CC"/>
            <w:u w:val="single"/>
          </w:rPr>
          <w:t>去中心化多智能体强化学习在多能源社区中的超参数优化影响和调优指南</w:t>
        </w:r>
      </w:hyperlink>
    </w:p>
    <w:p>
      <w:pPr>
        <w:spacing w:before="0" w:after="80"/>
      </w:pPr>
      <w:r>
        <w:rPr>
          <w:i/>
          <w:sz w:val="20"/>
        </w:rPr>
        <w:t>EN: Hyperparameter optimization impact and tuning guidelines for decentralized multi-agent reinforcement learning in multi-energy neighborhoods</w:t>
      </w:r>
    </w:p>
    <w:p>
      <w:pPr>
        <w:spacing w:before="0" w:after="120"/>
      </w:pPr>
      <w:r>
        <w:rPr>
          <w:b/>
        </w:rPr>
        <w:t xml:space="preserve">Source: </w:t>
      </w:r>
      <w:r>
        <w:t>ScienceDirect Publication: Applied Energy</w:t>
      </w:r>
      <w:r>
        <w:t xml:space="preserve">    </w:t>
      </w:r>
      <w:r>
        <w:rPr>
          <w:b/>
        </w:rPr>
        <w:t xml:space="preserve">Pub date: </w:t>
      </w:r>
      <w:r>
        <w:t>2026-04-07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[160] </w:t>
      </w:r>
      <w:hyperlink r:id="rId459">
        <w:r>
          <w:rPr>
            <w:color w:val="1155CC"/>
            <w:u w:val="single"/>
          </w:rPr>
          <w:t>为专用线路供电的数据中心进行风-光-储-网系统的综合规划</w:t>
        </w:r>
      </w:hyperlink>
    </w:p>
    <w:p>
      <w:pPr>
        <w:spacing w:before="0" w:after="80"/>
      </w:pPr>
      <w:r>
        <w:rPr>
          <w:i/>
          <w:sz w:val="20"/>
        </w:rPr>
        <w:t>EN: Integrated planning of wind–solar–storage–grid systems for private-wire supplied data centers</w:t>
      </w:r>
    </w:p>
    <w:p>
      <w:pPr>
        <w:spacing w:before="0" w:after="120"/>
      </w:pPr>
      <w:r>
        <w:rPr>
          <w:b/>
        </w:rPr>
        <w:t xml:space="preserve">Source: </w:t>
      </w:r>
      <w:r>
        <w:t>ScienceDirect Publication: Applied Energy</w:t>
      </w:r>
      <w:r>
        <w:t xml:space="preserve">    </w:t>
      </w:r>
      <w:r>
        <w:rPr>
          <w:b/>
        </w:rPr>
        <w:t xml:space="preserve">Pub date: </w:t>
      </w:r>
      <w:r>
        <w:t>2026-04-07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[161] </w:t>
      </w:r>
      <w:hyperlink r:id="rId460">
        <w:r>
          <w:rPr>
            <w:color w:val="1155CC"/>
            <w:u w:val="single"/>
          </w:rPr>
          <w:t>从颠覆性创新的角度探索电化学储能技术的格局</w:t>
        </w:r>
      </w:hyperlink>
    </w:p>
    <w:p>
      <w:pPr>
        <w:spacing w:before="0" w:after="80"/>
      </w:pPr>
      <w:r>
        <w:rPr>
          <w:i/>
          <w:sz w:val="20"/>
        </w:rPr>
        <w:t>EN: Exploring the landscape of electrochemical energy storage technologies: A disruptive innovation perspective</w:t>
      </w:r>
    </w:p>
    <w:p>
      <w:pPr>
        <w:spacing w:before="0" w:after="120"/>
      </w:pPr>
      <w:r>
        <w:rPr>
          <w:b/>
        </w:rPr>
        <w:t xml:space="preserve">Source: </w:t>
      </w:r>
      <w:r>
        <w:t>ScienceDirect Publication: Applied Energy</w:t>
      </w:r>
      <w:r>
        <w:t xml:space="preserve">    </w:t>
      </w:r>
      <w:r>
        <w:rPr>
          <w:b/>
        </w:rPr>
        <w:t xml:space="preserve">Pub date: </w:t>
      </w:r>
      <w:r>
        <w:t>2026-04-07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[162] </w:t>
      </w:r>
      <w:hyperlink r:id="rId461">
        <w:r>
          <w:rPr>
            <w:color w:val="1155CC"/>
            <w:u w:val="single"/>
          </w:rPr>
          <w:t>超越单一解决方案：通过聚类退火精英搜索进行多模式风电场布局优化</w:t>
        </w:r>
      </w:hyperlink>
    </w:p>
    <w:p>
      <w:pPr>
        <w:spacing w:before="0" w:after="80"/>
      </w:pPr>
      <w:r>
        <w:rPr>
          <w:i/>
          <w:sz w:val="20"/>
        </w:rPr>
        <w:t>EN: Beyond a single solution: Multimodal wind farm layout optimization via cluster annealing elite search</w:t>
      </w:r>
    </w:p>
    <w:p>
      <w:pPr>
        <w:spacing w:before="0" w:after="120"/>
      </w:pPr>
      <w:r>
        <w:rPr>
          <w:b/>
        </w:rPr>
        <w:t xml:space="preserve">Source: </w:t>
      </w:r>
      <w:r>
        <w:t>ScienceDirect Publication: Applied Energy</w:t>
      </w:r>
      <w:r>
        <w:t xml:space="preserve">    </w:t>
      </w:r>
      <w:r>
        <w:rPr>
          <w:b/>
        </w:rPr>
        <w:t xml:space="preserve">Pub date: </w:t>
      </w:r>
      <w:r>
        <w:t>2026-04-07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[163] </w:t>
      </w:r>
      <w:hyperlink r:id="rId462">
        <w:r>
          <w:rPr>
            <w:color w:val="1155CC"/>
            <w:u w:val="single"/>
          </w:rPr>
          <w:t>集成微机电系统执行器的芯片级图像传感器</w:t>
        </w:r>
      </w:hyperlink>
    </w:p>
    <w:p>
      <w:pPr>
        <w:spacing w:before="0" w:after="80"/>
      </w:pPr>
      <w:r>
        <w:rPr>
          <w:i/>
          <w:sz w:val="20"/>
        </w:rPr>
        <w:t>EN: A chip-scale image sensor integrated with a microelectromechanical system actuator</w:t>
      </w:r>
    </w:p>
    <w:p>
      <w:pPr>
        <w:spacing w:before="0" w:after="120"/>
      </w:pPr>
      <w:r>
        <w:rPr>
          <w:b/>
        </w:rPr>
        <w:t xml:space="preserve">Source: </w:t>
      </w:r>
      <w:r>
        <w:t>Nature Electronics</w:t>
      </w:r>
      <w:r>
        <w:t xml:space="preserve">    </w:t>
      </w:r>
      <w:r>
        <w:rPr>
          <w:b/>
        </w:rPr>
        <w:t xml:space="preserve">Pub date: </w:t>
      </w:r>
      <w:r>
        <w:t>2026-04-07 00:00:00+00:00</w:t>
      </w:r>
      <w:r>
        <w:t xml:space="preserve">    </w:t>
      </w:r>
      <w:r>
        <w:rPr>
          <w:b/>
        </w:rPr>
        <w:t xml:space="preserve">DOI: </w:t>
      </w:r>
      <w:hyperlink r:id="rId463">
        <w:r>
          <w:rPr>
            <w:color w:val="1155CC"/>
            <w:u w:val="single"/>
          </w:rPr>
          <w:t>10.1038/s41928-026-01600-9</w:t>
        </w:r>
      </w:hyperlink>
    </w:p>
    <w:p>
      <w:pPr>
        <w:spacing w:before="0" w:after="120"/>
      </w:pPr>
      <w:r>
        <w:rPr>
          <w:b/>
        </w:rPr>
        <w:t xml:space="preserve">Notes: </w:t>
      </w:r>
      <w:r>
        <w:t>abstract_source=nature_html</w:t>
      </w:r>
    </w:p>
    <w:p>
      <w:pPr>
        <w:spacing w:before="0" w:after="80" w:lineRule="auto" w:line="276"/>
      </w:pPr>
      <w:r>
        <w:rPr>
          <w:b/>
        </w:rPr>
        <w:t xml:space="preserve">摘要（ZH）: </w:t>
      </w:r>
      <w:r>
        <w:t>数字图像传感器可以捕捉现实世界的信息，并广泛应用于机器视觉和生物医学成像。然而，尽管像素微型化和像素密度有所改善，这类传感器的空间带宽积（定义了可以记录的最大空间信息量）对于光场和光谱的多维感知仍然不足。像素尺寸的进一步缩小也由于信噪比问题而受到限制，这表明需要一种更通用的方法来增加空间带宽积。在此，我们报告了一种与微机电系统执行器集成的芯片级图像传感器。通过使用执行器精确调节数字图像传感器的位置，我们的传感器可以克服</w:t>
      </w:r>
    </w:p>
    <w:p>
      <w:pPr>
        <w:spacing w:before="0" w:after="200" w:lineRule="auto" w:line="276"/>
      </w:pPr>
      <w:r>
        <w:rPr>
          <w:b/>
        </w:rPr>
        <w:t xml:space="preserve">Abstract (EN): </w:t>
      </w:r>
      <w:r>
        <w:t>Digital image sensors can capture real-world information and are widely used in machine vision and biomedical imaging. However, despite improvements in pixel miniaturization and pixel density, the spatial bandwidth product, which defines the maximum amount of spatial information that can be recorded, of such sensors is insufficient for the multidimensional sensing of light fields and spectra. Further reduction in pixel size is also restricted due to signal-to-noise ratio issues, suggesting that a more generalized approach is needed to increase the spatial bandwidth product. Here we report a chip-scale image sensor that is integrated with a microelectromechanical system actuator. By precisely modulating the position of the digital image sensor using the actuator, our sensor can overcome the limitation of pixel size on the sampling period. We build a theoretical model based on Fourier optics to characterize the sensor and fabricate the sensor using micromachining processes. Compared with a sensor without position modulation, the resulting device offers a spatial bandwidth product enhancement of up to 33.7 times. We also show that when integrated into a camera system, our sensor can improve point-like target positioning accuracy and imaging resolution.</w:t>
      </w:r>
    </w:p>
    <w:p>
      <w:pPr>
        <w:spacing w:before="120" w:after="120"/>
      </w:pPr>
      <w:r>
        <w:rPr>
          <w:sz w:val="18"/>
        </w:rPr>
        <w:t>——————————————————————————————————————————————————————————————————————</w:t>
      </w:r>
    </w:p>
    <w:p>
      <w:pPr>
        <w:spacing w:before="160" w:after="40" w:line="240" w:lineRule="auto"/>
      </w:pPr>
      <w:r>
        <w:rPr>
          <w:b/>
        </w:rPr>
        <w:t xml:space="preserve">[164] </w:t>
      </w:r>
      <w:hyperlink r:id="rId464">
        <w:r>
          <w:rPr>
            <w:color w:val="1155CC"/>
            <w:u w:val="single"/>
          </w:rPr>
          <w:t>提高RIES的多能源协同灵活性：面向电动车集群的松弛驱动可变多维差异化充放电策略</w:t>
        </w:r>
      </w:hyperlink>
    </w:p>
    <w:p>
      <w:pPr>
        <w:spacing w:before="0" w:after="80"/>
      </w:pPr>
      <w:r>
        <w:rPr>
          <w:i/>
          <w:sz w:val="20"/>
        </w:rPr>
        <w:t>EN: Improving the multi-energy synergy flexibility of RIES: slackness-driven morphable multi-dimensional differentiated charging-discharging strategy for electric vehicle cluster</w:t>
      </w:r>
    </w:p>
    <w:p>
      <w:pPr>
        <w:spacing w:before="0" w:after="120"/>
      </w:pPr>
      <w:r>
        <w:rPr>
          <w:b/>
        </w:rPr>
        <w:t xml:space="preserve">Source: </w:t>
      </w:r>
      <w:r>
        <w:t>ScienceDirect Publication: Applied Energy</w:t>
      </w:r>
      <w:r>
        <w:t xml:space="preserve">    </w:t>
      </w:r>
      <w:r>
        <w:rPr>
          <w:b/>
        </w:rPr>
        <w:t xml:space="preserve">Pub date: </w:t>
      </w:r>
      <w:r>
        <w:t>2026-04-07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[165] </w:t>
      </w:r>
      <w:hyperlink r:id="rId465">
        <w:r>
          <w:rPr>
            <w:color w:val="1155CC"/>
            <w:u w:val="single"/>
          </w:rPr>
          <w:t>不要急于在阿尔茨海默病中使用淋巴手术</w:t>
        </w:r>
      </w:hyperlink>
    </w:p>
    <w:p>
      <w:pPr>
        <w:spacing w:before="0" w:after="80"/>
      </w:pPr>
      <w:r>
        <w:rPr>
          <w:i/>
          <w:sz w:val="20"/>
        </w:rPr>
        <w:t>EN: Don’t rush use of lymphatic surgery in Alzheimer’s disease</w:t>
      </w:r>
    </w:p>
    <w:p>
      <w:pPr>
        <w:spacing w:before="0" w:after="120"/>
      </w:pPr>
      <w:r>
        <w:rPr>
          <w:b/>
        </w:rPr>
        <w:t xml:space="preserve">Source: </w:t>
      </w:r>
      <w:r>
        <w:t>Nature</w:t>
      </w:r>
      <w:r>
        <w:t xml:space="preserve">    </w:t>
      </w:r>
      <w:r>
        <w:rPr>
          <w:b/>
        </w:rPr>
        <w:t xml:space="preserve">Pub date: </w:t>
      </w:r>
      <w:r>
        <w:t>2026-04-07 00:00:00+00:00</w:t>
      </w:r>
      <w:r>
        <w:t xml:space="preserve">    </w:t>
      </w:r>
      <w:r>
        <w:rPr>
          <w:b/>
        </w:rPr>
        <w:t xml:space="preserve">DOI: </w:t>
      </w:r>
      <w:hyperlink r:id="rId466">
        <w:r>
          <w:rPr>
            <w:color w:val="1155CC"/>
            <w:u w:val="single"/>
          </w:rPr>
          <w:t>10.1038/d41586-026-01093-8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[166] </w:t>
      </w:r>
      <w:hyperlink r:id="rId467">
        <w:r>
          <w:rPr>
            <w:color w:val="1155CC"/>
            <w:u w:val="single"/>
          </w:rPr>
          <w:t>卫星和AI能揭示地球的麦克斯韦方程吗？</w:t>
        </w:r>
      </w:hyperlink>
    </w:p>
    <w:p>
      <w:pPr>
        <w:spacing w:before="0" w:after="80"/>
      </w:pPr>
      <w:r>
        <w:rPr>
          <w:i/>
          <w:sz w:val="20"/>
        </w:rPr>
        <w:t>EN: Can satellites and AI reveal the maxwell equations of the Earth?</w:t>
      </w:r>
    </w:p>
    <w:p>
      <w:pPr>
        <w:spacing w:before="0" w:after="120"/>
      </w:pPr>
      <w:r>
        <w:rPr>
          <w:b/>
        </w:rPr>
        <w:t xml:space="preserve">Source: </w:t>
      </w:r>
      <w:r>
        <w:t>National Science Review Advance Access</w:t>
      </w:r>
      <w:r>
        <w:t xml:space="preserve">    </w:t>
      </w:r>
      <w:r>
        <w:rPr>
          <w:b/>
        </w:rPr>
        <w:t xml:space="preserve">Pub date: </w:t>
      </w:r>
      <w:r>
        <w:t>2026-04-07 00:00:00+00:00</w:t>
      </w:r>
      <w:r>
        <w:t xml:space="preserve">    </w:t>
      </w:r>
      <w:r>
        <w:rPr>
          <w:b/>
        </w:rPr>
        <w:t xml:space="preserve">DOI: </w:t>
      </w:r>
      <w:hyperlink r:id="rId468">
        <w:r>
          <w:rPr>
            <w:color w:val="1155CC"/>
            <w:u w:val="single"/>
          </w:rPr>
          <w:t>10.1093/nsr/nwag210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[167] </w:t>
      </w:r>
      <w:hyperlink r:id="rId469">
        <w:r>
          <w:rPr>
            <w:color w:val="1155CC"/>
            <w:u w:val="single"/>
          </w:rPr>
          <w:t>“净零”不是疯狂：气候变化的惊人经济成本</w:t>
        </w:r>
      </w:hyperlink>
    </w:p>
    <w:p>
      <w:pPr>
        <w:spacing w:before="0" w:after="80"/>
      </w:pPr>
      <w:r>
        <w:rPr>
          <w:i/>
          <w:sz w:val="20"/>
        </w:rPr>
        <w:t>EN: ‘Net zero’ isn’t madness: the staggering economic costs of climate change</w:t>
      </w:r>
    </w:p>
    <w:p>
      <w:pPr>
        <w:spacing w:before="0" w:after="120"/>
      </w:pPr>
      <w:r>
        <w:rPr>
          <w:b/>
        </w:rPr>
        <w:t xml:space="preserve">Source: </w:t>
      </w:r>
      <w:r>
        <w:t>Nature</w:t>
      </w:r>
      <w:r>
        <w:t xml:space="preserve">    </w:t>
      </w:r>
      <w:r>
        <w:rPr>
          <w:b/>
        </w:rPr>
        <w:t xml:space="preserve">Pub date: </w:t>
      </w:r>
      <w:r>
        <w:t>2026-04-07 00:00:00+00:00</w:t>
      </w:r>
      <w:r>
        <w:t xml:space="preserve">    </w:t>
      </w:r>
      <w:r>
        <w:rPr>
          <w:b/>
        </w:rPr>
        <w:t xml:space="preserve">DOI: </w:t>
      </w:r>
      <w:hyperlink r:id="rId470">
        <w:r>
          <w:rPr>
            <w:color w:val="1155CC"/>
            <w:u w:val="single"/>
          </w:rPr>
          <w:t>10.1038/d41586-026-01020-x</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[168] </w:t>
      </w:r>
      <w:hyperlink r:id="rId471">
        <w:r>
          <w:rPr>
            <w:color w:val="1155CC"/>
            <w:u w:val="single"/>
          </w:rPr>
          <w:t>科学家发明了一种假疾病。人工智能告诉人们它是真的</w:t>
        </w:r>
      </w:hyperlink>
    </w:p>
    <w:p>
      <w:pPr>
        <w:spacing w:before="0" w:after="80"/>
      </w:pPr>
      <w:r>
        <w:rPr>
          <w:i/>
          <w:sz w:val="20"/>
        </w:rPr>
        <w:t>EN: Scientists invented a fake disease. AI told people it was real</w:t>
      </w:r>
    </w:p>
    <w:p>
      <w:pPr>
        <w:spacing w:before="0" w:after="120"/>
      </w:pPr>
      <w:r>
        <w:rPr>
          <w:b/>
        </w:rPr>
        <w:t xml:space="preserve">Source: </w:t>
      </w:r>
      <w:r>
        <w:t>Nature</w:t>
      </w:r>
      <w:r>
        <w:t xml:space="preserve">    </w:t>
      </w:r>
      <w:r>
        <w:rPr>
          <w:b/>
        </w:rPr>
        <w:t xml:space="preserve">Pub date: </w:t>
      </w:r>
      <w:r>
        <w:t>2026-04-07 00:00:00+00:00</w:t>
      </w:r>
      <w:r>
        <w:t xml:space="preserve">    </w:t>
      </w:r>
      <w:r>
        <w:rPr>
          <w:b/>
        </w:rPr>
        <w:t xml:space="preserve">DOI: </w:t>
      </w:r>
      <w:hyperlink r:id="rId472">
        <w:r>
          <w:rPr>
            <w:color w:val="1155CC"/>
            <w:u w:val="single"/>
          </w:rPr>
          <w:t>10.1038/d41586-026-01100-y</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[169] </w:t>
      </w:r>
      <w:hyperlink r:id="rId473">
        <w:r>
          <w:rPr>
            <w:color w:val="1155CC"/>
            <w:u w:val="single"/>
          </w:rPr>
          <w:t>ImputeLLM：一种用于HVAC系统中稳健时间序列插补的无提示大型语言模型框架</w:t>
        </w:r>
      </w:hyperlink>
    </w:p>
    <w:p>
      <w:pPr>
        <w:spacing w:before="0" w:after="80"/>
      </w:pPr>
      <w:r>
        <w:rPr>
          <w:i/>
          <w:sz w:val="20"/>
        </w:rPr>
        <w:t>EN: ImputeLLM: A prompt-free large language model framework for robust time-series imputation in HVAC systems</w:t>
      </w:r>
    </w:p>
    <w:p>
      <w:pPr>
        <w:spacing w:before="0" w:after="120"/>
      </w:pPr>
      <w:r>
        <w:rPr>
          <w:b/>
        </w:rPr>
        <w:t xml:space="preserve">Source: </w:t>
      </w:r>
      <w:r>
        <w:t>ScienceDirect Publication: Applied Energy</w:t>
      </w:r>
      <w:r>
        <w:t xml:space="preserve">    </w:t>
      </w:r>
      <w:r>
        <w:rPr>
          <w:b/>
        </w:rPr>
        <w:t xml:space="preserve">Pub date: </w:t>
      </w:r>
      <w:r>
        <w:t>2026-04-07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[170] </w:t>
      </w:r>
      <w:hyperlink r:id="rId474">
        <w:r>
          <w:rPr>
            <w:color w:val="1155CC"/>
            <w:u w:val="single"/>
          </w:rPr>
          <w:t>通过雕刻微观结构和局部聚合物富集来编码材料力学的微相分离（Adv. Mater. 20/2026）</w:t>
        </w:r>
      </w:hyperlink>
    </w:p>
    <w:p>
      <w:pPr>
        <w:spacing w:before="0" w:after="80"/>
      </w:pPr>
      <w:r>
        <w:rPr>
          <w:i/>
          <w:sz w:val="20"/>
        </w:rPr>
        <w:t>EN: Arresting Microphase Separation Encodes Material Mechanics by Sculpting Microarchitectures and Local Polymer Enrichment (Adv. Mater. 20/2026)</w:t>
      </w:r>
    </w:p>
    <w:p>
      <w:pPr>
        <w:spacing w:before="0" w:after="120"/>
      </w:pPr>
      <w:r>
        <w:rPr>
          <w:b/>
        </w:rPr>
        <w:t xml:space="preserve">Source: </w:t>
      </w:r>
      <w:r>
        <w:t>Wiley: Advanced Materials: Table of Contents</w:t>
      </w:r>
      <w:r>
        <w:t xml:space="preserve">    </w:t>
      </w:r>
      <w:r>
        <w:rPr>
          <w:b/>
        </w:rPr>
        <w:t xml:space="preserve">Pub date: </w:t>
      </w:r>
      <w:r>
        <w:t>2026-04-07 06:09:33+00:00</w:t>
      </w:r>
      <w:r>
        <w:t xml:space="preserve">    </w:t>
      </w:r>
      <w:r>
        <w:rPr>
          <w:b/>
        </w:rPr>
        <w:t xml:space="preserve">DOI: </w:t>
      </w:r>
      <w:hyperlink r:id="rId475">
        <w:r>
          <w:rPr>
            <w:color w:val="1155CC"/>
            <w:u w:val="single"/>
          </w:rPr>
          <w:t>10.1002/adma.72922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[171] </w:t>
      </w:r>
      <w:hyperlink r:id="rId476">
        <w:r>
          <w:rPr>
            <w:color w:val="1155CC"/>
            <w:u w:val="single"/>
          </w:rPr>
          <w:t>用于各向同性、可拉伸和高导电性纳米膜的二维银纳米片组装（Adv. Mater. 20/2026）</w:t>
        </w:r>
      </w:hyperlink>
    </w:p>
    <w:p>
      <w:pPr>
        <w:spacing w:before="0" w:after="80"/>
      </w:pPr>
      <w:r>
        <w:rPr>
          <w:i/>
          <w:sz w:val="20"/>
        </w:rPr>
        <w:t>EN: 2D Silver Nanosheet Assembly for an Isotropic, Stretchable, and Highly Conductive Nanomembrane (Adv. Mater. 20/2026)</w:t>
      </w:r>
    </w:p>
    <w:p>
      <w:pPr>
        <w:spacing w:before="0" w:after="120"/>
      </w:pPr>
      <w:r>
        <w:rPr>
          <w:b/>
        </w:rPr>
        <w:t xml:space="preserve">Source: </w:t>
      </w:r>
      <w:r>
        <w:t>Wiley: Advanced Materials: Table of Contents</w:t>
      </w:r>
      <w:r>
        <w:t xml:space="preserve">    </w:t>
      </w:r>
      <w:r>
        <w:rPr>
          <w:b/>
        </w:rPr>
        <w:t xml:space="preserve">Pub date: </w:t>
      </w:r>
      <w:r>
        <w:t>2026-04-07 06:09:33+00:00</w:t>
      </w:r>
      <w:r>
        <w:t xml:space="preserve">    </w:t>
      </w:r>
      <w:r>
        <w:rPr>
          <w:b/>
        </w:rPr>
        <w:t xml:space="preserve">DOI: </w:t>
      </w:r>
      <w:hyperlink r:id="rId477">
        <w:r>
          <w:rPr>
            <w:color w:val="1155CC"/>
            <w:u w:val="single"/>
          </w:rPr>
          <w:t>10.1002/adma.72926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[172] </w:t>
      </w:r>
      <w:hyperlink r:id="rId478">
        <w:r>
          <w:rPr>
            <w:color w:val="1155CC"/>
            <w:u w:val="single"/>
          </w:rPr>
          <w:t>用于磁引导经血管导航的液态金属微型机器人（Adv. Mater. 20/2026）</w:t>
        </w:r>
      </w:hyperlink>
    </w:p>
    <w:p>
      <w:pPr>
        <w:spacing w:before="0" w:after="80"/>
      </w:pPr>
      <w:r>
        <w:rPr>
          <w:i/>
          <w:sz w:val="20"/>
        </w:rPr>
        <w:t>EN: Liquid Metal Microrobots for Magnetically Guided Transvascular Navigation (Adv. Mater. 20/2026)</w:t>
      </w:r>
    </w:p>
    <w:p>
      <w:pPr>
        <w:spacing w:before="0" w:after="120"/>
      </w:pPr>
      <w:r>
        <w:rPr>
          <w:b/>
        </w:rPr>
        <w:t xml:space="preserve">Source: </w:t>
      </w:r>
      <w:r>
        <w:t>Wiley: Advanced Materials: Table of Contents</w:t>
      </w:r>
      <w:r>
        <w:t xml:space="preserve">    </w:t>
      </w:r>
      <w:r>
        <w:rPr>
          <w:b/>
        </w:rPr>
        <w:t xml:space="preserve">Pub date: </w:t>
      </w:r>
      <w:r>
        <w:t>2026-04-07 06:09:33+00:00</w:t>
      </w:r>
      <w:r>
        <w:t xml:space="preserve">    </w:t>
      </w:r>
      <w:r>
        <w:rPr>
          <w:b/>
        </w:rPr>
        <w:t xml:space="preserve">DOI: </w:t>
      </w:r>
      <w:hyperlink r:id="rId479">
        <w:r>
          <w:rPr>
            <w:color w:val="1155CC"/>
            <w:u w:val="single"/>
          </w:rPr>
          <w:t>10.1002/adma.72923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[173] </w:t>
      </w:r>
      <w:hyperlink r:id="rId480">
        <w:r>
          <w:rPr>
            <w:color w:val="1155CC"/>
            <w:u w:val="single"/>
          </w:rPr>
          <w:t>用于太阳系极端环境空间任务的耐辐射铝合金（Adv. Mater. 20/2026）</w:t>
        </w:r>
      </w:hyperlink>
    </w:p>
    <w:p>
      <w:pPr>
        <w:spacing w:before="0" w:after="80"/>
      </w:pPr>
      <w:r>
        <w:rPr>
          <w:i/>
          <w:sz w:val="20"/>
        </w:rPr>
        <w:t>EN: Radiation‐Resistant Aluminum Alloy for Space Missions in the Extreme Environment of the Solar System (Adv. Mater. 20/2026)</w:t>
      </w:r>
    </w:p>
    <w:p>
      <w:pPr>
        <w:spacing w:before="0" w:after="120"/>
      </w:pPr>
      <w:r>
        <w:rPr>
          <w:b/>
        </w:rPr>
        <w:t xml:space="preserve">Source: </w:t>
      </w:r>
      <w:r>
        <w:t>Wiley: Advanced Materials: Table of Contents</w:t>
      </w:r>
      <w:r>
        <w:t xml:space="preserve">    </w:t>
      </w:r>
      <w:r>
        <w:rPr>
          <w:b/>
        </w:rPr>
        <w:t xml:space="preserve">Pub date: </w:t>
      </w:r>
      <w:r>
        <w:t>2026-04-07 06:09:33+00:00</w:t>
      </w:r>
      <w:r>
        <w:t xml:space="preserve">    </w:t>
      </w:r>
      <w:r>
        <w:rPr>
          <w:b/>
        </w:rPr>
        <w:t xml:space="preserve">DOI: </w:t>
      </w:r>
      <w:hyperlink r:id="rId481">
        <w:r>
          <w:rPr>
            <w:color w:val="1155CC"/>
            <w:u w:val="single"/>
          </w:rPr>
          <w:t>10.1002/adma.72925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[174] </w:t>
      </w:r>
      <w:hyperlink r:id="rId482">
        <w:r>
          <w:rPr>
            <w:color w:val="1155CC"/>
            <w:u w:val="single"/>
          </w:rPr>
          <w:t>来自堆叠范德华铁电α-In2Se3中人工带电域墙的场效应晶体管（Adv. Mater. 20/2026）</w:t>
        </w:r>
      </w:hyperlink>
    </w:p>
    <w:p>
      <w:pPr>
        <w:spacing w:before="0" w:after="80"/>
      </w:pPr>
      <w:r>
        <w:rPr>
          <w:i/>
          <w:sz w:val="20"/>
        </w:rPr>
        <w:t>EN: Field‐Effect Transistors from Artificial Charged Domain Walls in Stacked Van der Waals Ferroelectric α‐In2Se3 (Adv. Mater. 20/2026)</w:t>
      </w:r>
    </w:p>
    <w:p>
      <w:pPr>
        <w:spacing w:before="0" w:after="120"/>
      </w:pPr>
      <w:r>
        <w:rPr>
          <w:b/>
        </w:rPr>
        <w:t xml:space="preserve">Source: </w:t>
      </w:r>
      <w:r>
        <w:t>Wiley: Advanced Materials: Table of Contents</w:t>
      </w:r>
      <w:r>
        <w:t xml:space="preserve">    </w:t>
      </w:r>
      <w:r>
        <w:rPr>
          <w:b/>
        </w:rPr>
        <w:t xml:space="preserve">Pub date: </w:t>
      </w:r>
      <w:r>
        <w:t>2026-04-07 06:09:33+00:00</w:t>
      </w:r>
      <w:r>
        <w:t xml:space="preserve">    </w:t>
      </w:r>
      <w:r>
        <w:rPr>
          <w:b/>
        </w:rPr>
        <w:t xml:space="preserve">DOI: </w:t>
      </w:r>
      <w:hyperlink r:id="rId483">
        <w:r>
          <w:rPr>
            <w:color w:val="1155CC"/>
            <w:u w:val="single"/>
          </w:rPr>
          <w:t>10.1002/adma.72942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[175] </w:t>
      </w:r>
      <w:hyperlink r:id="rId484">
        <w:r>
          <w:rPr>
            <w:color w:val="1155CC"/>
            <w:u w:val="single"/>
          </w:rPr>
          <w:t>通过midnolin-蛋白酶体途径靶向降解c-Myc</w:t>
        </w:r>
      </w:hyperlink>
    </w:p>
    <w:p>
      <w:pPr>
        <w:spacing w:before="0" w:after="80"/>
      </w:pPr>
      <w:r>
        <w:rPr>
          <w:i/>
          <w:sz w:val="20"/>
        </w:rPr>
        <w:t>EN: Targeted degradation of c-Myc through the midnolin–proteasome pathway</w:t>
      </w:r>
    </w:p>
    <w:p>
      <w:pPr>
        <w:spacing w:before="0" w:after="120"/>
      </w:pPr>
      <w:r>
        <w:rPr>
          <w:b/>
        </w:rPr>
        <w:t xml:space="preserve">Source: </w:t>
      </w:r>
      <w:r>
        <w:t>Proceedings of the National Academy of Sciences: Keyword search for query</w:t>
      </w:r>
      <w:r>
        <w:t xml:space="preserve">    </w:t>
      </w:r>
      <w:r>
        <w:rPr>
          <w:b/>
        </w:rPr>
        <w:t xml:space="preserve">Pub date: </w:t>
      </w:r>
      <w:r>
        <w:t>2026-04-07 07:00:00+00:00</w:t>
      </w:r>
      <w:r>
        <w:t xml:space="preserve">    </w:t>
      </w:r>
      <w:r>
        <w:rPr>
          <w:b/>
        </w:rPr>
        <w:t xml:space="preserve">DOI: </w:t>
      </w:r>
      <w:hyperlink r:id="rId485">
        <w:r>
          <w:rPr>
            <w:color w:val="1155CC"/>
            <w:u w:val="single"/>
          </w:rPr>
          <w:t>10.1073/pnas.2520128123</w:t>
        </w:r>
      </w:hyperlink>
    </w:p>
    <w:p>
      <w:pPr>
        <w:spacing w:before="0" w:after="120"/>
      </w:pPr>
      <w:r>
        <w:rPr>
          <w:b/>
        </w:rPr>
        <w:t xml:space="preserve">Notes: </w:t>
      </w:r>
      <w:r>
        <w:t>abstract_source=crossref</w:t>
      </w:r>
    </w:p>
    <w:p>
      <w:pPr>
        <w:spacing w:before="0" w:after="80" w:lineRule="auto" w:line="276"/>
      </w:pPr>
      <w:r>
        <w:rPr>
          <w:b/>
        </w:rPr>
        <w:t xml:space="preserve">摘要（ZH）: </w:t>
      </w:r>
      <w:r>
        <w:t>靶向蛋白降解（TPD）已成为一种有前景的治疗策略；然而，大多数TPD技术采用的是泛素-蛋白酶体系统或溶酶体降解系统。在此，我们报告了基于midnolin的靶向嵌合体（MbTACs）的开发，这是一种独立于泛素的TPD，可以降解靶蛋白。我们设计并合成了基于肽的MbTACs，这些是含有c-Myc识别基团和midnolin结合基团的多功能分子。MbTACs通过化学诱导的接近性促进靶蛋白、MbTACs和midnolin组成三元复合物；随后，midnolin招募蛋白酶体降解靶蛋白。生物评估表明，MbTACs可以有效降解c-Myc通过</w:t>
      </w:r>
    </w:p>
    <w:p>
      <w:pPr>
        <w:spacing w:before="0" w:after="200" w:lineRule="auto" w:line="276"/>
      </w:pPr>
      <w:r>
        <w:rPr>
          <w:b/>
        </w:rPr>
        <w:t xml:space="preserve">Abstract (EN): </w:t>
      </w:r>
      <w:r>
        <w:t>Targeted protein degradation (TPD) has emerged as a promising therapeutic strategy; however, most TPD technologies employ either the ubiquitin–proteasome system or the lysosomal degradation system. Here, we report the development of midnolin-based targeting chimeras (MbTACs), a ubiquitin-independent TPD that degrades target proteins. We designed and synthesized peptide-based MbTACs, which are multifunctional molecules containing c-Myc-recognition moieties and midnolin binding moieties. MbTACs promote the formation of a ternary complex consisting of the target protein, MbTACs, and midnolin via chemically induced proximity; subsequently, midnolin recruits the proteasome to degrade the target protein. Biological evaluations demonstrated that the MbTACs could degrade c-Myc effectively through the midnolin–proteasome pathway. The antitumor effects of MbTACs were further validated in vitro and in vivo. Collectively, our results provide a ubiquitin-independent TPD tool. MbTACs represent a conveniently developed modular peptide degradation chimera and have the potential to be widely used in disease therapy. We expect the MbTACs to provide a dimension for TPD design.</w:t>
      </w:r>
    </w:p>
    <w:p>
      <w:pPr>
        <w:spacing w:before="120" w:after="120"/>
      </w:pPr>
      <w:r>
        <w:rPr>
          <w:sz w:val="18"/>
        </w:rPr>
        <w:t>——————————————————————————————————————————————————————————————————————</w:t>
      </w:r>
    </w:p>
    <w:p>
      <w:pPr>
        <w:spacing w:before="160" w:after="40" w:line="240" w:lineRule="auto"/>
      </w:pPr>
      <w:r>
        <w:rPr>
          <w:b/>
        </w:rPr>
        <w:t xml:space="preserve">[176] </w:t>
      </w:r>
      <w:hyperlink r:id="rId486">
        <w:r>
          <w:rPr>
            <w:color w:val="1155CC"/>
            <w:u w:val="single"/>
          </w:rPr>
          <w:t>一种分泌的柑橘蛋白酶切割黄龙病病原体的外膜蛋白</w:t>
        </w:r>
      </w:hyperlink>
    </w:p>
    <w:p>
      <w:pPr>
        <w:spacing w:before="0" w:after="80"/>
      </w:pPr>
      <w:r>
        <w:rPr>
          <w:i/>
          <w:sz w:val="20"/>
        </w:rPr>
        <w:t>EN: A secreted citrus protease cleaves an outer membrane protein of the Huanglongbing pathogen</w:t>
      </w:r>
    </w:p>
    <w:p>
      <w:pPr>
        <w:spacing w:before="0" w:after="120"/>
      </w:pPr>
      <w:r>
        <w:rPr>
          <w:b/>
        </w:rPr>
        <w:t xml:space="preserve">Source: </w:t>
      </w:r>
      <w:r>
        <w:t>Proceedings of the National Academy of Sciences: Keyword search for query</w:t>
      </w:r>
      <w:r>
        <w:t xml:space="preserve">    </w:t>
      </w:r>
      <w:r>
        <w:rPr>
          <w:b/>
        </w:rPr>
        <w:t xml:space="preserve">Pub date: </w:t>
      </w:r>
      <w:r>
        <w:t>2026-04-07 07:00:00+00:00</w:t>
      </w:r>
      <w:r>
        <w:t xml:space="preserve">    </w:t>
      </w:r>
      <w:r>
        <w:rPr>
          <w:b/>
        </w:rPr>
        <w:t xml:space="preserve">DOI: </w:t>
      </w:r>
      <w:hyperlink r:id="rId487">
        <w:r>
          <w:rPr>
            <w:color w:val="1155CC"/>
            <w:u w:val="single"/>
          </w:rPr>
          <w:t>10.1073/pnas.2528641123</w:t>
        </w:r>
      </w:hyperlink>
    </w:p>
    <w:p>
      <w:pPr>
        <w:spacing w:before="0" w:after="120"/>
      </w:pPr>
      <w:r>
        <w:rPr>
          <w:b/>
        </w:rPr>
        <w:t xml:space="preserve">Notes: </w:t>
      </w:r>
      <w:r>
        <w:t>abstract_source=crossref</w:t>
      </w:r>
    </w:p>
    <w:p>
      <w:pPr>
        <w:spacing w:before="0" w:after="80" w:lineRule="auto" w:line="276"/>
      </w:pPr>
      <w:r>
        <w:rPr>
          <w:b/>
        </w:rPr>
        <w:t xml:space="preserve">摘要（ZH）: </w:t>
      </w:r>
      <w:r>
        <w:t>植物在微生物病原体感染期间分泌多种蛋白酶作为防御反应。然而，它们的催化活性与抗菌功能之间的关系仍然很大程度上未知。特别是，这些蛋白酶的生物学相关底物很少被识别。黄龙病（HLB）一直是全球柑橘产业的主要威胁。与HLB相关的细菌“</w:t>
      </w:r>
      <w:r>
        <w:t xml:space="preserve"> </w:t>
      </w:r>
      <w:r>
        <w:t>Candidatus</w:t>
      </w:r>
      <w:r>
        <w:t xml:space="preserve"> </w:t>
      </w:r>
      <w:r>
        <w:t>Liberibacter asiaticus”（Las）先前被证明部署了一种抑制木瓜蛋白酶样半胱氨酸蛋白酶（PLCPs）的抑制剂以促进柑橘中的疾病。在这项研究中，我们识别出Las的外膜蛋白（OMP），LasOMP1，作为柑橘PLCP</w:t>
      </w:r>
      <w:r>
        <w:t xml:space="preserve"> </w:t>
      </w:r>
      <w:r>
        <w:t>Cs</w:t>
      </w:r>
      <w:r>
        <w:t xml:space="preserve"> </w:t>
      </w:r>
      <w:r>
        <w:t>RD21a的底物。LasOMP1是一个m</w:t>
      </w:r>
    </w:p>
    <w:p>
      <w:pPr>
        <w:spacing w:before="0" w:after="200" w:lineRule="auto" w:line="276"/>
      </w:pPr>
      <w:r>
        <w:rPr>
          <w:b/>
        </w:rPr>
        <w:t xml:space="preserve">Abstract (EN): </w:t>
      </w:r>
      <w:r>
        <w:t>Plants secrete a variety of proteases as a defense response during infection by microbial pathogens. However, the relationship between their catalytic activities and antimicrobial functions remains largely unknown. Particularly, few biologically relevant substrates of these proteases have been identified. Huanglongbing (HLB) has been a major threat to the citrus industry worldwide. The HLB-associated bacterium, “</w:t>
      </w:r>
      <w:r>
        <w:t xml:space="preserve"> </w:t>
      </w:r>
      <w:r>
        <w:t>Candidatus</w:t>
      </w:r>
      <w:r>
        <w:t xml:space="preserve"> </w:t>
      </w:r>
      <w:r>
        <w:t>Liberibacter asiaticus” (Las), was previously shown to deploy an inhibitor of papain-like cysteine proteases (PLCPs) to promote disease in citrus. In this study, we identified an outer membrane protein (OMP) of Las, LasOMP1, as a substrate of the citrus PLCP</w:t>
      </w:r>
      <w:r>
        <w:t xml:space="preserve"> </w:t>
      </w:r>
      <w:r>
        <w:t>Cs</w:t>
      </w:r>
      <w:r>
        <w:t xml:space="preserve"> </w:t>
      </w:r>
      <w:r>
        <w:t>RD21a. LasOMP1 is one of the most highly expressed genes in Las.</w:t>
      </w:r>
      <w:r>
        <w:t xml:space="preserve"> </w:t>
      </w:r>
      <w:r>
        <w:t>Cs</w:t>
      </w:r>
      <w:r>
        <w:t xml:space="preserve"> </w:t>
      </w:r>
      <w:r>
        <w:t>RD21a cleaves LasOMP1 and produces cleaved peptide products, which could be detected in vitro and in HLB-diseased citrus plants. We found that</w:t>
      </w:r>
      <w:r>
        <w:t xml:space="preserve"> </w:t>
      </w:r>
      <w:r>
        <w:t>Cs</w:t>
      </w:r>
      <w:r>
        <w:t xml:space="preserve"> </w:t>
      </w:r>
      <w:r>
        <w:t>RD21a targets the N-terminal portion of LasOMP1, potentially at an extracellular loop region. Importantly, transgenic sweet orange overexpressing</w:t>
      </w:r>
      <w:r>
        <w:t xml:space="preserve"> </w:t>
      </w:r>
      <w:r>
        <w:t>Cs</w:t>
      </w:r>
      <w:r>
        <w:t xml:space="preserve"> </w:t>
      </w:r>
      <w:r>
        <w:t>RD21a showed reduced Las populations and improved plant growth, highlighting that engineering this protease is a promising strategy to enhance HLB resistance in citrus. Together, our work reveals a pathogen-derived substrate of plant PLCPs and suggests bacterial OMPs may be direct targets of plant defense.</w:t>
      </w:r>
    </w:p>
    <w:p>
      <w:pPr>
        <w:spacing w:before="120" w:after="120"/>
      </w:pPr>
      <w:r>
        <w:rPr>
          <w:sz w:val="18"/>
        </w:rPr>
        <w:t>——————————————————————————————————————————————————————————————————————</w:t>
      </w:r>
    </w:p>
    <w:p>
      <w:pPr>
        <w:spacing w:before="160" w:after="40" w:line="240" w:lineRule="auto"/>
      </w:pPr>
      <w:r>
        <w:rPr>
          <w:b/>
        </w:rPr>
        <w:t xml:space="preserve">[177] </w:t>
      </w:r>
      <w:hyperlink r:id="rId488">
        <w:r>
          <w:rPr>
            <w:color w:val="1155CC"/>
            <w:u w:val="single"/>
          </w:rPr>
          <w:t>耳蜗毛细胞中调节MYO7A表达的调控轴</w:t>
        </w:r>
      </w:hyperlink>
    </w:p>
    <w:p>
      <w:pPr>
        <w:spacing w:before="0" w:after="80"/>
      </w:pPr>
      <w:r>
        <w:rPr>
          <w:i/>
          <w:sz w:val="20"/>
        </w:rPr>
        <w:t>EN: A regulatory axis for tonotopic MYO7A expression in cochlear hair cells</w:t>
      </w:r>
    </w:p>
    <w:p>
      <w:pPr>
        <w:spacing w:before="0" w:after="120"/>
      </w:pPr>
      <w:r>
        <w:rPr>
          <w:b/>
        </w:rPr>
        <w:t xml:space="preserve">Source: </w:t>
      </w:r>
      <w:r>
        <w:t>Proceedings of the National Academy of Sciences: Keyword search for query</w:t>
      </w:r>
      <w:r>
        <w:t xml:space="preserve">    </w:t>
      </w:r>
      <w:r>
        <w:rPr>
          <w:b/>
        </w:rPr>
        <w:t xml:space="preserve">Pub date: </w:t>
      </w:r>
      <w:r>
        <w:t>2026-04-07 07:00:00+00:00</w:t>
      </w:r>
      <w:r>
        <w:t xml:space="preserve">    </w:t>
      </w:r>
      <w:r>
        <w:rPr>
          <w:b/>
        </w:rPr>
        <w:t xml:space="preserve">DOI: </w:t>
      </w:r>
      <w:hyperlink r:id="rId489">
        <w:r>
          <w:rPr>
            <w:color w:val="1155CC"/>
            <w:u w:val="single"/>
          </w:rPr>
          <w:t>10.1073/pnas.2519742123</w:t>
        </w:r>
      </w:hyperlink>
    </w:p>
    <w:p>
      <w:pPr>
        <w:spacing w:before="0" w:after="120"/>
      </w:pPr>
      <w:r>
        <w:rPr>
          <w:b/>
        </w:rPr>
        <w:t xml:space="preserve">Notes: </w:t>
      </w:r>
      <w:r>
        <w:t>abstract_source=crossref</w:t>
      </w:r>
    </w:p>
    <w:p>
      <w:pPr>
        <w:spacing w:before="0" w:after="80" w:lineRule="auto" w:line="276"/>
      </w:pPr>
      <w:r>
        <w:rPr>
          <w:b/>
        </w:rPr>
        <w:t xml:space="preserve">摘要（ZH）: </w:t>
      </w:r>
      <w:r>
        <w:t>Myo7a，一个在Usher综合征和非综合征性耳聋中发生突变的基因，编码一种对毛细胞功能至关重要的非常规肌球蛋白。我们之前的研究表明，耳蜗毛细胞表达具有独特空间和细胞类型特异性模式的不同Myo7a亚型。经典亚型（Myo7a-C）和一个额外的亚型（Myo7a-N）在外毛细胞（OHCs）中共同表达，但表现出相反的音调梯度，而内毛细胞主要表达Myo7a-C。这些亚型源自不同的转录起始位点，表明有不同的调控输入。在此，我们识别出一个内含子</w:t>
      </w:r>
    </w:p>
    <w:p>
      <w:pPr>
        <w:spacing w:before="0" w:after="200" w:lineRule="auto" w:line="276"/>
      </w:pPr>
      <w:r>
        <w:rPr>
          <w:b/>
        </w:rPr>
        <w:t xml:space="preserve">Abstract (EN): </w:t>
      </w:r>
      <w:r>
        <w:t>Myo7a</w:t>
      </w:r>
      <w:r>
        <w:t xml:space="preserve"> </w:t>
      </w:r>
      <w:r>
        <w:t>, a gene mutated in Usher syndrome and nonsyndromic deafness, encodes an unconventional myosin essential for hair cell function. Our previous work revealed that cochlear hair cells express distinct</w:t>
      </w:r>
      <w:r>
        <w:t xml:space="preserve"> </w:t>
      </w:r>
      <w:r>
        <w:t>Myo7a</w:t>
      </w:r>
      <w:r>
        <w:t xml:space="preserve"> </w:t>
      </w:r>
      <w:r>
        <w:t>isoforms with unique spatial and cell type–specific patterns. The canonical isoform (</w:t>
      </w:r>
      <w:r>
        <w:t xml:space="preserve"> </w:t>
      </w:r>
      <w:r>
        <w:t>Myo7a-C</w:t>
      </w:r>
      <w:r>
        <w:t xml:space="preserve"> </w:t>
      </w:r>
      <w:r>
        <w:t>) and an additional isoform (</w:t>
      </w:r>
      <w:r>
        <w:t xml:space="preserve"> </w:t>
      </w:r>
      <w:r>
        <w:t>Myo7a-N</w:t>
      </w:r>
      <w:r>
        <w:t xml:space="preserve"> </w:t>
      </w:r>
      <w:r>
        <w:t>) are co-expressed in outer hair cells (OHCs) but exhibit opposing tonotopic gradients, while inner hair cells primarily express</w:t>
      </w:r>
      <w:r>
        <w:t xml:space="preserve"> </w:t>
      </w:r>
      <w:r>
        <w:t>Myo7a-C</w:t>
      </w:r>
      <w:r>
        <w:t xml:space="preserve"> </w:t>
      </w:r>
      <w:r>
        <w:t>. These isoforms arise from distinct transcriptional start sites, indicating separate regulatory inputs. Here, we identify an intronic</w:t>
      </w:r>
      <w:r>
        <w:t xml:space="preserve"> </w:t>
      </w:r>
      <w:r>
        <w:t>cis-</w:t>
      </w:r>
      <w:r>
        <w:t>regulatory element,</w:t>
      </w:r>
      <w:r>
        <w:t xml:space="preserve"> </w:t>
      </w:r>
      <w:r>
        <w:t>EnhancerA</w:t>
      </w:r>
      <w:r>
        <w:t xml:space="preserve"> </w:t>
      </w:r>
      <w:r>
        <w:t>, essential for tonotopically graded</w:t>
      </w:r>
      <w:r>
        <w:t xml:space="preserve"> </w:t>
      </w:r>
      <w:r>
        <w:t>Myo7a</w:t>
      </w:r>
      <w:r>
        <w:t xml:space="preserve"> </w:t>
      </w:r>
      <w:r>
        <w:t>expression.</w:t>
      </w:r>
      <w:r>
        <w:t xml:space="preserve"> </w:t>
      </w:r>
      <w:r>
        <w:t>EnhancerA</w:t>
      </w:r>
      <w:r>
        <w:t xml:space="preserve"> </w:t>
      </w:r>
      <w:r>
        <w:t>deletion reduces MYO7A protein levels in a tonotopically varied manner, disrupts hair bundle morphogenesis, alters OHC mechanotransduction, and leads to hair cell degeneration and hearing loss. We further identify SIX2, a tonotopically expressed transcription factor that may interact with</w:t>
      </w:r>
      <w:r>
        <w:t xml:space="preserve"> </w:t>
      </w:r>
      <w:r>
        <w:t>EnhancerA</w:t>
      </w:r>
      <w:r>
        <w:t xml:space="preserve"> </w:t>
      </w:r>
      <w:r>
        <w:t>to regulate</w:t>
      </w:r>
      <w:r>
        <w:t xml:space="preserve"> </w:t>
      </w:r>
      <w:r>
        <w:t>Myo7a-N</w:t>
      </w:r>
      <w:r>
        <w:t xml:space="preserve"> </w:t>
      </w:r>
      <w:r>
        <w:t>in OHCs. These findings define a</w:t>
      </w:r>
      <w:r>
        <w:t xml:space="preserve"> </w:t>
      </w:r>
      <w:r>
        <w:t>cis–trans</w:t>
      </w:r>
      <w:r>
        <w:t xml:space="preserve"> </w:t>
      </w:r>
      <w:r>
        <w:t>regulatory axis critical for isoform-specific</w:t>
      </w:r>
      <w:r>
        <w:t xml:space="preserve"> </w:t>
      </w:r>
      <w:r>
        <w:t>Myo7a</w:t>
      </w:r>
      <w:r>
        <w:t xml:space="preserve"> </w:t>
      </w:r>
      <w:r>
        <w:t>expression and cochlear function.</w:t>
      </w:r>
    </w:p>
    <w:p>
      <w:pPr>
        <w:spacing w:before="120" w:after="120"/>
      </w:pPr>
      <w:r>
        <w:rPr>
          <w:sz w:val="18"/>
        </w:rPr>
        <w:t>——————————————————————————————————————————————————————————————————————</w:t>
      </w:r>
    </w:p>
    <w:p>
      <w:pPr>
        <w:spacing w:before="160" w:after="40" w:line="240" w:lineRule="auto"/>
      </w:pPr>
      <w:r>
        <w:rPr>
          <w:b/>
        </w:rPr>
        <w:t xml:space="preserve">[178] </w:t>
      </w:r>
      <w:hyperlink r:id="rId490">
        <w:r>
          <w:rPr>
            <w:color w:val="1155CC"/>
            <w:u w:val="single"/>
          </w:rPr>
          <w:t>使用小分子抑制剂JQ1作为非激素男性避孕策略的减数分裂前期I中断</w:t>
        </w:r>
      </w:hyperlink>
    </w:p>
    <w:p>
      <w:pPr>
        <w:spacing w:before="0" w:after="80"/>
      </w:pPr>
      <w:r>
        <w:rPr>
          <w:i/>
          <w:sz w:val="20"/>
        </w:rPr>
        <w:t>EN: Meiotic prophase I disruption as a strategy for nonhormonal male contraception using small-molecule inhibitor JQ1</w:t>
      </w:r>
    </w:p>
    <w:p>
      <w:pPr>
        <w:spacing w:before="0" w:after="120"/>
      </w:pPr>
      <w:r>
        <w:rPr>
          <w:b/>
        </w:rPr>
        <w:t xml:space="preserve">Source: </w:t>
      </w:r>
      <w:r>
        <w:t>Proceedings of the National Academy of Sciences: Keyword search for query</w:t>
      </w:r>
      <w:r>
        <w:t xml:space="preserve">    </w:t>
      </w:r>
      <w:r>
        <w:rPr>
          <w:b/>
        </w:rPr>
        <w:t xml:space="preserve">Pub date: </w:t>
      </w:r>
      <w:r>
        <w:t>2026-04-07 07:00:00+00:00</w:t>
      </w:r>
      <w:r>
        <w:t xml:space="preserve">    </w:t>
      </w:r>
      <w:r>
        <w:rPr>
          <w:b/>
        </w:rPr>
        <w:t xml:space="preserve">DOI: </w:t>
      </w:r>
      <w:hyperlink r:id="rId491">
        <w:r>
          <w:rPr>
            <w:color w:val="1155CC"/>
            <w:u w:val="single"/>
          </w:rPr>
          <w:t>10.1073/pnas.2517498123</w:t>
        </w:r>
      </w:hyperlink>
    </w:p>
    <w:p>
      <w:pPr>
        <w:spacing w:before="0" w:after="120"/>
      </w:pPr>
      <w:r>
        <w:rPr>
          <w:b/>
        </w:rPr>
        <w:t xml:space="preserve">Notes: </w:t>
      </w:r>
      <w:r>
        <w:t>abstract_source=crossref</w:t>
      </w:r>
    </w:p>
    <w:p>
      <w:pPr>
        <w:spacing w:before="0" w:after="80" w:lineRule="auto" w:line="276"/>
      </w:pPr>
      <w:r>
        <w:rPr>
          <w:b/>
        </w:rPr>
        <w:t xml:space="preserve">摘要（ZH）: </w:t>
      </w:r>
      <w:r>
        <w:t>开发安全、可逆和非激素的男性避孕药一直受到缺乏明确的生物学窗口的阻碍，这些窗口可以在不影响长期生育能力的情况下暂时中断。在此，我们测试了减数分裂前期I是否可以作为这样的窗口，通过药理学抑制睾丸特异性染色质读取器BRDT，使用小分子溴域抑制剂（+）-JQ1作为概念验证。短期JQ1给药（3周）选择性地破坏了粗线期转录程序，耗尽了减数分裂后生殖细胞，并诱导了可逆的精子发生停滞。在药物撤退后，前期I细胞学标记在6周内恢复正常，伴随着睾丸结构和生殖细胞组成的恢复。交叉指标和转录</w:t>
      </w:r>
    </w:p>
    <w:p>
      <w:pPr>
        <w:spacing w:before="0" w:after="200" w:lineRule="auto" w:line="276"/>
      </w:pPr>
      <w:r>
        <w:rPr>
          <w:b/>
        </w:rPr>
        <w:t xml:space="preserve">Abstract (EN): </w:t>
      </w:r>
      <w:r>
        <w:t>Developing safe, reversible, and nonhormonal male contraceptives has been hindered by the lack of defined biological windows that can be transiently interrupted without compromising long-term fertility. Here, we tested whether meiotic prophase I can serve as such a window by pharmacologically inhibiting the testis-specific chromatin reader BRDT using the small-molecule bromodomain inhibitor (+)-JQ1 as proof-of-principle. Short-term JQ1 administration (3 wk) selectively disrupted the pachytene transcriptional program, depleted postmeiotic germ cells, and induced a reversible arrest in spermatogenesis. Upon drug withdrawal, prophase I cytological markers normalized within 6 wk, accompanied by restoration of testis architecture and germ-cell composition. Crossover metrics and transcriptional programs recovered more gradually, reaching full normalization by 30 wk alongside complete restoration of fertility and fecundity. These results demonstrate that meiotic prophase I can be transiently inhibited to suppress spermatogenesis reversibly without inducing lasting genomic or reproductive defects, defining a stage-specific framework for the rational design of nonhormonal male contraceptives.</w:t>
      </w:r>
    </w:p>
    <w:p>
      <w:pPr>
        <w:spacing w:before="120" w:after="120"/>
      </w:pPr>
      <w:r>
        <w:rPr>
          <w:sz w:val="18"/>
        </w:rPr>
        <w:t>——————————————————————————————————————————————————————————————————————</w:t>
      </w:r>
    </w:p>
    <w:p>
      <w:pPr>
        <w:spacing w:before="160" w:after="40" w:line="240" w:lineRule="auto"/>
      </w:pPr>
      <w:r>
        <w:rPr>
          <w:b/>
        </w:rPr>
        <w:t xml:space="preserve">[179] </w:t>
      </w:r>
      <w:hyperlink r:id="rId492">
        <w:r>
          <w:rPr>
            <w:color w:val="1155CC"/>
            <w:u w:val="single"/>
          </w:rPr>
          <w:t>由脆弱拟杆菌VI型分泌系统引起的拮抗作用由TetR家族调节因子控制并释放小分子</w:t>
        </w:r>
      </w:hyperlink>
    </w:p>
    <w:p>
      <w:pPr>
        <w:spacing w:before="0" w:after="80"/>
      </w:pPr>
      <w:r>
        <w:rPr>
          <w:i/>
          <w:sz w:val="20"/>
        </w:rPr>
        <w:t>EN: Antagonism by the type VI secretion system of Bacteroides fragilis is controlled by a TetR family regulator and released small molecule</w:t>
      </w:r>
    </w:p>
    <w:p>
      <w:pPr>
        <w:spacing w:before="0" w:after="120"/>
      </w:pPr>
      <w:r>
        <w:rPr>
          <w:b/>
        </w:rPr>
        <w:t xml:space="preserve">Source: </w:t>
      </w:r>
      <w:r>
        <w:t>Proceedings of the National Academy of Sciences: Keyword search for query</w:t>
      </w:r>
      <w:r>
        <w:t xml:space="preserve">    </w:t>
      </w:r>
      <w:r>
        <w:rPr>
          <w:b/>
        </w:rPr>
        <w:t xml:space="preserve">Pub date: </w:t>
      </w:r>
      <w:r>
        <w:t>2026-04-07 07:00:00+00:00</w:t>
      </w:r>
      <w:r>
        <w:t xml:space="preserve">    </w:t>
      </w:r>
      <w:r>
        <w:rPr>
          <w:b/>
        </w:rPr>
        <w:t xml:space="preserve">DOI: </w:t>
      </w:r>
      <w:hyperlink r:id="rId493">
        <w:r>
          <w:rPr>
            <w:color w:val="1155CC"/>
            <w:u w:val="single"/>
          </w:rPr>
          <w:t>10.1073/pnas.2516485123</w:t>
        </w:r>
      </w:hyperlink>
    </w:p>
    <w:p>
      <w:pPr>
        <w:spacing w:before="0" w:after="120"/>
      </w:pPr>
      <w:r>
        <w:rPr>
          <w:b/>
        </w:rPr>
        <w:t xml:space="preserve">Notes: </w:t>
      </w:r>
      <w:r>
        <w:t>abstract_source=crossref</w:t>
      </w:r>
    </w:p>
    <w:p>
      <w:pPr>
        <w:spacing w:before="0" w:after="80" w:lineRule="auto" w:line="276"/>
      </w:pPr>
      <w:r>
        <w:rPr>
          <w:b/>
        </w:rPr>
        <w:t xml:space="preserve">摘要（ZH）: </w:t>
      </w:r>
      <w:r>
        <w:t>细菌的拮抗系统通常受到严格调控。人类肠道拟杆菌目拥有三种不同的拮抗VI型分泌系统（T6SS），其中一种仅存在于拟杆菌fragilis中，称为GA3 T6SS。尽管这是三种T6SS中研究得最透彻的，但关于其如何调控的了解甚少。GA3 T6SS基因座上游的基因编码一个TetR家族转录调节因子（TetR GA3），我们显示其抑制GA3 T6SS基因座的表达。紧邻上游并与tetR GA3反向转录的基因，在此被命名为lgs GA3，编码</w:t>
      </w:r>
    </w:p>
    <w:p>
      <w:pPr>
        <w:spacing w:before="0" w:after="200" w:lineRule="auto" w:line="276"/>
      </w:pPr>
      <w:r>
        <w:rPr>
          <w:b/>
        </w:rPr>
        <w:t xml:space="preserve">Abstract (EN): </w:t>
      </w:r>
      <w:r>
        <w:t>Antagonistic systems of bacteria are often tightly regulated. The human gut Bacteroidales harbor three distinct antagonistic type VI secretion systems (T6SS), one of which is present only in</w:t>
      </w:r>
      <w:r>
        <w:t xml:space="preserve"> </w:t>
      </w:r>
      <w:r>
        <w:t>Bacteroides fragilis</w:t>
      </w:r>
      <w:r>
        <w:t xml:space="preserve"> </w:t>
      </w:r>
      <w:r>
        <w:t>, known as the GA3 T6SS. Although this is the best studied of the three T6SSs, little is known about how it is regulated. The gene upstream of the GA3 T6SS locus encodes a TetR family transcriptional regulator (TetR</w:t>
      </w:r>
      <w:r>
        <w:t xml:space="preserve"> </w:t>
      </w:r>
      <w:r>
        <w:t>GA3</w:t>
      </w:r>
      <w:r>
        <w:t xml:space="preserve"> </w:t>
      </w:r>
      <w:r>
        <w:t>), which we show represses expression of the GA3 T6SS locus. The gene immediately upstream and divergently transcribed from</w:t>
      </w:r>
      <w:r>
        <w:t xml:space="preserve"> </w:t>
      </w:r>
      <w:r>
        <w:t>tetR</w:t>
      </w:r>
      <w:r>
        <w:t xml:space="preserve"> </w:t>
      </w:r>
      <w:r>
        <w:t>GA3</w:t>
      </w:r>
      <w:r>
        <w:t xml:space="preserve"> </w:t>
      </w:r>
      <w:r>
        <w:t>, designated here as</w:t>
      </w:r>
      <w:r>
        <w:t xml:space="preserve"> </w:t>
      </w:r>
      <w:r>
        <w:t>lgs</w:t>
      </w:r>
      <w:r>
        <w:t xml:space="preserve"> </w:t>
      </w:r>
      <w:r>
        <w:t>GA3</w:t>
      </w:r>
      <w:r>
        <w:t xml:space="preserve"> </w:t>
      </w:r>
      <w:r>
        <w:t>, encodes a product of the α-oxoamine synthase family of pyridoxal phosphate-dependent enzymes with structural homology to the CqsA autoinducer synthase of the CAI-1 quorum sensing system of</w:t>
      </w:r>
      <w:r>
        <w:t xml:space="preserve"> </w:t>
      </w:r>
      <w:r>
        <w:t>Vibrio spp</w:t>
      </w:r>
      <w:r>
        <w:t xml:space="preserve"> </w:t>
      </w:r>
      <w:r>
        <w:t>. When</w:t>
      </w:r>
      <w:r>
        <w:t xml:space="preserve"> </w:t>
      </w:r>
      <w:r>
        <w:t>lgs</w:t>
      </w:r>
      <w:r>
        <w:t xml:space="preserve"> </w:t>
      </w:r>
      <w:r>
        <w:t>GA3</w:t>
      </w:r>
      <w:r>
        <w:t xml:space="preserve"> </w:t>
      </w:r>
      <w:r>
        <w:t>is deleted, transcription of the GA3 T6SS locus is repressed in a TetR-dependent manner. Strains synthesizing Lgs</w:t>
      </w:r>
      <w:r>
        <w:t xml:space="preserve"> </w:t>
      </w:r>
      <w:r>
        <w:t>GA3</w:t>
      </w:r>
      <w:r>
        <w:t xml:space="preserve"> </w:t>
      </w:r>
      <w:r>
        <w:t>produce a molecule released into the supernatant that likely serves as the TetR</w:t>
      </w:r>
      <w:r>
        <w:t xml:space="preserve"> </w:t>
      </w:r>
      <w:r>
        <w:t>GA3</w:t>
      </w:r>
      <w:r>
        <w:t xml:space="preserve"> </w:t>
      </w:r>
      <w:r>
        <w:t>ligand, overcoming TetR transcriptional repression of the GA3 T6SS. We show that GA3 T6SS-specific immunity genes present on two acquired immunity defense islands are also regulated by Lgs</w:t>
      </w:r>
      <w:r>
        <w:t xml:space="preserve"> </w:t>
      </w:r>
      <w:r>
        <w:t>GA3</w:t>
      </w:r>
      <w:r>
        <w:t xml:space="preserve"> </w:t>
      </w:r>
      <w:r>
        <w:t>coordinating expression of GA3 T6SS antagonism with protection from competitor’s GA3 T6SS toxins. Production and firing of the GA3 T6SS and subsequent antagonism occurs in bacteria deleted for</w:t>
      </w:r>
      <w:r>
        <w:t xml:space="preserve"> </w:t>
      </w:r>
      <w:r>
        <w:t>lgs</w:t>
      </w:r>
      <w:r>
        <w:t xml:space="preserve"> </w:t>
      </w:r>
      <w:r>
        <w:t>GA3</w:t>
      </w:r>
      <w:r>
        <w:t xml:space="preserve"> </w:t>
      </w:r>
      <w:r>
        <w:t>when growing with bacteria containing this gene or their supernatants or when cocolonizing gnotobiotic mice. These data show that the GA3 T6SS is regulated by a small molecule acting through TetR</w:t>
      </w:r>
      <w:r>
        <w:t xml:space="preserve"> </w:t>
      </w:r>
      <w:r>
        <w:t>GA3</w:t>
      </w:r>
      <w:r>
        <w:t xml:space="preserve"> </w:t>
      </w:r>
      <w:r>
        <w:t>allowing the bacteria to coordinate antagonistic and protective systems.</w:t>
      </w:r>
    </w:p>
    <w:p>
      <w:pPr>
        <w:spacing w:before="120" w:after="120"/>
      </w:pPr>
      <w:r>
        <w:rPr>
          <w:sz w:val="18"/>
        </w:rPr>
        <w:t>——————————————————————————————————————————————————————————————————————</w:t>
      </w:r>
    </w:p>
    <w:p>
      <w:pPr>
        <w:spacing w:before="160" w:after="40" w:line="240" w:lineRule="auto"/>
      </w:pPr>
      <w:r>
        <w:rPr>
          <w:b/>
        </w:rPr>
        <w:t xml:space="preserve">[180] </w:t>
      </w:r>
      <w:hyperlink r:id="rId494">
        <w:r>
          <w:rPr>
            <w:color w:val="1155CC"/>
            <w:u w:val="single"/>
          </w:rPr>
          <w:t>Chemputer和化学计算——一种通用化合物合成机器</w:t>
        </w:r>
      </w:hyperlink>
    </w:p>
    <w:p>
      <w:pPr>
        <w:spacing w:before="0" w:after="80"/>
      </w:pPr>
      <w:r>
        <w:rPr>
          <w:i/>
          <w:sz w:val="20"/>
        </w:rPr>
        <w:t>EN: Chemputer and chemputation—A universal chemical compound synthesis machine</w:t>
      </w:r>
    </w:p>
    <w:p>
      <w:pPr>
        <w:spacing w:before="0" w:after="120"/>
      </w:pPr>
      <w:r>
        <w:rPr>
          <w:b/>
        </w:rPr>
        <w:t xml:space="preserve">Source: </w:t>
      </w:r>
      <w:r>
        <w:t>Proceedings of the National Academy of Sciences: Keyword search for query</w:t>
      </w:r>
      <w:r>
        <w:t xml:space="preserve">    </w:t>
      </w:r>
      <w:r>
        <w:rPr>
          <w:b/>
        </w:rPr>
        <w:t xml:space="preserve">Pub date: </w:t>
      </w:r>
      <w:r>
        <w:t>2026-04-07 07:00:00+00:00</w:t>
      </w:r>
      <w:r>
        <w:t xml:space="preserve">    </w:t>
      </w:r>
      <w:r>
        <w:rPr>
          <w:b/>
        </w:rPr>
        <w:t xml:space="preserve">DOI: </w:t>
      </w:r>
      <w:hyperlink r:id="rId495">
        <w:r>
          <w:rPr>
            <w:color w:val="1155CC"/>
            <w:u w:val="single"/>
          </w:rPr>
          <w:t>10.1073/pnas.2511080123</w:t>
        </w:r>
      </w:hyperlink>
    </w:p>
    <w:p>
      <w:pPr>
        <w:spacing w:before="0" w:after="120"/>
      </w:pPr>
      <w:r>
        <w:rPr>
          <w:b/>
        </w:rPr>
        <w:t xml:space="preserve">Notes: </w:t>
      </w:r>
      <w:r>
        <w:t>abstract_source=crossref</w:t>
      </w:r>
    </w:p>
    <w:p>
      <w:pPr>
        <w:spacing w:before="0" w:after="80" w:lineRule="auto" w:line="276"/>
      </w:pPr>
      <w:r>
        <w:rPr>
          <w:b/>
        </w:rPr>
        <w:t xml:space="preserve">摘要（ZH）: </w:t>
      </w:r>
      <w:r>
        <w:t>化学计算将化学合成视为在可编程硬件上执行反应代码。我们展示了一种化学计算机，配备了一套可扩展的试剂、催化剂和工艺条件，以及一个将反应和硬件图映射的编译器，是通用的。这意味着它可以在有限的时间内以可检测的数量生产任何稳定、可分离的分子，前提是实时错误校正保持相对于合成步骤数量的足够步骤保真度。我们将其形式化为化学合成图灵机（CSTM），通过试剂、工艺变量和催化剂的统一描述定义化学执行。该框架引入了通用化学计算原理和一种动态错误校正方案，使得故障容忍成为可能。</w:t>
      </w:r>
    </w:p>
    <w:p>
      <w:pPr>
        <w:spacing w:before="0" w:after="200" w:lineRule="auto" w:line="276"/>
      </w:pPr>
      <w:r>
        <w:rPr>
          <w:b/>
        </w:rPr>
        <w:t xml:space="preserve">Abstract (EN): </w:t>
      </w:r>
      <w:r>
        <w:t>Chemputation treats chemical synthesis as the execution of reaction code on programmable hardware. We show that a Chemputer, equipped with an extensible set of reagents, catalysts, and process conditions, together with a compiler that maps reaction and hardware graphs, is universal. This means it can produce any stable, isolable molecule in finite time and detectable quantity, provided real-time error correction maintains sufficient step fidelity relative to the number of steps in the synthesis. We formalize this into a Chemical Synthesis Turing Machine (CSTM), which defines chemical execution through a unified description of reagents, process variables, and catalysts. The framework introduces the Universal Chemputation Principle and a dynamic error-correction scheme that enables fault-tolerant synthesis. Linking this framework to assembly theory strengthens the definition of a molecule by demanding practical synthesizability and error correction becomes a prerequisite for universality. We demonstrate the abstraction is universal with more than 100 χDL programs executed on modular Chemputers, from single-step reactions to multistep syntheses. In each case, the number of unit operations scales linearly with synthetic depth. These results establish programmable chemical synthesis, chemputation, as a subset of general computation where χDL programs are compiled to hardware, executed with closed-loop control, and yield verifiable molecular outputs. This formalization enables shareable chemical code, interoperable hardware, and a machine-verifiable, executable foundation for a searchable and formally provable map of chemical space.</w:t>
      </w:r>
    </w:p>
    <w:p>
      <w:pPr>
        <w:spacing w:before="120" w:after="120"/>
      </w:pPr>
      <w:r>
        <w:rPr>
          <w:sz w:val="18"/>
        </w:rPr>
        <w:t>——————————————————————————————————————————————————————————————————————</w:t>
      </w:r>
    </w:p>
    <w:p>
      <w:pPr>
        <w:spacing w:before="160" w:after="40" w:line="240" w:lineRule="auto"/>
      </w:pPr>
      <w:r>
        <w:rPr>
          <w:b/>
        </w:rPr>
        <w:t xml:space="preserve">[181] </w:t>
      </w:r>
      <w:hyperlink r:id="rId496">
        <w:r>
          <w:rPr>
            <w:color w:val="1155CC"/>
            <w:u w:val="single"/>
          </w:rPr>
          <w:t>双钙钛矿铁电体中的移位电流异常光伏效应</w:t>
        </w:r>
      </w:hyperlink>
    </w:p>
    <w:p>
      <w:pPr>
        <w:spacing w:before="0" w:after="80"/>
      </w:pPr>
      <w:r>
        <w:rPr>
          <w:i/>
          <w:sz w:val="20"/>
        </w:rPr>
        <w:t>EN: Shift current anomalous photovoltaics in a double perovskite ferroelectric</w:t>
      </w:r>
    </w:p>
    <w:p>
      <w:pPr>
        <w:spacing w:before="0" w:after="120"/>
      </w:pPr>
      <w:r>
        <w:rPr>
          <w:b/>
        </w:rPr>
        <w:t xml:space="preserve">Source: </w:t>
      </w:r>
      <w:r>
        <w:t>Proceedings of the National Academy of Sciences: Keyword search for query</w:t>
      </w:r>
      <w:r>
        <w:t xml:space="preserve">    </w:t>
      </w:r>
      <w:r>
        <w:rPr>
          <w:b/>
        </w:rPr>
        <w:t xml:space="preserve">Pub date: </w:t>
      </w:r>
      <w:r>
        <w:t>2026-04-07 07:00:00+00:00</w:t>
      </w:r>
      <w:r>
        <w:t xml:space="preserve">    </w:t>
      </w:r>
      <w:r>
        <w:rPr>
          <w:b/>
        </w:rPr>
        <w:t xml:space="preserve">DOI: </w:t>
      </w:r>
      <w:hyperlink r:id="rId497">
        <w:r>
          <w:rPr>
            <w:color w:val="1155CC"/>
            <w:u w:val="single"/>
          </w:rPr>
          <w:t>10.1073/pnas.2518381123</w:t>
        </w:r>
      </w:hyperlink>
    </w:p>
    <w:p>
      <w:pPr>
        <w:spacing w:before="0" w:after="120"/>
      </w:pPr>
      <w:r>
        <w:rPr>
          <w:b/>
        </w:rPr>
        <w:t xml:space="preserve">Notes: </w:t>
      </w:r>
      <w:r>
        <w:t>abstract_source=crossref</w:t>
      </w:r>
    </w:p>
    <w:p>
      <w:pPr>
        <w:spacing w:before="0" w:after="80" w:lineRule="auto" w:line="276"/>
      </w:pPr>
      <w:r>
        <w:rPr>
          <w:b/>
        </w:rPr>
        <w:t xml:space="preserve">摘要（ZH）: </w:t>
      </w:r>
      <w:r>
        <w:t>铁电异常光伏（APV）效应作为一种迷人的物理概念现象，在新型光电器件应用中具有重要潜力。然而，由于对铁电APV效应的起源和潜在机制缺乏了解，在探索新的APV活性候选材料方面仍然存在重大挑战。新兴的位移电流模型，涉及通过波函数位移转移光生电荷，因其对体光伏效应的独特见解而受到广泛关注。在此，我们展示了一种高温双钙钛矿铁电体（环己基甲基铵）2CsAgBiBr7中的强APV特性。</w:t>
      </w:r>
    </w:p>
    <w:p>
      <w:pPr>
        <w:spacing w:before="0" w:after="200" w:lineRule="auto" w:line="276"/>
      </w:pPr>
      <w:r>
        <w:rPr>
          <w:b/>
        </w:rPr>
        <w:t xml:space="preserve">Abstract (EN): </w:t>
      </w:r>
      <w:r>
        <w:t>Ferroelectric anomalous photovoltaic (APV) effect, as a fascinating physical conceptual phenomenon, holds significant potentials for new optoelectronic device applications. However, due to the lack of knowledge on the origin and underlying mechanism of ferroelectric APV effect, substantial challenges still remain in exploring new APV-active candidate materials. The emerging shift current model, involving the transfer of photogenerated charges through the displacement of wave functions, has attracted considerable attention for its unique insights into the bulk photovoltaic effect. Here, we present strong APV properties in a high-temperature double perovskite ferroelectric (cyclohexylmethylammonium)</w:t>
      </w:r>
      <w:r>
        <w:rPr>
          <w:vertAlign w:val="subscript"/>
        </w:rPr>
        <w:t>2</w:t>
      </w:r>
      <w:r>
        <w:t>CsAgBiBr</w:t>
      </w:r>
      <w:r>
        <w:rPr>
          <w:vertAlign w:val="subscript"/>
        </w:rPr>
        <w:t>7</w:t>
      </w:r>
      <w:r>
        <w:t>, showing an extremely large above-bandgap photovoltage up to ~40 V. This figure-of-merit is far beyond its bandgap of ~2.3 eV and comparable to the state-of-art molecular ferroelectrics. Strikingly, the shift current model reveals an intrinsic correlation with Cs</w:t>
      </w:r>
      <w:r>
        <w:t xml:space="preserve"> </w:t>
      </w:r>
      <w:r>
        <w:t>+</w:t>
      </w:r>
      <w:r>
        <w:t xml:space="preserve"> </w:t>
      </w:r>
      <w:r>
        <w:t>cation displacement and provides an explicit explanation for the structural origin of ferroelectric APV activities. Besides, its steady-state APV photocurrent exhibits the unique light-polarization dependence, which endows remarkable polarization-sensitivity with the highest polarization ratios of ~41 among the known 2D single-phase materials. As the feasible exploration of ferroelectric APV characteristics illuminated by the shift current mechanism, this finding paves a pathway to assemble new optoelectronic smart devices.</w:t>
      </w:r>
    </w:p>
    <w:p>
      <w:pPr>
        <w:spacing w:before="120" w:after="120"/>
      </w:pPr>
      <w:r>
        <w:rPr>
          <w:sz w:val="18"/>
        </w:rPr>
        <w:t>——————————————————————————————————————————————————————————————————————</w:t>
      </w:r>
    </w:p>
    <w:p>
      <w:pPr>
        <w:spacing w:before="160" w:after="40" w:line="240" w:lineRule="auto"/>
      </w:pPr>
      <w:r>
        <w:rPr>
          <w:b/>
        </w:rPr>
        <w:t xml:space="preserve">[182] </w:t>
      </w:r>
      <w:hyperlink r:id="rId498">
        <w:r>
          <w:rPr>
            <w:color w:val="1155CC"/>
            <w:u w:val="single"/>
          </w:rPr>
          <w:t>RIPK1的泛素化调节其在发育和炎症中的非激酶功能</w:t>
        </w:r>
      </w:hyperlink>
    </w:p>
    <w:p>
      <w:pPr>
        <w:spacing w:before="0" w:after="80"/>
      </w:pPr>
      <w:r>
        <w:rPr>
          <w:i/>
          <w:sz w:val="20"/>
        </w:rPr>
        <w:t>EN: RIPK1 ubiquitination regulates its kinase-independent function in development and inflammation</w:t>
      </w:r>
    </w:p>
    <w:p>
      <w:pPr>
        <w:spacing w:before="0" w:after="120"/>
      </w:pPr>
      <w:r>
        <w:rPr>
          <w:b/>
        </w:rPr>
        <w:t xml:space="preserve">Source: </w:t>
      </w:r>
      <w:r>
        <w:t>Proceedings of the National Academy of Sciences: Keyword search for query</w:t>
      </w:r>
      <w:r>
        <w:t xml:space="preserve">    </w:t>
      </w:r>
      <w:r>
        <w:rPr>
          <w:b/>
        </w:rPr>
        <w:t xml:space="preserve">Pub date: </w:t>
      </w:r>
      <w:r>
        <w:t>2026-04-07 07:00:00+00:00</w:t>
      </w:r>
      <w:r>
        <w:t xml:space="preserve">    </w:t>
      </w:r>
      <w:r>
        <w:rPr>
          <w:b/>
        </w:rPr>
        <w:t xml:space="preserve">DOI: </w:t>
      </w:r>
      <w:hyperlink r:id="rId499">
        <w:r>
          <w:rPr>
            <w:color w:val="1155CC"/>
            <w:u w:val="single"/>
          </w:rPr>
          <w:t>10.1073/pnas.2520356123</w:t>
        </w:r>
      </w:hyperlink>
    </w:p>
    <w:p>
      <w:pPr>
        <w:spacing w:before="0" w:after="120"/>
      </w:pPr>
      <w:r>
        <w:rPr>
          <w:b/>
        </w:rPr>
        <w:t xml:space="preserve">Notes: </w:t>
      </w:r>
      <w:r>
        <w:t>abstract_source=crossref</w:t>
      </w:r>
    </w:p>
    <w:p>
      <w:pPr>
        <w:spacing w:before="0" w:after="80" w:lineRule="auto" w:line="276"/>
      </w:pPr>
      <w:r>
        <w:rPr>
          <w:b/>
        </w:rPr>
        <w:t xml:space="preserve">摘要（ZH）: </w:t>
      </w:r>
      <w:r>
        <w:t>受体相互作用蛋白激酶1（RIPK1）是细胞死亡和炎症的关键调节因子，其激活受多种翻译后修饰的调节。虽然在赖氨酸376（K376）处的RIPK1泛素化已被证明在体外和体内抑制凋亡和程序性坏死，但其在炎症中的作用仍未定义。在这项研究中，我们在Ripk1 K376R/K376R小鼠中引入了激酶失活的D138N突变。值得注意的是，Ripk1 K376R,D138N/K376R,D138N小鼠挽救了在Ripk1中观察到的胚胎致死性。</w:t>
      </w:r>
    </w:p>
    <w:p>
      <w:pPr>
        <w:spacing w:before="0" w:after="200" w:lineRule="auto" w:line="276"/>
      </w:pPr>
      <w:r>
        <w:rPr>
          <w:b/>
        </w:rPr>
        <w:t xml:space="preserve">Abstract (EN): </w:t>
      </w:r>
      <w:r>
        <w:t>Receptor-interacting protein kinase 1 (RIPK1) is a key regulator of cell death and inflammation, with its activation modulated by diverse posttranslational modifications. While ubiquitination of RIPK1 at lysine 376 (K376) has been shown to inhibit apoptosis and necroptosis both in vitro and in vivo, its role in inflammation remains undefined. In this study, we introduced a kinase-dead D138N mutation into</w:t>
      </w:r>
      <w:r>
        <w:t xml:space="preserve"> </w:t>
      </w:r>
      <w:r>
        <w:t>Ripk1</w:t>
      </w:r>
      <w:r>
        <w:t xml:space="preserve"> </w:t>
      </w:r>
      <w:r>
        <w:t>K376R/K376R</w:t>
      </w:r>
      <w:r>
        <w:t xml:space="preserve"> </w:t>
      </w:r>
      <w:r>
        <w:t>mice. Notably,</w:t>
      </w:r>
      <w:r>
        <w:t xml:space="preserve"> </w:t>
      </w:r>
      <w:r>
        <w:t>Ripk1</w:t>
      </w:r>
      <w:r>
        <w:t xml:space="preserve"> </w:t>
      </w:r>
      <w:r>
        <w:t>K376R,D138N/K376R,D138N</w:t>
      </w:r>
      <w:r>
        <w:t xml:space="preserve"> </w:t>
      </w:r>
      <w:r>
        <w:t>mice rescued the embryonic lethality observed in</w:t>
      </w:r>
      <w:r>
        <w:t xml:space="preserve"> </w:t>
      </w:r>
      <w:r>
        <w:t>Ripk1</w:t>
      </w:r>
      <w:r>
        <w:t xml:space="preserve"> </w:t>
      </w:r>
      <w:r>
        <w:t>K376R/K376R</w:t>
      </w:r>
      <w:r>
        <w:t xml:space="preserve"> </w:t>
      </w:r>
      <w:r>
        <w:t>mice, but developed systemic inflammation. Remarkably, this inflammation was significantly alleviated by codeletion of</w:t>
      </w:r>
      <w:r>
        <w:t xml:space="preserve"> </w:t>
      </w:r>
      <w:r>
        <w:t>Caspase-1/11</w:t>
      </w:r>
      <w:r>
        <w:t xml:space="preserve"> </w:t>
      </w:r>
      <w:r>
        <w:t>, but not</w:t>
      </w:r>
      <w:r>
        <w:t xml:space="preserve"> </w:t>
      </w:r>
      <w:r>
        <w:t>Trif</w:t>
      </w:r>
      <w:r>
        <w:t xml:space="preserve"> </w:t>
      </w:r>
      <w:r>
        <w:t>, indicating a critical role for inflammasome activation. Mechanistically, loss of ubiquitination at the K376 residue of RIPK1 promotes kinase activity-dependent cell death, which underlies the lethality of</w:t>
      </w:r>
      <w:r>
        <w:t xml:space="preserve"> </w:t>
      </w:r>
      <w:r>
        <w:t>Ripk1</w:t>
      </w:r>
      <w:r>
        <w:t xml:space="preserve"> </w:t>
      </w:r>
      <w:r>
        <w:t>K376R/K376R</w:t>
      </w:r>
      <w:r>
        <w:t xml:space="preserve"> </w:t>
      </w:r>
      <w:r>
        <w:t>mice. Importantly, the K376R mutation also drives RIPK1 kinase–independent inflammatory responses by triggering intrinsic NLRP3 inflammasome activation and downstream IL-1β secretion. Furthermore, we found that RIPK1 promotes this process through a RIPK3-dependent mechanism. Consistently, deletion of</w:t>
      </w:r>
      <w:r>
        <w:t xml:space="preserve"> </w:t>
      </w:r>
      <w:r>
        <w:t>Ripk3</w:t>
      </w:r>
      <w:r>
        <w:t xml:space="preserve"> </w:t>
      </w:r>
      <w:r>
        <w:t>—but not</w:t>
      </w:r>
      <w:r>
        <w:t xml:space="preserve"> </w:t>
      </w:r>
      <w:r>
        <w:t>Mlkl</w:t>
      </w:r>
      <w:r>
        <w:t xml:space="preserve"> </w:t>
      </w:r>
      <w:r>
        <w:t>—ameliorated this inflammation, highlighting a necroptosis-independent inflammatory axis. Together, our findings demonstrate that the RIPK1</w:t>
      </w:r>
      <w:r>
        <w:t xml:space="preserve"> </w:t>
      </w:r>
      <w:r>
        <w:t>K376R</w:t>
      </w:r>
      <w:r>
        <w:t xml:space="preserve"> </w:t>
      </w:r>
      <w:r>
        <w:t>mutant not only induces kinase activity-dependent cell death during embryogenesis but also promotes kinase-independent, scaffold-driven inflammation in adults via RIPK3-mediated metabolic reprogramming that activates the NLRP3 inflammasome.</w:t>
      </w:r>
    </w:p>
    <w:p>
      <w:pPr>
        <w:spacing w:before="120" w:after="120"/>
      </w:pPr>
      <w:r>
        <w:rPr>
          <w:sz w:val="18"/>
        </w:rPr>
        <w:t>——————————————————————————————————————————————————————————————————————</w:t>
      </w:r>
    </w:p>
    <w:p>
      <w:pPr>
        <w:spacing w:before="160" w:after="40" w:line="240" w:lineRule="auto"/>
      </w:pPr>
      <w:r>
        <w:rPr>
          <w:b/>
        </w:rPr>
        <w:t xml:space="preserve">[183] </w:t>
      </w:r>
      <w:hyperlink r:id="rId500">
        <w:r>
          <w:rPr>
            <w:color w:val="1155CC"/>
            <w:u w:val="single"/>
          </w:rPr>
          <w:t>本期内容</w:t>
        </w:r>
      </w:hyperlink>
    </w:p>
    <w:p>
      <w:pPr>
        <w:spacing w:before="0" w:after="80"/>
      </w:pPr>
      <w:r>
        <w:rPr>
          <w:i/>
          <w:sz w:val="20"/>
        </w:rPr>
        <w:t>EN: In This Issue</w:t>
      </w:r>
    </w:p>
    <w:p>
      <w:pPr>
        <w:spacing w:before="0" w:after="120"/>
      </w:pPr>
      <w:r>
        <w:rPr>
          <w:b/>
        </w:rPr>
        <w:t xml:space="preserve">Source: </w:t>
      </w:r>
      <w:r>
        <w:t>Proceedings of the National Academy of Sciences: Keyword search for query</w:t>
      </w:r>
      <w:r>
        <w:t xml:space="preserve">    </w:t>
      </w:r>
      <w:r>
        <w:rPr>
          <w:b/>
        </w:rPr>
        <w:t xml:space="preserve">Pub date: </w:t>
      </w:r>
      <w:r>
        <w:t>2026-04-07 07:00:00+00:00</w:t>
      </w:r>
      <w:r>
        <w:t xml:space="preserve">    </w:t>
      </w:r>
      <w:r>
        <w:rPr>
          <w:b/>
        </w:rPr>
        <w:t xml:space="preserve">DOI: </w:t>
      </w:r>
      <w:hyperlink r:id="rId501">
        <w:r>
          <w:rPr>
            <w:color w:val="1155CC"/>
            <w:u w:val="single"/>
          </w:rPr>
          <w:t>10.1073/iti1426123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[184] </w:t>
      </w:r>
      <w:hyperlink r:id="rId502">
        <w:r>
          <w:rPr>
            <w:color w:val="1155CC"/>
            <w:u w:val="single"/>
          </w:rPr>
          <w:t>深度学习支持的PfCSP表位空间阵列搭建</w:t>
        </w:r>
      </w:hyperlink>
    </w:p>
    <w:p>
      <w:pPr>
        <w:spacing w:before="0" w:after="80"/>
      </w:pPr>
      <w:r>
        <w:rPr>
          <w:i/>
          <w:sz w:val="20"/>
        </w:rPr>
        <w:t>EN: Deep learning–enabled scaffolding of spatial arrays of PfCSP epitopes</w:t>
      </w:r>
    </w:p>
    <w:p>
      <w:pPr>
        <w:spacing w:before="0" w:after="120"/>
      </w:pPr>
      <w:r>
        <w:rPr>
          <w:b/>
        </w:rPr>
        <w:t xml:space="preserve">Source: </w:t>
      </w:r>
      <w:r>
        <w:t>Proceedings of the National Academy of Sciences: Keyword search for query</w:t>
      </w:r>
      <w:r>
        <w:t xml:space="preserve">    </w:t>
      </w:r>
      <w:r>
        <w:rPr>
          <w:b/>
        </w:rPr>
        <w:t xml:space="preserve">Pub date: </w:t>
      </w:r>
      <w:r>
        <w:t>2026-04-07 07:00:00+00:00</w:t>
      </w:r>
      <w:r>
        <w:t xml:space="preserve">    </w:t>
      </w:r>
      <w:r>
        <w:rPr>
          <w:b/>
        </w:rPr>
        <w:t xml:space="preserve">DOI: </w:t>
      </w:r>
      <w:hyperlink r:id="rId503">
        <w:r>
          <w:rPr>
            <w:color w:val="1155CC"/>
            <w:u w:val="single"/>
          </w:rPr>
          <w:t>10.1073/pnas.2521914123</w:t>
        </w:r>
      </w:hyperlink>
    </w:p>
    <w:p>
      <w:pPr>
        <w:spacing w:before="0" w:after="120"/>
      </w:pPr>
      <w:r>
        <w:rPr>
          <w:b/>
        </w:rPr>
        <w:t xml:space="preserve">Notes: </w:t>
      </w:r>
      <w:r>
        <w:t>abstract_source=crossref</w:t>
      </w:r>
    </w:p>
    <w:p>
      <w:pPr>
        <w:spacing w:before="0" w:after="80" w:lineRule="auto" w:line="276"/>
      </w:pPr>
      <w:r>
        <w:rPr>
          <w:b/>
        </w:rPr>
        <w:t xml:space="preserve">摘要（ZH）: </w:t>
      </w:r>
      <w:r>
        <w:t>疟疾是发展中国家疾病的主要原因之一。已获许可的疟疾疫苗RTS,S/AS01部分保护作用部分归因于诱导了环孢子蛋白（CSP）抗体，其中针对CSP重复和连接区域的抗体提供了最强的保护。抗重复区域抗体，包括保护性抗体L9，在与CSP结合形成“螺旋”四级结构时，常常会发生促进Fab片段间接触的突变。作为设计能诱导L9样抗体的免疫原的第一步，我们利用生成深度学习模型设计了包含多达三个连接重复表位的表位支架，其结构构象和相对空间取向与CS多价复合物相匹配。</w:t>
      </w:r>
    </w:p>
    <w:p>
      <w:pPr>
        <w:spacing w:before="0" w:after="200" w:lineRule="auto" w:line="276"/>
      </w:pPr>
      <w:r>
        <w:rPr>
          <w:b/>
        </w:rPr>
        <w:t xml:space="preserve">Abstract (EN): </w:t>
      </w:r>
      <w:r>
        <w:t>Malaria is a leading cause of disease in developing countries. The licensed malaria vaccine RTS,S/AS01 confers partial protection in part due to the elicitation of circumsporozoite protein (CSP) antibodies, of which those to the CSP repeat and junctional regions offer the most potent protection. Anti-repeat region antibodies, including the protective antibody L9, frequently develop mutations that promote inter-Fab contacts when bound to CSP in “spiral” quaternary structures. As a first step toward the design of immunogens that elicit L9-like antibodies, we utilized generative deep learning models to design epitope scaffolds that incorporated up to three junctional repeat epitopes with structural conformations and relative spatial orientations matching those of the multivalent complex of CSP bound to three copies of L9. Affinity and structural studies demonstrated accurate scaffolding of two epitopes with the intended relative orientation, and displacement of the third epitope, while maintaining inter-Fab contacts between L9 antibodies. In a mouse model of malaria liver invasion, immunization with nanoparticles displaying these scaffold immunogens inhibited liver invasion as potently as matched nanoparticles displaying a short junctional peptide but less potently than the same nanoparticles displaying longer junctional peptides. This study demonstrates a substantial advance for design of multiepitope scaffolds with predetermined relative epitope spatial positioning. The study also represents an initial step toward development of multiepitope immunogens to elicit antibodies that utilize homotypic interactions to bind pathogens in multivalent clusters.</w:t>
      </w:r>
    </w:p>
    <w:p>
      <w:pPr>
        <w:spacing w:before="120" w:after="120"/>
      </w:pPr>
      <w:r>
        <w:rPr>
          <w:sz w:val="18"/>
        </w:rPr>
        <w:t>——————————————————————————————————————————————————————————————————————</w:t>
      </w:r>
    </w:p>
    <w:p>
      <w:pPr>
        <w:spacing w:before="160" w:after="40" w:line="240" w:lineRule="auto"/>
      </w:pPr>
      <w:r>
        <w:rPr>
          <w:b/>
        </w:rPr>
        <w:t xml:space="preserve">[185] </w:t>
      </w:r>
      <w:hyperlink r:id="rId504">
        <w:r>
          <w:rPr>
            <w:color w:val="1155CC"/>
            <w:u w:val="single"/>
          </w:rPr>
          <w:t>空间和语义记忆重组海马长轴梯度</w:t>
        </w:r>
      </w:hyperlink>
    </w:p>
    <w:p>
      <w:pPr>
        <w:spacing w:before="0" w:after="80"/>
      </w:pPr>
      <w:r>
        <w:rPr>
          <w:i/>
          <w:sz w:val="20"/>
        </w:rPr>
        <w:t>EN: Spatial and semantic memory reorganize a hippocampal long-axis gradient</w:t>
      </w:r>
    </w:p>
    <w:p>
      <w:pPr>
        <w:spacing w:before="0" w:after="120"/>
      </w:pPr>
      <w:r>
        <w:rPr>
          <w:b/>
        </w:rPr>
        <w:t xml:space="preserve">Source: </w:t>
      </w:r>
      <w:r>
        <w:t>Proceedings of the National Academy of Sciences: Keyword search for query</w:t>
      </w:r>
      <w:r>
        <w:t xml:space="preserve">    </w:t>
      </w:r>
      <w:r>
        <w:rPr>
          <w:b/>
        </w:rPr>
        <w:t xml:space="preserve">Pub date: </w:t>
      </w:r>
      <w:r>
        <w:t>2026-04-07 07:00:00+00:00</w:t>
      </w:r>
      <w:r>
        <w:t xml:space="preserve">    </w:t>
      </w:r>
      <w:r>
        <w:rPr>
          <w:b/>
        </w:rPr>
        <w:t xml:space="preserve">DOI: </w:t>
      </w:r>
      <w:hyperlink r:id="rId505">
        <w:r>
          <w:rPr>
            <w:color w:val="1155CC"/>
            <w:u w:val="single"/>
          </w:rPr>
          <w:t>10.1073/pnas.2525724123</w:t>
        </w:r>
      </w:hyperlink>
    </w:p>
    <w:p>
      <w:pPr>
        <w:spacing w:before="0" w:after="120"/>
      </w:pPr>
      <w:r>
        <w:rPr>
          <w:b/>
        </w:rPr>
        <w:t xml:space="preserve">Notes: </w:t>
      </w:r>
      <w:r>
        <w:t>abstract_source=crossref</w:t>
      </w:r>
    </w:p>
    <w:p>
      <w:pPr>
        <w:spacing w:before="0" w:after="80" w:lineRule="auto" w:line="276"/>
      </w:pPr>
      <w:r>
        <w:rPr>
          <w:b/>
        </w:rPr>
        <w:t xml:space="preserve">摘要（ZH）: </w:t>
      </w:r>
      <w:r>
        <w:t>海马体通过结合空间和语义信息来支持情景记忆，但这些信息如何沿其长轴同时组织仍存在争议。梯度理论提出从前部粗略编码到后部精细编码的表征尺度的连续变化，而模块理论则认为存在专门用于不同功能的离散子区域。我们使用高分辨率fMRI结合眼动追踪作为序列学习期间空间和语义记忆的读出，直接测试了这些竞争模型。在可预测的序列中，海马体活动沿长轴连续变化。相反，当序列与记忆不匹配时，模块化组织出现。海马体前部和后部的子区域在感知中表现出不同的功能。</w:t>
      </w:r>
    </w:p>
    <w:p>
      <w:pPr>
        <w:spacing w:before="0" w:after="200" w:lineRule="auto" w:line="276"/>
      </w:pPr>
      <w:r>
        <w:rPr>
          <w:b/>
        </w:rPr>
        <w:t xml:space="preserve">Abstract (EN): </w:t>
      </w:r>
      <w:r>
        <w:t>The hippocampus supports episodic memory by binding spatial and semantic information, yet how this information is simultaneously organized along its long axis remains debated. Gradient accounts propose a continuous shift in representational scale, from coarse coding in anterior to fine coding in posterior regions, whereas modular accounts posit discrete subregions specialized for distinct functions. Using high-resolution fMRI together with eye tracking as a readout of spatial and semantic memory during sequence learning, we directly tested these competing models. During predictable sequences, hippocampal activity continuously varied along the long axis. In contrast, modular organization emerged when sequences mismatched memory. Subregions in the anterior and posterior hippocampus were sensitive to semantic and spatial mismatches, respectively. Notably, the intermediate hippocampus was specifically sensitive to concurrent mismatches in both dimensions, but not to mismatches in either dimension alone. These content-sensitive subregions were embedded within distinct cortical networks that reorganized according to memory demands. Together, our findings reveal a dynamic hippocampal architecture that flexibly combines gradient and modular principles to simultaneously represent the spatial and semantic content that defines episodic memory.</w:t>
      </w:r>
    </w:p>
    <w:p>
      <w:pPr>
        <w:spacing w:before="120" w:after="120"/>
      </w:pPr>
      <w:r>
        <w:rPr>
          <w:sz w:val="18"/>
        </w:rPr>
        <w:t>——————————————————————————————————————————————————————————————————————</w:t>
      </w:r>
    </w:p>
    <w:p>
      <w:pPr>
        <w:spacing w:before="160" w:after="40" w:line="240" w:lineRule="auto"/>
      </w:pPr>
      <w:r>
        <w:rPr>
          <w:b/>
        </w:rPr>
        <w:t xml:space="preserve">[186] </w:t>
      </w:r>
      <w:hyperlink r:id="rId506">
        <w:r>
          <w:rPr>
            <w:color w:val="1155CC"/>
            <w:u w:val="single"/>
          </w:rPr>
          <w:t>揭示Pinctada fucata铰链韧带中LICP的文石纳米纤维形成机制</w:t>
        </w:r>
      </w:hyperlink>
    </w:p>
    <w:p>
      <w:pPr>
        <w:spacing w:before="0" w:after="80"/>
      </w:pPr>
      <w:r>
        <w:rPr>
          <w:i/>
          <w:sz w:val="20"/>
        </w:rPr>
        <w:t>EN: Elucidation of the aragonite nanofiber formation mechanism of LICP contained in the hinge ligament of Pinctada fucata</w:t>
      </w:r>
    </w:p>
    <w:p>
      <w:pPr>
        <w:spacing w:before="0" w:after="120"/>
      </w:pPr>
      <w:r>
        <w:rPr>
          <w:b/>
        </w:rPr>
        <w:t xml:space="preserve">Source: </w:t>
      </w:r>
      <w:r>
        <w:t>Proceedings of the National Academy of Sciences: Keyword search for query</w:t>
      </w:r>
      <w:r>
        <w:t xml:space="preserve">    </w:t>
      </w:r>
      <w:r>
        <w:rPr>
          <w:b/>
        </w:rPr>
        <w:t xml:space="preserve">Pub date: </w:t>
      </w:r>
      <w:r>
        <w:t>2026-04-07 07:00:00+00:00</w:t>
      </w:r>
      <w:r>
        <w:t xml:space="preserve">    </w:t>
      </w:r>
      <w:r>
        <w:rPr>
          <w:b/>
        </w:rPr>
        <w:t xml:space="preserve">DOI: </w:t>
      </w:r>
      <w:hyperlink r:id="rId507">
        <w:r>
          <w:rPr>
            <w:color w:val="1155CC"/>
            <w:u w:val="single"/>
          </w:rPr>
          <w:t>10.1073/pnas.2522686123</w:t>
        </w:r>
      </w:hyperlink>
    </w:p>
    <w:p>
      <w:pPr>
        <w:spacing w:before="0" w:after="120"/>
      </w:pPr>
      <w:r>
        <w:rPr>
          <w:b/>
        </w:rPr>
        <w:t xml:space="preserve">Notes: </w:t>
      </w:r>
      <w:r>
        <w:t>abstract_source=crossref</w:t>
      </w:r>
    </w:p>
    <w:p>
      <w:pPr>
        <w:spacing w:before="0" w:after="80" w:lineRule="auto" w:line="276"/>
      </w:pPr>
      <w:r>
        <w:rPr>
          <w:b/>
        </w:rPr>
        <w:t xml:space="preserve">摘要（ZH）: </w:t>
      </w:r>
      <w:r>
        <w:t>双壳类动物的铰链韧带由于其由嵌入有机基质的文石纳米纤维组成的复合结构而表现出显著的柔韧性和抗压强度。虽然这些纳米纤维对贝壳力学至关重要，但其形成的分子机制仍不清楚。我们研究了一种10个残基的晶内肽，韧带晶内肽（LICP），在调节文石晶体生长中的功能。使用针对分散碳酸钙颗粒的生物矿化系统优化的溶液态NMR技术，我们显示LICP在结合文石时采用平面、延伸的构象。该结构具有羧基和芳香侧链（尤其是酪氨酸）的共面排列，使其能够选择性地与文石相互作用。</w:t>
      </w:r>
    </w:p>
    <w:p>
      <w:pPr>
        <w:spacing w:before="0" w:after="200" w:lineRule="auto" w:line="276"/>
      </w:pPr>
      <w:r>
        <w:rPr>
          <w:b/>
        </w:rPr>
        <w:t xml:space="preserve">Abstract (EN): </w:t>
      </w:r>
      <w:r>
        <w:t>The hinge ligament of bivalves exhibits remarkable flexibility and compressive strength due to its composite structure of aragonite nanofibers embedded in an organic matrix. While these nanofibers are crucial for shell mechanics, the molecular mechanisms underlying their formation remain unclear. We investigated the function of a 10-residue intracrystalline peptide, ligament intracrystalline peptide (LICP), in regulating aragonite crystal growth. Using a solution-state NMR technique optimized for biomineral systems with dispersive calcium carbonate particles, we showed that LICP adopted a planar, elongated conformation in binding to aragonite. This structure features a coplanar arrangement of carboxyl and aromatic side chains—particularly tyrosines—that enables selective interaction with the aragonite {110}. Saturation transfer difference NMR and dose-dependent structural analyses confirmed that this conformational change is triggered by solid-phase contact, rather than free calcium ions. Molecular dynamics simulations revealed enhanced binding stability of LICP to the {110} surface through multiple carboxyl and aromatic residues. Furthermore, in vitro crystallization assays showed that LICP promoted elongation of aragonite crystals along the</w:t>
      </w:r>
      <w:r>
        <w:t xml:space="preserve"> </w:t>
      </w:r>
      <w:r>
        <w:t>c</w:t>
      </w:r>
      <w:r>
        <w:t xml:space="preserve"> </w:t>
      </w:r>
      <w:r>
        <w:t>-axis, consistent with its selective surface binding. These findings demonstrated that conformational plasticity in short, disordered peptides enabled specific recognition of crystal faces and directed modulation of mineral growth. LICP serves as a minimal yet powerful model for exploring protein–mineral interfaces, offering broader insights into the structural principles by which intrinsically disordered peptides function in solid-phase biological systems.</w:t>
      </w:r>
    </w:p>
    <w:p>
      <w:pPr>
        <w:spacing w:before="120" w:after="120"/>
      </w:pPr>
      <w:r>
        <w:rPr>
          <w:sz w:val="18"/>
        </w:rPr>
        <w:t>——————————————————————————————————————————————————————————————————————</w:t>
      </w:r>
    </w:p>
    <w:p>
      <w:pPr>
        <w:spacing w:before="160" w:after="40" w:line="240" w:lineRule="auto"/>
      </w:pPr>
      <w:r>
        <w:rPr>
          <w:b/>
        </w:rPr>
        <w:t xml:space="preserve">[187] </w:t>
      </w:r>
      <w:hyperlink r:id="rId508">
        <w:r>
          <w:rPr>
            <w:color w:val="1155CC"/>
            <w:u w:val="single"/>
          </w:rPr>
          <w:t>瞬时离子介导的相互作用调节真核核糖体亚基旋转</w:t>
        </w:r>
      </w:hyperlink>
    </w:p>
    <w:p>
      <w:pPr>
        <w:spacing w:before="0" w:after="80"/>
      </w:pPr>
      <w:r>
        <w:rPr>
          <w:i/>
          <w:sz w:val="20"/>
        </w:rPr>
        <w:t>EN: Transient ion-mediated interactions regulate subunit rotation in a eukaryotic ribosome</w:t>
      </w:r>
    </w:p>
    <w:p>
      <w:pPr>
        <w:spacing w:before="0" w:after="120"/>
      </w:pPr>
      <w:r>
        <w:rPr>
          <w:b/>
        </w:rPr>
        <w:t xml:space="preserve">Source: </w:t>
      </w:r>
      <w:r>
        <w:t>Proceedings of the National Academy of Sciences: Keyword search for query</w:t>
      </w:r>
      <w:r>
        <w:t xml:space="preserve">    </w:t>
      </w:r>
      <w:r>
        <w:rPr>
          <w:b/>
        </w:rPr>
        <w:t xml:space="preserve">Pub date: </w:t>
      </w:r>
      <w:r>
        <w:t>2026-04-07 07:00:00+00:00</w:t>
      </w:r>
      <w:r>
        <w:t xml:space="preserve">    </w:t>
      </w:r>
      <w:r>
        <w:rPr>
          <w:b/>
        </w:rPr>
        <w:t xml:space="preserve">DOI: </w:t>
      </w:r>
      <w:hyperlink r:id="rId509">
        <w:r>
          <w:rPr>
            <w:color w:val="1155CC"/>
            <w:u w:val="single"/>
          </w:rPr>
          <w:t>10.1073/pnas.2527693123</w:t>
        </w:r>
      </w:hyperlink>
    </w:p>
    <w:p>
      <w:pPr>
        <w:spacing w:before="0" w:after="120"/>
      </w:pPr>
      <w:r>
        <w:rPr>
          <w:b/>
        </w:rPr>
        <w:t xml:space="preserve">Notes: </w:t>
      </w:r>
      <w:r>
        <w:t>abstract_source=crossref</w:t>
      </w:r>
    </w:p>
    <w:p>
      <w:pPr>
        <w:spacing w:before="0" w:after="80" w:lineRule="auto" w:line="276"/>
      </w:pPr>
      <w:r>
        <w:rPr>
          <w:b/>
        </w:rPr>
        <w:t xml:space="preserve">摘要（ZH）: </w:t>
      </w:r>
      <w:r>
        <w:t>虽然众所周知离子结合可以稳定RNA结构，但关于瞬态/概率性离子相互作用如何促进生物学相关的构象重排知之甚少。为了解决这个问题，我们开发了一个理论模型，该模型采用全原子分辨率，并简化了生物分子能量学的表示（即基于结构的“SMOG”模型）、显式静电和离子（K</w:t>
      </w:r>
      <w:r>
        <w:t xml:space="preserve"> </w:t>
      </w:r>
      <w:r>
        <w:t>+</w:t>
      </w:r>
      <w:r>
        <w:t xml:space="preserve"> </w:t>
      </w:r>
      <w:r>
        <w:t>, Cl</w:t>
      </w:r>
      <w:r>
        <w:t xml:space="preserve"> </w:t>
      </w:r>
      <w:r>
        <w:t>−</w:t>
      </w:r>
      <w:r>
        <w:t>, Mg</w:t>
      </w:r>
      <w:r>
        <w:t xml:space="preserve"> </w:t>
      </w:r>
      <w:r>
        <w:t>2+</w:t>
      </w:r>
      <w:r>
        <w:t xml:space="preserve"> </w:t>
      </w:r>
      <w:r>
        <w:t>）。对于研究充分的RNA系统，该模型准确描述了浓度依赖的离子环境，包括螯合和水合/扩散离子。在此基础上，我们应用该模型模拟酵母核糖体和q</w:t>
      </w:r>
    </w:p>
    <w:p>
      <w:pPr>
        <w:spacing w:before="0" w:after="200" w:lineRule="auto" w:line="276"/>
      </w:pPr>
      <w:r>
        <w:rPr>
          <w:b/>
        </w:rPr>
        <w:t xml:space="preserve">Abstract (EN): </w:t>
      </w:r>
      <w:r>
        <w:t>While it is well known that ion binding can stabilize RNA structure, little is known about how transient/probabilistic ionic interactions facilitate biologically relevant conformational rearrangements. To address this, we developed a theoretical model that employs all-atom resolution with a simplified representation of biomolecular energetics (i.e., a structure-based “SMOG” model), explicit electrostatics, and ions (K</w:t>
      </w:r>
      <w:r>
        <w:t xml:space="preserve"> </w:t>
      </w:r>
      <w:r>
        <w:t>+</w:t>
      </w:r>
      <w:r>
        <w:t xml:space="preserve"> </w:t>
      </w:r>
      <w:r>
        <w:t>, Cl</w:t>
      </w:r>
      <w:r>
        <w:t xml:space="preserve"> </w:t>
      </w:r>
      <w:r>
        <w:t>−</w:t>
      </w:r>
      <w:r>
        <w:t>, Mg</w:t>
      </w:r>
      <w:r>
        <w:t xml:space="preserve"> </w:t>
      </w:r>
      <w:r>
        <w:t>2+</w:t>
      </w:r>
      <w:r>
        <w:t xml:space="preserve"> </w:t>
      </w:r>
      <w:r>
        <w:t>). For well-studied RNA systems, the model accurately describes the concentration-dependent ionic environment, which includes chelated and hydrated/diffuse ions. With this foundation, we applied the model to simulate the yeast ribosome and quantified the ion-dependent energy landscape of intersubunit rotation. These calculations show how millimolar increases in [MgCl</w:t>
      </w:r>
      <w:r>
        <w:rPr>
          <w:vertAlign w:val="subscript"/>
        </w:rPr>
        <w:t>2</w:t>
      </w:r>
      <w:r>
        <w:t>] shift the energetics to favor the unrotated state. The free-energy barrier is also increased, leading to an order-of-magnitude reduction in kinetics that is correlated with formation of ion-mediated interactions between the subunits. This provides a physical description for how transient ionic interactions can contribute to large-scale biomolecular dynamics.</w:t>
      </w:r>
    </w:p>
    <w:p>
      <w:pPr>
        <w:spacing w:before="120" w:after="120"/>
      </w:pPr>
      <w:r>
        <w:rPr>
          <w:sz w:val="18"/>
        </w:rPr>
        <w:t>——————————————————————————————————————————————————————————————————————</w:t>
      </w:r>
    </w:p>
    <w:p>
      <w:pPr>
        <w:spacing w:before="160" w:after="40" w:line="240" w:lineRule="auto"/>
      </w:pPr>
      <w:r>
        <w:rPr>
          <w:b/>
        </w:rPr>
        <w:t xml:space="preserve">[188] </w:t>
      </w:r>
      <w:hyperlink r:id="rId510">
        <w:r>
          <w:rPr>
            <w:color w:val="1155CC"/>
            <w:u w:val="single"/>
          </w:rPr>
          <w:t>全基因组组合基因融合生成用于高级微生物性状开发的新基因</w:t>
        </w:r>
      </w:hyperlink>
    </w:p>
    <w:p>
      <w:pPr>
        <w:spacing w:before="0" w:after="80"/>
      </w:pPr>
      <w:r>
        <w:rPr>
          <w:i/>
          <w:sz w:val="20"/>
        </w:rPr>
        <w:t>EN: Whole-genome combinatorial gene fusions generate novel genes for advanced microbial trait development</w:t>
      </w:r>
    </w:p>
    <w:p>
      <w:pPr>
        <w:spacing w:before="0" w:after="120"/>
      </w:pPr>
      <w:r>
        <w:rPr>
          <w:b/>
        </w:rPr>
        <w:t xml:space="preserve">Source: </w:t>
      </w:r>
      <w:r>
        <w:t>Proceedings of the National Academy of Sciences: Keyword search for query</w:t>
      </w:r>
      <w:r>
        <w:t xml:space="preserve">    </w:t>
      </w:r>
      <w:r>
        <w:rPr>
          <w:b/>
        </w:rPr>
        <w:t xml:space="preserve">Pub date: </w:t>
      </w:r>
      <w:r>
        <w:t>2026-04-07 07:00:00+00:00</w:t>
      </w:r>
      <w:r>
        <w:t xml:space="preserve">    </w:t>
      </w:r>
      <w:r>
        <w:rPr>
          <w:b/>
        </w:rPr>
        <w:t xml:space="preserve">DOI: </w:t>
      </w:r>
      <w:hyperlink r:id="rId511">
        <w:r>
          <w:rPr>
            <w:color w:val="1155CC"/>
            <w:u w:val="single"/>
          </w:rPr>
          <w:t>10.1073/pnas.2527695123</w:t>
        </w:r>
      </w:hyperlink>
    </w:p>
    <w:p>
      <w:pPr>
        <w:spacing w:before="0" w:after="120"/>
      </w:pPr>
      <w:r>
        <w:rPr>
          <w:b/>
        </w:rPr>
        <w:t xml:space="preserve">Notes: </w:t>
      </w:r>
      <w:r>
        <w:t>abstract_source=crossref</w:t>
      </w:r>
    </w:p>
    <w:p>
      <w:pPr>
        <w:spacing w:before="0" w:after="80" w:lineRule="auto" w:line="276"/>
      </w:pPr>
      <w:r>
        <w:rPr>
          <w:b/>
        </w:rPr>
        <w:t xml:space="preserve">摘要（ZH）: </w:t>
      </w:r>
      <w:r>
        <w:t>将两个独立基因翻译融合成一个编码融合蛋白的复合序列是支持新蛋白活性、家族和结构出现的关键进化机制。在生物技术中，基因融合是一种有价值的分子进化工具，用于标记感兴趣的蛋白质以及结合或改变蛋白质活性。为了广泛展示和利用融合基因在全基因组方法中的功能增益能力，我们构建了一个“Function Generator™”融合基因库，其中包含</w:t>
      </w:r>
      <w:r>
        <w:t xml:space="preserve"> </w:t>
      </w:r>
      <w:r>
        <w:t>Saccharomyces cerevisiae</w:t>
      </w:r>
      <w:r>
        <w:t xml:space="preserve"> </w:t>
      </w:r>
      <w:r>
        <w:t>基因组中5,019个蛋白编码序列的成对组合。开放阅读框（ORFs）从S288C酵母基因组中通过PCR扩增并克隆到一个着丝粒表达</w:t>
      </w:r>
    </w:p>
    <w:p>
      <w:pPr>
        <w:spacing w:before="0" w:after="200" w:lineRule="auto" w:line="276"/>
      </w:pPr>
      <w:r>
        <w:rPr>
          <w:b/>
        </w:rPr>
        <w:t xml:space="preserve">Abstract (EN): </w:t>
      </w:r>
      <w:r>
        <w:t>Translational fusion of two separate genes into a compound sequence encoding a fusion protein is a key evolutionary mechanism which underpins the emergence of new protein activities, families, and architectures. In biotechnology, gene fusion is a valuable molecular evolution tool for tagging proteins of interest and for combining or altering protein activities. To broadly demonstrate and harness the gain-of-function capabilities of fusion genes in a whole-genome approach, we constructed a “Function Generator™” fusion gene library containing pairwise combinations of 5,019 protein-coding sequences in the</w:t>
      </w:r>
      <w:r>
        <w:t xml:space="preserve"> </w:t>
      </w:r>
      <w:r>
        <w:t>Saccharomyces cerevisiae</w:t>
      </w:r>
      <w:r>
        <w:t xml:space="preserve"> </w:t>
      </w:r>
      <w:r>
        <w:t>genome. The open reading frames (ORFs) were PCR amplified from the S288C yeast genome and cloned into a centromeric expression vector, with each ORF represented in the 5′ and the 3′ positions of the resulting gene fusions. To illustrate the ability of fusion genes in the library to confer complex phenotypes, a population of yeast library transformants was screened for resistance to four toxic heavy metal ions (Cd</w:t>
      </w:r>
      <w:r>
        <w:t xml:space="preserve"> </w:t>
      </w:r>
      <w:r>
        <w:t>+2</w:t>
      </w:r>
      <w:r>
        <w:t xml:space="preserve"> </w:t>
      </w:r>
      <w:r>
        <w:t>, Co</w:t>
      </w:r>
      <w:r>
        <w:t xml:space="preserve"> </w:t>
      </w:r>
      <w:r>
        <w:t>+2</w:t>
      </w:r>
      <w:r>
        <w:t xml:space="preserve"> </w:t>
      </w:r>
      <w:r>
        <w:t>, Cu</w:t>
      </w:r>
      <w:r>
        <w:t xml:space="preserve"> </w:t>
      </w:r>
      <w:r>
        <w:t>+2</w:t>
      </w:r>
      <w:r>
        <w:t xml:space="preserve"> </w:t>
      </w:r>
      <w:r>
        <w:t>, and Ni</w:t>
      </w:r>
      <w:r>
        <w:t xml:space="preserve"> </w:t>
      </w:r>
      <w:r>
        <w:t>+2</w:t>
      </w:r>
      <w:r>
        <w:t xml:space="preserve"> </w:t>
      </w:r>
      <w:r>
        <w:t>). Active fusion genes were cloned, validated, and sequenced, revealing a multitude of biological functions represented in these genes, including proteins involved in transcription, translation, metal ion binding and transport, and cell cycle control, as well as unknown functions. The gain-of-function principle of gene fusions was confirmed by comparing the activity of selected fusion genes to their constituent single ORFs expressed either individually or in nonfused pairs. Function Generator™ represents a powerful way to approach phenotypic diversity in the laboratory and to bypass a key evolutionary bottleneck for accelerated strain development.</w:t>
      </w:r>
    </w:p>
    <w:p>
      <w:pPr>
        <w:spacing w:before="120" w:after="120"/>
      </w:pPr>
      <w:r>
        <w:rPr>
          <w:sz w:val="18"/>
        </w:rPr>
        <w:t>——————————————————————————————————————————————————————————————————————</w:t>
      </w:r>
    </w:p>
    <w:p>
      <w:pPr>
        <w:spacing w:before="160" w:after="40" w:line="240" w:lineRule="auto"/>
      </w:pPr>
      <w:r>
        <w:rPr>
          <w:b/>
        </w:rPr>
        <w:t xml:space="preserve">[189] </w:t>
      </w:r>
      <w:hyperlink r:id="rId512">
        <w:r>
          <w:rPr>
            <w:color w:val="1155CC"/>
            <w:u w:val="single"/>
          </w:rPr>
          <w:t>人类胎儿亚板的典型发育：通过体内T2加权MRI评估的区域异质性、增长和不对称性</w:t>
        </w:r>
      </w:hyperlink>
    </w:p>
    <w:p>
      <w:pPr>
        <w:spacing w:before="0" w:after="80"/>
      </w:pPr>
      <w:r>
        <w:rPr>
          <w:i/>
          <w:sz w:val="20"/>
        </w:rPr>
        <w:t>EN: Typical development of the human fetal subplate: Regional heterogeneity, growth, and asymmetry assessed by in vivo T2-weighted MRI</w:t>
      </w:r>
    </w:p>
    <w:p>
      <w:pPr>
        <w:spacing w:before="0" w:after="120"/>
      </w:pPr>
      <w:r>
        <w:rPr>
          <w:b/>
        </w:rPr>
        <w:t xml:space="preserve">Source: </w:t>
      </w:r>
      <w:r>
        <w:t>Proceedings of the National Academy of Sciences: Keyword search for query</w:t>
      </w:r>
      <w:r>
        <w:t xml:space="preserve">    </w:t>
      </w:r>
      <w:r>
        <w:rPr>
          <w:b/>
        </w:rPr>
        <w:t xml:space="preserve">Pub date: </w:t>
      </w:r>
      <w:r>
        <w:t>2026-04-07 07:00:00+00:00</w:t>
      </w:r>
      <w:r>
        <w:t xml:space="preserve">    </w:t>
      </w:r>
      <w:r>
        <w:rPr>
          <w:b/>
        </w:rPr>
        <w:t xml:space="preserve">DOI: </w:t>
      </w:r>
      <w:hyperlink r:id="rId513">
        <w:r>
          <w:rPr>
            <w:color w:val="1155CC"/>
            <w:u w:val="single"/>
          </w:rPr>
          <w:t>10.1073/pnas.2528620123</w:t>
        </w:r>
      </w:hyperlink>
    </w:p>
    <w:p>
      <w:pPr>
        <w:spacing w:before="0" w:after="120"/>
      </w:pPr>
      <w:r>
        <w:rPr>
          <w:b/>
        </w:rPr>
        <w:t xml:space="preserve">Notes: </w:t>
      </w:r>
      <w:r>
        <w:t>abstract_source=crossref</w:t>
      </w:r>
    </w:p>
    <w:p>
      <w:pPr>
        <w:spacing w:before="0" w:after="80" w:lineRule="auto" w:line="276"/>
      </w:pPr>
      <w:r>
        <w:rPr>
          <w:b/>
        </w:rPr>
        <w:t xml:space="preserve">摘要（ZH）: </w:t>
      </w:r>
      <w:r>
        <w:t>下板层（SP）是一个支持神经元迁移、轴突生长和早期皮层活动的瞬态胎儿大脑隔室，但其区域发展的动态在体内仍然知之甚少。使用68名正常发育胎儿（22至32周胎龄，GA）的T2加权胎儿MRI，我们开发了一个半自动化流程来量化区域SP形态（厚度、表面积和体积）。SP特征与GA和残余脑体积强烈相关，并显示出显著的区域差异。在校正几何混淆后，SP厚度的区域变化仍然存在，且在顶叶和外侧裂区域的值最高，这表明SP厚度可能作为内在发育差异的敏感标志。在第2晚期和</w:t>
      </w:r>
    </w:p>
    <w:p>
      <w:pPr>
        <w:spacing w:before="0" w:after="200" w:lineRule="auto" w:line="276"/>
      </w:pPr>
      <w:r>
        <w:rPr>
          <w:b/>
        </w:rPr>
        <w:t xml:space="preserve">Abstract (EN): </w:t>
      </w:r>
      <w:r>
        <w:t>The subplate (SP) is a transient fetal brain compartment supporting neuronal migration, axonal ingrowth, and early cortical activity, yet the dynamics of its regional development remain poorly understood in vivo. Using T2-weighted fetal MRI of 68 typically developing fetuses (22 to 32 wk gestational age, GA), we developed a semiautomated pipeline to quantify regional SP morphology (thickness, surface area, and volume). SP characteristics scaled strongly with GA and residual brain volume and showed marked regional differences. After correcting for geometric confounds, regional variation of SP thickness persisted, with highest values in parietal and perisylvian regions, suggesting that SP thickness may serve as a sensitive marker of intrinsic developmental differences. Between the late 2nd and early 3rd trimesters, mean SP thickness increased by 39.2% with large variation across regions (±11.0 SD), whereas surface area growth was more uniform (64.3% ±0.7 SD). Continuous growth trajectories clustered into distinct spatiotemporal profiles: early-developing regions (e.g., pericentral and medial occipital cortices) contrasted with later-developing regions (prefrontal, temporal, and parietal cortices). These patterns partially recapitulate primary-to-association, medial-to-lateral, and posterior-to-anterior maturational hierarchies, pointing to organized developmental programs. SP development also showed region-specific hemispheric asymmetries, including leftward thickness and volume asymmetry in the superior temporal and precentral gyri. Some asymmetries amplified, others attenuated or reversed with age, suggesting both transient states and potential precursors of postnatal lateralization. Together, these findings provide a framework for regional SP quantification and position SP morphology, particularly thickness, as a promising early biomarker that might link fetal SP changes to subsequent cortical development and neurodevelopmental outcomes.</w:t>
      </w:r>
    </w:p>
    <w:p>
      <w:pPr>
        <w:spacing w:before="120" w:after="120"/>
      </w:pPr>
      <w:r>
        <w:rPr>
          <w:sz w:val="18"/>
        </w:rPr>
        <w:t>——————————————————————————————————————————————————————————————————————</w:t>
      </w:r>
    </w:p>
    <w:p>
      <w:pPr>
        <w:spacing w:before="160" w:after="40" w:line="240" w:lineRule="auto"/>
      </w:pPr>
      <w:r>
        <w:rPr>
          <w:b/>
        </w:rPr>
        <w:t xml:space="preserve">[190] </w:t>
      </w:r>
      <w:hyperlink r:id="rId514">
        <w:r>
          <w:rPr>
            <w:color w:val="1155CC"/>
            <w:u w:val="single"/>
          </w:rPr>
          <w:t>默认模式网络在感知和记忆引导认知中的发送者-接收者细分</w:t>
        </w:r>
      </w:hyperlink>
    </w:p>
    <w:p>
      <w:pPr>
        <w:spacing w:before="0" w:after="80"/>
      </w:pPr>
      <w:r>
        <w:rPr>
          <w:i/>
          <w:sz w:val="20"/>
        </w:rPr>
        <w:t>EN: Sender–receiver subdivisions of the default mode network in perceptual and memory-guided cognition</w:t>
      </w:r>
    </w:p>
    <w:p>
      <w:pPr>
        <w:spacing w:before="0" w:after="120"/>
      </w:pPr>
      <w:r>
        <w:rPr>
          <w:b/>
        </w:rPr>
        <w:t xml:space="preserve">Source: </w:t>
      </w:r>
      <w:r>
        <w:t>Proceedings of the National Academy of Sciences: Keyword search for query</w:t>
      </w:r>
      <w:r>
        <w:t xml:space="preserve">    </w:t>
      </w:r>
      <w:r>
        <w:rPr>
          <w:b/>
        </w:rPr>
        <w:t xml:space="preserve">Pub date: </w:t>
      </w:r>
      <w:r>
        <w:t>2026-04-07 07:00:00+00:00</w:t>
      </w:r>
      <w:r>
        <w:t xml:space="preserve">    </w:t>
      </w:r>
      <w:r>
        <w:rPr>
          <w:b/>
        </w:rPr>
        <w:t xml:space="preserve">DOI: </w:t>
      </w:r>
      <w:hyperlink r:id="rId515">
        <w:r>
          <w:rPr>
            <w:color w:val="1155CC"/>
            <w:u w:val="single"/>
          </w:rPr>
          <w:t>10.1073/pnas.2528851123</w:t>
        </w:r>
      </w:hyperlink>
    </w:p>
    <w:p>
      <w:pPr>
        <w:spacing w:before="0" w:after="120"/>
      </w:pPr>
      <w:r>
        <w:rPr>
          <w:b/>
        </w:rPr>
        <w:t xml:space="preserve">Notes: </w:t>
      </w:r>
      <w:r>
        <w:t>abstract_source=crossref</w:t>
      </w:r>
    </w:p>
    <w:p>
      <w:pPr>
        <w:spacing w:before="0" w:after="80" w:lineRule="auto" w:line="276"/>
      </w:pPr>
      <w:r>
        <w:rPr>
          <w:b/>
        </w:rPr>
        <w:t xml:space="preserve">摘要（ZH）: </w:t>
      </w:r>
      <w:r>
        <w:t>日常认知依赖于大脑在感知外部世界和从记忆中构建世界之间转换的能力。为了实现这一点，大规模皮层系统必须灵活地将传入的感觉信号与内部生成的表征整合。在此，我们展示了这种灵活性反映在默认模式网络（DMN）的宏观结构中。通过跨越三个独立fMRI数据集的趋同分析，包括方向性连接、本质组织和任务诱发反应，我们识别出在面部感知决策或基于先前看到的图像的记忆引导决策中优先参与的空间上不同的DMN子区域。这些子区域对应于一种微观结构的区别，通过方向性捕获。</w:t>
      </w:r>
    </w:p>
    <w:p>
      <w:pPr>
        <w:spacing w:before="0" w:after="200" w:lineRule="auto" w:line="276"/>
      </w:pPr>
      <w:r>
        <w:rPr>
          <w:b/>
        </w:rPr>
        <w:t xml:space="preserve">Abstract (EN): </w:t>
      </w:r>
      <w:r>
        <w:t>Everyday cognition depends on the brain’s capacity to shift between sensing the external world and constructing it from memory. To achieve this, large-scale cortical systems must flexibly integrate incoming sensory signals with internally generated representations. Here, we show that this flexibility is reflected in the macroscale architecture of the default mode network (DMN). Using convergent analyses across three independent fMRI datasets spanning directional connectivity, intrinsic organization, and task-evoked responses, we identify spatially distinct DMN subregions that are preferentially engaged during perceptual decisions about faces or memory-guided decisions based on previously seen images. These subregions correspond to a microarchitectural distinction, captured via directional and intrinsic connectivity profiles: regions preferentially engaged during face perception align with receiver-like, afferent-biased zones that show strong intrinsic connectivity across the heteromodal cortex, a profile that might support information integration during perceptually guided decision-making. In contrast, memory-guided, perceptually decoupled decisions differentially engage sender-like, efferent-biased zones that show broader connectivity with perceptual-motor and attentional systems beyond the DMN. This double dissociation demonstrates a systematic association between DMN connectivity and engagement during perceptually coupled versus memory-guided cognitive processes, providing an organizational account of how DMN architecture relates to flexible human thought.</w:t>
      </w:r>
    </w:p>
    <w:p>
      <w:pPr>
        <w:spacing w:before="120" w:after="120"/>
      </w:pPr>
      <w:r>
        <w:rPr>
          <w:sz w:val="18"/>
        </w:rPr>
        <w:t>——————————————————————————————————————————————————————————————————————</w:t>
      </w:r>
    </w:p>
    <w:p>
      <w:pPr>
        <w:spacing w:before="160" w:after="40" w:line="240" w:lineRule="auto"/>
      </w:pPr>
      <w:r>
        <w:rPr>
          <w:b/>
        </w:rPr>
        <w:t xml:space="preserve">[191] </w:t>
      </w:r>
      <w:hyperlink r:id="rId516">
        <w:r>
          <w:rPr>
            <w:color w:val="1155CC"/>
            <w:u w:val="single"/>
          </w:rPr>
          <w:t>Munc13在活性区凝聚体中作为SNARE分类和组装的分子过滤器</w:t>
        </w:r>
      </w:hyperlink>
    </w:p>
    <w:p>
      <w:pPr>
        <w:spacing w:before="0" w:after="80"/>
      </w:pPr>
      <w:r>
        <w:rPr>
          <w:i/>
          <w:sz w:val="20"/>
        </w:rPr>
        <w:t>EN: Munc13 serves as a molecular filter for SNARE sorting and assembly in active zone condensates</w:t>
      </w:r>
    </w:p>
    <w:p>
      <w:pPr>
        <w:spacing w:before="0" w:after="120"/>
      </w:pPr>
      <w:r>
        <w:rPr>
          <w:b/>
        </w:rPr>
        <w:t xml:space="preserve">Source: </w:t>
      </w:r>
      <w:r>
        <w:t>Proceedings of the National Academy of Sciences: Keyword search for query</w:t>
      </w:r>
      <w:r>
        <w:t xml:space="preserve">    </w:t>
      </w:r>
      <w:r>
        <w:rPr>
          <w:b/>
        </w:rPr>
        <w:t xml:space="preserve">Pub date: </w:t>
      </w:r>
      <w:r>
        <w:t>2026-04-07 07:00:00+00:00</w:t>
      </w:r>
      <w:r>
        <w:t xml:space="preserve">    </w:t>
      </w:r>
      <w:r>
        <w:rPr>
          <w:b/>
        </w:rPr>
        <w:t xml:space="preserve">DOI: </w:t>
      </w:r>
      <w:hyperlink r:id="rId517">
        <w:r>
          <w:rPr>
            <w:color w:val="1155CC"/>
            <w:u w:val="single"/>
          </w:rPr>
          <w:t>10.1073/pnas.2529572123</w:t>
        </w:r>
      </w:hyperlink>
    </w:p>
    <w:p>
      <w:pPr>
        <w:spacing w:before="0" w:after="120"/>
      </w:pPr>
      <w:r>
        <w:rPr>
          <w:b/>
        </w:rPr>
        <w:t xml:space="preserve">Notes: </w:t>
      </w:r>
      <w:r>
        <w:t>abstract_source=crossref</w:t>
      </w:r>
    </w:p>
    <w:p>
      <w:pPr>
        <w:spacing w:before="0" w:after="80" w:lineRule="auto" w:line="276"/>
      </w:pPr>
      <w:r>
        <w:rPr>
          <w:b/>
        </w:rPr>
        <w:t xml:space="preserve">摘要（ZH）: </w:t>
      </w:r>
      <w:r>
        <w:t>神经递质释放需要在突触前释放位点精确定位和组装SNARE机制。尽管已知活性区脚手架的液-液相分离可以组织这些位点，但SNARE机制特定富集的机制仍不清楚。在本研究中，我们确定在RIM1/RIM-BP2生物分子凝聚体中，Munc13-1作为一个组织中心，空间排序和集中同源SNARE，协调它们的逐步组装。特别是，这种凝聚体环境使Munc13-1能够将Syb2聚集成囊泡膜上的纳米域，显著增加局部SNARE密度并确保高效的复合物形成。因此，将RIM1/RIM-BP2引入PC12细胞增强。</w:t>
      </w:r>
    </w:p>
    <w:p>
      <w:pPr>
        <w:spacing w:before="0" w:after="200" w:lineRule="auto" w:line="276"/>
      </w:pPr>
      <w:r>
        <w:rPr>
          <w:b/>
        </w:rPr>
        <w:t xml:space="preserve">Abstract (EN): </w:t>
      </w:r>
      <w:r>
        <w:t>Neurotransmitter release requires the precise localization and assembly of the SNARE machinery at presynaptic release sites. Although liquid–liquid phase separation of active zone scaffolds is known to organize these sites, the mechanism for the specific enrichment of the SNARE machinery has remained unclear. In this study, we establish that within RIM1/RIM-BP2 biomolecular condensates, Munc13-1 functions as an organizational hub that spatially sorts and concentrates cognate SNAREs, orchestrating their stepwise assembly. In particular, this condensate environment empowers Munc13-1 to cluster Syb2 into nanodomains on the vesicle membrane, dramatically increasing local SNARE density and ensuring efficient complex formation. Consequently, the introduction of RIM1/RIM-BP2 into PC12 cells enhances spatiotemporally precise dense-core vesicle exocytosis in a Munc13-dependent manner. Our findings suggest a model in which phase separation creates a privileged platform that enables Munc13-1 to direct SNARE complex assembly, thereby ensuring the speed and precision of synaptic vesicle exocytosis.</w:t>
      </w:r>
    </w:p>
    <w:p>
      <w:pPr>
        <w:spacing w:before="120" w:after="120"/>
      </w:pPr>
      <w:r>
        <w:rPr>
          <w:sz w:val="18"/>
        </w:rPr>
        <w:t>——————————————————————————————————————————————————————————————————————</w:t>
      </w:r>
    </w:p>
    <w:p>
      <w:pPr>
        <w:spacing w:before="160" w:after="40" w:line="240" w:lineRule="auto"/>
      </w:pPr>
      <w:r>
        <w:rPr>
          <w:b/>
        </w:rPr>
        <w:t xml:space="preserve">[192] </w:t>
      </w:r>
      <w:hyperlink r:id="rId518">
        <w:r>
          <w:rPr>
            <w:color w:val="1155CC"/>
            <w:u w:val="single"/>
          </w:rPr>
          <w:t>热和PIP2依赖的TRPM4活性是互斥性人类疾病的基础</w:t>
        </w:r>
      </w:hyperlink>
    </w:p>
    <w:p>
      <w:pPr>
        <w:spacing w:before="0" w:after="80"/>
      </w:pPr>
      <w:r>
        <w:rPr>
          <w:i/>
          <w:sz w:val="20"/>
        </w:rPr>
        <w:t>EN: Heat- and PIP2-dependent TRPM4 activity underlies mutually exclusive human diseases</w:t>
      </w:r>
    </w:p>
    <w:p>
      <w:pPr>
        <w:spacing w:before="0" w:after="120"/>
      </w:pPr>
      <w:r>
        <w:rPr>
          <w:b/>
        </w:rPr>
        <w:t xml:space="preserve">Source: </w:t>
      </w:r>
      <w:r>
        <w:t>Proceedings of the National Academy of Sciences: Keyword search for query</w:t>
      </w:r>
      <w:r>
        <w:t xml:space="preserve">    </w:t>
      </w:r>
      <w:r>
        <w:rPr>
          <w:b/>
        </w:rPr>
        <w:t xml:space="preserve">Pub date: </w:t>
      </w:r>
      <w:r>
        <w:t>2026-04-07 07:00:00+00:00</w:t>
      </w:r>
      <w:r>
        <w:t xml:space="preserve">    </w:t>
      </w:r>
      <w:r>
        <w:rPr>
          <w:b/>
        </w:rPr>
        <w:t xml:space="preserve">DOI: </w:t>
      </w:r>
      <w:hyperlink r:id="rId519">
        <w:r>
          <w:rPr>
            <w:color w:val="1155CC"/>
            <w:u w:val="single"/>
          </w:rPr>
          <w:t>10.1073/pnas.2530328123</w:t>
        </w:r>
      </w:hyperlink>
    </w:p>
    <w:p>
      <w:pPr>
        <w:spacing w:before="0" w:after="120"/>
      </w:pPr>
      <w:r>
        <w:rPr>
          <w:b/>
        </w:rPr>
        <w:t xml:space="preserve">Notes: </w:t>
      </w:r>
      <w:r>
        <w:t>abstract_source=crossref</w:t>
      </w:r>
    </w:p>
    <w:p>
      <w:pPr>
        <w:spacing w:before="0" w:after="80" w:lineRule="auto" w:line="276"/>
      </w:pPr>
      <w:r>
        <w:rPr>
          <w:b/>
        </w:rPr>
        <w:t xml:space="preserve">摘要（ZH）: </w:t>
      </w:r>
      <w:r>
        <w:t>温度敏感的瞬时受体电位黑色素亚家族4（TRPM4）离子通道将细胞内钙增加转化为膜去极化，从而在多种生理过程中连接这两种强大的细胞信号通路。TRPM4突变导致严重的人类遗传性心血管和皮肤疾病；神秘的是，尽管这些突变本质上是功能增益的，但它们对心脏和皮肤的影响是互斥的。在此，我们展示了磷脂酰肌醇4,5-二磷酸（PIP2）脂质是TRPM4活性的必需辅因子，通过紧密调节其钙敏感性。我们检测到两个PIP2结合位点，并将高亲和力位点定位于S4-S5连接区附近。我们证明了与皮肤疾病相关的TRPM4突变</w:t>
      </w:r>
    </w:p>
    <w:p>
      <w:pPr>
        <w:spacing w:before="0" w:after="200" w:lineRule="auto" w:line="276"/>
      </w:pPr>
      <w:r>
        <w:rPr>
          <w:b/>
        </w:rPr>
        <w:t xml:space="preserve">Abstract (EN): </w:t>
      </w:r>
      <w:r>
        <w:t>Temperature-sensitive transient receptor potential melastatin subfamily 4 (TRPM4) ion channels convert intracellular calcium increases into membrane depolarization, thereby linking these two powerful cellular signaling pathways in diverse physiological processes. TRPM4 mutations cause severe human hereditary cardiovascular and skin diseases; mysteriously, while these mutations are gain-of-function in nature, they affect the heart and the skin in a mutually exclusive manner. Here, we show that phosphatidylinositol 4,5-bisphosphate (PIP2) lipid is a required cofactor for TRPM4 activity by tightly regulating its calcium sensitivity. We detected two PIP2 binding sites and located the high-affinity site adjacent to the S4-S5 linker. We demonstrated that skin disease–associated TRPM4 mutations relieve the tight control of PIP2, resulting in elevated channel activity but only at the body surface temperature. In contrast, heart diseases are associated with mutations known to boost the number of channels, an effect we found to be annihilated by channel desensitization outside the body core. Indeed, dendritic cells from transgenic mice carrying a skin disease mutant exhibited elevated migration at 25-to-30°C range compared to those from normal mice, but no difference was observed at 37°C. These findings shed light on a molecular mechanism for dynamic regulation of cellular signaling in physiology and diseases.</w:t>
      </w:r>
    </w:p>
    <w:p>
      <w:pPr>
        <w:spacing w:before="120" w:after="120"/>
      </w:pPr>
      <w:r>
        <w:rPr>
          <w:sz w:val="18"/>
        </w:rPr>
        <w:t>——————————————————————————————————————————————————————————————————————</w:t>
      </w:r>
    </w:p>
    <w:p>
      <w:pPr>
        <w:spacing w:before="160" w:after="40" w:line="240" w:lineRule="auto"/>
      </w:pPr>
      <w:r>
        <w:rPr>
          <w:b/>
        </w:rPr>
        <w:t xml:space="preserve">[193] </w:t>
      </w:r>
      <w:hyperlink r:id="rId520">
        <w:r>
          <w:rPr>
            <w:color w:val="1155CC"/>
            <w:u w:val="single"/>
          </w:rPr>
          <w:t>病原体通过T3SS效应蛋白CteX劫持粘着斑信号传导</w:t>
        </w:r>
      </w:hyperlink>
    </w:p>
    <w:p>
      <w:pPr>
        <w:spacing w:before="0" w:after="80"/>
      </w:pPr>
      <w:r>
        <w:rPr>
          <w:i/>
          <w:sz w:val="20"/>
        </w:rPr>
        <w:t>EN: Pathogen hijacks focal adhesion signaling by a T3SS effector CteX</w:t>
      </w:r>
    </w:p>
    <w:p>
      <w:pPr>
        <w:spacing w:before="0" w:after="120"/>
      </w:pPr>
      <w:r>
        <w:rPr>
          <w:b/>
        </w:rPr>
        <w:t xml:space="preserve">Source: </w:t>
      </w:r>
      <w:r>
        <w:t>Proceedings of the National Academy of Sciences: Keyword search for query</w:t>
      </w:r>
      <w:r>
        <w:t xml:space="preserve">    </w:t>
      </w:r>
      <w:r>
        <w:rPr>
          <w:b/>
        </w:rPr>
        <w:t xml:space="preserve">Pub date: </w:t>
      </w:r>
      <w:r>
        <w:t>2026-04-07 07:00:00+00:00</w:t>
      </w:r>
      <w:r>
        <w:t xml:space="preserve">    </w:t>
      </w:r>
      <w:r>
        <w:rPr>
          <w:b/>
        </w:rPr>
        <w:t xml:space="preserve">DOI: </w:t>
      </w:r>
      <w:hyperlink r:id="rId521">
        <w:r>
          <w:rPr>
            <w:color w:val="1155CC"/>
            <w:u w:val="single"/>
          </w:rPr>
          <w:t>10.1073/pnas.2530673123</w:t>
        </w:r>
      </w:hyperlink>
    </w:p>
    <w:p>
      <w:pPr>
        <w:spacing w:before="0" w:after="120"/>
      </w:pPr>
      <w:r>
        <w:rPr>
          <w:b/>
        </w:rPr>
        <w:t xml:space="preserve">Notes: </w:t>
      </w:r>
      <w:r>
        <w:t>abstract_source=crossref</w:t>
      </w:r>
    </w:p>
    <w:p>
      <w:pPr>
        <w:spacing w:before="0" w:after="80" w:lineRule="auto" w:line="276"/>
      </w:pPr>
      <w:r>
        <w:rPr>
          <w:b/>
        </w:rPr>
        <w:t xml:space="preserve">摘要（ZH）: </w:t>
      </w:r>
      <w:r>
        <w:t>由革兰氏阴性病原体如沙门氏菌和志贺氏菌引起的感染依赖于III型分泌系统（T3SS）效应蛋白。虽然机会性病原体紫色杆菌编码了一个关键的T3SS（Cpi-1/-1a），但其完整的效应蛋白库仍未定义。在此，我们对紫色杆菌Cpi-1/-1a T3SS分泌组进行了全面的蛋白质组学分析。我们的分析不仅确认了已知的效应蛋白，还揭示了CteX，这是一种此前没有功能注释的效应蛋白。结构测定显示CteX采用了类似木瓜蛋白酶的折叠，且功能</w:t>
      </w:r>
    </w:p>
    <w:p>
      <w:pPr>
        <w:spacing w:before="0" w:after="200" w:lineRule="auto" w:line="276"/>
      </w:pPr>
      <w:r>
        <w:rPr>
          <w:b/>
        </w:rPr>
        <w:t xml:space="preserve">Abstract (EN): </w:t>
      </w:r>
      <w:r>
        <w:t>Infections by Gram-negative pathogens like</w:t>
      </w:r>
      <w:r>
        <w:t xml:space="preserve"> </w:t>
      </w:r>
      <w:r>
        <w:t>Salmonella</w:t>
      </w:r>
      <w:r>
        <w:t xml:space="preserve"> </w:t>
      </w:r>
      <w:r>
        <w:t>and</w:t>
      </w:r>
      <w:r>
        <w:t xml:space="preserve"> </w:t>
      </w:r>
      <w:r>
        <w:t>Shigella</w:t>
      </w:r>
      <w:r>
        <w:t xml:space="preserve"> </w:t>
      </w:r>
      <w:r>
        <w:t>rely on type III secretion system (T3SS) effectors. While the opportunistic pathogen</w:t>
      </w:r>
      <w:r>
        <w:t xml:space="preserve"> </w:t>
      </w:r>
      <w:r>
        <w:t>Chromobacterium violaceum</w:t>
      </w:r>
      <w:r>
        <w:t xml:space="preserve"> </w:t>
      </w:r>
      <w:r>
        <w:t>encodes a crucial T3SS (Cpi-1/-1a), its full effector repertoire remains undefined. Here, we performed a comprehensive proteomic analysis of the</w:t>
      </w:r>
      <w:r>
        <w:t xml:space="preserve"> </w:t>
      </w:r>
      <w:r>
        <w:t>C.v.</w:t>
      </w:r>
      <w:r>
        <w:t xml:space="preserve"> </w:t>
      </w:r>
      <w:r>
        <w:t>Cpi-1/-1a T3SS secretome. Our analysis not only confirmed known effectors but also unveiled CteX, an effector with no prior functional annotation. Structural determination revealed that CteX adopts a papain-like fold, and functional studies demonstrated that it acts as a cysteine protease that specifically cleaves the focal adhesion adapter protein Paxillinα. This proteolytic activity triggers the collapse of focal adhesions and actin cytoskeleton. CteX-mediated cytoskeletal remodeling limits excessive invasion of epithelial cells by</w:t>
      </w:r>
      <w:r>
        <w:t xml:space="preserve"> </w:t>
      </w:r>
      <w:r>
        <w:t>C. violaceum</w:t>
      </w:r>
      <w:r>
        <w:t xml:space="preserve"> </w:t>
      </w:r>
      <w:r>
        <w:t>, which could otherwise lead to widespread cell death and premature bacterial exposure. Further, animal infection models confirm that CteX is essential for the virulence and sustained colonization of</w:t>
      </w:r>
      <w:r>
        <w:t xml:space="preserve"> </w:t>
      </w:r>
      <w:r>
        <w:t>C. violaceum</w:t>
      </w:r>
      <w:r>
        <w:t xml:space="preserve"> </w:t>
      </w:r>
      <w:r>
        <w:t>. Thus, we identify CteX as a T3SS effector that orchestrates bacterial persistence through the unexpected proteolytic targeting of host focal adhesions.</w:t>
      </w:r>
    </w:p>
    <w:p>
      <w:pPr>
        <w:spacing w:before="120" w:after="120"/>
      </w:pPr>
      <w:r>
        <w:rPr>
          <w:sz w:val="18"/>
        </w:rPr>
        <w:t>——————————————————————————————————————————————————————————————————————</w:t>
      </w:r>
    </w:p>
    <w:p>
      <w:pPr>
        <w:spacing w:before="160" w:after="40" w:line="240" w:lineRule="auto"/>
      </w:pPr>
      <w:r>
        <w:rPr>
          <w:b/>
        </w:rPr>
        <w:t xml:space="preserve">[194] </w:t>
      </w:r>
      <w:hyperlink r:id="rId522">
        <w:r>
          <w:rPr>
            <w:color w:val="1155CC"/>
            <w:u w:val="single"/>
          </w:rPr>
          <w:t>个体体素偏好的图像颜色可用于划分功能上不同的视觉响应脑区</w:t>
        </w:r>
      </w:hyperlink>
    </w:p>
    <w:p>
      <w:pPr>
        <w:spacing w:before="0" w:after="80"/>
      </w:pPr>
      <w:r>
        <w:rPr>
          <w:i/>
          <w:sz w:val="20"/>
        </w:rPr>
        <w:t>EN: The colors of images preferred by individual voxels can be used to delineate functionally distinct visually responsive brain areas</w:t>
      </w:r>
    </w:p>
    <w:p>
      <w:pPr>
        <w:spacing w:before="0" w:after="120"/>
      </w:pPr>
      <w:r>
        <w:rPr>
          <w:b/>
        </w:rPr>
        <w:t xml:space="preserve">Source: </w:t>
      </w:r>
      <w:r>
        <w:t>Proceedings of the National Academy of Sciences: Keyword search for query</w:t>
      </w:r>
      <w:r>
        <w:t xml:space="preserve">    </w:t>
      </w:r>
      <w:r>
        <w:rPr>
          <w:b/>
        </w:rPr>
        <w:t xml:space="preserve">Pub date: </w:t>
      </w:r>
      <w:r>
        <w:t>2026-04-07 07:00:00+00:00</w:t>
      </w:r>
      <w:r>
        <w:t xml:space="preserve">    </w:t>
      </w:r>
      <w:r>
        <w:rPr>
          <w:b/>
        </w:rPr>
        <w:t xml:space="preserve">DOI: </w:t>
      </w:r>
      <w:hyperlink r:id="rId523">
        <w:r>
          <w:rPr>
            <w:color w:val="1155CC"/>
            <w:u w:val="single"/>
          </w:rPr>
          <w:t>10.1073/pnas.2535986123</w:t>
        </w:r>
      </w:hyperlink>
    </w:p>
    <w:p>
      <w:pPr>
        <w:spacing w:before="0" w:after="120"/>
      </w:pPr>
      <w:r>
        <w:rPr>
          <w:b/>
        </w:rPr>
        <w:t xml:space="preserve">Notes: </w:t>
      </w:r>
      <w:r>
        <w:t>abstract_source=crossref</w:t>
      </w:r>
    </w:p>
    <w:p>
      <w:pPr>
        <w:spacing w:before="0" w:after="80" w:lineRule="auto" w:line="276"/>
      </w:pPr>
      <w:r>
        <w:rPr>
          <w:b/>
        </w:rPr>
        <w:t xml:space="preserve">摘要（ZH）: </w:t>
      </w:r>
      <w:r>
        <w:t>我们利用自然场景中色彩与其他属性的共现来识别和可视化功能上不同的脑区。对于自然场景数据集（NSD）中的每个体素，我们计算了刺激图像的缩放响应加权平均值。“体素偏好图像”（VPI）的颜色反映了在自然场景中与颜色共变的刺激属性：颜色作为体素响应中功能区别的标记。将VPI映射到皮层表面揭示了可靠且结构化的颜色模式，这些模式将体素簇分段。类似颜色的VPI簇之间的边界往往与使用其他方法定义的边界一致，区域内的异质性表明功能上的细分。VPI提供了一种简单的数据驱动方法用于分析</w:t>
      </w:r>
    </w:p>
    <w:p>
      <w:pPr>
        <w:spacing w:before="0" w:after="200" w:lineRule="auto" w:line="276"/>
      </w:pPr>
      <w:r>
        <w:rPr>
          <w:b/>
        </w:rPr>
        <w:t xml:space="preserve">Abstract (EN): </w:t>
      </w:r>
      <w:r>
        <w:t>We exploited co-occurrences between color and other properties of natural scenes to identify and visualize functionally distinct brain regions. For each voxel in the Natural Scenes Dataset (NSD), we computed a scaled response-weighted average of the stimulus images. The colors of “voxel-preferred images” (VPIs) reflect stimulus properties that covary with color in natural scenes: Color serves as a tag for functional distinctions in voxel responses. Mapping VPIs onto cortical surfaces revealed reliable and structured color patterns that segment voxel clusters. Boundaries between clusters of similarly colored VPIs tend to coincide with boundaries defined using other methods, and heterogeneity within regions suggests functional subdivisions. VPIs provide a simple data-driven method for analyzing fMRI responses to natural scenes and visualizing cortical organization.</w:t>
      </w:r>
    </w:p>
    <w:p>
      <w:pPr>
        <w:spacing w:before="120" w:after="120"/>
      </w:pPr>
      <w:r>
        <w:rPr>
          <w:sz w:val="18"/>
        </w:rPr>
        <w:t>——————————————————————————————————————————————————————————————————————</w:t>
      </w:r>
    </w:p>
    <w:p>
      <w:pPr>
        <w:spacing w:before="160" w:after="40" w:line="240" w:lineRule="auto"/>
      </w:pPr>
      <w:r>
        <w:rPr>
          <w:b/>
        </w:rPr>
        <w:t xml:space="preserve">[195] </w:t>
      </w:r>
      <w:hyperlink r:id="rId524">
        <w:r>
          <w:rPr>
            <w:color w:val="1155CC"/>
            <w:u w:val="single"/>
          </w:rPr>
          <w:t>室管膜细胞衍生的乳酸激活星形胶质细胞HCAR1以调节谷氨酸能信号传导和POMC神经元的兴奋性</w:t>
        </w:r>
      </w:hyperlink>
    </w:p>
    <w:p>
      <w:pPr>
        <w:spacing w:before="0" w:after="80"/>
      </w:pPr>
      <w:r>
        <w:rPr>
          <w:i/>
          <w:sz w:val="20"/>
        </w:rPr>
        <w:t>EN: Tanycyte-derived lactate activates astrocytic HCAR1 to modulate glutamatergic signaling and POMC neuron excitability</w:t>
      </w:r>
    </w:p>
    <w:p>
      <w:pPr>
        <w:spacing w:before="0" w:after="120"/>
      </w:pPr>
      <w:r>
        <w:rPr>
          <w:b/>
        </w:rPr>
        <w:t xml:space="preserve">Source: </w:t>
      </w:r>
      <w:r>
        <w:t>Proceedings of the National Academy of Sciences: Keyword search for query</w:t>
      </w:r>
      <w:r>
        <w:t xml:space="preserve">    </w:t>
      </w:r>
      <w:r>
        <w:rPr>
          <w:b/>
        </w:rPr>
        <w:t xml:space="preserve">Pub date: </w:t>
      </w:r>
      <w:r>
        <w:t>2026-04-07 07:00:00+00:00</w:t>
      </w:r>
      <w:r>
        <w:t xml:space="preserve">    </w:t>
      </w:r>
      <w:r>
        <w:rPr>
          <w:b/>
        </w:rPr>
        <w:t xml:space="preserve">DOI: </w:t>
      </w:r>
      <w:hyperlink r:id="rId525">
        <w:r>
          <w:rPr>
            <w:color w:val="1155CC"/>
            <w:u w:val="single"/>
          </w:rPr>
          <w:t>10.1073/pnas.2537810123</w:t>
        </w:r>
      </w:hyperlink>
    </w:p>
    <w:p>
      <w:pPr>
        <w:spacing w:before="0" w:after="120"/>
      </w:pPr>
      <w:r>
        <w:rPr>
          <w:b/>
        </w:rPr>
        <w:t xml:space="preserve">Notes: </w:t>
      </w:r>
      <w:r>
        <w:t>abstract_source=crossref</w:t>
      </w:r>
    </w:p>
    <w:p>
      <w:pPr>
        <w:spacing w:before="0" w:after="80" w:lineRule="auto" w:line="276"/>
      </w:pPr>
      <w:r>
        <w:rPr>
          <w:b/>
        </w:rPr>
        <w:t xml:space="preserve">摘要（ZH）: </w:t>
      </w:r>
      <w:r>
        <w:t>星形胶质细胞和室管膜下区细胞在下丘脑代谢感知中起重要作用，但胶质细胞间的通信如何将代谢信号转化为神经元活动仍不清楚。我们之前证明了室管膜下区细胞释放乳酸，这种代谢物调节弓状核促黑皮质素（POMC）神经元的活动。在此，我们确定乳酸受体HCAR1是弓状核中室管膜下区细胞-星形胶质细胞-神经元信号传导的关键介质。我们显示HCAR1在下丘脑星形胶质细胞中高度表达，并存在于一部分NPY神经元中。在初级下丘脑培养物中，L-乳酸作为HCAR1的内源性激动剂，引发了星形胶质细胞胞质Ca2+的增加，并刺激了谷氨酸释放；这两种效应均为</w:t>
      </w:r>
    </w:p>
    <w:p>
      <w:pPr>
        <w:spacing w:before="0" w:after="200" w:lineRule="auto" w:line="276"/>
      </w:pPr>
      <w:r>
        <w:rPr>
          <w:b/>
        </w:rPr>
        <w:t xml:space="preserve">Abstract (EN): </w:t>
      </w:r>
      <w:r>
        <w:t>Astrocytes and tanycytes play essential roles in hypothalamic metabolic sensing, yet how glial–glial communication translates metabolic cues into neuronal activity remains poorly understood. We previously demonstrated that tanycytes release lactate and that this metabolite modulates the activity of arcuate pro-opiomelanocortin (POMC) neurons. Here, we identify the lactate receptor, HCAR1, as a key mediator of tanycytes-astrocyte-neuron signaling in the arcuate nucleus. We show that HCAR1 is highly expressed in hypothalamic astrocytes and present in a subset of NPY neurons. In primary hypothalamic cultures, L-lactate, the endogenous agonist of HCAR1, elicited increases in astrocytic cytosolic Ca</w:t>
      </w:r>
      <w:r>
        <w:t xml:space="preserve"> </w:t>
      </w:r>
      <w:r>
        <w:t>2+</w:t>
      </w:r>
      <w:r>
        <w:t xml:space="preserve"> </w:t>
      </w:r>
      <w:r>
        <w:t>and stimulated glutamate release; both effects were abolished by HCAR1 silencing using siRNA. In parallel, L-lactate and 3Cl-HBA increased connexin hemichannel activity, and hemichannel inhibition reduced glutamate release. Consistent with these in vitro observations, focal intracellular glucose delivery to a single tanycyte in acute hypothalamic slices triggered rapid Ca</w:t>
      </w:r>
      <w:r>
        <w:t xml:space="preserve"> </w:t>
      </w:r>
      <w:r>
        <w:t>2+</w:t>
      </w:r>
      <w:r>
        <w:t xml:space="preserve"> </w:t>
      </w:r>
      <w:r>
        <w:t>elevations in neighboring astrocytes, revealing functional glial–glial communication in situ. Importantly, activation of astrocytic HCAR1 enhanced NMDA receptor-dependent slow inward currents and excitability in POMC neurons, an effect reproduced by pharmacological HCAR1 agonists and abolished by astrocytic HCAR1 silencing. Together, these findings uncover a glial metabolic relay in which tanycyte-derived lactate activates astrocytic HCAR1, promotes glutamate release, and enhances POMC neuron excitability, providing a mechanistic link between cerebrospinal fluid-borne glucose fluctuations and hypothalamic control of feeding.</w:t>
      </w:r>
    </w:p>
    <w:p>
      <w:pPr>
        <w:spacing w:before="120" w:after="120"/>
      </w:pPr>
      <w:r>
        <w:rPr>
          <w:sz w:val="18"/>
        </w:rPr>
        <w:t>——————————————————————————————————————————————————————————————————————</w:t>
      </w:r>
    </w:p>
    <w:p>
      <w:pPr>
        <w:spacing w:before="160" w:after="40" w:line="240" w:lineRule="auto"/>
      </w:pPr>
      <w:r>
        <w:rPr>
          <w:b/>
        </w:rPr>
        <w:t xml:space="preserve">[196] </w:t>
      </w:r>
      <w:hyperlink r:id="rId526">
        <w:r>
          <w:rPr>
            <w:color w:val="1155CC"/>
            <w:u w:val="single"/>
          </w:rPr>
          <w:t>缺氧诱导因子通过增强先天免疫感知来调节肺病毒复制</w:t>
        </w:r>
      </w:hyperlink>
    </w:p>
    <w:p>
      <w:pPr>
        <w:spacing w:before="0" w:after="80"/>
      </w:pPr>
      <w:r>
        <w:rPr>
          <w:i/>
          <w:sz w:val="20"/>
        </w:rPr>
        <w:t>EN: Hypoxia inducible factors regulate pneumovirus replication by enhancing innate immune sensing</w:t>
      </w:r>
    </w:p>
    <w:p>
      <w:pPr>
        <w:spacing w:before="0" w:after="120"/>
      </w:pPr>
      <w:r>
        <w:rPr>
          <w:b/>
        </w:rPr>
        <w:t xml:space="preserve">Source: </w:t>
      </w:r>
      <w:r>
        <w:t>Proceedings of the National Academy of Sciences: Keyword search for query</w:t>
      </w:r>
      <w:r>
        <w:t xml:space="preserve">    </w:t>
      </w:r>
      <w:r>
        <w:rPr>
          <w:b/>
        </w:rPr>
        <w:t xml:space="preserve">Pub date: </w:t>
      </w:r>
      <w:r>
        <w:t>2026-04-07 07:00:00+00:00</w:t>
      </w:r>
      <w:r>
        <w:t xml:space="preserve">    </w:t>
      </w:r>
      <w:r>
        <w:rPr>
          <w:b/>
        </w:rPr>
        <w:t xml:space="preserve">DOI: </w:t>
      </w:r>
      <w:hyperlink r:id="rId527">
        <w:r>
          <w:rPr>
            <w:color w:val="1155CC"/>
            <w:u w:val="single"/>
          </w:rPr>
          <w:t>10.1073/pnas.2506647123</w:t>
        </w:r>
      </w:hyperlink>
    </w:p>
    <w:p>
      <w:pPr>
        <w:spacing w:before="0" w:after="120"/>
      </w:pPr>
      <w:r>
        <w:rPr>
          <w:b/>
        </w:rPr>
        <w:t xml:space="preserve">Notes: </w:t>
      </w:r>
      <w:r>
        <w:t>abstract_source=crossref</w:t>
      </w:r>
    </w:p>
    <w:p>
      <w:pPr>
        <w:spacing w:before="0" w:after="80" w:lineRule="auto" w:line="276"/>
      </w:pPr>
      <w:r>
        <w:rPr>
          <w:b/>
        </w:rPr>
        <w:t xml:space="preserve">摘要（ZH）: </w:t>
      </w:r>
      <w:r>
        <w:t>在肺病毒感染中负责保护和发病机制的免疫机制尚未明确。我们证明了使用达普罗司他激活缺氧诱导因子（HIF）信号轴的药理学方法，通过增强免疫信号限制了病毒复制。转录组分析显示，HIF增强了先天免疫反应基因的激活，包括在感染小鼠肺炎病毒（PVM）的小鼠肺和脾中的干扰素刺激基因15（Isg15）。在人类呼吸道合胞病毒（hRSV）感染的气道上皮细胞中，达普罗司他以HIF依赖的方式抑制了病毒复制并增强了ISG15的表达。重要的是，抑制I型干扰素信号或RIG-I感知</w:t>
      </w:r>
    </w:p>
    <w:p>
      <w:pPr>
        <w:spacing w:before="0" w:after="200" w:lineRule="auto" w:line="276"/>
      </w:pPr>
      <w:r>
        <w:rPr>
          <w:b/>
        </w:rPr>
        <w:t xml:space="preserve">Abstract (EN): </w:t>
      </w:r>
      <w:r>
        <w:t>The immune mechanisms responsible for protection and pathogenesis in pneumoviral infection are not well defined. We demonstrated that pharmacological activation of the hypoxic inducible factor (HIF) signaling axis using daprodustat limited viral replication through enhanced immune signaling. Transcriptomic analysis revealed HIF augmented activation of innate immune response genes, including interferon-stimulated gene 15 (</w:t>
      </w:r>
      <w:r>
        <w:t xml:space="preserve"> </w:t>
      </w:r>
      <w:r>
        <w:t>Isg15</w:t>
      </w:r>
      <w:r>
        <w:t xml:space="preserve"> </w:t>
      </w:r>
      <w:r>
        <w:t>), in the lung and spleen of mice infected with pneumonia virus of mice (PVM). In human respiratory syncytial virus (hRSV)-infected airway epithelial cells, daprodustat inhibited viral replication and enhanced ISG15 expression in a HIF-dependent manner. Importantly, inhibition of type I interferon signaling or the RIG-I sensing pathway abrogated the antiviral activity of HIF. Moreover, daprodustat increased interferon signaling in response to viral RNA, suggesting that HIF inhibits pneumovirus replication through enhancing viral RNA sensing. Mechanistically, daprodustat reduced N</w:t>
      </w:r>
      <w:r>
        <w:rPr>
          <w:vertAlign w:val="subscript"/>
        </w:rPr>
        <w:t>6</w:t>
      </w:r>
      <w:r>
        <w:t>-methyladenosine modification of viral RNA through upregulation of RNA demethylases, promoting detection by innate immune sensors. This study highlights the intricate interplay between hypoxia and antiviral immunity and offers valuable insights into pneumovirus–host interactions and potential therapeutic interventions.</w:t>
      </w:r>
    </w:p>
    <w:p>
      <w:pPr>
        <w:spacing w:before="120" w:after="120"/>
      </w:pPr>
      <w:r>
        <w:rPr>
          <w:sz w:val="18"/>
        </w:rPr>
        <w:t>——————————————————————————————————————————————————————————————————————</w:t>
      </w:r>
    </w:p>
    <w:p>
      <w:pPr>
        <w:spacing w:before="160" w:after="40" w:line="240" w:lineRule="auto"/>
      </w:pPr>
      <w:r>
        <w:rPr>
          <w:b/>
        </w:rPr>
        <w:t xml:space="preserve">[197] </w:t>
      </w:r>
      <w:hyperlink r:id="rId528">
        <w:r>
          <w:rPr>
            <w:color w:val="1155CC"/>
            <w:u w:val="single"/>
          </w:rPr>
          <w:t>衰老改变小鼠中DNA结构引发的遗传不稳定性</w:t>
        </w:r>
      </w:hyperlink>
    </w:p>
    <w:p>
      <w:pPr>
        <w:spacing w:before="0" w:after="80"/>
      </w:pPr>
      <w:r>
        <w:rPr>
          <w:i/>
          <w:sz w:val="20"/>
        </w:rPr>
        <w:t>EN: Aging alters DNA structure–induced genetic instability in mice</w:t>
      </w:r>
    </w:p>
    <w:p>
      <w:pPr>
        <w:spacing w:before="0" w:after="120"/>
      </w:pPr>
      <w:r>
        <w:rPr>
          <w:b/>
        </w:rPr>
        <w:t xml:space="preserve">Source: </w:t>
      </w:r>
      <w:r>
        <w:t>Proceedings of the National Academy of Sciences: Keyword search for query</w:t>
      </w:r>
      <w:r>
        <w:t xml:space="preserve">    </w:t>
      </w:r>
      <w:r>
        <w:rPr>
          <w:b/>
        </w:rPr>
        <w:t xml:space="preserve">Pub date: </w:t>
      </w:r>
      <w:r>
        <w:t>2026-04-07 07:00:00+00:00</w:t>
      </w:r>
      <w:r>
        <w:t xml:space="preserve">    </w:t>
      </w:r>
      <w:r>
        <w:rPr>
          <w:b/>
        </w:rPr>
        <w:t xml:space="preserve">DOI: </w:t>
      </w:r>
      <w:hyperlink r:id="rId529">
        <w:r>
          <w:rPr>
            <w:color w:val="1155CC"/>
            <w:u w:val="single"/>
          </w:rPr>
          <w:t>10.1073/pnas.2600482123</w:t>
        </w:r>
      </w:hyperlink>
    </w:p>
    <w:p>
      <w:pPr>
        <w:spacing w:before="0" w:after="120"/>
      </w:pPr>
      <w:r>
        <w:rPr>
          <w:b/>
        </w:rPr>
        <w:t xml:space="preserve">Notes: </w:t>
      </w:r>
      <w:r>
        <w:t>abstract_source=crossref</w:t>
      </w:r>
    </w:p>
    <w:p>
      <w:pPr>
        <w:spacing w:before="0" w:after="80" w:lineRule="auto" w:line="276"/>
      </w:pPr>
      <w:r>
        <w:rPr>
          <w:b/>
        </w:rPr>
        <w:t xml:space="preserve">摘要（ZH）: </w:t>
      </w:r>
      <w:r>
        <w:t>重复DNA序列可以采用替代（即非B型）DNA结构，这代表了遗传不稳定性的内源性来源。Z-DNA是一种非B-DNA结构，已被认为与癌症和阿尔茨海默病等年龄相关的遗传疾病的发展有关。之前，我们发现Z-DNA在哺乳动物中具有诱变性；然而，年龄对Z-DNA诱导的遗传不稳定性的影响尚未被探索。在此，我们使用转基因突变报告小鼠模型研究了衰老对Z-DNA诱导的遗传不稳定性的影响。我们发现Z-DNA在所有测试的组织中比对照B-DNA更具诱变性。与最初的预期相反，Z-DNA诱导的缺失随着年龄的增长而减少，而点突变频率保持不变。我们的结果表明</w:t>
      </w:r>
    </w:p>
    <w:p>
      <w:pPr>
        <w:spacing w:before="0" w:after="200" w:lineRule="auto" w:line="276"/>
      </w:pPr>
      <w:r>
        <w:rPr>
          <w:b/>
        </w:rPr>
        <w:t xml:space="preserve">Abstract (EN): </w:t>
      </w:r>
      <w:r>
        <w:t>Repetitive DNA sequences can adopt alternative (i.e., non-B) DNA structures, which represent an endogenous source of genetic instability. Z-DNA, a non-B-DNA structure, has been implicated in the development of age-related genetic disorders such as cancer and Alzheimer’s disease. Previously, we found that Z-DNA is mutagenic in mammals; however, the impact of age on Z-DNA-induced genetic instability has not yet been explored. Here, we investigated the effects of aging on Z-DNA-induced genetic instability using a transgenic mutation reporter mouse model. We found that Z-DNA was more mutagenic than control B-DNA in all tissues tested. Contrary to initial expectations, Z-DNA-induced deletions decreased with age, whereas the point mutation frequencies remained unchanged. Our results suggest that while the cleavage activities on Z-DNA were similar in both age groups, the reduction of Z-DNA-induced deletion mutants in aged mice was due to attenuated DNA end-joining efficiency, which is required for the mutagenic processing of Z-DNA, and increased apoptosis. These results provide mechanistic insight into age-associated genetic instability and the aging-cancer link.</w:t>
      </w:r>
    </w:p>
    <w:p>
      <w:pPr>
        <w:spacing w:before="120" w:after="120"/>
      </w:pPr>
      <w:r>
        <w:rPr>
          <w:sz w:val="18"/>
        </w:rPr>
        <w:t>——————————————————————————————————————————————————————————————————————</w:t>
      </w:r>
    </w:p>
    <w:p>
      <w:pPr>
        <w:spacing w:before="160" w:after="40" w:line="240" w:lineRule="auto"/>
      </w:pPr>
      <w:r>
        <w:rPr>
          <w:b/>
        </w:rPr>
        <w:t xml:space="preserve">[198] </w:t>
      </w:r>
      <w:hyperlink r:id="rId530">
        <w:r>
          <w:rPr>
            <w:color w:val="1155CC"/>
            <w:u w:val="single"/>
          </w:rPr>
          <w:t>C-降解子通过允许非活性Chk1的稳定性并在激活时使其短命来调节Chk1激酶</w:t>
        </w:r>
      </w:hyperlink>
    </w:p>
    <w:p>
      <w:pPr>
        <w:spacing w:before="0" w:after="80"/>
      </w:pPr>
      <w:r>
        <w:rPr>
          <w:i/>
          <w:sz w:val="20"/>
        </w:rPr>
        <w:t>EN: A C-degron regulates Chk1 kinase by allowing stability of inactive Chk1 and by making it short- lived upon activation</w:t>
      </w:r>
    </w:p>
    <w:p>
      <w:pPr>
        <w:spacing w:before="0" w:after="120"/>
      </w:pPr>
      <w:r>
        <w:rPr>
          <w:b/>
        </w:rPr>
        <w:t xml:space="preserve">Source: </w:t>
      </w:r>
      <w:r>
        <w:t>Proceedings of the National Academy of Sciences: Keyword search for query</w:t>
      </w:r>
      <w:r>
        <w:t xml:space="preserve">    </w:t>
      </w:r>
      <w:r>
        <w:rPr>
          <w:b/>
        </w:rPr>
        <w:t xml:space="preserve">Pub date: </w:t>
      </w:r>
      <w:r>
        <w:t>2026-04-07 07:00:00+00:00</w:t>
      </w:r>
      <w:r>
        <w:t xml:space="preserve">    </w:t>
      </w:r>
      <w:r>
        <w:rPr>
          <w:b/>
        </w:rPr>
        <w:t xml:space="preserve">DOI: </w:t>
      </w:r>
      <w:hyperlink r:id="rId531">
        <w:r>
          <w:rPr>
            <w:color w:val="1155CC"/>
            <w:u w:val="single"/>
          </w:rPr>
          <w:t>10.1073/pnas.2605594123</w:t>
        </w:r>
      </w:hyperlink>
    </w:p>
    <w:p>
      <w:pPr>
        <w:spacing w:before="0" w:after="120"/>
      </w:pPr>
      <w:r>
        <w:rPr>
          <w:b/>
        </w:rPr>
        <w:t xml:space="preserve">Notes: </w:t>
      </w:r>
      <w:r>
        <w:t>abstract_source=crossref</w:t>
      </w:r>
    </w:p>
    <w:p>
      <w:pPr>
        <w:spacing w:before="0" w:after="80" w:lineRule="auto" w:line="276"/>
      </w:pPr>
      <w:r>
        <w:rPr>
          <w:b/>
        </w:rPr>
        <w:t xml:space="preserve">摘要（ZH）: </w:t>
      </w:r>
      <w:r>
        <w:t>酿酒酵母的Arg/N-降解子途径由两个相互作用的E3泛素连接酶Ubr1和Ufd4介导。我们在此展示有丝分裂检查点激酶Chk1具有一个可以被Ubr1和Ufd4识别的C-降解子。Ubr1是一个可以靶向N-降解子和C-降解子的E3。删除全长Chk1 1-527的C末端4个残基会消除Ubr1/Ufd4对生成的Chk1 1-523的大部分亲和力，抑制其多泛素化和降解，并阻止细胞生长。4个残基C末端（Ct）删除的Chk1 1-523的毒性被追溯到其激酶</w:t>
      </w:r>
    </w:p>
    <w:p>
      <w:pPr>
        <w:spacing w:before="0" w:after="200" w:lineRule="auto" w:line="276"/>
      </w:pPr>
      <w:r>
        <w:rPr>
          <w:b/>
        </w:rPr>
        <w:t xml:space="preserve">Abstract (EN): </w:t>
      </w:r>
      <w:r>
        <w:t>The Arg/N-degron pathway of</w:t>
      </w:r>
      <w:r>
        <w:t xml:space="preserve"> </w:t>
      </w:r>
      <w:r>
        <w:t>Saccharomyces cerevisiae</w:t>
      </w:r>
      <w:r>
        <w:t xml:space="preserve"> </w:t>
      </w:r>
      <w:r>
        <w:t>is mediated by two interacting E3 ubiquitin ligases, Ubr1 and Ufd4. We show here that the mitotic checkpoint kinase Chk1 bears a C-degron that can be recognized by both Ubr1 and Ufd4. Ubr1 is an E3 that can target both N-degrons and C-degrons. Deleting 4 residues from the C terminus of full-length Chk1</w:t>
      </w:r>
      <w:r>
        <w:t xml:space="preserve"> </w:t>
      </w:r>
      <w:r>
        <w:t>1-527</w:t>
      </w:r>
      <w:r>
        <w:t xml:space="preserve"> </w:t>
      </w:r>
      <w:r>
        <w:t>abrogates the bulk of Ubr1/Ufd4 affinity for the resulting Chk1</w:t>
      </w:r>
      <w:r>
        <w:t xml:space="preserve"> </w:t>
      </w:r>
      <w:r>
        <w:t>1-523</w:t>
      </w:r>
      <w:r>
        <w:t xml:space="preserve"> </w:t>
      </w:r>
      <w:r>
        <w:t>, inhibits its polyubiquitylation and degradation, and arrests cell growth. Toxicity of the 4-residue C-terminally (Ct)-deleted Chk1</w:t>
      </w:r>
      <w:r>
        <w:t xml:space="preserve"> </w:t>
      </w:r>
      <w:r>
        <w:t>1-523</w:t>
      </w:r>
      <w:r>
        <w:t xml:space="preserve"> </w:t>
      </w:r>
      <w:r>
        <w:t>was traced to its kinase activity, since the kinase-inactive</w:t>
      </w:r>
      <w:r>
        <w:t xml:space="preserve"> </w:t>
      </w:r>
      <w:r>
        <w:t>C</w:t>
      </w:r>
      <w:r>
        <w:t xml:space="preserve"> </w:t>
      </w:r>
      <w:r>
        <w:t>h</w:t>
      </w:r>
      <w:r>
        <w:t xml:space="preserve"> </w:t>
      </w:r>
      <w:r>
        <w:t>k</w:t>
      </w:r>
      <w:r>
        <w:rPr>
          <w:vertAlign w:val="subscript"/>
        </w:rPr>
        <w:t>1</w:t>
      </w:r>
      <w:r>
        <w:t xml:space="preserve"> </w:t>
      </w:r>
      <w:r>
        <w:t>D</w:t>
      </w:r>
      <w:r>
        <w:rPr>
          <w:vertAlign w:val="subscript"/>
        </w:rPr>
        <w:t>142</w:t>
      </w:r>
      <w:r>
        <w:t>A</w:t>
      </w:r>
      <w:r>
        <w:t xml:space="preserve"> </w:t>
      </w:r>
      <w:r>
        <w:rPr>
          <w:vertAlign w:val="subscript"/>
        </w:rPr>
        <w:t>1</w:t>
      </w:r>
      <w:r>
        <w:t>-</w:t>
      </w:r>
      <w:r>
        <w:rPr>
          <w:vertAlign w:val="subscript"/>
        </w:rPr>
        <w:t>523</w:t>
      </w:r>
      <w:r>
        <w:t xml:space="preserve"> </w:t>
      </w:r>
      <w:r>
        <w:t>was nontoxic. The L506R mutation is known to activate Chk1 kinase in a way that bypasses other Chk1 activation pathways. Both kinase-active and kinase-inactive Chk1 proteins that contained the L506R mutation (</w:t>
      </w:r>
      <w:r>
        <w:t xml:space="preserve"> </w:t>
      </w:r>
      <w:r>
        <w:t>C</w:t>
      </w:r>
      <w:r>
        <w:t xml:space="preserve"> </w:t>
      </w:r>
      <w:r>
        <w:t>h</w:t>
      </w:r>
      <w:r>
        <w:t xml:space="preserve"> </w:t>
      </w:r>
      <w:r>
        <w:t>k</w:t>
      </w:r>
      <w:r>
        <w:rPr>
          <w:vertAlign w:val="subscript"/>
        </w:rPr>
        <w:t>1</w:t>
      </w:r>
      <w:r>
        <w:t xml:space="preserve"> </w:t>
      </w:r>
      <w:r>
        <w:t>L</w:t>
      </w:r>
      <w:r>
        <w:rPr>
          <w:vertAlign w:val="subscript"/>
        </w:rPr>
        <w:t>506</w:t>
      </w:r>
      <w:r>
        <w:t>R</w:t>
      </w:r>
      <w:r>
        <w:t xml:space="preserve"> </w:t>
      </w:r>
      <w:r>
        <w:rPr>
          <w:vertAlign w:val="subscript"/>
        </w:rPr>
        <w:t>1</w:t>
      </w:r>
      <w:r>
        <w:t>-</w:t>
      </w:r>
      <w:r>
        <w:rPr>
          <w:vertAlign w:val="subscript"/>
        </w:rPr>
        <w:t>527</w:t>
      </w:r>
      <w:r>
        <w:t xml:space="preserve"> </w:t>
      </w:r>
      <w:r>
        <w:t>and</w:t>
      </w:r>
      <w:r>
        <w:t xml:space="preserve"> </w:t>
      </w:r>
      <w:r>
        <w:t>C</w:t>
      </w:r>
      <w:r>
        <w:t xml:space="preserve"> </w:t>
      </w:r>
      <w:r>
        <w:t>h</w:t>
      </w:r>
      <w:r>
        <w:t xml:space="preserve"> </w:t>
      </w:r>
      <w:r>
        <w:t>k</w:t>
      </w:r>
      <w:r>
        <w:rPr>
          <w:vertAlign w:val="subscript"/>
        </w:rPr>
        <w:t>1</w:t>
      </w:r>
      <w:r>
        <w:t xml:space="preserve"> </w:t>
      </w:r>
      <w:r>
        <w:t>D</w:t>
      </w:r>
      <w:r>
        <w:rPr>
          <w:vertAlign w:val="subscript"/>
        </w:rPr>
        <w:t>142</w:t>
      </w:r>
      <w:r>
        <w:t>A</w:t>
      </w:r>
      <w:r>
        <w:t xml:space="preserve"> </w:t>
      </w:r>
      <w:r>
        <w:t>,</w:t>
      </w:r>
      <w:r>
        <w:t xml:space="preserve"> </w:t>
      </w:r>
      <w:r>
        <w:t>L</w:t>
      </w:r>
      <w:r>
        <w:rPr>
          <w:vertAlign w:val="subscript"/>
        </w:rPr>
        <w:t>506</w:t>
      </w:r>
      <w:r>
        <w:t>R</w:t>
      </w:r>
      <w:r>
        <w:t xml:space="preserve"> </w:t>
      </w:r>
      <w:r>
        <w:rPr>
          <w:vertAlign w:val="subscript"/>
        </w:rPr>
        <w:t>1</w:t>
      </w:r>
      <w:r>
        <w:t>-</w:t>
      </w:r>
      <w:r>
        <w:rPr>
          <w:vertAlign w:val="subscript"/>
        </w:rPr>
        <w:t>527</w:t>
      </w:r>
      <w:r>
        <w:t xml:space="preserve"> </w:t>
      </w:r>
      <w:r>
        <w:t>) were short-lived in vivo, in contrast to wildtype Chk1</w:t>
      </w:r>
      <w:r>
        <w:t xml:space="preserve"> </w:t>
      </w:r>
      <w:r>
        <w:t>1-527</w:t>
      </w:r>
      <w:r>
        <w:t xml:space="preserve"> </w:t>
      </w:r>
      <w:r>
        <w:t>. Furthermore, the catalytic N-terminal (Nt) domain of Chk1 physically interacted with its Ct-domain. These and other results strongly suggested the following mechanism of Chk1 regulation. Ct-residues of Chk1</w:t>
      </w:r>
      <w:r>
        <w:t xml:space="preserve"> </w:t>
      </w:r>
      <w:r>
        <w:t>1-527</w:t>
      </w:r>
      <w:r>
        <w:t xml:space="preserve"> </w:t>
      </w:r>
      <w:r>
        <w:t>are a part of its C-degron, targeted by Ubr1/Ufd4 E3s. But the Ct-domain of Chk1</w:t>
      </w:r>
      <w:r>
        <w:t xml:space="preserve"> </w:t>
      </w:r>
      <w:r>
        <w:t>1-527</w:t>
      </w:r>
      <w:r>
        <w:t xml:space="preserve"> </w:t>
      </w:r>
      <w:r>
        <w:t>(including its C-degron) can also bind to the catalytic Nt-domain. The resulting conformation of Chk1</w:t>
      </w:r>
      <w:r>
        <w:t xml:space="preserve"> </w:t>
      </w:r>
      <w:r>
        <w:t>1-527</w:t>
      </w:r>
      <w:r>
        <w:t xml:space="preserve"> </w:t>
      </w:r>
      <w:r>
        <w:t>is inactive as a kinase and relatively long-lived, since the catalytic Nt-domain sterically sequesters C-degron. An induced (e.g., through a regulatory phosphorylation) dissociation of Ct-domain from Nt-domain activates the catalytic Nt-domain and also exposes the C-degron of Chk1. Thus, activation of Chk1 kinase would make it, simultaneously, a short-lived protein.</w:t>
      </w:r>
    </w:p>
    <w:p>
      <w:pPr>
        <w:spacing w:before="120" w:after="120"/>
      </w:pPr>
      <w:r>
        <w:rPr>
          <w:sz w:val="18"/>
        </w:rPr>
        <w:t>——————————————————————————————————————————————————————————————————————</w:t>
      </w:r>
    </w:p>
    <w:p>
      <w:pPr>
        <w:spacing w:before="160" w:after="40" w:line="240" w:lineRule="auto"/>
      </w:pPr>
      <w:r>
        <w:rPr>
          <w:b/>
        </w:rPr>
        <w:t xml:space="preserve">[199] </w:t>
      </w:r>
      <w:hyperlink r:id="rId532">
        <w:r>
          <w:rPr>
            <w:color w:val="1155CC"/>
            <w:u w:val="single"/>
          </w:rPr>
          <w:t>人源化细胞外囊泡用于高效RNA递送</w:t>
        </w:r>
      </w:hyperlink>
    </w:p>
    <w:p>
      <w:pPr>
        <w:spacing w:before="0" w:after="80"/>
      </w:pPr>
      <w:r>
        <w:rPr>
          <w:i/>
          <w:sz w:val="20"/>
        </w:rPr>
        <w:t>EN: Humanized extracellular vesicles for efficient RNA delivery</w:t>
      </w:r>
    </w:p>
    <w:p>
      <w:pPr>
        <w:spacing w:before="0" w:after="120"/>
      </w:pPr>
      <w:r>
        <w:rPr>
          <w:b/>
        </w:rPr>
        <w:t xml:space="preserve">Source: </w:t>
      </w:r>
      <w:r>
        <w:t>Proceedings of the National Academy of Sciences: Keyword search for query</w:t>
      </w:r>
      <w:r>
        <w:t xml:space="preserve">    </w:t>
      </w:r>
      <w:r>
        <w:rPr>
          <w:b/>
        </w:rPr>
        <w:t xml:space="preserve">Pub date: </w:t>
      </w:r>
      <w:r>
        <w:t>2026-04-07 07:00:00+00:00</w:t>
      </w:r>
      <w:r>
        <w:t xml:space="preserve">    </w:t>
      </w:r>
      <w:r>
        <w:rPr>
          <w:b/>
        </w:rPr>
        <w:t xml:space="preserve">DOI: </w:t>
      </w:r>
      <w:hyperlink r:id="rId533">
        <w:r>
          <w:rPr>
            <w:color w:val="1155CC"/>
            <w:u w:val="single"/>
          </w:rPr>
          <w:t>10.1073/pnas.2525726123</w:t>
        </w:r>
      </w:hyperlink>
    </w:p>
    <w:p>
      <w:pPr>
        <w:spacing w:before="0" w:after="120"/>
      </w:pPr>
      <w:r>
        <w:rPr>
          <w:b/>
        </w:rPr>
        <w:t xml:space="preserve">Notes: </w:t>
      </w:r>
      <w:r>
        <w:t>abstract_source=crossref</w:t>
      </w:r>
    </w:p>
    <w:p>
      <w:pPr>
        <w:spacing w:before="0" w:after="80" w:lineRule="auto" w:line="276"/>
      </w:pPr>
      <w:r>
        <w:rPr>
          <w:b/>
        </w:rPr>
        <w:t xml:space="preserve">摘要（ZH）: </w:t>
      </w:r>
      <w:r>
        <w:t>工程化细胞外囊泡（EVs）是一类用于RNA疫苗和基因疗法的非病毒递送载体。一种专门形式的工程化EVs，称为包膜蛋白纳米笼（EPNs），已被开发用于增强货物装载和递送。当EPNs配备有病毒融合蛋白，如水泡性口炎病毒糖蛋白（VSV-G）时，已被证明可以有效地将蛋白质或RNA递送到受体细胞中。由于尚未为单个活性单位报告其活性检测，因此不同EPN类型之间的比较及其不同特征的优化一直很困难。由于我们对优化EVs感兴趣，我们首先开发了一种生物滴定检测方法，灵感来自于用于传染性病毒颗粒的方法。通过这种检测，我们</w:t>
      </w:r>
    </w:p>
    <w:p>
      <w:pPr>
        <w:spacing w:before="0" w:after="200" w:lineRule="auto" w:line="276"/>
      </w:pPr>
      <w:r>
        <w:rPr>
          <w:b/>
        </w:rPr>
        <w:t xml:space="preserve">Abstract (EN): </w:t>
      </w:r>
      <w:r>
        <w:t>Engineered extracellular vesicles (EVs) are a class of nonviral delivery vectors for RNA-based vaccines and gene therapies. A specialized form of engineered EVs, known as enveloped protein nanocages (EPNs), has been developed to enhance cargo loading and delivery. When EPNs are equipped with a viral fusogen, such as vesicular stomatitis virus glycoprotein (VSV-G), they have been shown to deliver proteins or RNA efficiently into recipient cells. Comparisons across different EPN types and optimization of their different features have been difficult, as assays for their activity have not been reported for single, active units. As we were interested in optimizing EVs, we first developed a biological titration assay inspired by the methods used for infectious viral particles. With this assay, we optimized EVs using a modular platform, creating EVs composed predominantly of human-derived protein components. This system achieved efficient RNA delivery, with functional titers comparable to those of lentiviral vectors. The optimized chimeric proteins comprising the EV particles integrate domains from human epsin 1, human citramalyl-CoA lyase beta-like protein (CLYBL), and human CEP55. The constructs also include a short 21-amino-acid peptide from a nonhuman source for RNA packaging, resulting in an EV-based RNA delivery system with reduced immunogenicity compared with EPNs and retroviral virus-like particles (VLPs).</w:t>
      </w:r>
    </w:p>
    <w:p>
      <w:pPr>
        <w:spacing w:before="120" w:after="120"/>
      </w:pPr>
      <w:r>
        <w:rPr>
          <w:sz w:val="18"/>
        </w:rPr>
        <w:t>——————————————————————————————————————————————————————————————————————</w:t>
      </w:r>
    </w:p>
    <w:p>
      <w:pPr>
        <w:spacing w:before="160" w:after="40" w:line="240" w:lineRule="auto"/>
      </w:pPr>
      <w:r>
        <w:rPr>
          <w:b/>
        </w:rPr>
        <w:t xml:space="preserve">[200] </w:t>
      </w:r>
      <w:hyperlink r:id="rId534">
        <w:r>
          <w:rPr>
            <w:color w:val="1155CC"/>
            <w:u w:val="single"/>
          </w:rPr>
          <w:t>[ASAP] 基于缺陷工程碳氮化物余辉发射的单发光体比率电化学发光</w:t>
        </w:r>
      </w:hyperlink>
    </w:p>
    <w:p>
      <w:pPr>
        <w:spacing w:before="0" w:after="80"/>
      </w:pPr>
      <w:r>
        <w:rPr>
          <w:i/>
          <w:sz w:val="20"/>
        </w:rPr>
        <w:t>EN: [ASAP] Single-Luminophore Ratiometric Electrochemiluminescence Based on Afterglow Emission from Defect-Engineered Carbon Nitride</w:t>
      </w:r>
    </w:p>
    <w:p>
      <w:pPr>
        <w:spacing w:before="0" w:after="120"/>
      </w:pPr>
      <w:r>
        <w:rPr>
          <w:b/>
        </w:rPr>
        <w:t xml:space="preserve">Source: </w:t>
      </w:r>
      <w:r>
        <w:t>Journal of the American Chemical Society: Latest Articles (ACS Publications)</w:t>
      </w:r>
      <w:r>
        <w:t xml:space="preserve">    </w:t>
      </w:r>
      <w:r>
        <w:rPr>
          <w:b/>
        </w:rPr>
        <w:t xml:space="preserve">Pub date: </w:t>
      </w:r>
      <w:r>
        <w:t>2026-04-07 08:12:08+00:00</w:t>
      </w:r>
      <w:r>
        <w:t xml:space="preserve">    </w:t>
      </w:r>
      <w:r>
        <w:rPr>
          <w:b/>
        </w:rPr>
        <w:t xml:space="preserve">DOI: </w:t>
      </w:r>
      <w:hyperlink r:id="rId535">
        <w:r>
          <w:rPr>
            <w:color w:val="1155CC"/>
            <w:u w:val="single"/>
          </w:rPr>
          <w:t>10.1021/jacs.6c03512</w:t>
        </w:r>
      </w:hyperlink>
    </w:p>
    <w:p>
      <w:pPr>
        <w:spacing w:before="0" w:after="120"/>
      </w:pPr>
      <w:r>
        <w:rPr>
          <w:b/>
        </w:rPr>
        <w:t xml:space="preserve">Notes: </w:t>
      </w:r>
      <w:r>
        <w:t>abstract_source=pubmed</w:t>
      </w:r>
    </w:p>
    <w:p>
      <w:pPr>
        <w:spacing w:before="0" w:after="80" w:lineRule="auto" w:line="276"/>
      </w:pPr>
      <w:r>
        <w:rPr>
          <w:b/>
        </w:rPr>
        <w:t xml:space="preserve">摘要（ZH）: </w:t>
      </w:r>
      <w:r>
        <w:t>比率电化学发光（ECL）传感是一种提高信号可靠性的有效策略；然而，大多数现有系统依赖于双发光体或多重电化学过程，这不可避免地增加了系统的复杂性并损害了信号一致性。在此，基于单一发光体能够同时产生常规和余辉ECL发射，建立了一种根本不同的比率ECL范式。通过工程化富含氮缺陷的碳氮化物及其缺陷电子态，注入的电子可以在脉冲激发期间暂时储存，并在施加电位移除后逐渐释放以维持光发射。这种余辉ECL过程引入了一种本质上低背景、时间分辨的</w:t>
      </w:r>
    </w:p>
    <w:p>
      <w:pPr>
        <w:spacing w:before="0" w:after="200" w:lineRule="auto" w:line="276"/>
      </w:pPr>
      <w:r>
        <w:rPr>
          <w:b/>
        </w:rPr>
        <w:t xml:space="preserve">Abstract (EN): </w:t>
      </w:r>
      <w:r>
        <w:t>Ratiometric electrochemiluminescence (ECL) sensing is an effective strategy for improving signal reliability; however, most existing systems rely on dual luminophores or multiple electrochemical processes, which inevitably increase system complexity and compromise signal coherence. Herein, a fundamentally different ratiometric ECL paradigm was established based on a single luminophore capable of simultaneously generating conventional and afterglow ECL emissions. By engineering nitrogen defect-rich carbon nitride with defect electronic states, injected electrons can be temporarily stored during pulsed excitation and gradually released to sustain light emission, even after the applied potential is removed. This afterglow ECL process introduces an intrinsically low-background, time-resolved analytical signal with an identical emissive origin to conventional ECL. Based on the synchronous modulation of these homologous signals, an intrinsically self-referenced ratiometric ECL platform with exceptional stability and ultrahigh sensitivity was constructed. As a proof of concept, the strategy was successfully employed to quantify exosomal microRNA at attomolar levels in complex biological samples. Beyond this specific application, the proposed approach also represents a general single-component ratiometric ECL framework that can be utilized to expand the analytical scope of ECL sensing into the time domain.</w:t>
      </w:r>
    </w:p>
    <w:p>
      <w:pPr>
        <w:spacing w:before="120" w:after="120"/>
      </w:pPr>
      <w:r>
        <w:rPr>
          <w:sz w:val="18"/>
        </w:rPr>
        <w:t>——————————————————————————————————————————————————————————————————————</w:t>
      </w:r>
    </w:p>
    <w:p>
      <w:pPr>
        <w:spacing w:before="160" w:after="40" w:line="240" w:lineRule="auto"/>
      </w:pPr>
      <w:r>
        <w:rPr>
          <w:b/>
        </w:rPr>
        <w:t xml:space="preserve">[201] </w:t>
      </w:r>
      <w:hyperlink r:id="rId536">
        <w:r>
          <w:rPr>
            <w:color w:val="1155CC"/>
            <w:u w:val="single"/>
          </w:rPr>
          <w:t>具有NIR发射的晶圆级MgO:Li+,Cr3+透明陶瓷闪烁体用于X射线双模融合和时间推移成像</w:t>
        </w:r>
      </w:hyperlink>
    </w:p>
    <w:p>
      <w:pPr>
        <w:spacing w:before="0" w:after="80"/>
      </w:pPr>
      <w:r>
        <w:rPr>
          <w:i/>
          <w:sz w:val="20"/>
        </w:rPr>
        <w:t>EN: Wafer‐Scale MgO:Li+,Cr3+ Transparent Ceramic Scintillators With NIR Emission for X‐Ray Dual‐Mode Fusion and Time‐Lapse Imaging</w:t>
      </w:r>
    </w:p>
    <w:p>
      <w:pPr>
        <w:spacing w:before="0" w:after="120"/>
      </w:pPr>
      <w:r>
        <w:rPr>
          <w:b/>
        </w:rPr>
        <w:t xml:space="preserve">Source: </w:t>
      </w:r>
      <w:r>
        <w:t>Wiley: Angewandte Chemie International Edition: Table of Contents</w:t>
      </w:r>
      <w:r>
        <w:t xml:space="preserve">    </w:t>
      </w:r>
      <w:r>
        <w:rPr>
          <w:b/>
        </w:rPr>
        <w:t xml:space="preserve">Pub date: </w:t>
      </w:r>
      <w:r>
        <w:t>2026-04-07 08:25:29+00:00</w:t>
      </w:r>
      <w:r>
        <w:t xml:space="preserve">    </w:t>
      </w:r>
      <w:r>
        <w:rPr>
          <w:b/>
        </w:rPr>
        <w:t xml:space="preserve">DOI: </w:t>
      </w:r>
      <w:hyperlink r:id="rId537">
        <w:r>
          <w:rPr>
            <w:color w:val="1155CC"/>
            <w:u w:val="single"/>
          </w:rPr>
          <w:t>10.1002/anie.3481276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X射线和近红外（NIR）成像的整合在无损检测和生物医学分析中具有巨大潜力。然而，过早的载流子复合导致成像信息的丢失，开发具有卓越光产额（LY）的可靠透明闪烁体仍然是一个挑战。在此，我们报告了一种直径为45毫米的晶圆级双功能MgO:Li</w:t>
      </w:r>
      <w:r>
        <w:t xml:space="preserve"> </w:t>
      </w:r>
      <w:r>
        <w:t>+</w:t>
      </w:r>
      <w:r>
        <w:t xml:space="preserve"> </w:t>
      </w:r>
      <w:r>
        <w:t>,Cr</w:t>
      </w:r>
      <w:r>
        <w:t xml:space="preserve"> </w:t>
      </w:r>
      <w:r>
        <w:t>3+</w:t>
      </w:r>
      <w:r>
        <w:t xml:space="preserve"> </w:t>
      </w:r>
      <w:r>
        <w:t>NIR透明陶瓷。在460纳米蓝光和X射线激发下，该陶瓷在722纳米处表现出一个窄的发射峰，并在750纳米处有一个宽的肩峰。LY和检测限被确定为25683 Ph·MeV</w:t>
      </w:r>
      <w:r>
        <w:t xml:space="preserve"> </w:t>
      </w:r>
      <w:r>
        <w:t>−1</w:t>
      </w:r>
    </w:p>
    <w:p>
      <w:pPr>
        <w:spacing w:before="0" w:after="200" w:lineRule="auto" w:line="276"/>
      </w:pPr>
      <w:r>
        <w:rPr>
          <w:b/>
        </w:rPr>
        <w:t xml:space="preserve">Abstract (EN): </w:t>
      </w:r>
      <w:r>
        <w:t>The integration of X‐ray and near‐infrared (NIR) imaging holds great potential for nondestructive detection and biomedical analysis. However, premature carrier recombination leads to the loss of imaging information, and the development of reliable transparent scintillators with exceptional light yield (LY) remains a challenge. Here, we report a wafer‐scale bifunctional MgO:Li</w:t>
      </w:r>
      <w:r>
        <w:t xml:space="preserve"> </w:t>
      </w:r>
      <w:r>
        <w:t>+</w:t>
      </w:r>
      <w:r>
        <w:t xml:space="preserve"> </w:t>
      </w:r>
      <w:r>
        <w:t>,Cr</w:t>
      </w:r>
      <w:r>
        <w:t xml:space="preserve"> </w:t>
      </w:r>
      <w:r>
        <w:t>3+</w:t>
      </w:r>
      <w:r>
        <w:t xml:space="preserve"> </w:t>
      </w:r>
      <w:r>
        <w:t>NIR‐transparent ceramic with a diameter of 45 mm. Under 460 nm blue light and X‐ray excitation, the ceramic exhibits a narrow emission peak at 722 nm with a broad shoulder at 750 nm. The LY and detection limit are determined to be 25683 Ph·MeV</w:t>
      </w:r>
      <w:r>
        <w:t xml:space="preserve"> </w:t>
      </w:r>
      <w:r>
        <w:t>−1</w:t>
      </w:r>
      <w:r>
        <w:t xml:space="preserve"> </w:t>
      </w:r>
      <w:r>
        <w:t>and 0.84 µGy·s</w:t>
      </w:r>
      <w:r>
        <w:t xml:space="preserve"> </w:t>
      </w:r>
      <w:r>
        <w:t>−1</w:t>
      </w:r>
      <w:r>
        <w:t xml:space="preserve"> </w:t>
      </w:r>
      <w:r>
        <w:t>, respectively. Notably, oxygen vacancy‐related deep traps in the MgO:Li</w:t>
      </w:r>
      <w:r>
        <w:t xml:space="preserve"> </w:t>
      </w:r>
      <w:r>
        <w:t>+</w:t>
      </w:r>
      <w:r>
        <w:t xml:space="preserve"> </w:t>
      </w:r>
      <w:r>
        <w:t>,Cr</w:t>
      </w:r>
      <w:r>
        <w:t xml:space="preserve"> </w:t>
      </w:r>
      <w:r>
        <w:t>3+</w:t>
      </w:r>
      <w:r>
        <w:t xml:space="preserve"> </w:t>
      </w:r>
      <w:r>
        <w:t>ceramic enable efficient electron storage and persistent luminescence exceeding 120 min. Fused X‐ray and NIR dual‐modal imaging enables clear visualization for the profile of a concealed soft robot. Its in situ localization through 5 mm‐thick pork tissue is achieved via X‐ray‐activated persistent luminescence, which demonstrates the transformative potential of the MgO:Li</w:t>
      </w:r>
      <w:r>
        <w:t xml:space="preserve"> </w:t>
      </w:r>
      <w:r>
        <w:t>+</w:t>
      </w:r>
      <w:r>
        <w:t xml:space="preserve"> </w:t>
      </w:r>
      <w:r>
        <w:t>,Cr</w:t>
      </w:r>
      <w:r>
        <w:t xml:space="preserve"> </w:t>
      </w:r>
      <w:r>
        <w:t>3+</w:t>
      </w:r>
      <w:r>
        <w:t xml:space="preserve"> </w:t>
      </w:r>
      <w:r>
        <w:t>ceramic for advanced biomedical and industrial inspection applications.</w:t>
      </w:r>
    </w:p>
    <w:p>
      <w:pPr>
        <w:spacing w:before="120" w:after="120"/>
      </w:pPr>
      <w:r>
        <w:rPr>
          <w:sz w:val="18"/>
        </w:rPr>
        <w:t>——————————————————————————————————————————————————————————————————————</w:t>
      </w:r>
    </w:p>
    <w:p>
      <w:pPr>
        <w:spacing w:before="160" w:after="40" w:line="240" w:lineRule="auto"/>
      </w:pPr>
      <w:r>
        <w:rPr>
          <w:b/>
        </w:rPr>
        <w:t xml:space="preserve">[202] </w:t>
      </w:r>
      <w:hyperlink r:id="rId538">
        <w:r>
          <w:rPr>
            <w:color w:val="1155CC"/>
            <w:u w:val="single"/>
          </w:rPr>
          <w:t>[ASAP] 扭曲罗丹明─用于圆偏振荧光的亮染料设计</w:t>
        </w:r>
      </w:hyperlink>
    </w:p>
    <w:p>
      <w:pPr>
        <w:spacing w:before="0" w:after="80"/>
      </w:pPr>
      <w:r>
        <w:rPr>
          <w:i/>
          <w:sz w:val="20"/>
        </w:rPr>
        <w:t>EN: [ASAP] Twisting Rhodamine─Design of Bright Dyes for Circularly Polarized Fluorescence</w:t>
      </w:r>
    </w:p>
    <w:p>
      <w:pPr>
        <w:spacing w:before="0" w:after="120"/>
      </w:pPr>
      <w:r>
        <w:rPr>
          <w:b/>
        </w:rPr>
        <w:t xml:space="preserve">Source: </w:t>
      </w:r>
      <w:r>
        <w:t>Journal of the American Chemical Society: Latest Articles (ACS Publications)</w:t>
      </w:r>
      <w:r>
        <w:t xml:space="preserve">    </w:t>
      </w:r>
      <w:r>
        <w:rPr>
          <w:b/>
        </w:rPr>
        <w:t xml:space="preserve">Pub date: </w:t>
      </w:r>
      <w:r>
        <w:t>2026-04-07 08:33:09+00:00</w:t>
      </w:r>
      <w:r>
        <w:t xml:space="preserve">    </w:t>
      </w:r>
      <w:r>
        <w:rPr>
          <w:b/>
        </w:rPr>
        <w:t xml:space="preserve">DOI: </w:t>
      </w:r>
      <w:hyperlink r:id="rId539">
        <w:r>
          <w:rPr>
            <w:color w:val="1155CC"/>
            <w:u w:val="single"/>
          </w:rPr>
          <w:t>10.1021/jacs.6c02233</w:t>
        </w:r>
      </w:hyperlink>
    </w:p>
    <w:p>
      <w:pPr>
        <w:spacing w:before="0" w:after="120"/>
      </w:pPr>
      <w:r>
        <w:rPr>
          <w:b/>
        </w:rPr>
        <w:t xml:space="preserve">Notes: </w:t>
      </w:r>
      <w:r>
        <w:t>abstract_source=pubmed</w:t>
      </w:r>
    </w:p>
    <w:p>
      <w:pPr>
        <w:spacing w:before="0" w:after="80" w:lineRule="auto" w:line="276"/>
      </w:pPr>
      <w:r>
        <w:rPr>
          <w:b/>
        </w:rPr>
        <w:t xml:space="preserve">摘要（ZH）: </w:t>
      </w:r>
      <w:r>
        <w:t>具有手性共轭π系统的螺烯是具有发射圆偏振发光（CPL）能力的分子染料的主要候选者。在这项工作中，我们展示了第一个将罗丹明发色团嵌入构型稳定的螺烯框架中的手性染料。罗丹明染料是明亮的荧光氨基取代的黄酮衍生物，作为生物成像和检测中的荧光标签和探针表现出色。我们开发了一种原创的合成途径，成功地获得了三个新的阳离子[4]螺烯。这些螺烯设计有不同的电子供体基团取代模式在一个色烯黄酮[4]螺烯骨架上。通过这种方式，我们旨在控制最低能量跃迁，从而改善荧光和手性光学性能</w:t>
      </w:r>
    </w:p>
    <w:p>
      <w:pPr>
        <w:spacing w:before="0" w:after="200" w:lineRule="auto" w:line="276"/>
      </w:pPr>
      <w:r>
        <w:rPr>
          <w:b/>
        </w:rPr>
        <w:t xml:space="preserve">Abstract (EN): </w:t>
      </w:r>
      <w:r>
        <w:t>Helicenes with chiral conjugated π-systems are prime candidates for molecular dyes with the ability to emit circularly polarized luminescence (CPL). In this work, we present the first chiral dye that embeds a rhodamine chromophore into a configurationally stable helicene framework. Rhodamine dyes are brightly fluorescent amino-substituted xanthenium derivatives that excel as fluorescent labels and probes in biological imaging and assays. We developed an original synthesis pathway to successfully yield three new cationic [4]helicenes. These helicenes were designed with different substitution patterns of electron-donating groups at a chromenoxanthenium [4]helicene scaffold. This way, we aimed to control the lowest-energy transitions and consequently improve the fluorescence and chiroptical properties, with the final helicene being highly absorbent with outstanding quantum yields and an increased dissymmetry factor. The conscious design of the chromophore in the helical scaffold led to the CPL brightness values being up to 4 times higher than the average of previous cationic [4]helicenes. Moreover, a last step introduces an N-acyl handle, enabling further functionalization and potential future bioapplication.</w:t>
      </w:r>
    </w:p>
    <w:p>
      <w:pPr>
        <w:spacing w:before="120" w:after="120"/>
      </w:pPr>
      <w:r>
        <w:rPr>
          <w:sz w:val="18"/>
        </w:rPr>
        <w:t>——————————————————————————————————————————————————————————————————————</w:t>
      </w:r>
    </w:p>
    <w:p>
      <w:pPr>
        <w:spacing w:before="160" w:after="40" w:line="240" w:lineRule="auto"/>
      </w:pPr>
      <w:r>
        <w:rPr>
          <w:b/>
        </w:rPr>
        <w:t xml:space="preserve">[203] </w:t>
      </w:r>
      <w:hyperlink r:id="rId540">
        <w:r>
          <w:rPr>
            <w:color w:val="1155CC"/>
            <w:u w:val="single"/>
          </w:rPr>
          <w:t>利用仿生骨架编辑策略的不对映选择性Breviones全合成</w:t>
        </w:r>
      </w:hyperlink>
    </w:p>
    <w:p>
      <w:pPr>
        <w:spacing w:before="0" w:after="80"/>
      </w:pPr>
      <w:r>
        <w:rPr>
          <w:i/>
          <w:sz w:val="20"/>
        </w:rPr>
        <w:t>EN: Enantioselective Total Synthesis of Breviones Utilizing a Bio‐Inspired Skeletal Editing Strategy</w:t>
      </w:r>
    </w:p>
    <w:p>
      <w:pPr>
        <w:spacing w:before="0" w:after="120"/>
      </w:pPr>
      <w:r>
        <w:rPr>
          <w:b/>
        </w:rPr>
        <w:t xml:space="preserve">Source: </w:t>
      </w:r>
      <w:r>
        <w:t>Wiley: Angewandte Chemie International Edition: Table of Contents</w:t>
      </w:r>
      <w:r>
        <w:t xml:space="preserve">    </w:t>
      </w:r>
      <w:r>
        <w:rPr>
          <w:b/>
        </w:rPr>
        <w:t xml:space="preserve">Pub date: </w:t>
      </w:r>
      <w:r>
        <w:t>2026-04-07 08:33:15+00:00</w:t>
      </w:r>
      <w:r>
        <w:t xml:space="preserve">    </w:t>
      </w:r>
      <w:r>
        <w:rPr>
          <w:b/>
        </w:rPr>
        <w:t xml:space="preserve">DOI: </w:t>
      </w:r>
      <w:hyperlink r:id="rId541">
        <w:r>
          <w:rPr>
            <w:color w:val="1155CC"/>
            <w:u w:val="single"/>
          </w:rPr>
          <w:t>10.1002/anie.4698250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受螺环二萜吡喃生物合成中的骨架编辑转化的启发，我们在此提出了对meroditerpenoids breviones B、C和N的对映选择性全合成。我们的合成策略具有一系列生物启发的骨架编辑转化，包括Dowd–Beckwith环扩展以构建七元A环，以及将萜烯和α-吡喃酮基元耦合到螺环二萜吡喃框架中的环加成骨架重排。后者的转化涉及一种新颖的二氢吡喃到二氢呋喃的环收缩，这一策略已被证明适用于多种萜烯和吡喃酮片段。此外，在合成过程中，我们还开发了一种SnCl</w:t>
      </w:r>
    </w:p>
    <w:p>
      <w:pPr>
        <w:spacing w:before="0" w:after="200" w:lineRule="auto" w:line="276"/>
      </w:pPr>
      <w:r>
        <w:rPr>
          <w:b/>
        </w:rPr>
        <w:t xml:space="preserve">Abstract (EN): </w:t>
      </w:r>
      <w:r>
        <w:t>Inspired by skeletal editing transformations in the biosynthesis of spiro diterpene pyrones, we herein present an enantioselective total synthesis of the meroditerpenoids breviones B, C, and N. Our synthetic strategy features a series of bio‐inspired skeletal editing transformations, including a Dowd–Beckwith ring expansion to construct the seven‐membered A‐ring, and an annulative skeletal rearrangement that couples terpene and α‐pyrone motifs into the spiro diterpene pyrone framework. This latter transformation involves a novel dihydropyran‐to‐dihydrofuran ring contraction, a strategy that has proven applicable to a diverse range of terpene and pyrone fragments. In addition, during the synthesis, we also developed a SnCl</w:t>
      </w:r>
      <w:r>
        <w:rPr>
          <w:vertAlign w:val="subscript"/>
        </w:rPr>
        <w:t>4</w:t>
      </w:r>
      <w:r>
        <w:t>‐mediated intramolecular hydroalkylation of alkenyl β‐keto esters, which enables the concurrent assembly of the fused B/C ring system along with three contiguous stereocenters.</w:t>
      </w:r>
    </w:p>
    <w:p>
      <w:pPr>
        <w:spacing w:before="120" w:after="120"/>
      </w:pPr>
      <w:r>
        <w:rPr>
          <w:sz w:val="18"/>
        </w:rPr>
        <w:t>——————————————————————————————————————————————————————————————————————</w:t>
      </w:r>
    </w:p>
    <w:p>
      <w:pPr>
        <w:spacing w:before="160" w:after="40" w:line="240" w:lineRule="auto"/>
      </w:pPr>
      <w:r>
        <w:rPr>
          <w:b/>
        </w:rPr>
        <w:t xml:space="preserve">[204] </w:t>
      </w:r>
      <w:hyperlink r:id="rId542">
        <w:r>
          <w:rPr>
            <w:color w:val="1155CC"/>
            <w:u w:val="single"/>
          </w:rPr>
          <w:t>[ASAP] 4ABAH+·(H2O)n = 4–6簇（ABA = 氨基苯甲酸）中水介导质子转移的微正则动力学：一种尺寸依赖松弛到遍历行为的模型系统</w:t>
        </w:r>
      </w:hyperlink>
    </w:p>
    <w:p>
      <w:pPr>
        <w:spacing w:before="0" w:after="80"/>
      </w:pPr>
      <w:r>
        <w:rPr>
          <w:i/>
          <w:sz w:val="20"/>
        </w:rPr>
        <w:t>EN: [ASAP] Microcanonical Kinetics of Water-Mediated Proton Transfer in 4ABAH+·(H2O)n = 4–6 Clusters (ABA = Aminobenzoic Acid): A Model System for Size-Dependent Relaxation to Ergodic Behavior</w:t>
      </w:r>
    </w:p>
    <w:p>
      <w:pPr>
        <w:spacing w:before="0" w:after="120"/>
      </w:pPr>
      <w:r>
        <w:rPr>
          <w:b/>
        </w:rPr>
        <w:t xml:space="preserve">Source: </w:t>
      </w:r>
      <w:r>
        <w:t>Journal of the American Chemical Society: Latest Articles (ACS Publications)</w:t>
      </w:r>
      <w:r>
        <w:t xml:space="preserve">    </w:t>
      </w:r>
      <w:r>
        <w:rPr>
          <w:b/>
        </w:rPr>
        <w:t xml:space="preserve">Pub date: </w:t>
      </w:r>
      <w:r>
        <w:t>2026-04-07 08:34:08+00:00</w:t>
      </w:r>
      <w:r>
        <w:t xml:space="preserve">    </w:t>
      </w:r>
      <w:r>
        <w:rPr>
          <w:b/>
        </w:rPr>
        <w:t xml:space="preserve">DOI: </w:t>
      </w:r>
      <w:hyperlink r:id="rId543">
        <w:r>
          <w:rPr>
            <w:color w:val="1155CC"/>
            <w:u w:val="single"/>
          </w:rPr>
          <w:t>10.1021/jacs.6c02472</w:t>
        </w:r>
      </w:hyperlink>
    </w:p>
    <w:p>
      <w:pPr>
        <w:spacing w:before="0" w:after="120"/>
      </w:pPr>
      <w:r>
        <w:rPr>
          <w:b/>
        </w:rPr>
        <w:t xml:space="preserve">Notes: </w:t>
      </w:r>
      <w:r>
        <w:t>abstract_source=pubmed</w:t>
      </w:r>
    </w:p>
    <w:p>
      <w:pPr>
        <w:spacing w:before="0" w:after="80" w:lineRule="auto" w:line="276"/>
      </w:pPr>
      <w:r>
        <w:rPr>
          <w:b/>
        </w:rPr>
        <w:t xml:space="preserve">摘要（ZH）: </w:t>
      </w:r>
      <w:r>
        <w:t>我们利用4ABAH+·(H2O)n簇（ABA = 4-氨基苯甲酸，n = 4-6）的独特性质，定量研究有限、孤立系统如何从配置空间中的局部排列演变为遍历条件。该系统采用两种不同的结构异构体，其中水分子围绕其两个质子化中心的广泛分离的质子体聚集。这些异构体是由于过量质子附着在苯环两侧的酸（O）或氨基（N）基团上而产生的。使用低温离子方法捕获并动力学陷阱这两种形式，然后通过涉及NH和OH伸缩基频的互斥红外带选择性地进行振动激发。由于红外激发低于水结合能</w:t>
      </w:r>
    </w:p>
    <w:p>
      <w:pPr>
        <w:spacing w:before="0" w:after="200" w:lineRule="auto" w:line="276"/>
      </w:pPr>
      <w:r>
        <w:rPr>
          <w:b/>
        </w:rPr>
        <w:t xml:space="preserve">Abstract (EN): </w:t>
      </w:r>
      <w:r>
        <w:t>We leverage the unique properties of the 4ABAH+·(H2O)n clusters (ABA = 4-aminobenzoic acid, n = 4-6) to quantitatively address how a finite, isolated system evolves into an ergodic condition starting from localized arrangements in configuration space. This system adopts two distinct structural isomers in which water molecules cluster around the widely separated cationic centers of its two protomers. These isomers arise from excess proton attachment to either the acid (O) or amino (N) group on opposite sides of the benzene ring. Both forms are captured and kinetically trapped using cryogenic ion methods and then selectively vibrationally excited through their mutually exclusive IR bands involving NH and OH stretching fundamentals. Because the IR excitations lie below the water binding energy, the system can evolve to explore slow, rare events that lead to the interconversion between the two isomers. The rates of these intracluster reactions are determined by using a pump-probe scheme involving ∼5 ns IR pump and UV probe lasers. The rates occur on the microsecond time scale leading to steady state populations of the isomers, thus revealing the cluster size-dependent fractionation between the two species at microcanonical equilibrium. The steady state distributions are correlated with the expected trend in the cluster size-dependent reaction energetics, which are in turn consistent with changes in the relative densities of states of the two species. These results thus provide an unusually clear example in which complex, protic-solvent-mediated chemical transformations are captured within a finite system at a precisely determined internal energy.</w:t>
      </w:r>
    </w:p>
    <w:p>
      <w:pPr>
        <w:spacing w:before="120" w:after="120"/>
      </w:pPr>
      <w:r>
        <w:rPr>
          <w:sz w:val="18"/>
        </w:rPr>
        <w:t>——————————————————————————————————————————————————————————————————————</w:t>
      </w:r>
    </w:p>
    <w:p>
      <w:pPr>
        <w:spacing w:before="160" w:after="40" w:line="240" w:lineRule="auto"/>
      </w:pPr>
      <w:r>
        <w:rPr>
          <w:b/>
        </w:rPr>
        <w:t xml:space="preserve">[205] </w:t>
      </w:r>
      <w:hyperlink r:id="rId544">
        <w:r>
          <w:rPr>
            <w:color w:val="1155CC"/>
            <w:u w:val="single"/>
          </w:rPr>
          <w:t>揭示SOCT‐ISC光敏化中的火山型趋势：基于能隙定律的高效光动力疗法策略</w:t>
        </w:r>
      </w:hyperlink>
    </w:p>
    <w:p>
      <w:pPr>
        <w:spacing w:before="0" w:after="80"/>
      </w:pPr>
      <w:r>
        <w:rPr>
          <w:i/>
          <w:sz w:val="20"/>
        </w:rPr>
        <w:t>EN: Unveiling Volcano‐Type Trends in SOCT‐ISC Photosensitization: Energy Gap Law‐Guided Strategy for Efficient Photodynamic Therapy</w:t>
      </w:r>
    </w:p>
    <w:p>
      <w:pPr>
        <w:spacing w:before="0" w:after="120"/>
      </w:pPr>
      <w:r>
        <w:rPr>
          <w:b/>
        </w:rPr>
        <w:t xml:space="preserve">Source: </w:t>
      </w:r>
      <w:r>
        <w:t>Wiley: Angewandte Chemie International Edition: Table of Contents</w:t>
      </w:r>
      <w:r>
        <w:t xml:space="preserve">    </w:t>
      </w:r>
      <w:r>
        <w:rPr>
          <w:b/>
        </w:rPr>
        <w:t xml:space="preserve">Pub date: </w:t>
      </w:r>
      <w:r>
        <w:t>2026-04-07 08:38:01+00:00</w:t>
      </w:r>
      <w:r>
        <w:t xml:space="preserve">    </w:t>
      </w:r>
      <w:r>
        <w:rPr>
          <w:b/>
        </w:rPr>
        <w:t xml:space="preserve">DOI: </w:t>
      </w:r>
      <w:hyperlink r:id="rId545">
        <w:r>
          <w:rPr>
            <w:color w:val="1155CC"/>
            <w:u w:val="single"/>
          </w:rPr>
          <w:t>10.1002/anie.8399023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高性能无重原子光敏剂的开发需要深入了解其激发态动力学。我们报告了一系列在C2位置功能化的菁染料化合物，它们通过自旋轨道电荷转移系间窜越（SOCT-ISC）运行。发现了光诱导电子转移（PeT）效率与单线态氧量子产率之间显著的“火山型”关系。飞秒瞬态光谱和量子化学计算揭示了这一趋势源于电荷分离（CS）态的S1和T2系间窜越与CS态电荷复合之间的动态竞争。</w:t>
      </w:r>
    </w:p>
    <w:p>
      <w:pPr>
        <w:spacing w:before="0" w:after="200" w:lineRule="auto" w:line="276"/>
      </w:pPr>
      <w:r>
        <w:rPr>
          <w:b/>
        </w:rPr>
        <w:t xml:space="preserve">Abstract (EN): </w:t>
      </w:r>
      <w:r>
        <w:t>The development of high‐performance heavy‐atom‐free photosensitizers requires deep insight into their excited‐state dynamics. We report a series of cyanine‐based compounds functionalized at the C2 position that operate through spin–orbit charge transfer intersystem crossing (SOCT‐ISC). A pronounced “volcano‐type” relationship between photo‐induced electron transfer (PeT) efficiency and singlet oxygen quantum yield was uncovered. Femtosecond transient spectroscopy and quantum chemical calculations reveal that this trend stems from a dynamic competition between S</w:t>
      </w:r>
      <w:r>
        <w:rPr>
          <w:vertAlign w:val="subscript"/>
        </w:rPr>
        <w:t>1</w:t>
      </w:r>
      <w:r>
        <w:t>and T</w:t>
      </w:r>
      <w:r>
        <w:rPr>
          <w:vertAlign w:val="subscript"/>
        </w:rPr>
        <w:t>2</w:t>
      </w:r>
      <w:r>
        <w:t>intersystem crossing from the charge‐separated (CS) state and CS‐state charge recombination via internal conversion. The CS‐state energy serves as a key descriptor dictating this balance. By modulating the donor strength of the substituents, we optimized the CS‐state energy and identified</w:t>
      </w:r>
      <w:r>
        <w:t xml:space="preserve"> </w:t>
      </w:r>
      <w:r>
        <w:t>TCy‐Pyr</w:t>
      </w:r>
      <w:r>
        <w:t xml:space="preserve"> </w:t>
      </w:r>
      <w:r>
        <w:t>, a molecule near the volcano apex.</w:t>
      </w:r>
      <w:r>
        <w:t xml:space="preserve"> </w:t>
      </w:r>
      <w:r>
        <w:t>TCy‐Pyr</w:t>
      </w:r>
      <w:r>
        <w:t xml:space="preserve"> </w:t>
      </w:r>
      <w:r>
        <w:t>exhibits outstanding photodynamic performance, with in vitro and in vivo anticancer efficacy surpassing conventional benchmarks. It also displays aggregation‐induced targeting behavior, promoting selective tumor accumulation. This work elucidates the excited‐state dynamics in SOCT‐ISC systems and establishes a rational design strategy to overcome performance bottlenecks in photosensitizer development.</w:t>
      </w:r>
    </w:p>
    <w:p>
      <w:pPr>
        <w:spacing w:before="120" w:after="120"/>
      </w:pPr>
      <w:r>
        <w:rPr>
          <w:sz w:val="18"/>
        </w:rPr>
        <w:t>——————————————————————————————————————————————————————————————————————</w:t>
      </w:r>
    </w:p>
    <w:p>
      <w:pPr>
        <w:spacing w:before="160" w:after="40" w:line="240" w:lineRule="auto"/>
      </w:pPr>
      <w:r>
        <w:rPr>
          <w:b/>
        </w:rPr>
        <w:t xml:space="preserve">[206] </w:t>
      </w:r>
      <w:hyperlink r:id="rId546">
        <w:r>
          <w:rPr>
            <w:color w:val="1155CC"/>
            <w:u w:val="single"/>
          </w:rPr>
          <w:t>[ASAP] 三元面结工程Cu2O光电阴极通过CO2和NO3–协同还原实现高效尿素合成</w:t>
        </w:r>
      </w:hyperlink>
    </w:p>
    <w:p>
      <w:pPr>
        <w:spacing w:before="0" w:after="80"/>
      </w:pPr>
      <w:r>
        <w:rPr>
          <w:i/>
          <w:sz w:val="20"/>
        </w:rPr>
        <w:t>EN: [ASAP] Ternary Facet Junction Engineered Cu2O Photocathode for Efficient Urea Synthesis via CO2 and NO3– Co-reduction</w:t>
      </w:r>
    </w:p>
    <w:p>
      <w:pPr>
        <w:spacing w:before="0" w:after="120"/>
      </w:pPr>
      <w:r>
        <w:rPr>
          <w:b/>
        </w:rPr>
        <w:t xml:space="preserve">Source: </w:t>
      </w:r>
      <w:r>
        <w:t>ACS Energy Letters: Latest Articles (ACS Publications)</w:t>
      </w:r>
      <w:r>
        <w:t xml:space="preserve">    </w:t>
      </w:r>
      <w:r>
        <w:rPr>
          <w:b/>
        </w:rPr>
        <w:t xml:space="preserve">Pub date: </w:t>
      </w:r>
      <w:r>
        <w:t>2026-04-07 08:39:42+00:00</w:t>
      </w:r>
      <w:r>
        <w:t xml:space="preserve">    </w:t>
      </w:r>
      <w:r>
        <w:rPr>
          <w:b/>
        </w:rPr>
        <w:t xml:space="preserve">DOI: </w:t>
      </w:r>
      <w:hyperlink r:id="rId547">
        <w:r>
          <w:rPr>
            <w:color w:val="1155CC"/>
            <w:u w:val="single"/>
          </w:rPr>
          <w:t>10.1021/acsenergylett.6c00152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[207] </w:t>
      </w:r>
      <w:hyperlink r:id="rId548">
        <w:r>
          <w:rPr>
            <w:color w:val="1155CC"/>
            <w:u w:val="single"/>
          </w:rPr>
          <w:t>通过选择性1,4‐钯迁移的配体控制可切换的融合多环合成</w:t>
        </w:r>
      </w:hyperlink>
    </w:p>
    <w:p>
      <w:pPr>
        <w:spacing w:before="0" w:after="80"/>
      </w:pPr>
      <w:r>
        <w:rPr>
          <w:i/>
          <w:sz w:val="20"/>
        </w:rPr>
        <w:t>EN: Ligand‐Controlled Switchable Synthesis of Fused Polycycles by Selective 1,4‐Palladium Migration</w:t>
      </w:r>
    </w:p>
    <w:p>
      <w:pPr>
        <w:spacing w:before="0" w:after="120"/>
      </w:pPr>
      <w:r>
        <w:rPr>
          <w:b/>
        </w:rPr>
        <w:t xml:space="preserve">Source: </w:t>
      </w:r>
      <w:r>
        <w:t>Wiley: Angewandte Chemie International Edition: Table of Contents</w:t>
      </w:r>
      <w:r>
        <w:t xml:space="preserve">    </w:t>
      </w:r>
      <w:r>
        <w:rPr>
          <w:b/>
        </w:rPr>
        <w:t xml:space="preserve">Pub date: </w:t>
      </w:r>
      <w:r>
        <w:t>2026-04-07 08:41:20+00:00</w:t>
      </w:r>
      <w:r>
        <w:t xml:space="preserve">    </w:t>
      </w:r>
      <w:r>
        <w:rPr>
          <w:b/>
        </w:rPr>
        <w:t xml:space="preserve">DOI: </w:t>
      </w:r>
      <w:hyperlink r:id="rId549">
        <w:r>
          <w:rPr>
            <w:color w:val="1155CC"/>
            <w:u w:val="single"/>
          </w:rPr>
          <w:t>10.1002/anie.8150968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钯迁移策略已被用于远程C─H键的官能化，提供了一种构建稠合杂环的有效方法。在本研究中，揭示了一种通过选择性1,4-钯迁移从1,7-炔烃和全氟烷基碘化物合成稠合喹啉酮骨架的新型配体控制可切换合成。当使用DPEphos作为配体时，促进乙烯基到芳基的1,4-钯迁移，提供了多种含全氟烷基的4,5,10-稠合喹啉酮衍生物。相反，使用DPPPy作为配体则促进乙烯基到烷基的1,4-钯迁移，生成各种含全氟烷基的3,4-稠合喹啉酮衍生物。值得注意的是，该方案还可以对各种药物分子进行修饰。</w:t>
      </w:r>
    </w:p>
    <w:p>
      <w:pPr>
        <w:spacing w:before="0" w:after="200" w:lineRule="auto" w:line="276"/>
      </w:pPr>
      <w:r>
        <w:rPr>
          <w:b/>
        </w:rPr>
        <w:t xml:space="preserve">Abstract (EN): </w:t>
      </w:r>
      <w:r>
        <w:t>The palladium migration strategy has been employed for the functionalization of remote C─H bonds, offering an efficient approach to construct fused heterocycles. In this study, a novel ligand‐controlled switchable synthesis of fused quinolinone skeletons from 1,7‐enynes and perfluoroalkyl iodides via selective 1,4‐palladium migration is disclosed. When DPEphos is used as the ligand, vinyl‐to‐aryl 1,4‐palladium migration is promoted, affording a wide range of perfluoroalkyl‐containing 4,5,10‐fused quinolinone derivatives. In contrast, the use of DPPPy as the ligand facilitates vinyl‐to‐alkyl 1,4‐palladium migration, yielding various perfluoroalkyl‐containing 3,4‐fused quinolinone derivatives. Notably, this protocol also enables modifications of various drug molecules. DFT calculations have been conducted to elucidate the cis‐trans isomerization pathways of alkenyl palladium intermediates with different ligands.</w:t>
      </w:r>
    </w:p>
    <w:p>
      <w:pPr>
        <w:spacing w:before="120" w:after="120"/>
      </w:pPr>
      <w:r>
        <w:rPr>
          <w:sz w:val="18"/>
        </w:rPr>
        <w:t>——————————————————————————————————————————————————————————————————————</w:t>
      </w:r>
    </w:p>
    <w:p>
      <w:pPr>
        <w:spacing w:before="160" w:after="40" w:line="240" w:lineRule="auto"/>
      </w:pPr>
      <w:r>
        <w:rPr>
          <w:b/>
        </w:rPr>
        <w:t xml:space="preserve">[208] </w:t>
      </w:r>
      <w:hyperlink r:id="rId550">
        <w:r>
          <w:rPr>
            <w:color w:val="1155CC"/>
            <w:u w:val="single"/>
          </w:rPr>
          <w:t>时间分辨原生质谱揭示拟南芥隐花色素1的可逆光驱动寡聚化及其被BIC1拮抗</w:t>
        </w:r>
      </w:hyperlink>
    </w:p>
    <w:p>
      <w:pPr>
        <w:spacing w:before="0" w:after="80"/>
      </w:pPr>
      <w:r>
        <w:rPr>
          <w:i/>
          <w:sz w:val="20"/>
        </w:rPr>
        <w:t>EN: Time‐Resolved Native Mass Spectrometry Reveals Reversible Light‐Driven Oligomerization of Arabidopsis Cryptochrome 1 and Its Antagonism by BIC1</w:t>
      </w:r>
    </w:p>
    <w:p>
      <w:pPr>
        <w:spacing w:before="0" w:after="120"/>
      </w:pPr>
      <w:r>
        <w:rPr>
          <w:b/>
        </w:rPr>
        <w:t xml:space="preserve">Source: </w:t>
      </w:r>
      <w:r>
        <w:t>Wiley: Angewandte Chemie International Edition: Table of Contents</w:t>
      </w:r>
      <w:r>
        <w:t xml:space="preserve">    </w:t>
      </w:r>
      <w:r>
        <w:rPr>
          <w:b/>
        </w:rPr>
        <w:t xml:space="preserve">Pub date: </w:t>
      </w:r>
      <w:r>
        <w:t>2026-04-07 08:43:50+00:00</w:t>
      </w:r>
      <w:r>
        <w:t xml:space="preserve">    </w:t>
      </w:r>
      <w:r>
        <w:rPr>
          <w:b/>
        </w:rPr>
        <w:t xml:space="preserve">DOI: </w:t>
      </w:r>
      <w:hyperlink r:id="rId551">
        <w:r>
          <w:rPr>
            <w:color w:val="1155CC"/>
            <w:u w:val="single"/>
          </w:rPr>
          <w:t>10.1002/anie.202525792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隐色素（CRYs）是介导植物中光依赖信号传导的蓝光受体。在此，我们揭示了蓝光激活拟南芥隐色素1光裂合酶同源区（CRY1-PHR）的分子机制，使用时间分辨的原生质谱结合动力学建模。该方法能够直接监测光驱动的复合物形成，具有时间和分子分辨率。我们表明，CRY1-PHR的蓝光激活遵循一个可逆的组装路径，其中单体迅速形成二聚体，进一步组装成四聚体。一个定量的两步动力学模型捕捉了光诱导的寡聚化之间的动态相互作用。</w:t>
      </w:r>
    </w:p>
    <w:p>
      <w:pPr>
        <w:spacing w:before="0" w:after="200" w:lineRule="auto" w:line="276"/>
      </w:pPr>
      <w:r>
        <w:rPr>
          <w:b/>
        </w:rPr>
        <w:t xml:space="preserve">Abstract (EN): </w:t>
      </w:r>
      <w:r>
        <w:t>Cryptochromes (CRYs) are blue‐light photoreceptors that mediate light‐dependent signaling in plants. Here, we uncover the molecular mechanism underlying blue‐light activation of the</w:t>
      </w:r>
      <w:r>
        <w:t xml:space="preserve"> </w:t>
      </w:r>
      <w:r>
        <w:t>Arabidopsis thaliana</w:t>
      </w:r>
      <w:r>
        <w:t xml:space="preserve"> </w:t>
      </w:r>
      <w:r>
        <w:t>cryptochrome 1 photolyase homology region (CRY1‐PHR) using time‐resolved native mass spectrometry combined with kinetic modeling. This approach enables direct monitoring of light‐driven complex formation with temporal and molecular resolution. We show that blue‐light activation of CRY1‐PHR follows a reversible assembly pathway in which monomers rapidly form dimers that further assemble into tetramers. A quantitative two‐step kinetic model captures the dynamic interplay between light‐induced oligomerization and thermal disassembly. Strikingly, ATP accelerates tetramer formation and stabilizes oligomers by tuning the underlying photochemistry of the flavin adenine dinucleotide (FAD) chromophore. In contrast, the Blue‐light Inhibitor of Cryptochromes 1 (BIC1) acts as a potent antagonist. BIC1 binds to CRY1‐PHR even in the dark, with significantly increased affinity under blue light, thereby inhibiting oligomerization and actively disassembling pre‐formed tetramers. This disassembly is light‐independent and occurs regardless of CRY's redox state. Together, these findings provide a kinetic and mechanistic framework for reversible blue‐light signaling by plant CRYs and highlight how opposing regulators precisely modulate photoreceptor activation at the molecular level.</w:t>
      </w:r>
    </w:p>
    <w:p>
      <w:pPr>
        <w:spacing w:before="120" w:after="120"/>
      </w:pPr>
      <w:r>
        <w:rPr>
          <w:sz w:val="18"/>
        </w:rPr>
        <w:t>——————————————————————————————————————————————————————————————————————</w:t>
      </w:r>
    </w:p>
    <w:p>
      <w:pPr>
        <w:spacing w:before="160" w:after="40" w:line="240" w:lineRule="auto"/>
      </w:pPr>
      <w:r>
        <w:rPr>
          <w:b/>
        </w:rPr>
        <w:t xml:space="preserve">[209] </w:t>
      </w:r>
      <w:hyperlink r:id="rId552">
        <w:r>
          <w:rPr>
            <w:color w:val="1155CC"/>
            <w:u w:val="single"/>
          </w:rPr>
          <w:t>从氢键金属复合框架到金属有机框架的同构转变以增强氨耐受性</w:t>
        </w:r>
      </w:hyperlink>
    </w:p>
    <w:p>
      <w:pPr>
        <w:spacing w:before="0" w:after="80"/>
      </w:pPr>
      <w:r>
        <w:rPr>
          <w:i/>
          <w:sz w:val="20"/>
        </w:rPr>
        <w:t>EN: Isostructural Transformation From a Hydrogen‐Bonded Metal‐Complex Framework to a Metal–Organic Framework for Enhanced Ammonia Tolerance</w:t>
      </w:r>
    </w:p>
    <w:p>
      <w:pPr>
        <w:spacing w:before="0" w:after="120"/>
      </w:pPr>
      <w:r>
        <w:rPr>
          <w:b/>
        </w:rPr>
        <w:t xml:space="preserve">Source: </w:t>
      </w:r>
      <w:r>
        <w:t>Wiley: Angewandte Chemie International Edition: Table of Contents</w:t>
      </w:r>
      <w:r>
        <w:t xml:space="preserve">    </w:t>
      </w:r>
      <w:r>
        <w:rPr>
          <w:b/>
        </w:rPr>
        <w:t xml:space="preserve">Pub date: </w:t>
      </w:r>
      <w:r>
        <w:t>2026-04-07 09:48:18+00:00</w:t>
      </w:r>
      <w:r>
        <w:t xml:space="preserve">    </w:t>
      </w:r>
      <w:r>
        <w:rPr>
          <w:b/>
        </w:rPr>
        <w:t xml:space="preserve">DOI: </w:t>
      </w:r>
      <w:hyperlink r:id="rId553">
        <w:r>
          <w:rPr>
            <w:color w:val="1155CC"/>
            <w:u w:val="single"/>
          </w:rPr>
          <w:t>10.1002/anie.4524818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金属有机框架（MOFs）是氨（NH</w:t>
      </w:r>
      <w:r>
        <w:rPr>
          <w:vertAlign w:val="subscript"/>
        </w:rPr>
        <w:t>3</w:t>
      </w:r>
      <w:r>
        <w:t>）储存和捕获的有前途的吸附剂。然而，合理合成具有NH</w:t>
      </w:r>
      <w:r>
        <w:rPr>
          <w:vertAlign w:val="subscript"/>
        </w:rPr>
        <w:t>3</w:t>
      </w:r>
      <w:r>
        <w:t>耐受性和可逆吸附的目标MOFs仍然具有挑战性。在此，我们提出了一种氢键金属复合框架（ALP‐HOF‐1），可以通过配体替换策略等构转变为多孔MOF（ALP‐MOF‐4），以显著增强NH</w:t>
      </w:r>
      <w:r>
        <w:rPr>
          <w:vertAlign w:val="subscript"/>
        </w:rPr>
        <w:t>3</w:t>
      </w:r>
      <w:r>
        <w:t>耐受性和可逆性。通过在连续</w:t>
      </w:r>
    </w:p>
    <w:p>
      <w:pPr>
        <w:spacing w:before="0" w:after="200" w:lineRule="auto" w:line="276"/>
      </w:pPr>
      <w:r>
        <w:rPr>
          <w:b/>
        </w:rPr>
        <w:t xml:space="preserve">Abstract (EN): </w:t>
      </w:r>
      <w:r>
        <w:t>Metal–organic frameworks (MOFs) are promising sorbents for ammonia (NH</w:t>
      </w:r>
      <w:r>
        <w:rPr>
          <w:vertAlign w:val="subscript"/>
        </w:rPr>
        <w:t>3</w:t>
      </w:r>
      <w:r>
        <w:t>) storage and capture. However, rationally synthesizing target MOFs with NH</w:t>
      </w:r>
      <w:r>
        <w:rPr>
          <w:vertAlign w:val="subscript"/>
        </w:rPr>
        <w:t>3</w:t>
      </w:r>
      <w:r>
        <w:t>tolerance and reversible uptake still remains challenging. Here, we present a hydrogen‐bonded metal‐complex framework (ALP‐HOF‐1) that can isostructurally transform to a porous MOF (ALP‐MOF‐4) via a ligand substitution strategy to dramatically enhance NH</w:t>
      </w:r>
      <w:r>
        <w:rPr>
          <w:vertAlign w:val="subscript"/>
        </w:rPr>
        <w:t>3</w:t>
      </w:r>
      <w:r>
        <w:t>tolerance and reversibility. The remarkable NH</w:t>
      </w:r>
      <w:r>
        <w:rPr>
          <w:vertAlign w:val="subscript"/>
        </w:rPr>
        <w:t>3</w:t>
      </w:r>
      <w:r>
        <w:t>tolerance was unambiguously confirmed by the retention of NH</w:t>
      </w:r>
      <w:r>
        <w:rPr>
          <w:vertAlign w:val="subscript"/>
        </w:rPr>
        <w:t>3</w:t>
      </w:r>
      <w:r>
        <w:t>adsorption capacities after consecutive adsorption/desorption cycles and breakthrough experiments. At 298 K and 1.0 bar, ALP‐MOF‐4 exhibits a high NH</w:t>
      </w:r>
      <w:r>
        <w:rPr>
          <w:vertAlign w:val="subscript"/>
        </w:rPr>
        <w:t>3</w:t>
      </w:r>
      <w:r>
        <w:t>packing density comparable to liquid NH</w:t>
      </w:r>
      <w:r>
        <w:rPr>
          <w:vertAlign w:val="subscript"/>
        </w:rPr>
        <w:t>3</w:t>
      </w:r>
      <w:r>
        <w:t>. X−ray photoelectron spectroscopy and computational studies ascertain the binding domains of adsorbed NH</w:t>
      </w:r>
      <w:r>
        <w:rPr>
          <w:vertAlign w:val="subscript"/>
        </w:rPr>
        <w:t>3</w:t>
      </w:r>
      <w:r>
        <w:t>molecules. Open metal sites, Brønsted basic carbonyl (─C═O), and acidic ─NH groups in ALP‐MOF‐4 act cooperatively as preferred anchoring sites for NH</w:t>
      </w:r>
      <w:r>
        <w:rPr>
          <w:vertAlign w:val="subscript"/>
        </w:rPr>
        <w:t>3</w:t>
      </w:r>
      <w:r>
        <w:t>capture, resulting in excellent trace NH</w:t>
      </w:r>
      <w:r>
        <w:rPr>
          <w:vertAlign w:val="subscript"/>
        </w:rPr>
        <w:t>3</w:t>
      </w:r>
      <w:r>
        <w:t>capture performance under mixed NH</w:t>
      </w:r>
      <w:r>
        <w:rPr>
          <w:vertAlign w:val="subscript"/>
        </w:rPr>
        <w:t>3</w:t>
      </w:r>
      <w:r>
        <w:t>, CO</w:t>
      </w:r>
      <w:r>
        <w:rPr>
          <w:vertAlign w:val="subscript"/>
        </w:rPr>
        <w:t>2</w:t>
      </w:r>
      <w:r>
        <w:t>, and N</w:t>
      </w:r>
      <w:r>
        <w:rPr>
          <w:vertAlign w:val="subscript"/>
        </w:rPr>
        <w:t>2</w:t>
      </w:r>
      <w:r>
        <w:t>streams with effluent NH</w:t>
      </w:r>
      <w:r>
        <w:rPr>
          <w:vertAlign w:val="subscript"/>
        </w:rPr>
        <w:t>3</w:t>
      </w:r>
      <w:r>
        <w:t>below 50 ppm. The structural integrity and recyclability of ALP‐MOF‐4 demonstrate its potential as a durable NH</w:t>
      </w:r>
      <w:r>
        <w:rPr>
          <w:vertAlign w:val="subscript"/>
        </w:rPr>
        <w:t>3</w:t>
      </w:r>
      <w:r>
        <w:t>sorbent. This work provides design principles for rational transformations from HOFs to MOFs featuring active‐site environments for selective gas capture.</w:t>
      </w:r>
    </w:p>
    <w:p>
      <w:pPr>
        <w:spacing w:before="120" w:after="120"/>
      </w:pPr>
      <w:r>
        <w:rPr>
          <w:sz w:val="18"/>
        </w:rPr>
        <w:t>——————————————————————————————————————————————————————————————————————</w:t>
      </w:r>
    </w:p>
    <w:p>
      <w:pPr>
        <w:spacing w:before="160" w:after="40" w:line="240" w:lineRule="auto"/>
      </w:pPr>
      <w:r>
        <w:rPr>
          <w:b/>
        </w:rPr>
        <w:t xml:space="preserve">[210] </w:t>
      </w:r>
      <w:hyperlink r:id="rId554">
        <w:r>
          <w:rPr>
            <w:color w:val="1155CC"/>
            <w:u w:val="single"/>
          </w:rPr>
          <w:t>通过γ‐二硫丁内酯的自由基聚合制备二硫缩酮聚合物</w:t>
        </w:r>
      </w:hyperlink>
    </w:p>
    <w:p>
      <w:pPr>
        <w:spacing w:before="0" w:after="80"/>
      </w:pPr>
      <w:r>
        <w:rPr>
          <w:i/>
          <w:sz w:val="20"/>
        </w:rPr>
        <w:t>EN: Dithioketal Polymers Via Radical Polymerization of γ‐Dithiobutyrolactone</w:t>
      </w:r>
    </w:p>
    <w:p>
      <w:pPr>
        <w:spacing w:before="0" w:after="120"/>
      </w:pPr>
      <w:r>
        <w:rPr>
          <w:b/>
        </w:rPr>
        <w:t xml:space="preserve">Source: </w:t>
      </w:r>
      <w:r>
        <w:t>Wiley: Angewandte Chemie International Edition: Table of Contents</w:t>
      </w:r>
      <w:r>
        <w:t xml:space="preserve">    </w:t>
      </w:r>
      <w:r>
        <w:rPr>
          <w:b/>
        </w:rPr>
        <w:t xml:space="preserve">Pub date: </w:t>
      </w:r>
      <w:r>
        <w:t>2026-04-07 09:55:28+00:00</w:t>
      </w:r>
      <w:r>
        <w:t xml:space="preserve">    </w:t>
      </w:r>
      <w:r>
        <w:rPr>
          <w:b/>
        </w:rPr>
        <w:t xml:space="preserve">DOI: </w:t>
      </w:r>
      <w:hyperlink r:id="rId555">
        <w:r>
          <w:rPr>
            <w:color w:val="1155CC"/>
            <w:u w:val="single"/>
          </w:rPr>
          <w:t>10.1002/anie.2024128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含链内二硫缩酮基团的聚合物是一类新兴材料，具有特定性质，如反应性氧物种（ROS）响应性和玻璃化转变行为。迄今为止，这些聚合物仅通过逐步聚合或加成聚合生产；在此，我们报告了首次链式聚合生成二硫缩酮聚合物。γ‐二硫丁内酯（DTBL）与一系列共轭单体进行自由基共聚，生成仅保留环状二硫缩酮单元的共聚物。DFT计算解释了DTBL与其硫内酯类似物γ‐硫丁内酯（TBL）的对比行为，强调了环杂原子的电子效应如何影响传播效率和环保留与环</w:t>
      </w:r>
    </w:p>
    <w:p>
      <w:pPr>
        <w:spacing w:before="0" w:after="200" w:lineRule="auto" w:line="276"/>
      </w:pPr>
      <w:r>
        <w:rPr>
          <w:b/>
        </w:rPr>
        <w:t xml:space="preserve">Abstract (EN): </w:t>
      </w:r>
      <w:r>
        <w:t>Polymers bearing in‐chain dithioketal groups are an emerging class of materials with specific properties like reactive oxygen species (ROS)‐responsiveness and vitrimer‐type behavior. Until now, these polymers have been exclusively produced by step‐growth polymerization or polyaddition; herein, we report the first chain polymerization leading to dithioketal polymers. γ‐dithiobutyrolactone (DTBL) is radically copolymerized with a series of conjugated monomers to yield copolymers with ring‐retained dithioketal units exclusively. DFT calculations rationalize the contrasting behaviors of DTBL and its thionolactone analogue γ‐thionobutyrolactone (TBL), highlighting how electronic effects of the ring heteroatoms govern propagation efficiency and ring‐retention versus ring‐opening pathways. The ability of DTBL to bring degradability to thermosets, latexes, and RAFT‐derived complex architectures is revealed.</w:t>
      </w:r>
    </w:p>
    <w:p>
      <w:pPr>
        <w:spacing w:before="120" w:after="120"/>
      </w:pPr>
      <w:r>
        <w:rPr>
          <w:sz w:val="18"/>
        </w:rPr>
        <w:t>——————————————————————————————————————————————————————————————————————</w:t>
      </w:r>
    </w:p>
    <w:p>
      <w:pPr>
        <w:spacing w:before="160" w:after="40" w:line="240" w:lineRule="auto"/>
      </w:pPr>
      <w:r>
        <w:rPr>
          <w:b/>
        </w:rPr>
        <w:t xml:space="preserve">[211] </w:t>
      </w:r>
      <w:hyperlink r:id="rId556">
        <w:r>
          <w:rPr>
            <w:color w:val="1155CC"/>
            <w:u w:val="single"/>
          </w:rPr>
          <w:t>[ASAP] 大块无定形氧化铝：五面体金字塔和八面体的密度驱动相互作用以实现高介电常数</w:t>
        </w:r>
      </w:hyperlink>
    </w:p>
    <w:p>
      <w:pPr>
        <w:spacing w:before="0" w:after="80"/>
      </w:pPr>
      <w:r>
        <w:rPr>
          <w:i/>
          <w:sz w:val="20"/>
        </w:rPr>
        <w:t>EN: [ASAP] Bulk Amorphous Alumina: The Density-Driven Interplay of Pentahedral Pyramids and Octahedra for High Dielectric Permittivity</w:t>
      </w:r>
    </w:p>
    <w:p>
      <w:pPr>
        <w:spacing w:before="0" w:after="120"/>
      </w:pPr>
      <w:r>
        <w:rPr>
          <w:b/>
        </w:rPr>
        <w:t xml:space="preserve">Source: </w:t>
      </w:r>
      <w:r>
        <w:t>Journal of the American Chemical Society: Latest Articles (ACS Publications)</w:t>
      </w:r>
      <w:r>
        <w:t xml:space="preserve">    </w:t>
      </w:r>
      <w:r>
        <w:rPr>
          <w:b/>
        </w:rPr>
        <w:t xml:space="preserve">Pub date: </w:t>
      </w:r>
      <w:r>
        <w:t>2026-04-07 10:51:56+00:00</w:t>
      </w:r>
      <w:r>
        <w:t xml:space="preserve">    </w:t>
      </w:r>
      <w:r>
        <w:rPr>
          <w:b/>
        </w:rPr>
        <w:t xml:space="preserve">DOI: </w:t>
      </w:r>
      <w:hyperlink r:id="rId557">
        <w:r>
          <w:rPr>
            <w:color w:val="1155CC"/>
            <w:u w:val="single"/>
          </w:rPr>
          <w:t>10.1021/jacs.5c22344</w:t>
        </w:r>
      </w:hyperlink>
    </w:p>
    <w:p>
      <w:pPr>
        <w:spacing w:before="0" w:after="120"/>
      </w:pPr>
      <w:r>
        <w:rPr>
          <w:b/>
        </w:rPr>
        <w:t xml:space="preserve">Notes: </w:t>
      </w:r>
      <w:r>
        <w:t>abstract_source=pubmed</w:t>
      </w:r>
    </w:p>
    <w:p>
      <w:pPr>
        <w:spacing w:before="0" w:after="80" w:lineRule="auto" w:line="276"/>
      </w:pPr>
      <w:r>
        <w:rPr>
          <w:b/>
        </w:rPr>
        <w:t xml:space="preserve">摘要（ZH）: </w:t>
      </w:r>
      <w:r>
        <w:t>单组分氧化物玻璃的合成，以Al2O3（氧化铝）为代表，是一个未被探索的领域，因为它们没有玻璃形成能力。我们通过对无定形氧化铝多孔薄膜施加高压，合成了一种透明的块状无定形氧化铝，具有优异的导热性、硬度和介电常数。我们发现一个金字塔形的五重多面体（AlO5），类似于去掉一个氧顶点的变形八面体，是无定形氧化铝中的主要结构单元。高压的应用诱导了由进一步变形的AlO5金字塔和增加的AlO6八面体组成的边共享矩阵的形成，从而改善了介电常数，超过了α-Al2O3。我们新提出的合成方法实现了</w:t>
      </w:r>
    </w:p>
    <w:p>
      <w:pPr>
        <w:spacing w:before="0" w:after="200" w:lineRule="auto" w:line="276"/>
      </w:pPr>
      <w:r>
        <w:rPr>
          <w:b/>
        </w:rPr>
        <w:t xml:space="preserve">Abstract (EN): </w:t>
      </w:r>
      <w:r>
        <w:t>The synthesis of single-component oxide glasses, represented by Al2O3 (alumina), is an unexplored area because they have no glass-forming ability. We synthesized a transparent bulk amorphous alumina with excellent thermal conductivity, hardness, and dielectric permittivity by applying high pressure to an amorphous alumina porous thin film. We found that a pyramidal 5-fold polyhedron (AlO5), which resembles a deformed octahedron without one oxygen vertex, is a principal structural unit in the amorphous alumina. The application of high pressure induces the formation of an edge-sharing matrix composed of further-deformed AlO5 pyramids and increased AlO6 octahedra, resulting in the improvement of the dielectric permittivity exceeding α-Al2O3. Our newly proposed synthesis method, which achieves an anomalous matrix formed by the density-driven interplay of pyramids and octahedra, has the potential to pave the way for the creation of a wide range of novel bulk amorphous materials without glass-forming ability, exhibiting excellent physicochemical properties.</w:t>
      </w:r>
    </w:p>
    <w:p>
      <w:pPr>
        <w:spacing w:before="120" w:after="120"/>
      </w:pPr>
      <w:r>
        <w:rPr>
          <w:sz w:val="18"/>
        </w:rPr>
        <w:t>——————————————————————————————————————————————————————————————————————</w:t>
      </w:r>
    </w:p>
    <w:p>
      <w:pPr>
        <w:spacing w:before="160" w:after="40" w:line="240" w:lineRule="auto"/>
      </w:pPr>
      <w:r>
        <w:rPr>
          <w:b/>
        </w:rPr>
        <w:t xml:space="preserve">[212] </w:t>
      </w:r>
      <w:hyperlink r:id="rId558">
        <w:r>
          <w:rPr>
            <w:color w:val="1155CC"/>
            <w:u w:val="single"/>
          </w:rPr>
          <w:t>[ASAP] BiVO4光阳极中甘油氧化的电流倍增的化学起源和传输限制</w:t>
        </w:r>
      </w:hyperlink>
    </w:p>
    <w:p>
      <w:pPr>
        <w:spacing w:before="0" w:after="80"/>
      </w:pPr>
      <w:r>
        <w:rPr>
          <w:i/>
          <w:sz w:val="20"/>
        </w:rPr>
        <w:t>EN: [ASAP] Chemical Origin and Transport Limits of Current Multiplication in BiVO4 Photoanodes for Glycerol Oxidation</w:t>
      </w:r>
    </w:p>
    <w:p>
      <w:pPr>
        <w:spacing w:before="0" w:after="120"/>
      </w:pPr>
      <w:r>
        <w:rPr>
          <w:b/>
        </w:rPr>
        <w:t xml:space="preserve">Source: </w:t>
      </w:r>
      <w:r>
        <w:t>ACS Energy Letters: Latest Articles (ACS Publications)</w:t>
      </w:r>
      <w:r>
        <w:t xml:space="preserve">    </w:t>
      </w:r>
      <w:r>
        <w:rPr>
          <w:b/>
        </w:rPr>
        <w:t xml:space="preserve">Pub date: </w:t>
      </w:r>
      <w:r>
        <w:t>2026-04-07 11:12:11+00:00</w:t>
      </w:r>
      <w:r>
        <w:t xml:space="preserve">    </w:t>
      </w:r>
      <w:r>
        <w:rPr>
          <w:b/>
        </w:rPr>
        <w:t xml:space="preserve">DOI: </w:t>
      </w:r>
      <w:hyperlink r:id="rId559">
        <w:r>
          <w:rPr>
            <w:color w:val="1155CC"/>
            <w:u w:val="single"/>
          </w:rPr>
          <w:t>10.1021/acsenergylett.6c00459</w:t>
        </w:r>
      </w:hyperlink>
    </w:p>
    <w:p>
      <w:pPr>
        <w:spacing w:before="0" w:after="120"/>
      </w:pPr>
      <w:r>
        <w:rPr>
          <w:b/>
        </w:rPr>
        <w:t xml:space="preserve">Notes: </w:t>
      </w:r>
      <w:r>
        <w:t>abstract_source=openalex</w:t>
      </w:r>
    </w:p>
    <w:p>
      <w:pPr>
        <w:spacing w:before="0" w:after="80" w:lineRule="auto" w:line="276"/>
      </w:pPr>
      <w:r>
        <w:rPr>
          <w:b/>
        </w:rPr>
        <w:t xml:space="preserve">摘要（ZH）: </w:t>
      </w:r>
      <w:r>
        <w:t>电流倍增，即每吸收一个光子转移多个电子，具有改变光电化学太阳能燃料生成的潜力。然而，这种现象仍然很少实现，主要是因为支持这一过程的化学途径尚不清楚，关键瓶颈仍未识别。在BiVO4光阳极上，我们揭示了钒介导的电流倍增途径的直接证据。在甘油氧化过程中，反应中间体自发地将电子直接注入BiVO4导带，通过表面V5+还原，从而实现单光子驱动的多电子转移。更重要的是，我们识别出与经典的空穴-电子分离无关的电子传输不良是限制电流的关键瓶颈</w:t>
      </w:r>
    </w:p>
    <w:p>
      <w:pPr>
        <w:spacing w:before="0" w:after="200" w:lineRule="auto" w:line="276"/>
      </w:pPr>
      <w:r>
        <w:rPr>
          <w:b/>
        </w:rPr>
        <w:t xml:space="preserve">Abstract (EN): </w:t>
      </w:r>
      <w:r>
        <w:t>Current multiplication, where more than one electron transfer per photon is absorbed, has the potential to transform photoelectrochemical solar fuel generation. Yet it remains rarely realized, largely because the underlying chemical pathways enabling this process are poorly understood and key bottlenecks are still unidentified. Here on the BiVO4 photoanode, we reveal direct evidence of vanadium-mediated current-multiplication pathway. During glycerol oxidation, reactive intermediates spontaneously inject electrons directly into the BiVO4 conduction band through surface V5+ reduction, thereby enabling single-photon-driven multiple-electron transfer. More importantly, we identify poor electron transport─independent of classical hole–electron separation─as a critical bottleneck limiting current multiplication. Mo doping significantly enhances electron transport and promotes efficient extraction of the injected electrons, thereby unlocking the current-multiplication potential of BiVO4.</w:t>
      </w:r>
    </w:p>
    <w:p>
      <w:pPr>
        <w:spacing w:before="120" w:after="120"/>
      </w:pPr>
      <w:r>
        <w:rPr>
          <w:sz w:val="18"/>
        </w:rPr>
        <w:t>——————————————————————————————————————————————————————————————————————</w:t>
      </w:r>
    </w:p>
    <w:p>
      <w:pPr>
        <w:spacing w:before="160" w:after="40" w:line="240" w:lineRule="auto"/>
      </w:pPr>
      <w:r>
        <w:rPr>
          <w:b/>
        </w:rPr>
        <w:t xml:space="preserve">[213] </w:t>
      </w:r>
      <w:hyperlink r:id="rId560">
        <w:r>
          <w:rPr>
            <w:color w:val="1155CC"/>
            <w:u w:val="single"/>
          </w:rPr>
          <w:t>将近红外生物成像窗口扩展到1500 nm以上</w:t>
        </w:r>
      </w:hyperlink>
    </w:p>
    <w:p>
      <w:pPr>
        <w:spacing w:before="0" w:after="80"/>
      </w:pPr>
      <w:r>
        <w:rPr>
          <w:i/>
          <w:sz w:val="20"/>
        </w:rPr>
        <w:t>EN: Extending Near‐Infrared Bioimaging Window Beyond 1500 nm</w:t>
      </w:r>
    </w:p>
    <w:p>
      <w:pPr>
        <w:spacing w:before="0" w:after="120"/>
      </w:pPr>
      <w:r>
        <w:rPr>
          <w:b/>
        </w:rPr>
        <w:t xml:space="preserve">Source: </w:t>
      </w:r>
      <w:r>
        <w:t>Wiley: Angewandte Chemie International Edition: Table of Contents</w:t>
      </w:r>
      <w:r>
        <w:t xml:space="preserve">    </w:t>
      </w:r>
      <w:r>
        <w:rPr>
          <w:b/>
        </w:rPr>
        <w:t xml:space="preserve">Pub date: </w:t>
      </w:r>
      <w:r>
        <w:t>2026-04-07 12:05:51+00:00</w:t>
      </w:r>
      <w:r>
        <w:t xml:space="preserve">    </w:t>
      </w:r>
      <w:r>
        <w:rPr>
          <w:b/>
        </w:rPr>
        <w:t xml:space="preserve">DOI: </w:t>
      </w:r>
      <w:hyperlink r:id="rId561">
        <w:r>
          <w:rPr>
            <w:color w:val="1155CC"/>
            <w:u w:val="single"/>
          </w:rPr>
          <w:t>10.1002/anie.202526151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发光生物成像最近已成为体内可视化和检测的重要且不可或缺的工具。值得注意的是，由于光子波长超过1500 nm时显著减少的光子散射和最小的自发荧光特性，体内发光生物成像提供了增强的能力，使得能够以优越的组织穿透深度和高空间分辨率可视化精细的解剖结构。在这方面，本综述重点介绍了将高分辨率生物成像窗口扩展到1500 nm以上的最新重大进展及相应的新型发光材料。首先，我们系统地总结了研究潜在优越生物成像窗口的理论模拟，包括1</w:t>
      </w:r>
    </w:p>
    <w:p>
      <w:pPr>
        <w:spacing w:before="0" w:after="200" w:lineRule="auto" w:line="276"/>
      </w:pPr>
      <w:r>
        <w:rPr>
          <w:b/>
        </w:rPr>
        <w:t xml:space="preserve">Abstract (EN): </w:t>
      </w:r>
      <w:r>
        <w:t>Luminescent bioimaging has recently emerged as a crucial and indispensable tool for in vivo visualization and detection. Notably, due to significantly reduced photon scattering and minimal autofluorescence characteristic of the photon wavelength beyond 1500 nm, in vivo luminescent bioimaging offers enhanced capabilities, enabling the visualization of fine anatomical structures with superior tissue penetration depth and high spatial‐resolution. In this regard, this review highlighted the recent significant progress of extending the high‐resolution bioimaging window beyond 1500 nm and the corresponding novel luminescent materials. First, we systematically summarized the theoretical simulations that investigated potential superior bioimaging windows, including the 1500–1900 nm and 2100–2500 nm regions. Within such an extended region beyond 1500 nm, we then comprehensively concluded strategies for design of novel luminescent materials engineered for emission wavelength beyond 1500 nm, which included organic dyes with specific and large conjugated structures, quantum dots with size‐tunable emission spectra, lanthanide‐based nanocrystals, and complexes emitted from f‐f transitions. Subsequently, pioneering opportunities that exhibited superior in vivo bioimaging performance for biomedical applications were analyzed across volumetric bioimaging and wide‐field multiplexed bioimaging. Despite these promising achievements, opportunities for next‐generation bioimaging windows and challenges in clinical translation were objectively discussed at last.</w:t>
      </w:r>
    </w:p>
    <w:p>
      <w:pPr>
        <w:spacing w:before="120" w:after="120"/>
      </w:pPr>
      <w:r>
        <w:rPr>
          <w:sz w:val="18"/>
        </w:rPr>
        <w:t>——————————————————————————————————————————————————————————————————————</w:t>
      </w:r>
    </w:p>
    <w:p>
      <w:pPr>
        <w:spacing w:before="160" w:after="40" w:line="240" w:lineRule="auto"/>
      </w:pPr>
      <w:r>
        <w:rPr>
          <w:b/>
        </w:rPr>
        <w:t xml:space="preserve">[214] </w:t>
      </w:r>
      <w:hyperlink r:id="rId562">
        <w:r>
          <w:rPr>
            <w:color w:val="1155CC"/>
            <w:u w:val="single"/>
          </w:rPr>
          <w:t>[ASAP] 时间和空间中的手性出现：由可见光触发的超分子聚合物的瞬态不对称性</w:t>
        </w:r>
      </w:hyperlink>
    </w:p>
    <w:p>
      <w:pPr>
        <w:spacing w:before="0" w:after="80"/>
      </w:pPr>
      <w:r>
        <w:rPr>
          <w:i/>
          <w:sz w:val="20"/>
        </w:rPr>
        <w:t>EN: [ASAP] The Emergence of Chirality in Time and Space: Transient Asymmetry in Supramolecular Polymers Triggered by Visible Light</w:t>
      </w:r>
    </w:p>
    <w:p>
      <w:pPr>
        <w:spacing w:before="0" w:after="120"/>
      </w:pPr>
      <w:r>
        <w:rPr>
          <w:b/>
        </w:rPr>
        <w:t xml:space="preserve">Source: </w:t>
      </w:r>
      <w:r>
        <w:t>Journal of the American Chemical Society: Latest Articles (ACS Publications)</w:t>
      </w:r>
      <w:r>
        <w:t xml:space="preserve">    </w:t>
      </w:r>
      <w:r>
        <w:rPr>
          <w:b/>
        </w:rPr>
        <w:t xml:space="preserve">Pub date: </w:t>
      </w:r>
      <w:r>
        <w:t>2026-04-07 12:50:32+00:00</w:t>
      </w:r>
      <w:r>
        <w:t xml:space="preserve">    </w:t>
      </w:r>
      <w:r>
        <w:rPr>
          <w:b/>
        </w:rPr>
        <w:t xml:space="preserve">DOI: </w:t>
      </w:r>
      <w:hyperlink r:id="rId563">
        <w:r>
          <w:rPr>
            <w:color w:val="1155CC"/>
            <w:u w:val="single"/>
          </w:rPr>
          <w:t>10.1021/jacs.6c01209</w:t>
        </w:r>
      </w:hyperlink>
    </w:p>
    <w:p>
      <w:pPr>
        <w:spacing w:before="0" w:after="120"/>
      </w:pPr>
      <w:r>
        <w:rPr>
          <w:b/>
        </w:rPr>
        <w:t xml:space="preserve">Notes: </w:t>
      </w:r>
      <w:r>
        <w:t>abstract_source=pubmed</w:t>
      </w:r>
    </w:p>
    <w:p>
      <w:pPr>
        <w:spacing w:before="0" w:after="80" w:lineRule="auto" w:line="276"/>
      </w:pPr>
      <w:r>
        <w:rPr>
          <w:b/>
        </w:rPr>
        <w:t xml:space="preserve">摘要（ZH）: </w:t>
      </w:r>
      <w:r>
        <w:t>不对称性是生命分子组织的基本特性，但其如何出现和传播仍然难以捉摸。通过可逆的非共价相互作用形成的一维组装可以采用螺旋构象并缓慢重组，使其成为研究水环境中不对称性出现和持久性的强大模型系统。最近的研究表明，手性表面活性剂可以传递其立体信息，在超分子聚合物中诱导螺旋偏向。在此，我们使用光作为非侵入性触发器，展示了两种具有不同动力学的现象如何在消旋超分子聚合物和手性表面活性剂的共组装中放大不对称性。在照射下，光响应的梅罗花青表面活性剂快速经历i</w:t>
      </w:r>
    </w:p>
    <w:p>
      <w:pPr>
        <w:spacing w:before="0" w:after="200" w:lineRule="auto" w:line="276"/>
      </w:pPr>
      <w:r>
        <w:rPr>
          <w:b/>
        </w:rPr>
        <w:t xml:space="preserve">Abstract (EN): </w:t>
      </w:r>
      <w:r>
        <w:t>Asymmetry is a fundamental property in the molecular organization of life, but how it emerges and propagates remains elusive. One-dimensional assemblies formed through reversible, non-covalent interactions can adopt helical conformations and reorganize slowly, making them powerful model systems for studying the emergence and persistence of asymmetry in aqueous environments. Recent studies have shown that chiral surfactants can transfer their stereogenic information, inducing a helical bias in supramolecular polymers. Here, using light as a non-invasive trigger, we demonstrate how two phenomena with different kinetics amplify the asymmetry in coassemblies of racemic supramolecular polymers and chiral surfactants. Upon irradiation, the photoresponsive merocyanine surfactant undergoes quick isomerization into its more hydrophobic spiropyran form, enhancing its interaction with the racemic supramolecular polymer and inducing a helical bias that develops and persists on time scales that far exceed the lifetime of the molecular trigger. This light-driven asymmetry is fully reversible and involves metastable structures, which can be further promoted by brief, well-timed light pulses. These limited light pulses can induce and sustain asymmetric states in water-compatible supramolecular polymers, opening avenues for dynamic supramolecular materials with non-equilibrium features toward life-like adaptive systems.</w:t>
      </w:r>
    </w:p>
    <w:p>
      <w:pPr>
        <w:spacing w:before="120" w:after="120"/>
      </w:pPr>
      <w:r>
        <w:rPr>
          <w:sz w:val="18"/>
        </w:rPr>
        <w:t>——————————————————————————————————————————————————————————————————————</w:t>
      </w:r>
    </w:p>
    <w:p>
      <w:pPr>
        <w:spacing w:before="160" w:after="40" w:line="240" w:lineRule="auto"/>
      </w:pPr>
      <w:r>
        <w:rPr>
          <w:b/>
        </w:rPr>
        <w:t xml:space="preserve">[215] </w:t>
      </w:r>
      <w:hyperlink r:id="rId564">
        <w:r>
          <w:rPr>
            <w:color w:val="1155CC"/>
            <w:u w:val="single"/>
          </w:rPr>
          <w:t>[ASAP] 铱催化的对映选择性C–H键烷基化用于合成N–N轴手性膦</w:t>
        </w:r>
      </w:hyperlink>
    </w:p>
    <w:p>
      <w:pPr>
        <w:spacing w:before="0" w:after="80"/>
      </w:pPr>
      <w:r>
        <w:rPr>
          <w:i/>
          <w:sz w:val="20"/>
        </w:rPr>
        <w:t>EN: [ASAP] Enantioselective Iridium-Catalyzed C–H Bond Alkylation for the Synthesis of N–N Atropisomeric Phosphines</w:t>
      </w:r>
    </w:p>
    <w:p>
      <w:pPr>
        <w:spacing w:before="0" w:after="120"/>
      </w:pPr>
      <w:r>
        <w:rPr>
          <w:b/>
        </w:rPr>
        <w:t xml:space="preserve">Source: </w:t>
      </w:r>
      <w:r>
        <w:t>Journal of the American Chemical Society: Latest Articles (ACS Publications)</w:t>
      </w:r>
      <w:r>
        <w:t xml:space="preserve">    </w:t>
      </w:r>
      <w:r>
        <w:rPr>
          <w:b/>
        </w:rPr>
        <w:t xml:space="preserve">Pub date: </w:t>
      </w:r>
      <w:r>
        <w:t>2026-04-07 13:02:31+00:00</w:t>
      </w:r>
      <w:r>
        <w:t xml:space="preserve">    </w:t>
      </w:r>
      <w:r>
        <w:rPr>
          <w:b/>
        </w:rPr>
        <w:t xml:space="preserve">DOI: </w:t>
      </w:r>
      <w:hyperlink r:id="rId565">
        <w:r>
          <w:rPr>
            <w:color w:val="1155CC"/>
            <w:u w:val="single"/>
          </w:rPr>
          <w:t>10.1021/jacs.5c22411</w:t>
        </w:r>
      </w:hyperlink>
    </w:p>
    <w:p>
      <w:pPr>
        <w:spacing w:before="0" w:after="120"/>
      </w:pPr>
      <w:r>
        <w:rPr>
          <w:b/>
        </w:rPr>
        <w:t xml:space="preserve">Notes: </w:t>
      </w:r>
      <w:r>
        <w:t>abstract_source=pubmed</w:t>
      </w:r>
    </w:p>
    <w:p>
      <w:pPr>
        <w:spacing w:before="0" w:after="80" w:lineRule="auto" w:line="276"/>
      </w:pPr>
      <w:r>
        <w:rPr>
          <w:b/>
        </w:rPr>
        <w:t xml:space="preserve">摘要（ZH）: </w:t>
      </w:r>
      <w:r>
        <w:t>在过去的几十年中，轴手性联芳基膦已成为手性配体、生物活性分子和药物候选物设计中的特权骨架。然而，尽管其潜力巨大，N-N轴手性膦的对映选择性合成仍未得到充分发展。在此，我们报告了一种铱催化的对映选择性C-H烷基化方法，用于构建N-N轴手性单膦，采用膦(III)基团作为导向基序。该方法能够轻松获得多样化的N-N连接的吲哚-吡咯和吲哚-吲哚框架，ee值高达98%。此外，通过一系列合成转化和催化应用展示了该方法的实用性。</w:t>
      </w:r>
    </w:p>
    <w:p>
      <w:pPr>
        <w:spacing w:before="0" w:after="200" w:lineRule="auto" w:line="276"/>
      </w:pPr>
      <w:r>
        <w:rPr>
          <w:b/>
        </w:rPr>
        <w:t xml:space="preserve">Abstract (EN): </w:t>
      </w:r>
      <w:r>
        <w:t>Over the past few decades, atropisomeric biaryl phosphines have emerged as privileged scaffolds in the design of chiral ligands, bioactive molecules, and drug candidates. However, despite their considerable potential, the enantioselective synthesis of N-N atropisomeric phosphines remains underdeveloped. Herein, we report an iridium-catalyzed, enantioselective C-H alkylation for constructing N-N atropisomeric monophosphines, employing a phosphine(III) group as a directing motif. This method enables ready access to a diverse range of N-N-linked indole-pyrrole and indole-indole frameworks with up to 98% ee. Furthermore, the utility of this approach is demonstrated through a series of synthetic transformations and catalytic applications.</w:t>
      </w:r>
    </w:p>
    <w:p>
      <w:pPr>
        <w:spacing w:before="120" w:after="120"/>
      </w:pPr>
      <w:r>
        <w:rPr>
          <w:sz w:val="18"/>
        </w:rPr>
        <w:t>——————————————————————————————————————————————————————————————————————</w:t>
      </w:r>
    </w:p>
    <w:p>
      <w:pPr>
        <w:spacing w:before="160" w:after="40" w:line="240" w:lineRule="auto"/>
      </w:pPr>
      <w:r>
        <w:rPr>
          <w:b/>
        </w:rPr>
        <w:t xml:space="preserve">[216] </w:t>
      </w:r>
      <w:hyperlink r:id="rId566">
        <w:r>
          <w:rPr>
            <w:color w:val="1155CC"/>
            <w:u w:val="single"/>
          </w:rPr>
          <w:t>仿生、线粒体靶向的单原子纳米酶通过重新编程干细胞能量代谢增强骨再生</w:t>
        </w:r>
      </w:hyperlink>
    </w:p>
    <w:p>
      <w:pPr>
        <w:spacing w:before="0" w:after="80"/>
      </w:pPr>
      <w:r>
        <w:rPr>
          <w:i/>
          <w:sz w:val="20"/>
        </w:rPr>
        <w:t>EN: Bioinspired, Mitochondria‐Targeted Single‐Atom Nanozyme Enhances Bone Regeneration by Reprogramming Stem Cell Energy Metabolism​</w:t>
      </w:r>
    </w:p>
    <w:p>
      <w:pPr>
        <w:spacing w:before="0" w:after="120"/>
      </w:pPr>
      <w:r>
        <w:rPr>
          <w:b/>
        </w:rPr>
        <w:t xml:space="preserve">Source: </w:t>
      </w:r>
      <w:r>
        <w:t>Wiley: Advanced Materials: Table of Contents</w:t>
      </w:r>
      <w:r>
        <w:t xml:space="preserve">    </w:t>
      </w:r>
      <w:r>
        <w:rPr>
          <w:b/>
        </w:rPr>
        <w:t xml:space="preserve">Pub date: </w:t>
      </w:r>
      <w:r>
        <w:t>2026-04-07 13:10:25+00:00</w:t>
      </w:r>
      <w:r>
        <w:t xml:space="preserve">    </w:t>
      </w:r>
      <w:r>
        <w:rPr>
          <w:b/>
        </w:rPr>
        <w:t xml:space="preserve">DOI: </w:t>
      </w:r>
      <w:hyperlink r:id="rId567">
        <w:r>
          <w:rPr>
            <w:color w:val="1155CC"/>
            <w:u w:val="single"/>
          </w:rPr>
          <w:t>10.1002/adma.202522108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干细胞中正常的线粒体功能对于有效的骨再生至关重要，其中线粒体复合物IV（细胞色素c氧化酶，CcO）在维持电子传递链活动和ATP合成中起着关键作用。为了解决与骨缺陷相关的线粒体功能障碍，我们开发了一种基于树枝状介孔二氧化硅纳米颗粒（DMSN）的CcO模拟纳米酶，命名为三苯基膦（TPP）-DMSN-Fe/Cu。该纳米酶结合了铁和铜单原子以模拟CcO的催化中心，并用线粒体靶向剂TPP进行修饰。在体外，TPP-DMSN-Fe/Cu纳米酶与线粒体共定位并增强线粒体功能，有效调节</w:t>
      </w:r>
    </w:p>
    <w:p>
      <w:pPr>
        <w:spacing w:before="0" w:after="200" w:lineRule="auto" w:line="276"/>
      </w:pPr>
      <w:r>
        <w:rPr>
          <w:b/>
        </w:rPr>
        <w:t xml:space="preserve">Abstract (EN): </w:t>
      </w:r>
      <w:r>
        <w:t>Normal mitochondrial function in stem cells is essential for effective bone regeneration, with mitochondrial complex IV (cytochrome</w:t>
      </w:r>
      <w:r>
        <w:t xml:space="preserve"> </w:t>
      </w:r>
      <w:r>
        <w:t>c</w:t>
      </w:r>
      <w:r>
        <w:t xml:space="preserve"> </w:t>
      </w:r>
      <w:r>
        <w:t>oxidase, CcO) playing a crucial role in sustaining electron transport chain activity and ATP synthesis. To address mitochondrial dysfunction associated with bone defects, we developed a dendritic mesoporous silica nanoparticle (DMSN)‐based, CcO‐mimetic nanozyme, named triphenylphosphonium (TPP)‐DMSN‐Fe/Cu. The nanozyme incorporated iron and copper single atoms to mimic the catalytic center of CcO and is modified with the mitochondria‐targeting agent TPP. In vitro, TPP‐DMSN‐Fe/Cu nanozymes colocalized with mitochondria and enhanced mitochondrial function, effectively regulating cellular energy metabolism and promoting stem cell osteogenesis. In vivo, TPP‐DMSN‐Fe/Cu nanozymes resulted in significantly enhanced bone regeneration compared to the control, resulting in a 177% increase in bone volume and a 12% increase in mineral density at critical‐sized bone defects in rats after 4 weeks of treatment. Taken together, these findings demonstrate that bioinspired, mitochondria‐targeting TPP‐DMSN‐Fe/Cu nanozymes hold strong promise for accelerating bone regeneration via regulating cellular energy metabolism.</w:t>
      </w:r>
    </w:p>
    <w:p>
      <w:pPr>
        <w:spacing w:before="120" w:after="120"/>
      </w:pPr>
      <w:r>
        <w:rPr>
          <w:sz w:val="18"/>
        </w:rPr>
        <w:t>——————————————————————————————————————————————————————————————————————</w:t>
      </w:r>
    </w:p>
    <w:p>
      <w:pPr>
        <w:spacing w:before="160" w:after="40" w:line="240" w:lineRule="auto"/>
      </w:pPr>
      <w:r>
        <w:rPr>
          <w:b/>
        </w:rPr>
        <w:t xml:space="preserve">[217] </w:t>
      </w:r>
      <w:hyperlink r:id="rId568">
        <w:r>
          <w:rPr>
            <w:color w:val="1155CC"/>
            <w:u w:val="single"/>
          </w:rPr>
          <w:t>吡啶酮融合芳香带：酰胺桥联[6]环对苯撑的合成与性质</w:t>
        </w:r>
      </w:hyperlink>
    </w:p>
    <w:p>
      <w:pPr>
        <w:spacing w:before="0" w:after="80"/>
      </w:pPr>
      <w:r>
        <w:rPr>
          <w:i/>
          <w:sz w:val="20"/>
        </w:rPr>
        <w:t>EN: Pyridone‐Fused Aromatic Belts: Synthesis and Properties of Amide‐Bridged [6]Cycloparaphenylenes</w:t>
      </w:r>
    </w:p>
    <w:p>
      <w:pPr>
        <w:spacing w:before="0" w:after="120"/>
      </w:pPr>
      <w:r>
        <w:rPr>
          <w:b/>
        </w:rPr>
        <w:t xml:space="preserve">Source: </w:t>
      </w:r>
      <w:r>
        <w:t>Wiley: Angewandte Chemie International Edition: Table of Contents</w:t>
      </w:r>
      <w:r>
        <w:t xml:space="preserve">    </w:t>
      </w:r>
      <w:r>
        <w:rPr>
          <w:b/>
        </w:rPr>
        <w:t xml:space="preserve">Pub date: </w:t>
      </w:r>
      <w:r>
        <w:t>2026-04-07 13:11:27+00:00</w:t>
      </w:r>
      <w:r>
        <w:t xml:space="preserve">    </w:t>
      </w:r>
      <w:r>
        <w:rPr>
          <w:b/>
        </w:rPr>
        <w:t xml:space="preserve">DOI: </w:t>
      </w:r>
      <w:hyperlink r:id="rId569">
        <w:r>
          <w:rPr>
            <w:color w:val="1155CC"/>
            <w:u w:val="single"/>
          </w:rPr>
          <w:t>10.1002/anie.9336766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成功合成了吡啶酮融合的芳香带，即酰胺桥接的[6]环对苯撑，以研究极性酰胺基团如何控制π共轭纳米带分子的对称性和电子结构。六个酰胺键的极性取向产生了两种离散的结构异构体：S6和D3对称的芳香带。这些化合物是通过三级芳香酰胺的顺式偏好引导的高效大环化反应获得的，随后进行镍介导的分子内芳基-芳基偶联。单晶X射线衍射分析揭示了</w:t>
      </w:r>
    </w:p>
    <w:p>
      <w:pPr>
        <w:spacing w:before="0" w:after="200" w:lineRule="auto" w:line="276"/>
      </w:pPr>
      <w:r>
        <w:rPr>
          <w:b/>
        </w:rPr>
        <w:t xml:space="preserve">Abstract (EN): </w:t>
      </w:r>
      <w:r>
        <w:t>Pyridone‐fused aromatic belts, namely amide‐bridged [6]cycloparaphenylenes, were successfully synthesized to investigate how polar amide groups govern symmetry and electronic structure in π‐conjugated nanobelt molecules. The polar orientations of the six amide bonds give rise to two discrete structural isomers:</w:t>
      </w:r>
      <w:r>
        <w:t xml:space="preserve"> </w:t>
      </w:r>
      <w:r>
        <w:t>S</w:t>
      </w:r>
      <w:r>
        <w:rPr>
          <w:vertAlign w:val="subscript"/>
        </w:rPr>
        <w:t>6</w:t>
      </w:r>
      <w:r>
        <w:t>‐ and</w:t>
      </w:r>
      <w:r>
        <w:t xml:space="preserve"> </w:t>
      </w:r>
      <w:r>
        <w:t>D</w:t>
      </w:r>
      <w:r>
        <w:rPr>
          <w:vertAlign w:val="subscript"/>
        </w:rPr>
        <w:t>3</w:t>
      </w:r>
      <w:r>
        <w:t>‐symmetric aromatic belts. These compounds were obtained through an efficient macrocyclization directed by the</w:t>
      </w:r>
      <w:r>
        <w:t xml:space="preserve"> </w:t>
      </w:r>
      <w:r>
        <w:t>cis</w:t>
      </w:r>
      <w:r>
        <w:t xml:space="preserve"> </w:t>
      </w:r>
      <w:r>
        <w:t>‐preference of tertiary aromatic amides, followed by Ni‐mediated intramolecular aryl–aryl coupling. Single‐crystal x‐ray diffraction analyses revealed that both isomers adopt rigid belt‐shaped architectures with enhanced π‐conjugation along the framework. The</w:t>
      </w:r>
      <w:r>
        <w:t xml:space="preserve"> </w:t>
      </w:r>
      <w:r>
        <w:t>D</w:t>
      </w:r>
      <w:r>
        <w:rPr>
          <w:vertAlign w:val="subscript"/>
        </w:rPr>
        <w:t>3</w:t>
      </w:r>
      <w:r>
        <w:t>‐symmetric isomer was successfully resolved into (</w:t>
      </w:r>
      <w:r>
        <w:t xml:space="preserve"> </w:t>
      </w:r>
      <w:r>
        <w:t>M,M</w:t>
      </w:r>
      <w:r>
        <w:t xml:space="preserve"> </w:t>
      </w:r>
      <w:r>
        <w:t>)‐ and (</w:t>
      </w:r>
      <w:r>
        <w:t xml:space="preserve"> </w:t>
      </w:r>
      <w:r>
        <w:t>P,P</w:t>
      </w:r>
      <w:r>
        <w:t xml:space="preserve"> </w:t>
      </w:r>
      <w:r>
        <w:t>)‐enantiomers using chiral HPLC and the isomer exhibited a distinct chiroptical response in electronic circular dichroism spectroscopy (|</w:t>
      </w:r>
      <w:r>
        <w:t xml:space="preserve"> </w:t>
      </w:r>
      <w:r>
        <w:t>g</w:t>
      </w:r>
      <w:r>
        <w:t xml:space="preserve"> </w:t>
      </w:r>
      <w:r>
        <w:t>abs</w:t>
      </w:r>
      <w:r>
        <w:t xml:space="preserve"> </w:t>
      </w:r>
      <w:r>
        <w:t>| = 2.7 × 10</w:t>
      </w:r>
      <w:r>
        <w:t xml:space="preserve"> </w:t>
      </w:r>
      <w:r>
        <w:t>−3</w:t>
      </w:r>
      <w:r>
        <w:t xml:space="preserve"> </w:t>
      </w:r>
      <w:r>
        <w:t>). Notably, cyclic voltammetry was used to demonstrate that the</w:t>
      </w:r>
      <w:r>
        <w:t xml:space="preserve"> </w:t>
      </w:r>
      <w:r>
        <w:t>D</w:t>
      </w:r>
      <w:r>
        <w:rPr>
          <w:vertAlign w:val="subscript"/>
        </w:rPr>
        <w:t>3</w:t>
      </w:r>
      <w:r>
        <w:t>‐symmetric isomer possesses a narrow HOMO–LUMO energy gap of 2.35 eV together with considerably stabilized frontier molecular orbitals. This work establishes a versatile molecular design concept for constructing aromatic belts with well‐defined chiroptical properties and high oxidative robustness, expanding opportunities in nanobelt science and chiral functional materials.</w:t>
      </w:r>
    </w:p>
    <w:p>
      <w:pPr>
        <w:spacing w:before="120" w:after="120"/>
      </w:pPr>
      <w:r>
        <w:rPr>
          <w:sz w:val="18"/>
        </w:rPr>
        <w:t>——————————————————————————————————————————————————————————————————————</w:t>
      </w:r>
    </w:p>
    <w:p>
      <w:pPr>
        <w:spacing w:before="160" w:after="40" w:line="240" w:lineRule="auto"/>
      </w:pPr>
      <w:r>
        <w:rPr>
          <w:b/>
        </w:rPr>
        <w:t xml:space="preserve">[218] </w:t>
      </w:r>
      <w:hyperlink r:id="rId570">
        <w:r>
          <w:rPr>
            <w:color w:val="1155CC"/>
            <w:u w:val="single"/>
          </w:rPr>
          <w:t>氨基酸盐酸盐介导的自组装单分子层用于高性能倒置钙钛矿太阳能电池</w:t>
        </w:r>
      </w:hyperlink>
    </w:p>
    <w:p>
      <w:pPr>
        <w:spacing w:before="0" w:after="80"/>
      </w:pPr>
      <w:r>
        <w:rPr>
          <w:i/>
          <w:sz w:val="20"/>
        </w:rPr>
        <w:t>EN: Amino Acid Hydrochloride‐Mediated Self‐Assembled Monolayers for High‐Performance Inverted Perovskite Solar Cells</w:t>
      </w:r>
    </w:p>
    <w:p>
      <w:pPr>
        <w:spacing w:before="0" w:after="120"/>
      </w:pPr>
      <w:r>
        <w:rPr>
          <w:b/>
        </w:rPr>
        <w:t xml:space="preserve">Source: </w:t>
      </w:r>
      <w:r>
        <w:t>Wiley: Advanced Energy Materials: Table of Contents</w:t>
      </w:r>
      <w:r>
        <w:t xml:space="preserve">    </w:t>
      </w:r>
      <w:r>
        <w:rPr>
          <w:b/>
        </w:rPr>
        <w:t xml:space="preserve">Pub date: </w:t>
      </w:r>
      <w:r>
        <w:t>2026-04-07 13:35:42+00:00</w:t>
      </w:r>
      <w:r>
        <w:t xml:space="preserve">    </w:t>
      </w:r>
      <w:r>
        <w:rPr>
          <w:b/>
        </w:rPr>
        <w:t xml:space="preserve">DOI: </w:t>
      </w:r>
      <w:hyperlink r:id="rId571">
        <w:r>
          <w:rPr>
            <w:color w:val="1155CC"/>
            <w:u w:val="single"/>
          </w:rPr>
          <w:t>10.1002/aenm.70925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自组装单分子层（SAMs）的快速发展在提高倒置钙钛矿太阳能电池（PSCs）的功率转换效率（PCE）超过26%方面起到了重要作用。然而，基准SAMs受限于随机组装动力学和与钙钛矿的弱界面耦合，这导致严重的界面复合并损害器件稳定性。在此，我们开发了一种氨基酸盐酸盐（AAH）介导的SAM来构建高性能PSCs。通过系统地调节AAH烷基间隔长度，我们阐明了一种优化的空间构型，平衡了热力学锚定与动力学分子间组织。这种优化的AAH介导的SAM表现出增强的覆盖率、均匀性和分子p</w:t>
      </w:r>
    </w:p>
    <w:p>
      <w:pPr>
        <w:spacing w:before="0" w:after="200" w:lineRule="auto" w:line="276"/>
      </w:pPr>
      <w:r>
        <w:rPr>
          <w:b/>
        </w:rPr>
        <w:t xml:space="preserve">Abstract (EN): </w:t>
      </w:r>
      <w:r>
        <w:t>The rapid development of self‐assembled monolayers (SAMs) has been instrumental in advancing the power conversion efficiency (PCE) of inverted perovskite solar cells (PSCs) to exceed 26%. However, benchmark SAMs are limited by stochastic assembly kinetics and weak interfacial coupling with the perovskite, which induce severe interfacial recombination and compromise device stability. Here, we developed an amino acid hydrochloride (AAH)‐mediated SAM to construct high‐performance PSCs. By systematically modulating the AAH alkyl spacer length, we elucidate an optimal steric profile that balances thermodynamic anchoring with kinetic intermolecular organization. This optimized AAH‐mediated SAM exhibits enhanced coverage, uniformity, and molecular packing density, stabilizing the interface via reduced defect density and refined energy level alignment. Moreover, the AAH terminal ammonium (–NH</w:t>
      </w:r>
      <w:r>
        <w:rPr>
          <w:vertAlign w:val="subscript"/>
        </w:rPr>
        <w:t>3</w:t>
      </w:r>
      <w:r>
        <w:t>+</w:t>
      </w:r>
      <w:r>
        <w:t xml:space="preserve"> </w:t>
      </w:r>
      <w:r>
        <w:t>Cl</w:t>
      </w:r>
      <w:r>
        <w:t xml:space="preserve"> </w:t>
      </w:r>
      <w:r>
        <w:t>−</w:t>
      </w:r>
      <w:r>
        <w:t>) moieties establish a chemical bridge with the perovskite, effectively passivating interfacial defects and promoting stress‐free crystallization. Consequently, the devices based on AAH‐mediated SAMs delivered a champion PCE of 26.87% (certified at 26.33%) on a 0.058 cm</w:t>
      </w:r>
      <w:r>
        <w:rPr>
          <w:vertAlign w:val="subscript"/>
        </w:rPr>
        <w:t>2</w:t>
      </w:r>
      <w:r>
        <w:t>area and 25.90% on a 1‐cm</w:t>
      </w:r>
      <w:r>
        <w:rPr>
          <w:vertAlign w:val="subscript"/>
        </w:rPr>
        <w:t>2</w:t>
      </w:r>
      <w:r>
        <w:t>area. Encapsulated device exhibited excellent operational stability, retaining over 97.3% of its initial efficiency after 1100 h of continuous operation at the maximum power point in air.</w:t>
      </w:r>
    </w:p>
    <w:p>
      <w:pPr>
        <w:spacing w:before="120" w:after="120"/>
      </w:pPr>
      <w:r>
        <w:rPr>
          <w:sz w:val="18"/>
        </w:rPr>
        <w:t>——————————————————————————————————————————————————————————————————————</w:t>
      </w:r>
    </w:p>
    <w:p>
      <w:pPr>
        <w:spacing w:before="160" w:after="40" w:line="240" w:lineRule="auto"/>
      </w:pPr>
      <w:r>
        <w:rPr>
          <w:b/>
        </w:rPr>
        <w:t xml:space="preserve">[219] </w:t>
      </w:r>
      <w:hyperlink r:id="rId572">
        <w:r>
          <w:rPr>
            <w:color w:val="1155CC"/>
            <w:u w:val="single"/>
          </w:rPr>
          <w:t>自我再生的3D保护网络打破了工业氧气析出电催化的活性-稳定性权衡</w:t>
        </w:r>
      </w:hyperlink>
    </w:p>
    <w:p>
      <w:pPr>
        <w:spacing w:before="0" w:after="80"/>
      </w:pPr>
      <w:r>
        <w:rPr>
          <w:i/>
          <w:sz w:val="20"/>
        </w:rPr>
        <w:t>EN: Self‐Regenerating 3D Protective Network Breaks the Activity‐Stability Trade‐Off for Industrial Oxygen Evolution Electrocatalysis</w:t>
      </w:r>
    </w:p>
    <w:p>
      <w:pPr>
        <w:spacing w:before="0" w:after="120"/>
      </w:pPr>
      <w:r>
        <w:rPr>
          <w:b/>
        </w:rPr>
        <w:t xml:space="preserve">Source: </w:t>
      </w:r>
      <w:r>
        <w:t>Wiley: Advanced Energy Materials: Table of Contents</w:t>
      </w:r>
      <w:r>
        <w:t xml:space="preserve">    </w:t>
      </w:r>
      <w:r>
        <w:rPr>
          <w:b/>
        </w:rPr>
        <w:t xml:space="preserve">Pub date: </w:t>
      </w:r>
      <w:r>
        <w:t>2026-04-07 13:38:55+00:00</w:t>
      </w:r>
      <w:r>
        <w:t xml:space="preserve">    </w:t>
      </w:r>
      <w:r>
        <w:rPr>
          <w:b/>
        </w:rPr>
        <w:t xml:space="preserve">DOI: </w:t>
      </w:r>
      <w:hyperlink r:id="rId573">
        <w:r>
          <w:rPr>
            <w:color w:val="1155CC"/>
            <w:u w:val="single"/>
          </w:rPr>
          <w:t>10.1002/aenm.202505516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工业碱性水电解（AWE）中，氧气析出反应（OER）电催化剂在高电流密度、浓碱电解质和高温等苛刻条件下的长期运行稳定性通常优先于其本征催化活性。然而，现有旨在增强催化剂稳定性的策略仍然不足。在此，我们提出了一种基于将耐腐蚀的Cr掺入双相MnFeCoNiMo高熵合金中的稳定性导向合金设计策略。值得注意的是，热力学驱动的力促进了Cr在富Mo区域的自发富集。随后的选择性去合金化使得原位形成自组装结构。</w:t>
      </w:r>
    </w:p>
    <w:p>
      <w:pPr>
        <w:spacing w:before="0" w:after="200" w:lineRule="auto" w:line="276"/>
      </w:pPr>
      <w:r>
        <w:rPr>
          <w:b/>
        </w:rPr>
        <w:t xml:space="preserve">Abstract (EN): </w:t>
      </w:r>
      <w:r>
        <w:t>In industrial alkaline water electrolysis (AWE), the long‐term operational stability of oxygen evolution reaction (OER) electrocatalysts under harsh conditions—including high current densities, concentrated alkaline electrolytes, and elevated temperatures—often takes precedence over intrinsic catalytic activity. Nevertheless, existing strategies aimed at enhancing catalyst stability remain insufficient. Herein, we propose a stability‐oriented alloy design strategy based on incorporating corrosion‐resistant Cr into a dual‐phase MnFeCoNiMo high‐entropy alloy. Notably, thermodynamically driven forces promote the spontaneous enrichment of Cr within the Mo‐rich domains. Subsequent selective dealloying enables the in situ formation of a self‐assembled, non‐occlusive 3D (Cr, M)O</w:t>
      </w:r>
      <w:r>
        <w:t xml:space="preserve"> </w:t>
      </w:r>
      <w:r>
        <w:t>x</w:t>
      </w:r>
      <w:r>
        <w:t xml:space="preserve"> </w:t>
      </w:r>
      <w:r>
        <w:t>‐enriched protective network. Time‐of‐flight secondary ion mass spectrometry (TOF‐SIMS) and electron probe microanalysis (EPMA) reveal the continuous self‐regenerating behavior and dynamic structural reorganization of this network during long‐term operation, which effectively reconciles the classic activity–stability trade‐off. As a result, the nanoporous (np) HEA‐CrMo electrode exhibits OER overpotentials of 184 mV at 10 mA cm</w:t>
      </w:r>
      <w:r>
        <w:t xml:space="preserve"> </w:t>
      </w:r>
      <w:r>
        <w:t>−2</w:t>
      </w:r>
      <w:r>
        <w:t xml:space="preserve"> </w:t>
      </w:r>
      <w:r>
        <w:t>and 252 mV at 100 mA cm</w:t>
      </w:r>
      <w:r>
        <w:t xml:space="preserve"> </w:t>
      </w:r>
      <w:r>
        <w:t>−2</w:t>
      </w:r>
      <w:r>
        <w:t xml:space="preserve"> </w:t>
      </w:r>
      <w:r>
        <w:t>, and sustains stable operation for over 5000 h at 1000 mA cm</w:t>
      </w:r>
      <w:r>
        <w:t xml:space="preserve"> </w:t>
      </w:r>
      <w:r>
        <w:t>−2</w:t>
      </w:r>
      <w:r>
        <w:t xml:space="preserve"> </w:t>
      </w:r>
      <w:r>
        <w:t>in 6.0 M KOH. Furthermore, its scalability is demonstrated in a commercial alkaline water electrolyzer with an effective reaction area of 70.9 cm</w:t>
      </w:r>
      <w:r>
        <w:rPr>
          <w:vertAlign w:val="subscript"/>
        </w:rPr>
        <w:t>2</w:t>
      </w:r>
      <w:r>
        <w:t>during a 15‐day accelerated stress test.</w:t>
      </w:r>
    </w:p>
    <w:p>
      <w:pPr>
        <w:spacing w:before="120" w:after="120"/>
      </w:pPr>
      <w:r>
        <w:rPr>
          <w:sz w:val="18"/>
        </w:rPr>
        <w:t>——————————————————————————————————————————————————————————————————————</w:t>
      </w:r>
    </w:p>
    <w:p>
      <w:pPr>
        <w:spacing w:before="160" w:after="40" w:line="240" w:lineRule="auto"/>
      </w:pPr>
      <w:r>
        <w:rPr>
          <w:b/>
        </w:rPr>
        <w:t xml:space="preserve">[220] </w:t>
      </w:r>
      <w:hyperlink r:id="rId574">
        <w:r>
          <w:rPr>
            <w:color w:val="1155CC"/>
            <w:u w:val="single"/>
          </w:rPr>
          <w:t>[ASAP] 含α-肼酸的大环肽的RaPID选择</w:t>
        </w:r>
      </w:hyperlink>
    </w:p>
    <w:p>
      <w:pPr>
        <w:spacing w:before="0" w:after="80"/>
      </w:pPr>
      <w:r>
        <w:rPr>
          <w:i/>
          <w:sz w:val="20"/>
        </w:rPr>
        <w:t>EN: [ASAP] RaPID Selection of α-Hydrazino Acid-Containing Macrocyclic Peptides</w:t>
      </w:r>
    </w:p>
    <w:p>
      <w:pPr>
        <w:spacing w:before="0" w:after="120"/>
      </w:pPr>
      <w:r>
        <w:rPr>
          <w:b/>
        </w:rPr>
        <w:t xml:space="preserve">Source: </w:t>
      </w:r>
      <w:r>
        <w:t>Journal of the American Chemical Society: Latest Articles (ACS Publications)</w:t>
      </w:r>
      <w:r>
        <w:t xml:space="preserve">    </w:t>
      </w:r>
      <w:r>
        <w:rPr>
          <w:b/>
        </w:rPr>
        <w:t xml:space="preserve">Pub date: </w:t>
      </w:r>
      <w:r>
        <w:t>2026-04-07 14:28:39+00:00</w:t>
      </w:r>
      <w:r>
        <w:t xml:space="preserve">    </w:t>
      </w:r>
      <w:r>
        <w:rPr>
          <w:b/>
        </w:rPr>
        <w:t xml:space="preserve">DOI: </w:t>
      </w:r>
      <w:hyperlink r:id="rId575">
        <w:r>
          <w:rPr>
            <w:color w:val="1155CC"/>
            <w:u w:val="single"/>
          </w:rPr>
          <w:t>10.1021/jacs.5c23019</w:t>
        </w:r>
      </w:hyperlink>
    </w:p>
    <w:p>
      <w:pPr>
        <w:spacing w:before="0" w:after="120"/>
      </w:pPr>
      <w:r>
        <w:rPr>
          <w:b/>
        </w:rPr>
        <w:t xml:space="preserve">Notes: </w:t>
      </w:r>
      <w:r>
        <w:t>abstract_source=pubmed</w:t>
      </w:r>
    </w:p>
    <w:p>
      <w:pPr>
        <w:spacing w:before="0" w:after="80" w:lineRule="auto" w:line="276"/>
      </w:pPr>
      <w:r>
        <w:rPr>
          <w:b/>
        </w:rPr>
        <w:t xml:space="preserve">摘要（ZH）: </w:t>
      </w:r>
      <w:r>
        <w:t>将α-肼酸（α-Hza）引入肽链可以稳定二级结构，如螺旋和转角，并导致肽构象的刚性化。因此，这类肽可能获得增强的与目标蛋白的结合亲和力。此外，含α-Hza肽中的肼键有助于抗蛋白水解。尽管这些特性对治疗性肽有利，但尚无成功筛选出针对感兴趣目标蛋白的de novo含α-Hza肽的例子。我们在此报告了多样化的mRNA编码的含α-Hza大环肽库的构建及其在随机非标准肽集成发现（RaPID）选择中针对两个酶目标Janus激酶2的应用。</w:t>
      </w:r>
    </w:p>
    <w:p>
      <w:pPr>
        <w:spacing w:before="0" w:after="200" w:lineRule="auto" w:line="276"/>
      </w:pPr>
      <w:r>
        <w:rPr>
          <w:b/>
        </w:rPr>
        <w:t xml:space="preserve">Abstract (EN): </w:t>
      </w:r>
      <w:r>
        <w:t>Incorporation of α-hydrazino acid (α-Hza) into peptide chain can stabilize the secondary structures, such as helices and turns, and give rise to rigidification of peptide conformation. Consequently, such peptides potentially acquire enhanced binding affinity to target proteins. Moreover, the hydrazidic bond in α-Hza-containing peptides contributes to proteolytic resistance. Despite such favorable characteristics for therapeutic peptides, there is no example of success in screening de novo α-Hza-containing peptides against target proteins of interest. Here we report the construction of diverse, mRNA-encoded α-Hza-containing macrocyclic peptide libraries and their application to the Random nonstandard Peptides Integrated Discovery (RaPID) selection against two enzyme targets, Janus kinase 2 (JAK2) and human factor XIIa (FXIIa). The affinity-based enrichment of ligands from these libraries yielded potent binders with low-to-sub-nM dissociation constants, also exhibiting potent inhibitory activity, target specificity, proteolytic stability, and membrane permeability. Mutational studies of active macrocycles underscored critical roles of α-Hza residues in functional potencies. This study establishes a platform for de novo discovery of bioactive α-Hza-containing macrocyclic peptides against proteins of choice, thereby expanding the accessible chemical space for the RaPID system.</w:t>
      </w:r>
    </w:p>
    <w:p>
      <w:pPr>
        <w:spacing w:before="120" w:after="120"/>
      </w:pPr>
      <w:r>
        <w:rPr>
          <w:sz w:val="18"/>
        </w:rPr>
        <w:t>——————————————————————————————————————————————————————————————————————</w:t>
      </w:r>
    </w:p>
    <w:p>
      <w:pPr>
        <w:spacing w:before="160" w:after="40" w:line="240" w:lineRule="auto"/>
      </w:pPr>
      <w:r>
        <w:rPr>
          <w:b/>
        </w:rPr>
        <w:t xml:space="preserve">[221] </w:t>
      </w:r>
      <w:hyperlink r:id="rId576">
        <w:r>
          <w:rPr>
            <w:color w:val="1155CC"/>
            <w:u w:val="single"/>
          </w:rPr>
          <w:t>[ASAP] 去氧鬼臼毒素合酶的生物催化应用和机制见解</w:t>
        </w:r>
      </w:hyperlink>
    </w:p>
    <w:p>
      <w:pPr>
        <w:spacing w:before="0" w:after="80"/>
      </w:pPr>
      <w:r>
        <w:rPr>
          <w:i/>
          <w:sz w:val="20"/>
        </w:rPr>
        <w:t>EN: [ASAP] Biocatalytic Applications and Mechanistic Insights of Deoxypodophyllotoxin Synthase</w:t>
      </w:r>
    </w:p>
    <w:p>
      <w:pPr>
        <w:spacing w:before="0" w:after="120"/>
      </w:pPr>
      <w:r>
        <w:rPr>
          <w:b/>
        </w:rPr>
        <w:t xml:space="preserve">Source: </w:t>
      </w:r>
      <w:r>
        <w:t>Journal of the American Chemical Society: Latest Articles (ACS Publications)</w:t>
      </w:r>
      <w:r>
        <w:t xml:space="preserve">    </w:t>
      </w:r>
      <w:r>
        <w:rPr>
          <w:b/>
        </w:rPr>
        <w:t xml:space="preserve">Pub date: </w:t>
      </w:r>
      <w:r>
        <w:t>2026-04-07 15:01:58+00:00</w:t>
      </w:r>
      <w:r>
        <w:t xml:space="preserve">    </w:t>
      </w:r>
      <w:r>
        <w:rPr>
          <w:b/>
        </w:rPr>
        <w:t xml:space="preserve">DOI: </w:t>
      </w:r>
      <w:hyperlink r:id="rId577">
        <w:r>
          <w:rPr>
            <w:color w:val="1155CC"/>
            <w:u w:val="single"/>
          </w:rPr>
          <w:t>10.1021/jacs.6c03159</w:t>
        </w:r>
      </w:hyperlink>
    </w:p>
    <w:p>
      <w:pPr>
        <w:spacing w:before="0" w:after="120"/>
      </w:pPr>
      <w:r>
        <w:rPr>
          <w:b/>
        </w:rPr>
        <w:t xml:space="preserve">Notes: </w:t>
      </w:r>
      <w:r>
        <w:t>abstract_source=pubmed</w:t>
      </w:r>
    </w:p>
    <w:p>
      <w:pPr>
        <w:spacing w:before="0" w:after="80" w:lineRule="auto" w:line="276"/>
      </w:pPr>
      <w:r>
        <w:rPr>
          <w:b/>
        </w:rPr>
        <w:t xml:space="preserve">摘要（ZH）: </w:t>
      </w:r>
      <w:r>
        <w:t>木脂素(-)-鬼臼毒素具有显著的抗病毒和抗癌活性，因此作为几种具有治疗特性的天然产物的前体。鬼臼毒素的生物合成涉及(-)-yatein的环化，生成由铁和α-酮戊二酸依赖的（Fe/α-KG）氧化酶脱氧鬼臼毒素合成酶（DPS）催化的脱氧鬼臼毒素，从而完成鬼臼毒素的四环核心。在此，(+)-羟基-yatein也被证明是DPS的底物，直接生成(-)-鬼臼毒素作为酶促产物。此外，(+)-羟基-yatein的衍生物也被发现是底物，提供了合成药物如依托泊苷的前体。利用同位素标记物和对映异构体的机理分析。</w:t>
      </w:r>
    </w:p>
    <w:p>
      <w:pPr>
        <w:spacing w:before="0" w:after="200" w:lineRule="auto" w:line="276"/>
      </w:pPr>
      <w:r>
        <w:rPr>
          <w:b/>
        </w:rPr>
        <w:t xml:space="preserve">Abstract (EN): </w:t>
      </w:r>
      <w:r>
        <w:t>The lignan (-)-podophyllotoxin possesses significant antiviral and anticancer activities and thus serves as a precursor to several natural products with therapeutic properties. Biosynthesis of podophyllotoxin involves cyclization of (-)-yatein to yield deoxypodophyllotoxin catalyzed by the iron- and α-ketoglutarate-dependent (Fe/α-KG) oxidase deoxypodophyllotoxin synthase (DPS), which completes the tetracyclic core of podophyllotoxin. Herein, (+)-hydroxy-yatein is also shown to be a substrate for DPS, directly affording (-)-podophyllotoxin as the enzymatic product. Moreover, derivatives of (+)-hydroxy-yatein are also found to be substrates providing synthetic precursors to medicines such as etoposide. Mechanistic analyses utilizing isotopologs and diastereomers of the m-dimethoxy analogue of (+)-hydroxy-yatein indicate antarafacial C-C bond formation during the cyclization reaction and remain consistent with cation-mediated cyclization. A crystallographic study of DPS bound with vanadium(IV) oxide, succinate, and (-)-hydroxy-yatein suggests a subtle interplay of steric interactions between the substrate and the active site that can alter the course of the DPS-catalyzed reaction and thus cyclization versus hydroxylation. Finally, an efficient chemoenzymatic approach to (-)-podophyllotoxin is described that relies only on freeze-dried whole cells after DPS overexpression.</w:t>
      </w:r>
    </w:p>
    <w:p>
      <w:pPr>
        <w:spacing w:before="120" w:after="120"/>
      </w:pPr>
      <w:r>
        <w:rPr>
          <w:sz w:val="18"/>
        </w:rPr>
        <w:t>——————————————————————————————————————————————————————————————————————</w:t>
      </w:r>
    </w:p>
    <w:p>
      <w:pPr>
        <w:spacing w:before="160" w:after="40" w:line="240" w:lineRule="auto"/>
      </w:pPr>
      <w:r>
        <w:rPr>
          <w:b/>
        </w:rPr>
        <w:t xml:space="preserve">[222] </w:t>
      </w:r>
      <w:hyperlink r:id="rId578">
        <w:r>
          <w:rPr>
            <w:color w:val="1155CC"/>
            <w:u w:val="single"/>
          </w:rPr>
          <w:t>[ASAP] 磁性双稳态刚性卡宾─2,3-苯并芴亚基</w:t>
        </w:r>
      </w:hyperlink>
    </w:p>
    <w:p>
      <w:pPr>
        <w:spacing w:before="0" w:after="80"/>
      </w:pPr>
      <w:r>
        <w:rPr>
          <w:i/>
          <w:sz w:val="20"/>
        </w:rPr>
        <w:t>EN: [ASAP] A Magnetically Bistable Rigid Carbene─2,3-Benzofluorenylidene</w:t>
      </w:r>
    </w:p>
    <w:p>
      <w:pPr>
        <w:spacing w:before="0" w:after="120"/>
      </w:pPr>
      <w:r>
        <w:rPr>
          <w:b/>
        </w:rPr>
        <w:t xml:space="preserve">Source: </w:t>
      </w:r>
      <w:r>
        <w:t>Journal of the American Chemical Society: Latest Articles (ACS Publications)</w:t>
      </w:r>
      <w:r>
        <w:t xml:space="preserve">    </w:t>
      </w:r>
      <w:r>
        <w:rPr>
          <w:b/>
        </w:rPr>
        <w:t xml:space="preserve">Pub date: </w:t>
      </w:r>
      <w:r>
        <w:t>2026-04-07 15:02:53+00:00</w:t>
      </w:r>
      <w:r>
        <w:t xml:space="preserve">    </w:t>
      </w:r>
      <w:r>
        <w:rPr>
          <w:b/>
        </w:rPr>
        <w:t xml:space="preserve">DOI: </w:t>
      </w:r>
      <w:hyperlink r:id="rId579">
        <w:r>
          <w:rPr>
            <w:color w:val="1155CC"/>
            <w:u w:val="single"/>
          </w:rPr>
          <w:t>10.1021/jacs.5c22910</w:t>
        </w:r>
      </w:hyperlink>
    </w:p>
    <w:p>
      <w:pPr>
        <w:spacing w:before="0" w:after="120"/>
      </w:pPr>
      <w:r>
        <w:rPr>
          <w:b/>
        </w:rPr>
        <w:t xml:space="preserve">Notes: </w:t>
      </w:r>
      <w:r>
        <w:t>abstract_source=pubmed</w:t>
      </w:r>
    </w:p>
    <w:p>
      <w:pPr>
        <w:spacing w:before="0" w:after="80" w:lineRule="auto" w:line="276"/>
      </w:pPr>
      <w:r>
        <w:rPr>
          <w:b/>
        </w:rPr>
        <w:t xml:space="preserve">摘要（ZH）: </w:t>
      </w:r>
      <w:r>
        <w:t>在缺乏金属中心的有机分子中，能够存在于两种不同自旋状态的自旋交叉系统是罕见的。自旋双稳态卡宾2,3-苯并芴亚基在低温条件下被合成为其单线态（S）和三线态（T）的混合物，在这种条件下，两种状态之间的系统间跃迁（ISC）被有效抑制。惰性基质（Ne, Ar, Xe, N2）强烈影响两种自旋状态的相对分布：在Ar和Xe中，T状态占主导地位，而在Ne和N2中，S状态更受青睐。一旦形成，S/T比率不能通过基质退火或辐射改变。第一性原理计算将这种显著的基质依赖性归因于自旋选择性溶剂化效应，这种效应调节了卡宾在广泛温度范围内的ISC速率。</w:t>
      </w:r>
    </w:p>
    <w:p>
      <w:pPr>
        <w:spacing w:before="0" w:after="200" w:lineRule="auto" w:line="276"/>
      </w:pPr>
      <w:r>
        <w:rPr>
          <w:b/>
        </w:rPr>
        <w:t xml:space="preserve">Abstract (EN): </w:t>
      </w:r>
      <w:r>
        <w:t>Spin-crossover systems that can exist in two distinct spin states are rare among organic molecules lacking metal centers. The spin-bistable carbene 2,3-benzofluorenylidene was synthesized as a mixture of its singlet (S) and triplet (T) states at cryogenic temperatures, conditions under which intersystem crossing (ISC) between the two states is efficiently suppressed. Inert matrices (Ne, Ar, Xe, N2) strongly influence the relative population of the two spin states: the T state dominates in Ar and Xe, whereas the S state is favored in Ne and N2. Once formed, the S/T ratio cannot be altered by matrix annealing or irradiation. Ab initio calculations attribute this pronounced matrix dependence to spin-selective solvation effects, which modulate the ISC rate of the carbene across a broad temperature range. The remarkable spin bistability of 2,3-benzofluorenylidene enabled a direct comparison of the reactivity of the amphiphilic S state with that of the radical-like T state toward small molecules such as H2, D2, H2O, O2, and CO, uncovering striking spin-selective reactivity.</w:t>
      </w:r>
    </w:p>
    <w:p>
      <w:pPr>
        <w:spacing w:before="120" w:after="120"/>
      </w:pPr>
      <w:r>
        <w:rPr>
          <w:sz w:val="18"/>
        </w:rPr>
        <w:t>——————————————————————————————————————————————————————————————————————</w:t>
      </w:r>
    </w:p>
    <w:p>
      <w:pPr>
        <w:spacing w:before="160" w:after="40" w:line="240" w:lineRule="auto"/>
      </w:pPr>
      <w:r>
        <w:rPr>
          <w:b/>
        </w:rPr>
        <w:t xml:space="preserve">[223] </w:t>
      </w:r>
      <w:hyperlink r:id="rId580">
        <w:r>
          <w:rPr>
            <w:color w:val="1155CC"/>
            <w:u w:val="single"/>
          </w:rPr>
          <w:t>[ASAP] 振荡结构力中的相干消除使胶体组装中的表面识别成为可能</w:t>
        </w:r>
      </w:hyperlink>
    </w:p>
    <w:p>
      <w:pPr>
        <w:spacing w:before="0" w:after="80"/>
      </w:pPr>
      <w:r>
        <w:rPr>
          <w:i/>
          <w:sz w:val="20"/>
        </w:rPr>
        <w:t>EN: [ASAP] Coherent Cancellation in Oscillatory Structural Forces Enables Surface Recognition in Colloidal Assembly</w:t>
      </w:r>
    </w:p>
    <w:p>
      <w:pPr>
        <w:spacing w:before="0" w:after="120"/>
      </w:pPr>
      <w:r>
        <w:rPr>
          <w:b/>
        </w:rPr>
        <w:t xml:space="preserve">Source: </w:t>
      </w:r>
      <w:r>
        <w:t>Journal of the American Chemical Society: Latest Articles (ACS Publications)</w:t>
      </w:r>
      <w:r>
        <w:t xml:space="preserve">    </w:t>
      </w:r>
      <w:r>
        <w:rPr>
          <w:b/>
        </w:rPr>
        <w:t xml:space="preserve">Pub date: </w:t>
      </w:r>
      <w:r>
        <w:t>2026-04-07 15:16:35+00:00</w:t>
      </w:r>
      <w:r>
        <w:t xml:space="preserve">    </w:t>
      </w:r>
      <w:r>
        <w:rPr>
          <w:b/>
        </w:rPr>
        <w:t xml:space="preserve">DOI: </w:t>
      </w:r>
      <w:hyperlink r:id="rId581">
        <w:r>
          <w:rPr>
            <w:color w:val="1155CC"/>
            <w:u w:val="single"/>
          </w:rPr>
          <w:t>10.1021/jacs.5c19769</w:t>
        </w:r>
      </w:hyperlink>
    </w:p>
    <w:p>
      <w:pPr>
        <w:spacing w:before="0" w:after="120"/>
      </w:pPr>
      <w:r>
        <w:rPr>
          <w:b/>
        </w:rPr>
        <w:t xml:space="preserve">Notes: </w:t>
      </w:r>
      <w:r>
        <w:t>abstract_source=pubmed</w:t>
      </w:r>
    </w:p>
    <w:p>
      <w:pPr>
        <w:spacing w:before="0" w:after="80" w:lineRule="auto" w:line="276"/>
      </w:pPr>
      <w:r>
        <w:rPr>
          <w:b/>
        </w:rPr>
        <w:t xml:space="preserve">摘要（ZH）: </w:t>
      </w:r>
      <w:r>
        <w:t>虽然振荡结构力（溶剂化/耗尽）在胶体系统中无处不在，但它们引导复杂颗粒精确自组装的机制仍然难以捉摸。在此，我们揭示了这些阻尼振荡力对表面取向的极端敏感性源于它们的相干抵消。我们发现，微小的倾斜角度或曲率不匹配会触发相干抵消，导致吸引力急剧下降。只有在具有互补曲率的表面之间实现共形接触时，才能实现最大吸引力，从而避免抵消。这一普遍机制成功地控制了纳米哑铃的二维自组装，产生了一系列超晶格，包括平行、Kagome和人字形结构。</w:t>
      </w:r>
    </w:p>
    <w:p>
      <w:pPr>
        <w:spacing w:before="0" w:after="200" w:lineRule="auto" w:line="276"/>
      </w:pPr>
      <w:r>
        <w:rPr>
          <w:b/>
        </w:rPr>
        <w:t xml:space="preserve">Abstract (EN): </w:t>
      </w:r>
      <w:r>
        <w:t>While oscillatory structural forces (solvation/depletion) are ubiquitous in colloidal systems, the mechanism by which they guide the precise self-assembly of complex particles remains elusive. Here, we reveal that the extreme sensitivity of these damped oscillatory forces to surface orientation stems from their coherent cancellation. We find that minute inclination angles or curvature mismatch trigger coherent cancellation, causing a precipitous drop in attraction. Maximum attraction is achieved only under conformal contact between surfaces with complementary curvature, which avoids cancellation. This universal mechanism successfully governs the two-dimensional self-assembly of nanodumbbells, yielding a series of superlattices, including parallel, Kagome, and chevron structures.</w:t>
      </w:r>
    </w:p>
    <w:p>
      <w:pPr>
        <w:spacing w:before="120" w:after="120"/>
      </w:pPr>
      <w:r>
        <w:rPr>
          <w:sz w:val="18"/>
        </w:rPr>
        <w:t>——————————————————————————————————————————————————————————————————————</w:t>
      </w:r>
    </w:p>
    <w:p>
      <w:pPr>
        <w:spacing w:before="160" w:after="40" w:line="240" w:lineRule="auto"/>
      </w:pPr>
      <w:r>
        <w:rPr>
          <w:b/>
        </w:rPr>
        <w:t xml:space="preserve">[224] </w:t>
      </w:r>
      <w:hyperlink r:id="rId582">
        <w:r>
          <w:rPr>
            <w:color w:val="1155CC"/>
            <w:u w:val="single"/>
          </w:rPr>
          <w:t>[ASAP] 简单、空气稳定的铁(I)单离子源</w:t>
        </w:r>
      </w:hyperlink>
    </w:p>
    <w:p>
      <w:pPr>
        <w:spacing w:before="0" w:after="80"/>
      </w:pPr>
      <w:r>
        <w:rPr>
          <w:i/>
          <w:sz w:val="20"/>
        </w:rPr>
        <w:t>EN: [ASAP] A Simple, Air Stable Single-Ion Source of Iron(I)</w:t>
      </w:r>
    </w:p>
    <w:p>
      <w:pPr>
        <w:spacing w:before="0" w:after="120"/>
      </w:pPr>
      <w:r>
        <w:rPr>
          <w:b/>
        </w:rPr>
        <w:t xml:space="preserve">Source: </w:t>
      </w:r>
      <w:r>
        <w:t>Journal of the American Chemical Society: Latest Articles (ACS Publications)</w:t>
      </w:r>
      <w:r>
        <w:t xml:space="preserve">    </w:t>
      </w:r>
      <w:r>
        <w:rPr>
          <w:b/>
        </w:rPr>
        <w:t xml:space="preserve">Pub date: </w:t>
      </w:r>
      <w:r>
        <w:t>2026-04-07 15:17:36+00:00</w:t>
      </w:r>
      <w:r>
        <w:t xml:space="preserve">    </w:t>
      </w:r>
      <w:r>
        <w:rPr>
          <w:b/>
        </w:rPr>
        <w:t xml:space="preserve">DOI: </w:t>
      </w:r>
      <w:hyperlink r:id="rId583">
        <w:r>
          <w:rPr>
            <w:color w:val="1155CC"/>
            <w:u w:val="single"/>
          </w:rPr>
          <w:t>10.1021/jacs.6c01660</w:t>
        </w:r>
      </w:hyperlink>
    </w:p>
    <w:p>
      <w:pPr>
        <w:spacing w:before="0" w:after="120"/>
      </w:pPr>
      <w:r>
        <w:rPr>
          <w:b/>
        </w:rPr>
        <w:t xml:space="preserve">Notes: </w:t>
      </w:r>
      <w:r>
        <w:t>abstract_source=pubmed</w:t>
      </w:r>
    </w:p>
    <w:p>
      <w:pPr>
        <w:spacing w:before="0" w:after="80" w:lineRule="auto" w:line="276"/>
      </w:pPr>
      <w:r>
        <w:rPr>
          <w:b/>
        </w:rPr>
        <w:t xml:space="preserve">摘要（ZH）: </w:t>
      </w:r>
      <w:r>
        <w:t>铁在稀有+1氧化态的分子复合物已被证明是工业相关化学转化的高效催化剂，通常与日益不可持续的贵金属相关。与许多这些贵金属不同，铁在反应性氧化态中没有合适的起始材料，依赖于使用强还原剂（例如，KC8，RMgX）来获取。在此，我们展示了一种空气稳定的铁(I)芳烃配合物[Fe(durene)2]+（durene = 1,2,4,5-四甲基苯）的合成、表征和反应性。通过规避还原剂的使用，我们证明了这种通用的单一来源前体可以模块化地获取一系列铁(I)化合物，所有这些化合物都具有经过充分研究的供体配体，包括新颖的例子。</w:t>
      </w:r>
    </w:p>
    <w:p>
      <w:pPr>
        <w:spacing w:before="0" w:after="200" w:lineRule="auto" w:line="276"/>
      </w:pPr>
      <w:r>
        <w:rPr>
          <w:b/>
        </w:rPr>
        <w:t xml:space="preserve">Abstract (EN): </w:t>
      </w:r>
      <w:r>
        <w:t>Molecular complexes of iron in the rare +1 oxidation state have been shown to be efficient catalysts for industrially relevant chemical transformations, typically associated with the increasingly unsustainable noble metals. Unlike many of these precious metals, iron does not have a suitable starting material in the reactive oxidation state and relies on the use of strong reducing agents (e.g., KC8, RMgX) for access. Here, we present the synthesis, characterization, and reactivity of an air stable iron(I) arene complex, [Fe(durene)2]+ (durene = 1,2,4,5-tetramethylbenzene). Circumventing the use of reductants, we demonstrate that this general, single-source precursor can be used to modularly access a library of iron(I) compounds, all featuring well-studied donor ligands, including novel examples inaccessible by reduction. As a proof of concept, we further show that our single-ion source can access highly active catalysts in situ, showing future scope for iron(I) high throughput experimentation. [Fe(durene)2]+ represents the first stable iron(I) synthetic starting point.</w:t>
      </w:r>
    </w:p>
    <w:p>
      <w:pPr>
        <w:spacing w:before="120" w:after="120"/>
      </w:pPr>
      <w:r>
        <w:rPr>
          <w:sz w:val="18"/>
        </w:rPr>
        <w:t>——————————————————————————————————————————————————————————————————————</w:t>
      </w:r>
    </w:p>
    <w:p>
      <w:pPr>
        <w:spacing w:before="160" w:after="40" w:line="240" w:lineRule="auto"/>
      </w:pPr>
      <w:r>
        <w:rPr>
          <w:b/>
        </w:rPr>
        <w:t xml:space="preserve">[225] </w:t>
      </w:r>
      <w:hyperlink r:id="rId584">
        <w:r>
          <w:rPr>
            <w:color w:val="1155CC"/>
            <w:u w:val="single"/>
          </w:rPr>
          <w:t>[ASAP] 通过在磷化物异质结构/电解质界面调节氢键网络设计干电极用于碱性水电解</w:t>
        </w:r>
      </w:hyperlink>
    </w:p>
    <w:p>
      <w:pPr>
        <w:spacing w:before="0" w:after="80"/>
      </w:pPr>
      <w:r>
        <w:rPr>
          <w:i/>
          <w:sz w:val="20"/>
        </w:rPr>
        <w:t>EN: [ASAP] Designing a Dry Cathode via Hydrogen-Bond Network Regulation at Phosphide Heterostructure/Electrolyte Interfaces for Alkaline Water Electrolysis</w:t>
      </w:r>
    </w:p>
    <w:p>
      <w:pPr>
        <w:spacing w:before="0" w:after="120"/>
      </w:pPr>
      <w:r>
        <w:rPr>
          <w:b/>
        </w:rPr>
        <w:t xml:space="preserve">Source: </w:t>
      </w:r>
      <w:r>
        <w:t>Journal of the American Chemical Society: Latest Articles (ACS Publications)</w:t>
      </w:r>
      <w:r>
        <w:t xml:space="preserve">    </w:t>
      </w:r>
      <w:r>
        <w:rPr>
          <w:b/>
        </w:rPr>
        <w:t xml:space="preserve">Pub date: </w:t>
      </w:r>
      <w:r>
        <w:t>2026-04-07 15:17:36+00:00</w:t>
      </w:r>
      <w:r>
        <w:t xml:space="preserve">    </w:t>
      </w:r>
      <w:r>
        <w:rPr>
          <w:b/>
        </w:rPr>
        <w:t xml:space="preserve">DOI: </w:t>
      </w:r>
      <w:hyperlink r:id="rId585">
        <w:r>
          <w:rPr>
            <w:color w:val="1155CC"/>
            <w:u w:val="single"/>
          </w:rPr>
          <w:t>10.1021/jacs.6c02768</w:t>
        </w:r>
      </w:hyperlink>
    </w:p>
    <w:p>
      <w:pPr>
        <w:spacing w:before="0" w:after="120"/>
      </w:pPr>
      <w:r>
        <w:rPr>
          <w:b/>
        </w:rPr>
        <w:t xml:space="preserve">Notes: </w:t>
      </w:r>
      <w:r>
        <w:t>abstract_source=pubmed</w:t>
      </w:r>
    </w:p>
    <w:p>
      <w:pPr>
        <w:spacing w:before="0" w:after="80" w:lineRule="auto" w:line="276"/>
      </w:pPr>
      <w:r>
        <w:rPr>
          <w:b/>
        </w:rPr>
        <w:t xml:space="preserve">摘要（ZH）: </w:t>
      </w:r>
      <w:r>
        <w:t>开发用于碱性电解质中氢析出反应（HER）的高效铂族金属（PGM）自由催化剂对于阴离子交换膜水电解器（AEMWEs）生产低成本氢气至关重要。尽管在水性电解质中HER催化剂通常表现出有前景的活性，但在实际AEMWE阴极环境中的催化性能主要受限于在理想的干阴极操作条件下水和质子供应不足。在此，我们开发了一种Re2P/MoP异质结构催化剂，克服了这些质量传输和界面限制，使AEMWEs中的PGM自由阴极具有高性能。与单独的Re2P和MoP相比，Re2P/MoP异质结构催化剂表现出显著降低的HER过电位。</w:t>
      </w:r>
    </w:p>
    <w:p>
      <w:pPr>
        <w:spacing w:before="0" w:after="200" w:lineRule="auto" w:line="276"/>
      </w:pPr>
      <w:r>
        <w:rPr>
          <w:b/>
        </w:rPr>
        <w:t xml:space="preserve">Abstract (EN): </w:t>
      </w:r>
      <w:r>
        <w:t>Developing efficient platinum group metal (PGM)-free catalysts for the hydrogen evolution reaction (HER) in alkaline electrolytes is crucial for anion-exchange membrane water electrolyzers (AEMWEs) to produce low-cost hydrogen. Despite the promising activity often observed in aqueous electrolytes on HER catalysts, catalytic performance in the actual AEMWE cathode environment is primarily limited by insufficient water and proton supply under desirable dry-cathode operating conditions. Herein, we develop a Re2P/MoP heterostructure catalyst that overcomes these mass-transport and interfacial limitations, enabling a high-performance PGM-free cathode in AEMWEs. Relative to the individual Re2P and MoP counterparts, the Re2P/MoP heterostructure catalyst exhibits significantly lower HER overpotentials. Electrochemical measurements and theoretical calculations suggest that coupling between Re2P and MoP can regulate the electronic structure of each component, thereby optimizing hydrogen adsorption and water dissociation kinetics and enhancing intrinsic HER activity. Moreover, the Re2P/MoP heterostructure can populate interfacial water molecules and form a connected/dynamic hydrogen-bond network near the catalyst/electrolyte interface, thereby facilitating water replenishment and proton/hydroxide transfer, which are essential for high-current-density operations even at low water content. The assembled Re2P/MoP||NiFe foam PGM-free membrane electrode assembly (MEA) delivers an industrial-level current density of 1.0 and 3.0 A cm-2 at 1.73 and 1.95 V, respectively, comparable to the PtRu/C||IrOx PGM benchmark. The PGM-free MEA can maintain stable operation at 2.0 A cm-2 for over 1000 h, making it one of the most promising MEAs for AEMWEs. This work emphasizes that catalyst/electrolyte interface engineering is critical for achieving high-performance electrochemical systems.</w:t>
      </w:r>
    </w:p>
    <w:p>
      <w:pPr>
        <w:spacing w:before="120" w:after="120"/>
      </w:pPr>
      <w:r>
        <w:rPr>
          <w:sz w:val="18"/>
        </w:rPr>
        <w:t>——————————————————————————————————————————————————————————————————————</w:t>
      </w:r>
    </w:p>
    <w:p>
      <w:pPr>
        <w:spacing w:before="160" w:after="40" w:line="240" w:lineRule="auto"/>
      </w:pPr>
      <w:r>
        <w:rPr>
          <w:b/>
        </w:rPr>
        <w:t xml:space="preserve">[226] </w:t>
      </w:r>
      <w:hyperlink r:id="rId586">
        <w:r>
          <w:rPr>
            <w:color w:val="1155CC"/>
            <w:u w:val="single"/>
          </w:rPr>
          <w:t>[ASAP] 铑基CO2加氢催化剂中锂促进乙醇生成：在界面上实现碳-碳键形成</w:t>
        </w:r>
      </w:hyperlink>
    </w:p>
    <w:p>
      <w:pPr>
        <w:spacing w:before="0" w:after="80"/>
      </w:pPr>
      <w:r>
        <w:rPr>
          <w:i/>
          <w:sz w:val="20"/>
        </w:rPr>
        <w:t>EN: [ASAP] Li-Promotion in Rh-Based CO2 Hydrogenation Catalysts to Ethanol: Enabling Carbon–Carbon Bond Formation at the Interface</w:t>
      </w:r>
    </w:p>
    <w:p>
      <w:pPr>
        <w:spacing w:before="0" w:after="120"/>
      </w:pPr>
      <w:r>
        <w:rPr>
          <w:b/>
        </w:rPr>
        <w:t xml:space="preserve">Source: </w:t>
      </w:r>
      <w:r>
        <w:t>Journal of the American Chemical Society: Latest Articles (ACS Publications)</w:t>
      </w:r>
      <w:r>
        <w:t xml:space="preserve">    </w:t>
      </w:r>
      <w:r>
        <w:rPr>
          <w:b/>
        </w:rPr>
        <w:t xml:space="preserve">Pub date: </w:t>
      </w:r>
      <w:r>
        <w:t>2026-04-07 16:30:41+00:00</w:t>
      </w:r>
      <w:r>
        <w:t xml:space="preserve">    </w:t>
      </w:r>
      <w:r>
        <w:rPr>
          <w:b/>
        </w:rPr>
        <w:t xml:space="preserve">DOI: </w:t>
      </w:r>
      <w:hyperlink r:id="rId587">
        <w:r>
          <w:rPr>
            <w:color w:val="1155CC"/>
            <w:u w:val="single"/>
          </w:rPr>
          <w:t>10.1021/jacs.6c03209</w:t>
        </w:r>
      </w:hyperlink>
    </w:p>
    <w:p>
      <w:pPr>
        <w:spacing w:before="0" w:after="120"/>
      </w:pPr>
      <w:r>
        <w:rPr>
          <w:b/>
        </w:rPr>
        <w:t xml:space="preserve">Notes: </w:t>
      </w:r>
      <w:r>
        <w:t>abstract_source=pubmed</w:t>
      </w:r>
    </w:p>
    <w:p>
      <w:pPr>
        <w:spacing w:before="0" w:after="80" w:lineRule="auto" w:line="276"/>
      </w:pPr>
      <w:r>
        <w:rPr>
          <w:b/>
        </w:rPr>
        <w:t xml:space="preserve">摘要（ZH）: </w:t>
      </w:r>
      <w:r>
        <w:t>合成气（CO/H2）制备高醇的研究在过去几十年中吸引了大量研究努力。然而，使用CO2作为原料的类似反应仍然相对未被探索。由于这种方法可以实现人为CO2排放的净减少（前提是使用绿色H2），因此从CO2合成乙醇已成为一种高度理想的反应。然而，这种反应的高活性和选择性催化剂仍然难以捉摸且理解不充分，其开发是一项艰巨的任务。通过利用合成一种定义明确的、硅胶支持的Rh-Li基催化剂，我们提高了对锂在CO2形成乙醇中的作用的理解。使用最先进的光谱技术，如X射线吸收光谱。</w:t>
      </w:r>
    </w:p>
    <w:p>
      <w:pPr>
        <w:spacing w:before="0" w:after="200" w:lineRule="auto" w:line="276"/>
      </w:pPr>
      <w:r>
        <w:rPr>
          <w:b/>
        </w:rPr>
        <w:t xml:space="preserve">Abstract (EN): </w:t>
      </w:r>
      <w:r>
        <w:t>Higher alcohol synthesis from syngas (CO/H2) has attracted large research efforts in the past decades. However, the analogous reaction using CO2 as a feedstock remains relatively underexplored. Due to the net reduction in anthropogenic CO2 emissions that can be achieved by this approach (provided green H2 is used), ethanol synthesis from CO2 has become a highly desirable reaction. Nevertheless, highly active and selective catalysts for this reaction have remained elusive and poorly understood, and their development presents a formidable task. By leveraging the synthesis of a well-defined, silica-supported Rh-Li based catalyst, we have improved our understanding of the role of lithium in the formation of ethanol from CO2. Using state-of-the-art spectroscopy, such as X-ray absorption spectroscopy, probe molecule infrared spectroscopy, and in-situ diffuse reflectance infrared spectroscopy, we were able to evidence the presence of an activated CO species at the interface of metallic Rh and Li+ which readily allows the insertion of -CHx species in the RhLi@SiO2 system. Complementary computational studies indicate that the insertion of CHx into CO is drastically facilitated and that the presence of Li+ protects -CHx species from overhydrogenation.</w:t>
      </w:r>
    </w:p>
    <w:p>
      <w:pPr>
        <w:spacing w:before="120" w:after="120"/>
      </w:pPr>
      <w:r>
        <w:rPr>
          <w:sz w:val="18"/>
        </w:rPr>
        <w:t>——————————————————————————————————————————————————————————————————————</w:t>
      </w:r>
    </w:p>
    <w:p>
      <w:pPr>
        <w:spacing w:before="160" w:after="40" w:line="240" w:lineRule="auto"/>
      </w:pPr>
      <w:r>
        <w:rPr>
          <w:b/>
        </w:rPr>
        <w:t xml:space="preserve">[227] </w:t>
      </w:r>
      <w:hyperlink r:id="rId588">
        <w:r>
          <w:rPr>
            <w:color w:val="1155CC"/>
            <w:u w:val="single"/>
          </w:rPr>
          <w:t>[ASAP] 酰亚胺连接的共价有机框架中的可调甲基化实现了高选择性SF6捕获</w:t>
        </w:r>
      </w:hyperlink>
    </w:p>
    <w:p>
      <w:pPr>
        <w:spacing w:before="0" w:after="80"/>
      </w:pPr>
      <w:r>
        <w:rPr>
          <w:i/>
          <w:sz w:val="20"/>
        </w:rPr>
        <w:t>EN: [ASAP] Tunable Methylation in Imide-Linked Covalent Organic Frameworks Enables Highly Selective SF6 Capture</w:t>
      </w:r>
    </w:p>
    <w:p>
      <w:pPr>
        <w:spacing w:before="0" w:after="120"/>
      </w:pPr>
      <w:r>
        <w:rPr>
          <w:b/>
        </w:rPr>
        <w:t xml:space="preserve">Source: </w:t>
      </w:r>
      <w:r>
        <w:t>Journal of the American Chemical Society: Latest Articles (ACS Publications)</w:t>
      </w:r>
      <w:r>
        <w:t xml:space="preserve">    </w:t>
      </w:r>
      <w:r>
        <w:rPr>
          <w:b/>
        </w:rPr>
        <w:t xml:space="preserve">Pub date: </w:t>
      </w:r>
      <w:r>
        <w:t>2026-04-07 16:32:59+00:00</w:t>
      </w:r>
      <w:r>
        <w:t xml:space="preserve">    </w:t>
      </w:r>
      <w:r>
        <w:rPr>
          <w:b/>
        </w:rPr>
        <w:t xml:space="preserve">DOI: </w:t>
      </w:r>
      <w:hyperlink r:id="rId589">
        <w:r>
          <w:rPr>
            <w:color w:val="1155CC"/>
            <w:u w:val="single"/>
          </w:rPr>
          <w:t>10.1021/jacs.6c02143</w:t>
        </w:r>
      </w:hyperlink>
    </w:p>
    <w:p>
      <w:pPr>
        <w:spacing w:before="0" w:after="120"/>
      </w:pPr>
      <w:r>
        <w:rPr>
          <w:b/>
        </w:rPr>
        <w:t xml:space="preserve">Notes: </w:t>
      </w:r>
      <w:r>
        <w:t>abstract_source=pubmed</w:t>
      </w:r>
    </w:p>
    <w:p>
      <w:pPr>
        <w:spacing w:before="0" w:after="80" w:lineRule="auto" w:line="276"/>
      </w:pPr>
      <w:r>
        <w:rPr>
          <w:b/>
        </w:rPr>
        <w:t xml:space="preserve">摘要（ZH）: </w:t>
      </w:r>
      <w:r>
        <w:t>通过合理设计共价有机框架（COFs）以实现节能的SF6捕获仍然受到结构-性质关系机制理解不足的阻碍。在此，我们报告了通过酰亚胺连接的COFs中的战略性甲基基团工程引发了显著的堆叠转变，从而实现了高效的SF6/N2分离。三嗪构建单元的系统甲基化驱动了从传统的AA堆叠到ABC堆叠模式的结构演变。这种转变在分子水平上调整了孔结构，生成了优化的超微孔（0.66 nm），与SF6的动力学直径紧密匹配。得益于这种优化的孔环境，二甲基功能化的NMUCOF-5实现了42.5 cm3·g-1的SF6吸附量和高SF6</w:t>
      </w:r>
    </w:p>
    <w:p>
      <w:pPr>
        <w:spacing w:before="0" w:after="200" w:lineRule="auto" w:line="276"/>
      </w:pPr>
      <w:r>
        <w:rPr>
          <w:b/>
        </w:rPr>
        <w:t xml:space="preserve">Abstract (EN): </w:t>
      </w:r>
      <w:r>
        <w:t>Rational design of covalent organic frameworks (COFs) for energy-efficient SF6 capture remains hindered by insufficient mechanistic understanding of structure-property relationships. Herein, we report that strategic methyl-group engineering within imide-linked COFs induces a profound stacking transition, enabling highly efficient SF6/N2 separation. Systematic methylation of the triazine building units drives a structural evolution from a conventional AA stacking to an ABC stacking mode. This transformation tailors the pore architecture at the molecular level, generating optimized ultramicropores (0.66 nm) that closely match the kinetic diameter of SF6. Benefiting from this optimized pore environment, the dimethyl-functionalized NMUCOF-5 achieves an SF6 uptake of 42.5 cm3·g-1 and a high SF6/N2 selectivity of 126 (298 K, 100 kPa) despite a moderate BET surface area (751 m2·g-1). Integrated breakthrough experiments and molecular simulations reveal that this performance originates from the synergistic effect of precise size-sieving within the tailored ultramicropores and enhanced C-H···F interactions afforded by the methyl-enriched pore walls. This work shows that methyl-directed stacking modulation can serve as an effective pore-engineering strategy in imide-linked COFs, providing mechanistic insight into how substituent-controlled packing can influence SF6 capture and separation.</w:t>
      </w:r>
    </w:p>
    <w:p>
      <w:pPr>
        <w:spacing w:before="120" w:after="120"/>
      </w:pPr>
      <w:r>
        <w:rPr>
          <w:sz w:val="18"/>
        </w:rPr>
        <w:t>——————————————————————————————————————————————————————————————————————</w:t>
      </w:r>
    </w:p>
    <w:p>
      <w:pPr>
        <w:spacing w:before="160" w:after="40" w:line="240" w:lineRule="auto"/>
      </w:pPr>
      <w:r>
        <w:rPr>
          <w:b/>
        </w:rPr>
        <w:t xml:space="preserve">[228] </w:t>
      </w:r>
      <w:hyperlink r:id="rId590">
        <w:r>
          <w:rPr>
            <w:color w:val="1155CC"/>
            <w:u w:val="single"/>
          </w:rPr>
          <w:t>[ASAP] Ni(OH)2/NiOOH电极上甘油电氧化的机制研究</w:t>
        </w:r>
      </w:hyperlink>
    </w:p>
    <w:p>
      <w:pPr>
        <w:spacing w:before="0" w:after="80"/>
      </w:pPr>
      <w:r>
        <w:rPr>
          <w:i/>
          <w:sz w:val="20"/>
        </w:rPr>
        <w:t>EN: [ASAP] Mechanistic Study of Glycerol Electro-Oxidation on Ni(OH)2/NiOOH Electrodes</w:t>
      </w:r>
    </w:p>
    <w:p>
      <w:pPr>
        <w:spacing w:before="0" w:after="120"/>
      </w:pPr>
      <w:r>
        <w:rPr>
          <w:b/>
        </w:rPr>
        <w:t xml:space="preserve">Source: </w:t>
      </w:r>
      <w:r>
        <w:t>Journal of the American Chemical Society: Latest Articles (ACS Publications)</w:t>
      </w:r>
      <w:r>
        <w:t xml:space="preserve">    </w:t>
      </w:r>
      <w:r>
        <w:rPr>
          <w:b/>
        </w:rPr>
        <w:t xml:space="preserve">Pub date: </w:t>
      </w:r>
      <w:r>
        <w:t>2026-04-07 17:33:48+00:00</w:t>
      </w:r>
      <w:r>
        <w:t xml:space="preserve">    </w:t>
      </w:r>
      <w:r>
        <w:rPr>
          <w:b/>
        </w:rPr>
        <w:t xml:space="preserve">DOI: </w:t>
      </w:r>
      <w:hyperlink r:id="rId591">
        <w:r>
          <w:rPr>
            <w:color w:val="1155CC"/>
            <w:u w:val="single"/>
          </w:rPr>
          <w:t>10.1021/jacs.6c00726</w:t>
        </w:r>
      </w:hyperlink>
    </w:p>
    <w:p>
      <w:pPr>
        <w:spacing w:before="0" w:after="120"/>
      </w:pPr>
      <w:r>
        <w:rPr>
          <w:b/>
        </w:rPr>
        <w:t xml:space="preserve">Notes: </w:t>
      </w:r>
      <w:r>
        <w:t>abstract_source=pubmed</w:t>
      </w:r>
    </w:p>
    <w:p>
      <w:pPr>
        <w:spacing w:before="0" w:after="80" w:lineRule="auto" w:line="276"/>
      </w:pPr>
      <w:r>
        <w:rPr>
          <w:b/>
        </w:rPr>
        <w:t xml:space="preserve">摘要（ZH）: </w:t>
      </w:r>
      <w:r>
        <w:t>甘油氧化反应（GOR）是一种有前途的增值途径，可以在电解槽中升级生物柴油副产品，同时在阴极共生产绿色氢。然而，过渡金属基催化剂如Ni(OH)2的工作机制仍然知之甚少。在此，我们采用了一种多操作光谱电化学方法，结合了紫外-可见光光谱、X射线吸收光谱和时间分辨阶跃电位光谱，以研究在OER和GOR条件下的活性氧化物种和电荷转移动力学。我们确定NiOOH（Ni3+）是GOR的活性物种，而在甘油存在下，高价NiOO（Ni4+）物种的形成被完全抑制。表面吸附的甘油分子的积累是</w:t>
      </w:r>
    </w:p>
    <w:p>
      <w:pPr>
        <w:spacing w:before="0" w:after="200" w:lineRule="auto" w:line="276"/>
      </w:pPr>
      <w:r>
        <w:rPr>
          <w:b/>
        </w:rPr>
        <w:t xml:space="preserve">Abstract (EN): </w:t>
      </w:r>
      <w:r>
        <w:t>Glycerol oxidation reaction (GOR) is a promising valorization route to upgrade the biodiesel by-product while coproducing green hydrogen at the cathode in electrolyzers. However, the working mechanism of transition-metal-based catalysts such as Ni(OH)2 remains poorly understood. Here, we employed a multioperando spectroelectrochemical approach combining UV-vis optical spectroscopy, X-ray absorption spectroscopy, and time-resolved stepped-potential spectroscopy to investigate the active oxidizing species and charge-transfer dynamics under OER and GOR conditions. We identified NiOOH (Ni3+) as the active species for GOR, whereas the formation of higher-valent NiOO (Ni4+) species is completely suppressed in the presence of glycerol. The accumulation of surface-adsorbed glycerol molecules is the rate-determining step (τ ∼ 27.9 s at 1.47 VRHE), occurring slower than the intrinsic catalytic step of glycerol reaction (τ ∼ 3.2 s at 1.47 VRHE), which involves oxidation and bond cleavage. In contrast, the kinetics of the OER are significantly slower (τ ∼ 167 s at 1.47 VRHE), resulting in the dominance of GOR and suppression of oxygen evolution in the presence of glycerol. The potential-independent production of formic acid during GOR follows an apparent first-order dependence on NiOOH concentration, suggesting continuous C-C bond cleavage activated by reactive *O species. These findings link oxidizing species with charge-transfer dynamics, providing insight for the rational design of Ni-based catalysts for glycerol and other biomass-derived molecule oxidations.</w:t>
      </w:r>
    </w:p>
    <w:p>
      <w:pPr>
        <w:spacing w:before="120" w:after="120"/>
      </w:pPr>
      <w:r>
        <w:rPr>
          <w:sz w:val="18"/>
        </w:rPr>
        <w:t>——————————————————————————————————————————————————————————————————————</w:t>
      </w:r>
    </w:p>
    <w:p>
      <w:pPr>
        <w:spacing w:before="160" w:after="40" w:line="240" w:lineRule="auto"/>
      </w:pPr>
      <w:r>
        <w:rPr>
          <w:b/>
        </w:rPr>
        <w:t xml:space="preserve">[229] </w:t>
      </w:r>
      <w:hyperlink r:id="rId592">
        <w:r>
          <w:rPr>
            <w:color w:val="1155CC"/>
            <w:u w:val="single"/>
          </w:rPr>
          <w:t>[ASAP] 基于DNA折纸的蜘蛛网促进了细胞外囊泡模拟物的精确且无受体干扰的修饰，以增强递送效率</w:t>
        </w:r>
      </w:hyperlink>
    </w:p>
    <w:p>
      <w:pPr>
        <w:spacing w:before="0" w:after="80"/>
      </w:pPr>
      <w:r>
        <w:rPr>
          <w:i/>
          <w:sz w:val="20"/>
        </w:rPr>
        <w:t>EN: [ASAP] A DNA Origami-Based Cobweb Facilitates Precise and Receptor-Interference Free Modification of Extracellular Vesicle Mimetic for Enhanced Delivery Efficacy</w:t>
      </w:r>
    </w:p>
    <w:p>
      <w:pPr>
        <w:spacing w:before="0" w:after="120"/>
      </w:pPr>
      <w:r>
        <w:rPr>
          <w:b/>
        </w:rPr>
        <w:t xml:space="preserve">Source: </w:t>
      </w:r>
      <w:r>
        <w:t>Journal of the American Chemical Society: Latest Articles (ACS Publications)</w:t>
      </w:r>
      <w:r>
        <w:t xml:space="preserve">    </w:t>
      </w:r>
      <w:r>
        <w:rPr>
          <w:b/>
        </w:rPr>
        <w:t xml:space="preserve">Pub date: </w:t>
      </w:r>
      <w:r>
        <w:t>2026-04-07 18:05:19+00:00</w:t>
      </w:r>
      <w:r>
        <w:t xml:space="preserve">    </w:t>
      </w:r>
      <w:r>
        <w:rPr>
          <w:b/>
        </w:rPr>
        <w:t xml:space="preserve">DOI: </w:t>
      </w:r>
      <w:hyperlink r:id="rId593">
        <w:r>
          <w:rPr>
            <w:color w:val="1155CC"/>
            <w:u w:val="single"/>
          </w:rPr>
          <w:t>10.1021/jacs.6c00054</w:t>
        </w:r>
      </w:hyperlink>
    </w:p>
    <w:p>
      <w:pPr>
        <w:spacing w:before="0" w:after="120"/>
      </w:pPr>
      <w:r>
        <w:rPr>
          <w:b/>
        </w:rPr>
        <w:t xml:space="preserve">Notes: </w:t>
      </w:r>
      <w:r>
        <w:t>abstract_source=pubmed</w:t>
      </w:r>
    </w:p>
    <w:p>
      <w:pPr>
        <w:spacing w:before="0" w:after="80" w:lineRule="auto" w:line="276"/>
      </w:pPr>
      <w:r>
        <w:rPr>
          <w:b/>
        </w:rPr>
        <w:t xml:space="preserve">摘要（ZH）: </w:t>
      </w:r>
      <w:r>
        <w:t>在细胞外囊泡（EV）基药物表面定制配体的方法在实现有效的EV基治疗递送中起到了关键作用。然而，对膜的不加区分的修改可能会由于不可控的结合亲和力和EV膜功能的破坏而降低疗效，这通常是由无序的配体覆盖引起的。在这项研究中，我们提出了一种亲和力可调且无受体干扰的细胞外囊泡模拟物（EVM）功能化方法。我们采用一种基于软线框DNA折纸的“蜘蛛网”来实现EVM表面靶向配体的定制空间分布，从而精确控制细胞亲和力和随后的EVM摄取。此外，通过利用DNA的空心结构</w:t>
      </w:r>
    </w:p>
    <w:p>
      <w:pPr>
        <w:spacing w:before="0" w:after="200" w:lineRule="auto" w:line="276"/>
      </w:pPr>
      <w:r>
        <w:rPr>
          <w:b/>
        </w:rPr>
        <w:t xml:space="preserve">Abstract (EN): </w:t>
      </w:r>
      <w:r>
        <w:t>The approach of tailoring ligands on the surface of extracellular vesicle (EV)-based drugs has been pivotal in achieving an effective EV-based therapeutic delivery. However, indiscriminate modifications to the membranes can diminish efficacy due to uncontrollable binding affinities and disruptions in the EV membrane functionality, often caused by disordered ligand coverage. In this study, we present an approach for affinity-tunable and receptor-interference-free extracellular vesicle mimetic (EVM) functionalization. We employ a soft wireframe DNA origami-based "cobweb" to achieve a customized spatial distribution of targeting ligands on the EVM surface, allowing for precise control over the cellular affinity and subsequent EVM uptake. Moreover, by utilizing the hollow structure of the DNA origami cobweb, we are able to program EVM without compromising the native functions of their membrane proteins such as CD47-mediated immune evasion. We believe that our strategy will provide a versatile platform for the targeted delivery of EVM-based drugs with high efficiency.</w:t>
      </w:r>
    </w:p>
    <w:p>
      <w:pPr>
        <w:spacing w:before="120" w:after="120"/>
      </w:pPr>
      <w:r>
        <w:rPr>
          <w:sz w:val="18"/>
        </w:rPr>
        <w:t>——————————————————————————————————————————————————————————————————————</w:t>
      </w:r>
    </w:p>
    <w:p>
      <w:pPr>
        <w:spacing w:before="160" w:after="40" w:line="240" w:lineRule="auto"/>
      </w:pPr>
      <w:r>
        <w:rPr>
          <w:b/>
        </w:rPr>
        <w:t xml:space="preserve">[230] </w:t>
      </w:r>
      <w:hyperlink r:id="rId594">
        <w:r>
          <w:rPr>
            <w:color w:val="1155CC"/>
            <w:u w:val="single"/>
          </w:rPr>
          <w:t>[ASAP] 再次反思术语“π-堆积”和“π–π 堆积”：澄清芳香相互作用语言的提议</w:t>
        </w:r>
      </w:hyperlink>
    </w:p>
    <w:p>
      <w:pPr>
        <w:spacing w:before="0" w:after="80"/>
      </w:pPr>
      <w:r>
        <w:rPr>
          <w:i/>
          <w:sz w:val="20"/>
        </w:rPr>
        <w:t>EN: [ASAP] Rethinking the Terms “π-Stacking” and “π–π Stacking” Again: A Proposal to Clarify the Language of Aromatic Interactions</w:t>
      </w:r>
    </w:p>
    <w:p>
      <w:pPr>
        <w:spacing w:before="0" w:after="120"/>
      </w:pPr>
      <w:r>
        <w:rPr>
          <w:b/>
        </w:rPr>
        <w:t xml:space="preserve">Source: </w:t>
      </w:r>
      <w:r>
        <w:t>Journal of the American Chemical Society: Latest Articles (ACS Publications)</w:t>
      </w:r>
      <w:r>
        <w:t xml:space="preserve">    </w:t>
      </w:r>
      <w:r>
        <w:rPr>
          <w:b/>
        </w:rPr>
        <w:t xml:space="preserve">Pub date: </w:t>
      </w:r>
      <w:r>
        <w:t>2026-04-07 18:35:45+00:00</w:t>
      </w:r>
      <w:r>
        <w:t xml:space="preserve">    </w:t>
      </w:r>
      <w:r>
        <w:rPr>
          <w:b/>
        </w:rPr>
        <w:t xml:space="preserve">DOI: </w:t>
      </w:r>
      <w:hyperlink r:id="rId595">
        <w:r>
          <w:rPr>
            <w:color w:val="1155CC"/>
            <w:u w:val="single"/>
          </w:rPr>
          <w:t>10.1021/jacs.6c03371</w:t>
        </w:r>
      </w:hyperlink>
    </w:p>
    <w:p>
      <w:pPr>
        <w:spacing w:before="0" w:after="120"/>
      </w:pPr>
      <w:r>
        <w:rPr>
          <w:b/>
        </w:rPr>
        <w:t xml:space="preserve">Notes: </w:t>
      </w:r>
      <w:r>
        <w:t>abstract_source=pubmed</w:t>
      </w:r>
    </w:p>
    <w:p>
      <w:pPr>
        <w:spacing w:before="0" w:after="80" w:lineRule="auto" w:line="276"/>
      </w:pPr>
      <w:r>
        <w:rPr>
          <w:b/>
        </w:rPr>
        <w:t xml:space="preserve">摘要（ZH）: </w:t>
      </w:r>
      <w:r>
        <w:t>术语“π堆积”和“π-π堆积”广泛用于描述芳香分子之间的吸引相互作用，但它们通常被解释为暗示一种独特的基于π轨道的吸引力和对完美面心堆积几何的偏好。在过去的三十年中，结构和理论研究表明，中性闭壳芳香系统更倾向于T形和平行位移几何，并且它们的相互作用能量完全可以用一般分子相互作用中支配的相同非共价力来解释。在典型的基态芳香复合物中，π轨道混合可以忽略不计，并且没有可证明的额外吸引力是π电子所独有的。因此，机制内容</w:t>
      </w:r>
    </w:p>
    <w:p>
      <w:pPr>
        <w:spacing w:before="0" w:after="200" w:lineRule="auto" w:line="276"/>
      </w:pPr>
      <w:r>
        <w:rPr>
          <w:b/>
        </w:rPr>
        <w:t xml:space="preserve">Abstract (EN): </w:t>
      </w:r>
      <w:r>
        <w:t>The terms "π-stacking" and "π-π stacking" are widely used to describe attractive interactions between aromatic molecules, yet they are often interpreted as implying a distinct, π-orbital-based attractive force and a preference for a perfectly face-centered stacking geometry. Over the last three decades, structural and theoretical studies have shown that neutral, closed-shell aromatic systems instead favor T-shaped and parallel-displaced geometries and that their interaction energies can be rationalized entirely in terms of the same noncovalent forces that govern molecular interactions in general. In typical ground-state aromatic complexes, there is negligible π-orbital mixing and no demonstrable additional attractive force that is unique to π electrons. Consequently, the mechanistic content of the terms "π-stacking" and "π-π stacking" is, in most cases, ill-defined and potentially misleading when interpreted as describing a special class of interactions. Here, we advocate replacing such usage with a description in terms of Electrostatic, Dispersion, Desolvation, Induction, and Exchange-repulsion contributions (EDDIE). We further discuss those specific situations─such as charge-transfer absorptions, excitonically coupled H- and J-aggregates, and true charge-transfer salts─in which π-orbital mixing is appreciable and terminology invoking "π-stacked" systems remains physically meaningful, though still not required to describe the underlying binding forces.</w:t>
      </w:r>
    </w:p>
    <w:p>
      <w:pPr>
        <w:spacing w:before="120" w:after="120"/>
      </w:pPr>
      <w:r>
        <w:rPr>
          <w:sz w:val="18"/>
        </w:rPr>
        <w:t>——————————————————————————————————————————————————————————————————————</w:t>
      </w:r>
    </w:p>
    <w:p>
      <w:pPr>
        <w:spacing w:before="160" w:after="40" w:line="240" w:lineRule="auto"/>
      </w:pPr>
      <w:r>
        <w:rPr>
          <w:b/>
        </w:rPr>
        <w:t xml:space="preserve">[231] </w:t>
      </w:r>
      <w:hyperlink r:id="rId596">
        <w:r>
          <w:rPr>
            <w:color w:val="1155CC"/>
            <w:u w:val="single"/>
          </w:rPr>
          <w:t>[ASAP] 太阳能到化学生物转化的原理、材料和设备</w:t>
        </w:r>
      </w:hyperlink>
    </w:p>
    <w:p>
      <w:pPr>
        <w:spacing w:before="0" w:after="80"/>
      </w:pPr>
      <w:r>
        <w:rPr>
          <w:i/>
          <w:sz w:val="20"/>
        </w:rPr>
        <w:t>EN: [ASAP] Principles, Materials, and Devices for Solar-to-Chemical Biotransformation</w:t>
      </w:r>
    </w:p>
    <w:p>
      <w:pPr>
        <w:spacing w:before="0" w:after="120"/>
      </w:pPr>
      <w:r>
        <w:rPr>
          <w:b/>
        </w:rPr>
        <w:t xml:space="preserve">Source: </w:t>
      </w:r>
      <w:r>
        <w:t>Chemical Reviews: Latest Articles (ACS Publications)</w:t>
      </w:r>
      <w:r>
        <w:t xml:space="preserve">    </w:t>
      </w:r>
      <w:r>
        <w:rPr>
          <w:b/>
        </w:rPr>
        <w:t xml:space="preserve">Pub date: </w:t>
      </w:r>
      <w:r>
        <w:t>2026-04-07 19:26:38+00:00</w:t>
      </w:r>
      <w:r>
        <w:t xml:space="preserve">    </w:t>
      </w:r>
      <w:r>
        <w:rPr>
          <w:b/>
        </w:rPr>
        <w:t xml:space="preserve">DOI: </w:t>
      </w:r>
      <w:hyperlink r:id="rId597">
        <w:r>
          <w:rPr>
            <w:color w:val="1155CC"/>
            <w:u w:val="single"/>
          </w:rPr>
          <w:t>10.1021/acs.chemrev.5c01010</w:t>
        </w:r>
      </w:hyperlink>
    </w:p>
    <w:p>
      <w:pPr>
        <w:spacing w:before="0" w:after="120"/>
      </w:pPr>
      <w:r>
        <w:rPr>
          <w:b/>
        </w:rPr>
        <w:t xml:space="preserve">Notes: </w:t>
      </w:r>
      <w:r>
        <w:t>abstract_source=pubmed</w:t>
      </w:r>
    </w:p>
    <w:p>
      <w:pPr>
        <w:spacing w:before="0" w:after="80" w:lineRule="auto" w:line="276"/>
      </w:pPr>
      <w:r>
        <w:rPr>
          <w:b/>
        </w:rPr>
        <w:t xml:space="preserve">摘要（ZH）: </w:t>
      </w:r>
      <w:r>
        <w:t>生物太阳能转换利用光(电)催化和氧化还原生物催化的互补优势，在阳光下合成燃料和高价值化合物。通过将可再生能源输入通过光(电)催化界面引导至生物催化剂，仿生生物太阳能系统实现了高选择性和低碳化学合成。这种整合超越了纯(无)机或生物催化的内在限制，推进了下一代可持续化学合成的前沿。在此，我们通过阐明其在光催化、光电催化和光伏-光电催化平台上的核心机制和热力学基础，介绍了一种全面的太阳能驱动生物催化装置的概念框架。我们进一步高</w:t>
      </w:r>
    </w:p>
    <w:p>
      <w:pPr>
        <w:spacing w:before="0" w:after="200" w:lineRule="auto" w:line="276"/>
      </w:pPr>
      <w:r>
        <w:rPr>
          <w:b/>
        </w:rPr>
        <w:t xml:space="preserve">Abstract (EN): </w:t>
      </w:r>
      <w:r>
        <w:t>Biosolar conversion harnesses the complementary advantages of photo(electro)catalysis and redox biocatalysis to synthesize fuels and high-value compounds under sunlight. By routing renewable energy inputs through photo(electro)catalytic interfaces to biocatalysts, nature-inspired biosolar systems achieve highly selective and low-carbon chemical synthesis. This integration transcends the intrinsic limits of purely (in)organic or biological catalysis, advancing the frontier of next-generation sustainable chemical synthesis. Here, we introduce a comprehensive conceptual framework for solar-driven biocatalytic devices by elucidating their core mechanisms and thermodynamic foundations across photocatalytic, photoelectrocatalytic, and photovoltaic-photoelectrocatalytic platforms. We further highlight breakthroughs in the design of photobiocatalytic materials and devices, contextualized within coenzyme/mediator recycling, direct electron transfer, and H2O2 generation. Finally, we outline future directions toward practical and sustainable biosolar catalysis.</w:t>
      </w:r>
    </w:p>
    <w:p>
      <w:pPr>
        <w:spacing w:before="120" w:after="120"/>
      </w:pPr>
      <w:r>
        <w:rPr>
          <w:sz w:val="18"/>
        </w:rPr>
        <w:t>——————————————————————————————————————————————————————————————————————</w:t>
      </w:r>
    </w:p>
    <w:p>
      <w:pPr>
        <w:spacing w:before="160" w:after="40" w:line="240" w:lineRule="auto"/>
      </w:pPr>
      <w:r>
        <w:rPr>
          <w:b/>
        </w:rPr>
        <w:t xml:space="preserve">[232] </w:t>
      </w:r>
      <w:hyperlink r:id="rId598">
        <w:r>
          <w:rPr>
            <w:color w:val="1155CC"/>
            <w:u w:val="single"/>
          </w:rPr>
          <w:t>基于瞬态干涉的光谱技术用于锂离子电池分子键敏感探测</w:t>
        </w:r>
      </w:hyperlink>
    </w:p>
    <w:p>
      <w:pPr>
        <w:spacing w:before="0" w:after="80"/>
      </w:pPr>
      <w:r>
        <w:rPr>
          <w:i/>
          <w:sz w:val="20"/>
        </w:rPr>
        <w:t>EN: Transient interference-based spectroscopy for molecular-bond sensitive probe of lithium ion batttery</w:t>
      </w:r>
    </w:p>
    <w:p>
      <w:pPr>
        <w:spacing w:before="0" w:after="120"/>
      </w:pPr>
      <w:r>
        <w:rPr>
          <w:b/>
        </w:rPr>
        <w:t xml:space="preserve">Source: </w:t>
      </w:r>
      <w:r>
        <w:t>RSC - Energy Environ. Sci. latest articles</w:t>
      </w:r>
      <w:r>
        <w:t xml:space="preserve">    </w:t>
      </w:r>
      <w:r>
        <w:rPr>
          <w:b/>
        </w:rPr>
        <w:t xml:space="preserve">Pub date: </w:t>
      </w:r>
      <w:r>
        <w:t>2026-04-07 23:00:00+00:00</w:t>
      </w:r>
    </w:p>
    <w:p>
      <w:pPr>
        <w:spacing w:before="0" w:after="120"/>
      </w:pPr>
      <w:r>
        <w:rPr>
          <w:b/>
        </w:rPr>
        <w:t xml:space="preserve">Notes: </w:t>
      </w:r>
      <w:r>
        <w:t>abstract_source=rsc_html</w:t>
      </w:r>
    </w:p>
    <w:p>
      <w:pPr>
        <w:spacing w:before="0" w:after="80" w:lineRule="auto" w:line="276"/>
      </w:pPr>
      <w:r>
        <w:rPr>
          <w:b/>
        </w:rPr>
        <w:t xml:space="preserve">摘要（ZH）: </w:t>
      </w:r>
      <w:r>
        <w:t>缺乏有效的方法来追踪原位锂离子分布和结构演变仍然是电池行业的瓶颈，而目前尚无技术能够在实际条件下进行恶性Li2O的动态检测。在此，开发了一种分子键敏感探针技术，利用瞬态干涉光谱(TIBS)。通过多飞秒激光丝的非线性干涉创建结构化等离子体通道，我们实现了激光脉冲的极端空间限制，使峰值强度超过10 14 W/cm 2 。该场直接通过隧道电离破坏分子键并触发库仑爆炸，将材料分解为组成元素和碎片，同时保留分子特征信息</w:t>
      </w:r>
    </w:p>
    <w:p>
      <w:pPr>
        <w:spacing w:before="0" w:after="200" w:lineRule="auto" w:line="276"/>
      </w:pPr>
      <w:r>
        <w:rPr>
          <w:b/>
        </w:rPr>
        <w:t xml:space="preserve">Abstract (EN): </w:t>
      </w:r>
      <w:r>
        <w:t>The lack of effective methods to track in-situ lithium-ion distribution and structural evolution remains a bottleneck in battery industry, while yet no techniques currently allow in-operando dynamic detection of vicious Li2O under realistic conditions. Here, a molecular-bond sensitive probe technique is developed leveraging transient interference-based spectroscopy (TIBS).By creating structured plasma channels through nonlinear interference of multiple femtosecond laser filaments, we achieve extreme spatial confinement of laser pulses, enabling peak intensities above 10 14 W/cm 2 . This field directly ruptures molecular bonds through tunneling ionization and triggers Coulomb explosion, disintegrating materials into constituent elements and fragments while preserving molecular signature information. The resulting element-specific emissions provide intrinsic probes of the original chemical states and local environments. When coupled with machine learning algorithms, this technique enables precise identification of lithium concentration changes as low as 0.3%, making it particularly valuable for in-operando monitoring of atomic scale structural changes and distinguishing Li2O side product from active materials.</w:t>
      </w:r>
    </w:p>
    <w:p>
      <w:pPr>
        <w:spacing w:before="120" w:after="120"/>
      </w:pPr>
      <w:r>
        <w:rPr>
          <w:sz w:val="18"/>
        </w:rPr>
        <w:t>——————————————————————————————————————————————————————————————————————</w:t>
      </w:r>
    </w:p>
    <w:p>
      <w:pPr>
        <w:spacing w:before="160" w:after="40" w:line="240" w:lineRule="auto"/>
      </w:pPr>
      <w:r>
        <w:rPr>
          <w:b/>
        </w:rPr>
        <w:t xml:space="preserve">[233] </w:t>
      </w:r>
      <w:hyperlink r:id="rId599">
        <w:r>
          <w:rPr>
            <w:color w:val="1155CC"/>
            <w:u w:val="single"/>
          </w:rPr>
          <w:t>通过湿化学法在 O-CFx 正极中定制 C-F 配置，用于 600 Wh kg-1 Li/O-CFx 袋式电池</w:t>
        </w:r>
      </w:hyperlink>
    </w:p>
    <w:p>
      <w:pPr>
        <w:spacing w:before="0" w:after="80"/>
      </w:pPr>
      <w:r>
        <w:rPr>
          <w:i/>
          <w:sz w:val="20"/>
        </w:rPr>
        <w:t>EN: Tailoring C-F Configurations in O-CFx Cathodes via Wet Chemistry for 600 Wh kg-1 Li/O-CFx Pouch Cells</w:t>
      </w:r>
    </w:p>
    <w:p>
      <w:pPr>
        <w:spacing w:before="0" w:after="120"/>
      </w:pPr>
      <w:r>
        <w:rPr>
          <w:b/>
        </w:rPr>
        <w:t xml:space="preserve">Source: </w:t>
      </w:r>
      <w:r>
        <w:t>RSC - Energy Environ. Sci. latest articles</w:t>
      </w:r>
      <w:r>
        <w:t xml:space="preserve">    </w:t>
      </w:r>
      <w:r>
        <w:rPr>
          <w:b/>
        </w:rPr>
        <w:t xml:space="preserve">Pub date: </w:t>
      </w:r>
      <w:r>
        <w:t>2026-04-07 23:00:00+00:00</w:t>
      </w:r>
    </w:p>
    <w:p>
      <w:pPr>
        <w:spacing w:before="0" w:after="120"/>
      </w:pPr>
      <w:r>
        <w:rPr>
          <w:b/>
        </w:rPr>
        <w:t xml:space="preserve">Notes: </w:t>
      </w:r>
      <w:r>
        <w:t>abstract_source=rsc_html</w:t>
      </w:r>
    </w:p>
    <w:p>
      <w:pPr>
        <w:spacing w:before="0" w:after="80" w:lineRule="auto" w:line="276"/>
      </w:pPr>
      <w:r>
        <w:rPr>
          <w:b/>
        </w:rPr>
        <w:t xml:space="preserve">摘要（ZH）: </w:t>
      </w:r>
      <w:r>
        <w:t>Li/CFx一次电池，具有超高理论能量密度（2180 Wh kg-1），已广泛应用于关键的军事和商业应用，例如深空和深海探索。然而，其特定的C-F构型与速率性能之间的潜在关系尚未完全理解。在此，报道了一种可扩展的氧化CFx（O-CFx）合成策略。值得注意的是，通过对原始CFx进行去氟化然后重新氟化，可以协同实现氧化时间调节的C-F构型，包括F/C比、C-F键类型和碳框架结构。因此，来自相邻杂原子和功能团的电子占据了C-F键的反键轨道（\sigma_{C-F}^\ast），从而增加</w:t>
      </w:r>
    </w:p>
    <w:p>
      <w:pPr>
        <w:spacing w:before="0" w:after="200" w:lineRule="auto" w:line="276"/>
      </w:pPr>
      <w:r>
        <w:rPr>
          <w:b/>
        </w:rPr>
        <w:t xml:space="preserve">Abstract (EN): </w:t>
      </w:r>
      <w:r>
        <w:t>Li/CFx primary batteries, featuring an ultra-high theoretical energy density (2180 Wh kg-1), have been widely employed in critical military and commercial applications, e.g., deep-space and deep-sea exploration. However, the underlying relationship between their specific C-F configurations and rate performance has not been fully understood. Herein, a scalable synthesis strategy for oxidized CFx (O-CFx) is reported. Notably, an oxidation-time regulated C-F configurations, including F/C ratio, type of C-F bonds and structure of carbon frameworks, can be synergistically achieved via defluorination followed by re-fluorination of pristine CFx. Consequently, electrons from adjacent heteroatoms and functional groups occupy the antibonding orbitals of C-F bonds (\sigma_{C-F}^\ast), thereby increasing the proportion of electrochemical active semi-ionic C-F bonds by nearly twofold in O-CFx. Benefiting from the optimized C-F configurations, Li/O-CFx batteries deliver a power density of 8.44×104 W kg-1 at 50 C and operate robustly across an all-climate temperature range (-40 °C to 60 °C). 20 Ah-level Li/O-CFx pouch cells achieve impressive energy densities of 614.75 Wh kg-1 and 693.92 Wh L-1 at 0.5 C. This work proposes a novel design strategy for all-climate Li/CFx batteries featuring dual-high power and energy densities.</w:t>
      </w:r>
    </w:p>
    <w:p>
      <w:pPr>
        <w:spacing w:before="120" w:after="120"/>
      </w:pPr>
      <w:r>
        <w:rPr>
          <w:sz w:val="18"/>
        </w:rPr>
        <w:t>——————————————————————————————————————————————————————————————————————</w:t>
      </w:r>
    </w:p>
    <w:p>
      <w:pPr>
        <w:spacing w:before="160" w:after="40" w:line="240" w:lineRule="auto"/>
      </w:pPr>
      <w:r>
        <w:rPr>
          <w:b/>
        </w:rPr>
        <w:t xml:space="preserve">[234] </w:t>
      </w:r>
      <w:hyperlink r:id="rId600">
        <w:r>
          <w:rPr>
            <w:color w:val="1155CC"/>
            <w:u w:val="single"/>
          </w:rPr>
          <w:t>作者更正：致癌基因消融耐受的胰腺癌细胞依赖于线粒体功能</w:t>
        </w:r>
      </w:hyperlink>
    </w:p>
    <w:p>
      <w:pPr>
        <w:spacing w:before="0" w:after="80"/>
      </w:pPr>
      <w:r>
        <w:rPr>
          <w:i/>
          <w:sz w:val="20"/>
        </w:rPr>
        <w:t>EN: Author Correction: Oncogene ablation-resistant pancreatic cancer cells depend on mitochondrial function</w:t>
      </w:r>
    </w:p>
    <w:p>
      <w:pPr>
        <w:spacing w:before="0" w:after="120"/>
      </w:pPr>
      <w:r>
        <w:rPr>
          <w:b/>
        </w:rPr>
        <w:t xml:space="preserve">Source: </w:t>
      </w:r>
      <w:r>
        <w:t>Nature</w:t>
      </w:r>
      <w:r>
        <w:t xml:space="preserve">    </w:t>
      </w:r>
      <w:r>
        <w:rPr>
          <w:b/>
        </w:rPr>
        <w:t xml:space="preserve">Pub date: </w:t>
      </w:r>
      <w:r>
        <w:t>2026-04-08 00:00:00+00:00</w:t>
      </w:r>
      <w:r>
        <w:t xml:space="preserve">    </w:t>
      </w:r>
      <w:r>
        <w:rPr>
          <w:b/>
        </w:rPr>
        <w:t xml:space="preserve">DOI: </w:t>
      </w:r>
      <w:hyperlink r:id="rId601">
        <w:r>
          <w:rPr>
            <w:color w:val="1155CC"/>
            <w:u w:val="single"/>
          </w:rPr>
          <w:t>10.1038/s41586-026-10488-6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[235] </w:t>
      </w:r>
      <w:hyperlink r:id="rId602">
        <w:r>
          <w:rPr>
            <w:color w:val="1155CC"/>
            <w:u w:val="single"/>
          </w:rPr>
          <w:t>竞争和促进对全球树木多样性的重要性</w:t>
        </w:r>
      </w:hyperlink>
    </w:p>
    <w:p>
      <w:pPr>
        <w:spacing w:before="0" w:after="80"/>
      </w:pPr>
      <w:r>
        <w:rPr>
          <w:i/>
          <w:sz w:val="20"/>
        </w:rPr>
        <w:t>EN: The importance of competition and facilitation for global tree diversity</w:t>
      </w:r>
    </w:p>
    <w:p>
      <w:pPr>
        <w:spacing w:before="0" w:after="120"/>
      </w:pPr>
      <w:r>
        <w:rPr>
          <w:b/>
        </w:rPr>
        <w:t xml:space="preserve">Source: </w:t>
      </w:r>
      <w:r>
        <w:t>Nature</w:t>
      </w:r>
      <w:r>
        <w:t xml:space="preserve">    </w:t>
      </w:r>
      <w:r>
        <w:rPr>
          <w:b/>
        </w:rPr>
        <w:t xml:space="preserve">Pub date: </w:t>
      </w:r>
      <w:r>
        <w:t>2026-04-08 00:00:00+00:00</w:t>
      </w:r>
      <w:r>
        <w:t xml:space="preserve">    </w:t>
      </w:r>
      <w:r>
        <w:rPr>
          <w:b/>
        </w:rPr>
        <w:t xml:space="preserve">DOI: </w:t>
      </w:r>
      <w:hyperlink r:id="rId603">
        <w:r>
          <w:rPr>
            <w:color w:val="1155CC"/>
            <w:u w:val="single"/>
          </w:rPr>
          <w:t>10.1038/s41586-026-10349-2</w:t>
        </w:r>
      </w:hyperlink>
    </w:p>
    <w:p>
      <w:pPr>
        <w:spacing w:before="0" w:after="120"/>
      </w:pPr>
      <w:r>
        <w:rPr>
          <w:b/>
        </w:rPr>
        <w:t xml:space="preserve">Notes: </w:t>
      </w:r>
      <w:r>
        <w:t>abstract_source=nature_html</w:t>
      </w:r>
    </w:p>
    <w:p>
      <w:pPr>
        <w:spacing w:before="0" w:after="80" w:lineRule="auto" w:line="276"/>
      </w:pPr>
      <w:r>
        <w:rPr>
          <w:b/>
        </w:rPr>
        <w:t xml:space="preserve">摘要（ZH）: </w:t>
      </w:r>
      <w:r>
        <w:t>虽然竞争和促进都影响树木多样性1,2,3,4,5，但它们的相对重要性及其随纬度的变化仍然知之甚少。利用来自17个大型森林地块的数据，包括约270万棵树和超过5400种物种，跨越5° S到47° N，我们量化了邻近树种之间负面（竞争）和正面（促进）相互作用相对重要性的纬度趋势，考虑了三种生物因素和八种环境因素。我们检查了每个焦点物种个体周围的平均邻域物种多样性是否大于或小于在空模型下的预期。结果显示，负面的种间相互作用在大多数地块中占主导地位。在赤道附近，物种的相对比例</w:t>
      </w:r>
    </w:p>
    <w:p>
      <w:pPr>
        <w:spacing w:before="0" w:after="200" w:lineRule="auto" w:line="276"/>
      </w:pPr>
      <w:r>
        <w:rPr>
          <w:b/>
        </w:rPr>
        <w:t xml:space="preserve">Abstract (EN): </w:t>
      </w:r>
      <w:r>
        <w:t>Although competition and facilitation both influence tree diversity1,2,3,4,5, their relative importance and variation with latitude remain poorly understood. Using data from 17 large forest plots, including around 2.7 million trees and over 5,400 species spanning 5° S to 47° N, we quantified the latitudinal trends of the relative importance of negative (competitive) and positive (facilitative) interactions among neighbouring tree species, accounting for three biotic and eight environmental factors. We examined whether the average neighbourhood species diversity around individuals of each focal species was larger or smaller than expected under null models. The results show that negative interspecific interactions prevailed across most plots. Near the equator, the relative proportions of species surrounded by a lower or higher than expected number of neighbours were roughly equal, but at higher latitudes, the proportions of species with a relatively higher number of neighbours declined, and those with fewer neighbours increased significantly. This latitudinal pattern can be attributed in part to reduced abundance of legumes, non-arbuscular mycorrhizal associations, and the weaker canopy nursing effect towards higher latitudes, but it was mediated by mean annual temperature. These findings reveal a previously unrecognized relative decline in facilitative interactions and increase in competitive interactions with latitude and suggest that rising temperatures could enhance facilitative effects and promote tree community diversity at higher latitudes.</w:t>
      </w:r>
    </w:p>
    <w:p>
      <w:pPr>
        <w:spacing w:before="120" w:after="120"/>
      </w:pPr>
      <w:r>
        <w:rPr>
          <w:sz w:val="18"/>
        </w:rPr>
        <w:t>——————————————————————————————————————————————————————————————————————</w:t>
      </w:r>
    </w:p>
    <w:p>
      <w:pPr>
        <w:spacing w:before="160" w:after="40" w:line="240" w:lineRule="auto"/>
      </w:pPr>
      <w:r>
        <w:rPr>
          <w:b/>
        </w:rPr>
        <w:t xml:space="preserve">[236] </w:t>
      </w:r>
      <w:hyperlink r:id="rId604">
        <w:r>
          <w:rPr>
            <w:color w:val="1155CC"/>
            <w:u w:val="single"/>
          </w:rPr>
          <w:t>人脑微型模型揭示了这一复杂器官如何成形</w:t>
        </w:r>
      </w:hyperlink>
    </w:p>
    <w:p>
      <w:pPr>
        <w:spacing w:before="0" w:after="80"/>
      </w:pPr>
      <w:r>
        <w:rPr>
          <w:i/>
          <w:sz w:val="20"/>
        </w:rPr>
        <w:t>EN: Mini models of the human brain are revealing how this complex organ takes shape</w:t>
      </w:r>
    </w:p>
    <w:p>
      <w:pPr>
        <w:spacing w:before="0" w:after="120"/>
      </w:pPr>
      <w:r>
        <w:rPr>
          <w:b/>
        </w:rPr>
        <w:t xml:space="preserve">Source: </w:t>
      </w:r>
      <w:r>
        <w:t>Nature</w:t>
      </w:r>
      <w:r>
        <w:t xml:space="preserve">    </w:t>
      </w:r>
      <w:r>
        <w:rPr>
          <w:b/>
        </w:rPr>
        <w:t xml:space="preserve">Pub date: </w:t>
      </w:r>
      <w:r>
        <w:t>2026-04-08 00:00:00+00:00</w:t>
      </w:r>
      <w:r>
        <w:t xml:space="preserve">    </w:t>
      </w:r>
      <w:r>
        <w:rPr>
          <w:b/>
        </w:rPr>
        <w:t xml:space="preserve">DOI: </w:t>
      </w:r>
      <w:hyperlink r:id="rId605">
        <w:r>
          <w:rPr>
            <w:color w:val="1155CC"/>
            <w:u w:val="single"/>
          </w:rPr>
          <w:t>10.1038/d41586-026-01025-6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[237] </w:t>
      </w:r>
      <w:hyperlink r:id="rId606">
        <w:r>
          <w:rPr>
            <w:color w:val="1155CC"/>
            <w:u w:val="single"/>
          </w:rPr>
          <w:t>中国发起的人工智能安全与治理行动</w:t>
        </w:r>
      </w:hyperlink>
    </w:p>
    <w:p>
      <w:pPr>
        <w:spacing w:before="0" w:after="80"/>
      </w:pPr>
      <w:r>
        <w:rPr>
          <w:i/>
          <w:sz w:val="20"/>
        </w:rPr>
        <w:t>EN: Towards China-initiated actions on AI safety and governance</w:t>
      </w:r>
    </w:p>
    <w:p>
      <w:pPr>
        <w:spacing w:before="0" w:after="120"/>
      </w:pPr>
      <w:r>
        <w:rPr>
          <w:b/>
        </w:rPr>
        <w:t xml:space="preserve">Source: </w:t>
      </w:r>
      <w:r>
        <w:t>National Science Review Advance Access</w:t>
      </w:r>
      <w:r>
        <w:t xml:space="preserve">    </w:t>
      </w:r>
      <w:r>
        <w:rPr>
          <w:b/>
        </w:rPr>
        <w:t xml:space="preserve">Pub date: </w:t>
      </w:r>
      <w:r>
        <w:t>2026-04-08 00:00:00+00:00</w:t>
      </w:r>
      <w:r>
        <w:t xml:space="preserve">    </w:t>
      </w:r>
      <w:r>
        <w:rPr>
          <w:b/>
        </w:rPr>
        <w:t xml:space="preserve">DOI: </w:t>
      </w:r>
      <w:hyperlink r:id="rId607">
        <w:r>
          <w:rPr>
            <w:color w:val="1155CC"/>
            <w:u w:val="single"/>
          </w:rPr>
          <w:t>10.1093/nsr/nwag204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[238] </w:t>
      </w:r>
      <w:hyperlink r:id="rId608">
        <w:r>
          <w:rPr>
            <w:color w:val="1155CC"/>
            <w:u w:val="single"/>
          </w:rPr>
          <w:t>人口规模的重复扩展阐明了疾病风险和大脑萎缩</w:t>
        </w:r>
      </w:hyperlink>
    </w:p>
    <w:p>
      <w:pPr>
        <w:spacing w:before="0" w:after="80"/>
      </w:pPr>
      <w:r>
        <w:rPr>
          <w:i/>
          <w:sz w:val="20"/>
        </w:rPr>
        <w:t>EN: Population-scale repeat expansions elucidate disease risk and brain atrophy</w:t>
      </w:r>
    </w:p>
    <w:p>
      <w:pPr>
        <w:spacing w:before="0" w:after="120"/>
      </w:pPr>
      <w:r>
        <w:rPr>
          <w:b/>
        </w:rPr>
        <w:t xml:space="preserve">Source: </w:t>
      </w:r>
      <w:r>
        <w:t>Nature</w:t>
      </w:r>
      <w:r>
        <w:t xml:space="preserve">    </w:t>
      </w:r>
      <w:r>
        <w:rPr>
          <w:b/>
        </w:rPr>
        <w:t xml:space="preserve">Pub date: </w:t>
      </w:r>
      <w:r>
        <w:t>2026-04-08 00:00:00+00:00</w:t>
      </w:r>
      <w:r>
        <w:t xml:space="preserve">    </w:t>
      </w:r>
      <w:r>
        <w:rPr>
          <w:b/>
        </w:rPr>
        <w:t xml:space="preserve">DOI: </w:t>
      </w:r>
      <w:hyperlink r:id="rId609">
        <w:r>
          <w:rPr>
            <w:color w:val="1155CC"/>
            <w:u w:val="single"/>
          </w:rPr>
          <w:t>10.1038/s41586-026-10345-6</w:t>
        </w:r>
      </w:hyperlink>
    </w:p>
    <w:p>
      <w:pPr>
        <w:spacing w:before="0" w:after="120"/>
      </w:pPr>
      <w:r>
        <w:rPr>
          <w:b/>
        </w:rPr>
        <w:t xml:space="preserve">Notes: </w:t>
      </w:r>
      <w:r>
        <w:t>abstract_source=nature_html</w:t>
      </w:r>
    </w:p>
    <w:p>
      <w:pPr>
        <w:spacing w:before="0" w:after="80" w:lineRule="auto" w:line="276"/>
      </w:pPr>
      <w:r>
        <w:rPr>
          <w:b/>
        </w:rPr>
        <w:t xml:space="preserve">摘要（ZH）: </w:t>
      </w:r>
      <w:r>
        <w:t>短串联重复序列（STRs）的致病性扩展导致超过70种神经系统疾病1,2,3。在此，我们通过分析37个与疾病相关的STR位点的重复长度，对1,020,833个样本进行短读测序全外显子组和全基因组数据的群体规模调查。与先前的发现一致，我们发现大多数位点的致病性重复频率高于相应疾病的流行率4,5。重复长度与7,671个二元性状的关联捕捉到了已知的位点-性状关联，包括HTT和亨廷顿病、DMPK和肌强直性疾病以及C9orf72和运动神经元疾病等。最后，我们发现，即使在疾病诊断之前，几个位点的重复扩展</w:t>
      </w:r>
    </w:p>
    <w:p>
      <w:pPr>
        <w:spacing w:before="0" w:after="200" w:lineRule="auto" w:line="276"/>
      </w:pPr>
      <w:r>
        <w:rPr>
          <w:b/>
        </w:rPr>
        <w:t xml:space="preserve">Abstract (EN): </w:t>
      </w:r>
      <w:r>
        <w:t>Pathogenic expansions of short tandem repeats (STRs) cause over 70 neurological diseases1,2,3. Here we performed a population-scale survey of pathogenic repeat expansions by analysing repeat length in 37 disease-associated STR loci in a diverse set of 1,020,833 samples using short-read sequencing whole-exome and whole-genome data. Consistent with previous findings, we found that the frequency of pathogenic repeats is higher than the prevalence of corresponding diseases for most loci4,5. Associations of repeat length with 7,671 binary traits captured known locus–trait associations, including HTT and Huntington’s disease, DMPK and myotonic disorders and C9orf72 and motor neuron disease, among others. Finally, we found that, even before disease diagnosis, repeat expansions in several loci strongly associate with increased levels of neurofilament light chain (NfL) and a loss of brain volume in specific disease-associated regions. For example, carriers of HTT expansions exhibited a 22.1% loss of putamen volume, and carriers of CACNA1A expansions showed a 24.6% loss of cerebellar volume. These observations suggest that both decreased brain volumes and increased NfL levels occur earlier than disease diagnosis. This study demonstrates the use of characterizing repeat expansions from short-read sequencing data in diverse population-scale cohorts and its application to epidemiology and clinical biomarker development.</w:t>
      </w:r>
    </w:p>
    <w:p>
      <w:pPr>
        <w:spacing w:before="120" w:after="120"/>
      </w:pPr>
      <w:r>
        <w:rPr>
          <w:sz w:val="18"/>
        </w:rPr>
        <w:t>——————————————————————————————————————————————————————————————————————</w:t>
      </w:r>
    </w:p>
    <w:p>
      <w:pPr>
        <w:spacing w:before="160" w:after="40" w:line="240" w:lineRule="auto"/>
      </w:pPr>
      <w:r>
        <w:rPr>
          <w:b/>
        </w:rPr>
        <w:t xml:space="preserve">[239] </w:t>
      </w:r>
      <w:hyperlink r:id="rId610">
        <w:r>
          <w:rPr>
            <w:color w:val="1155CC"/>
            <w:u w:val="single"/>
          </w:rPr>
          <w:t>微米级硅的日历老化</w:t>
        </w:r>
      </w:hyperlink>
    </w:p>
    <w:p>
      <w:pPr>
        <w:spacing w:before="0" w:after="80"/>
      </w:pPr>
      <w:r>
        <w:rPr>
          <w:i/>
          <w:sz w:val="20"/>
        </w:rPr>
        <w:t>EN: Calendar ageing of micro-sized silicon</w:t>
      </w:r>
    </w:p>
    <w:p>
      <w:pPr>
        <w:spacing w:before="0" w:after="120"/>
      </w:pPr>
      <w:r>
        <w:rPr>
          <w:b/>
        </w:rPr>
        <w:t xml:space="preserve">Source: </w:t>
      </w:r>
      <w:r>
        <w:t>Nature Energy</w:t>
      </w:r>
      <w:r>
        <w:t xml:space="preserve">    </w:t>
      </w:r>
      <w:r>
        <w:rPr>
          <w:b/>
        </w:rPr>
        <w:t xml:space="preserve">Pub date: </w:t>
      </w:r>
      <w:r>
        <w:t>2026-04-08 00:00:00+00:00</w:t>
      </w:r>
      <w:r>
        <w:t xml:space="preserve">    </w:t>
      </w:r>
      <w:r>
        <w:rPr>
          <w:b/>
        </w:rPr>
        <w:t xml:space="preserve">DOI: </w:t>
      </w:r>
      <w:hyperlink r:id="rId611">
        <w:r>
          <w:rPr>
            <w:color w:val="1155CC"/>
            <w:u w:val="single"/>
          </w:rPr>
          <w:t>10.1038/s41560-026-02028-3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[240] </w:t>
      </w:r>
      <w:hyperlink r:id="rId612">
        <w:r>
          <w:rPr>
            <w:color w:val="1155CC"/>
            <w:u w:val="single"/>
          </w:rPr>
          <w:t>从纳米簇直接合成无定形金属有机框架</w:t>
        </w:r>
      </w:hyperlink>
    </w:p>
    <w:p>
      <w:pPr>
        <w:spacing w:before="0" w:after="80"/>
      </w:pPr>
      <w:r>
        <w:rPr>
          <w:i/>
          <w:sz w:val="20"/>
        </w:rPr>
        <w:t>EN: Direct synthesis of amorphous metal–organic frameworks from nanoclusters</w:t>
      </w:r>
    </w:p>
    <w:p>
      <w:pPr>
        <w:spacing w:before="0" w:after="120"/>
      </w:pPr>
      <w:r>
        <w:rPr>
          <w:b/>
        </w:rPr>
        <w:t xml:space="preserve">Source: </w:t>
      </w:r>
      <w:r>
        <w:t>Nature Communications</w:t>
      </w:r>
      <w:r>
        <w:t xml:space="preserve">    </w:t>
      </w:r>
      <w:r>
        <w:rPr>
          <w:b/>
        </w:rPr>
        <w:t xml:space="preserve">Pub date: </w:t>
      </w:r>
      <w:r>
        <w:t>2026-04-08 00:00:00+00:00</w:t>
      </w:r>
      <w:r>
        <w:t xml:space="preserve">    </w:t>
      </w:r>
      <w:r>
        <w:rPr>
          <w:b/>
        </w:rPr>
        <w:t xml:space="preserve">DOI: </w:t>
      </w:r>
      <w:hyperlink r:id="rId613">
        <w:r>
          <w:rPr>
            <w:color w:val="1155CC"/>
            <w:u w:val="single"/>
          </w:rPr>
          <w:t>10.1038/s41467-026-71378-z</w:t>
        </w:r>
      </w:hyperlink>
    </w:p>
    <w:p>
      <w:pPr>
        <w:spacing w:before="0" w:after="120"/>
      </w:pPr>
      <w:r>
        <w:rPr>
          <w:b/>
        </w:rPr>
        <w:t xml:space="preserve">Notes: </w:t>
      </w:r>
      <w:r>
        <w:t>abstract_source=nature_html</w:t>
      </w:r>
    </w:p>
    <w:p>
      <w:pPr>
        <w:spacing w:before="0" w:after="80" w:lineRule="auto" w:line="276"/>
      </w:pPr>
      <w:r>
        <w:rPr>
          <w:b/>
        </w:rPr>
        <w:t xml:space="preserve">摘要（ZH）: </w:t>
      </w:r>
      <w:r>
        <w:t>非晶态金属有机框架（aMOFs）的直接合成是一种吸引人的方法，但由于对非晶网络形成的不可预测性的担忧，通常被避免。在此，我们开发了一种使用预形成的纳米簇和刚性有机连接体的aMOF合成策略，提供了对无序和缺陷化学的增强控制，同时绕过了传统的结晶-非晶化方法。通过系统地将这种方法与其他直接合成途径进行比较，并使用X射线对分布函数、热重分析和统计分析，我们建立了控制aMOF形成的关键设计原则。我们证明了动力学控制——在室温下的碱性条件下快速反应——抑制了结晶并推动了非晶网络的形成。</w:t>
      </w:r>
    </w:p>
    <w:p>
      <w:pPr>
        <w:spacing w:before="0" w:after="200" w:lineRule="auto" w:line="276"/>
      </w:pPr>
      <w:r>
        <w:rPr>
          <w:b/>
        </w:rPr>
        <w:t xml:space="preserve">Abstract (EN): </w:t>
      </w:r>
      <w:r>
        <w:t>The direct synthesis of amorphous metal–organic frameworks (aMOFs) is an appealing yet often avoided approach due to the perceived unpredictability of amorphous network formation. Here, we develop a strategy for aMOF synthesis using pre-formed nanoclusters and rigid organic linkers, providing enhanced control over disorder and defect chemistry while bypassing the traditional crystallise–amorphise approach. By systematically comparing this approach to other direct synthesis routes and using X-ray pair distribution function, thermogravimetric, and statistical analyses, we establish key design principles governing aMOF formation. We demonstrate that kinetic control—fast reactions under basic conditions at room temperature—suppresses crystallisation and drives amorphous network formation. The nanocluster approach consistently yields highly disordered frameworks with the shortest coherence lengths among direct synthesis methods. Additionally, we show that tuning metal composition through doping with kinetically inert cations restricts coordination reversibility, significantly increasing defect density and structural disorder. Structural analysis reveals that while aMOFs share motifs with crystalline polymorphs, they cannot be directly mapped onto known structures, highlighting the importance of more nuanced characterisation approaches. By developing a systematic approach to aMOF design, this work provides a foundation for tailoring structural disorder, expanding their potential for catalysis, adsorption, and transport applications.</w:t>
      </w:r>
    </w:p>
    <w:p>
      <w:pPr>
        <w:spacing w:before="120" w:after="120"/>
      </w:pPr>
      <w:r>
        <w:rPr>
          <w:sz w:val="18"/>
        </w:rPr>
        <w:t>——————————————————————————————————————————————————————————————————————</w:t>
      </w:r>
    </w:p>
    <w:p>
      <w:pPr>
        <w:spacing w:before="160" w:after="40" w:line="240" w:lineRule="auto"/>
      </w:pPr>
      <w:r>
        <w:rPr>
          <w:b/>
        </w:rPr>
        <w:t xml:space="preserve">[241] </w:t>
      </w:r>
      <w:hyperlink r:id="rId614">
        <w:r>
          <w:rPr>
            <w:color w:val="1155CC"/>
            <w:u w:val="single"/>
          </w:rPr>
          <w:t>通过基因驱动靶向显性雌性不育抗性等位基因的实验和建模展示更强的种群抑制</w:t>
        </w:r>
      </w:hyperlink>
    </w:p>
    <w:p>
      <w:pPr>
        <w:spacing w:before="0" w:after="80"/>
      </w:pPr>
      <w:r>
        <w:rPr>
          <w:i/>
          <w:sz w:val="20"/>
        </w:rPr>
        <w:t>EN: Experimental and modeling demonstration of stronger population suppression by gene drive targeting doublesex from dominant female-sterile resistance alleles</w:t>
      </w:r>
    </w:p>
    <w:p>
      <w:pPr>
        <w:spacing w:before="0" w:after="120"/>
      </w:pPr>
      <w:r>
        <w:rPr>
          <w:b/>
        </w:rPr>
        <w:t xml:space="preserve">Source: </w:t>
      </w:r>
      <w:r>
        <w:t>Nature Communications</w:t>
      </w:r>
      <w:r>
        <w:t xml:space="preserve">    </w:t>
      </w:r>
      <w:r>
        <w:rPr>
          <w:b/>
        </w:rPr>
        <w:t xml:space="preserve">Pub date: </w:t>
      </w:r>
      <w:r>
        <w:t>2026-04-08 00:00:00+00:00</w:t>
      </w:r>
      <w:r>
        <w:t xml:space="preserve">    </w:t>
      </w:r>
      <w:r>
        <w:rPr>
          <w:b/>
        </w:rPr>
        <w:t xml:space="preserve">DOI: </w:t>
      </w:r>
      <w:hyperlink r:id="rId615">
        <w:r>
          <w:rPr>
            <w:color w:val="1155CC"/>
            <w:u w:val="single"/>
          </w:rPr>
          <w:t>10.1038/s41467-026-71397-w</w:t>
        </w:r>
      </w:hyperlink>
    </w:p>
    <w:p>
      <w:pPr>
        <w:spacing w:before="0" w:after="120"/>
      </w:pPr>
      <w:r>
        <w:rPr>
          <w:b/>
        </w:rPr>
        <w:t xml:space="preserve">Notes: </w:t>
      </w:r>
      <w:r>
        <w:t>abstract_source=nature_html</w:t>
      </w:r>
    </w:p>
    <w:p>
      <w:pPr>
        <w:spacing w:before="0" w:after="80" w:lineRule="auto" w:line="276"/>
      </w:pPr>
      <w:r>
        <w:rPr>
          <w:b/>
        </w:rPr>
        <w:t xml:space="preserve">摘要（ZH）: </w:t>
      </w:r>
      <w:r>
        <w:t>CRISPR归巢驱动可以通过靶向雌性生育基因来抑制种群。它们在驱动杂合体的生殖系中将野生型等位基因转化为驱动等位基因，但抗性等位基因可能削弱抑制力，甚至在它们保留目标基因功能时停止抑制。我们使用多重gRNA靶向果蝇中的doublesex以避免功能性抗性，并创造出显性雌性不育的抗性等位基因。这是因为通过破坏雌性特异性剪接受体，雄性doublesex转录本在雌性中生成。我们通过提供替代剪接位点来拯救驱动的显性不育。因此，它是隐性雌性不育，并且在两性中具有高效的驱动转换。显性不育抗性等位基因</w:t>
      </w:r>
    </w:p>
    <w:p>
      <w:pPr>
        <w:spacing w:before="0" w:after="200" w:lineRule="auto" w:line="276"/>
      </w:pPr>
      <w:r>
        <w:rPr>
          <w:b/>
        </w:rPr>
        <w:t xml:space="preserve">Abstract (EN): </w:t>
      </w:r>
      <w:r>
        <w:t>CRISPR homing drives can be used to suppress a population by targeting female fertility genes. They convert wild-type alleles to drive alleles in the germline of drive heterozygotes, but resistance alleles can weaken suppressive power, or even stop suppression if they preserve the function of the target gene. We use multiplexed gRNAs targeting doublesex in Drosophila to avoid functional resistance and create resistance alleles that were dominant female-sterile. This occurs because male doublesex transcripts are generated in females by disruption of the female-specific splicing acceptor. We rescue dominant sterility of the drive by providing an alternate splicing site. It is thus recessive female sterile, and has efficient drive conversion in both sexes. Dominant-sterile resistance alleles enable stronger suppression in computational models, even in the face of modest drive efficiency and fitness costs. However, we find that male drive homozygotes were sterile. Attempts to rescue males with alternate expression are not successful, though some male homozygotes have less severe intersex phenotypes. While this negatively impacts the drive, models show that it still has significantly improved suppressive power compared to standard drives. Therefore, this design may have wide applicability to suppression gene drives in a variety of organisms with intermediate drive performance.</w:t>
      </w:r>
    </w:p>
    <w:p>
      <w:pPr>
        <w:spacing w:before="120" w:after="120"/>
      </w:pPr>
      <w:r>
        <w:rPr>
          <w:sz w:val="18"/>
        </w:rPr>
        <w:t>——————————————————————————————————————————————————————————————————————</w:t>
      </w:r>
    </w:p>
    <w:p>
      <w:pPr>
        <w:spacing w:before="160" w:after="40" w:line="240" w:lineRule="auto"/>
      </w:pPr>
      <w:r>
        <w:rPr>
          <w:b/>
        </w:rPr>
        <w:t xml:space="preserve">[242] </w:t>
      </w:r>
      <w:hyperlink r:id="rId616">
        <w:r>
          <w:rPr>
            <w:color w:val="1155CC"/>
            <w:u w:val="single"/>
          </w:rPr>
          <w:t>一种受植物受体启发的铜络合物用于可穿戴的微量乙烯气体传感</w:t>
        </w:r>
      </w:hyperlink>
    </w:p>
    <w:p>
      <w:pPr>
        <w:spacing w:before="0" w:after="80"/>
      </w:pPr>
      <w:r>
        <w:rPr>
          <w:i/>
          <w:sz w:val="20"/>
        </w:rPr>
        <w:t>EN: A plant-receptor-inspired cuprous complex for wearable trace-level ethylene gas sensing</w:t>
      </w:r>
    </w:p>
    <w:p>
      <w:pPr>
        <w:spacing w:before="0" w:after="120"/>
      </w:pPr>
      <w:r>
        <w:rPr>
          <w:b/>
        </w:rPr>
        <w:t xml:space="preserve">Source: </w:t>
      </w:r>
      <w:r>
        <w:t>Nature Communications</w:t>
      </w:r>
      <w:r>
        <w:t xml:space="preserve">    </w:t>
      </w:r>
      <w:r>
        <w:rPr>
          <w:b/>
        </w:rPr>
        <w:t xml:space="preserve">Pub date: </w:t>
      </w:r>
      <w:r>
        <w:t>2026-04-08 00:00:00+00:00</w:t>
      </w:r>
      <w:r>
        <w:t xml:space="preserve">    </w:t>
      </w:r>
      <w:r>
        <w:rPr>
          <w:b/>
        </w:rPr>
        <w:t xml:space="preserve">DOI: </w:t>
      </w:r>
      <w:hyperlink r:id="rId617">
        <w:r>
          <w:rPr>
            <w:color w:val="1155CC"/>
            <w:u w:val="single"/>
          </w:rPr>
          <w:t>10.1038/s41467-026-71748-7</w:t>
        </w:r>
      </w:hyperlink>
    </w:p>
    <w:p>
      <w:pPr>
        <w:spacing w:before="0" w:after="120"/>
      </w:pPr>
      <w:r>
        <w:rPr>
          <w:b/>
        </w:rPr>
        <w:t xml:space="preserve">Notes: </w:t>
      </w:r>
      <w:r>
        <w:t>abstract_source=nature_html</w:t>
      </w:r>
    </w:p>
    <w:p>
      <w:pPr>
        <w:spacing w:before="0" w:after="80" w:lineRule="auto" w:line="276"/>
      </w:pPr>
      <w:r>
        <w:rPr>
          <w:b/>
        </w:rPr>
        <w:t xml:space="preserve">摘要（ZH）: </w:t>
      </w:r>
      <w:r>
        <w:t>乙烯（C2H4）既是调节植物生长和发育的关键植物激素，又是有机化学合成中的重要原料。可靠的C2H4检测对于监测作物栽培期间的排放和确保工业运输的安全至关重要。然而，大多数现有的C2H4传感器依赖于贵金属催化剂和/或高操作温度，这极大地限制了其实际应用。此外，实现C2H4识别的高特异性仍然是一个主要挑战。受植物C2H4受体信号转导机制的启发，本研究提出了一种基于易于合成的亚铜-胱氨酸复合物（Cu2Cyt）的仿生传感策略，其特征是模仿生物</w:t>
      </w:r>
    </w:p>
    <w:p>
      <w:pPr>
        <w:spacing w:before="0" w:after="200" w:lineRule="auto" w:line="276"/>
      </w:pPr>
      <w:r>
        <w:rPr>
          <w:b/>
        </w:rPr>
        <w:t xml:space="preserve">Abstract (EN): </w:t>
      </w:r>
      <w:r>
        <w:t>Ethylene (C2H4) functions both as a key phytohormone regulating plant growth and development and as an essential feedstock in organic chemical synthesis. Reliable detection of C2H4 is critical for monitoring emissions during crop cultivation and ensuring safety in industrial transportation. However, most existing C2H4 sensors rely on noble-metal catalysts and/or high-operating temperature, which significantly constrain their practical applications. Moreover, achieving high specificity in C2H4 recognition remains a major challenge. Inspired by the signal transduction mechanism of plant C2H4 receptor, this study propose a biomimetic sensing strategy based on a facilely synthesized cuprous-cystine complex (Cu2Cyt), which features a sulfur-bridged Cu+ coordination center that mimics the biological binding site for C2H4 recognition. The noble-metal-free wearable sensor was fabricated by depositing a Cu2Cyt/MXene composite onto a flexible interdigital electrode, enabling room-temperature detection of C2H4 emitted from fruits or leaked from transport pipelines of chemical industries. It exhibits a detection range (0.05–5 ppm), an ultra-low detection limit of 1.07 ppb, fast response/recovery (51/92 s), high sensitivity of 3.64%·ppm-1 in trace concentration range of 0–0.5 ppm, and good reversibility and reproducibility. Overall, this work offers a bioinspired design strategy for low-cost, high-performance, noble-metal-free, and wearable sensors, capable of trace-level C2H4 monitoring.</w:t>
      </w:r>
    </w:p>
    <w:p>
      <w:pPr>
        <w:spacing w:before="120" w:after="120"/>
      </w:pPr>
      <w:r>
        <w:rPr>
          <w:sz w:val="18"/>
        </w:rPr>
        <w:t>——————————————————————————————————————————————————————————————————————</w:t>
      </w:r>
    </w:p>
    <w:p>
      <w:pPr>
        <w:spacing w:before="160" w:after="40" w:line="240" w:lineRule="auto"/>
      </w:pPr>
      <w:r>
        <w:rPr>
          <w:b/>
        </w:rPr>
        <w:t xml:space="preserve">[243] </w:t>
      </w:r>
      <w:hyperlink r:id="rId618">
        <w:r>
          <w:rPr>
            <w:color w:val="1155CC"/>
            <w:u w:val="single"/>
          </w:rPr>
          <w:t>非平衡网络流动的原则基础</w:t>
        </w:r>
      </w:hyperlink>
    </w:p>
    <w:p>
      <w:pPr>
        <w:spacing w:before="0" w:after="80"/>
      </w:pPr>
      <w:r>
        <w:rPr>
          <w:i/>
          <w:sz w:val="20"/>
        </w:rPr>
        <w:t>EN: A principled basis for nonequilibrium network flows</w:t>
      </w:r>
    </w:p>
    <w:p>
      <w:pPr>
        <w:spacing w:before="0" w:after="120"/>
      </w:pPr>
      <w:r>
        <w:rPr>
          <w:b/>
        </w:rPr>
        <w:t xml:space="preserve">Source: </w:t>
      </w:r>
      <w:r>
        <w:t>Nature Communications</w:t>
      </w:r>
      <w:r>
        <w:t xml:space="preserve">    </w:t>
      </w:r>
      <w:r>
        <w:rPr>
          <w:b/>
        </w:rPr>
        <w:t xml:space="preserve">Pub date: </w:t>
      </w:r>
      <w:r>
        <w:t>2026-04-08 00:00:00+00:00</w:t>
      </w:r>
      <w:r>
        <w:t xml:space="preserve">    </w:t>
      </w:r>
      <w:r>
        <w:rPr>
          <w:b/>
        </w:rPr>
        <w:t xml:space="preserve">DOI: </w:t>
      </w:r>
      <w:hyperlink r:id="rId619">
        <w:r>
          <w:rPr>
            <w:color w:val="1155CC"/>
            <w:u w:val="single"/>
          </w:rPr>
          <w:t>10.1038/s41467-026-71239-9</w:t>
        </w:r>
      </w:hyperlink>
    </w:p>
    <w:p>
      <w:pPr>
        <w:spacing w:before="0" w:after="120"/>
      </w:pPr>
      <w:r>
        <w:rPr>
          <w:b/>
        </w:rPr>
        <w:t xml:space="preserve">Notes: </w:t>
      </w:r>
      <w:r>
        <w:t>abstract_source=nature_html</w:t>
      </w:r>
    </w:p>
    <w:p>
      <w:pPr>
        <w:spacing w:before="0" w:after="80" w:lineRule="auto" w:line="276"/>
      </w:pPr>
      <w:r>
        <w:rPr>
          <w:b/>
        </w:rPr>
        <w:t xml:space="preserve">摘要（ZH）: </w:t>
      </w:r>
      <w:r>
        <w:t>平衡统计物理的巨大力量来自其原则性基础：第一定律（守恒）、第二定律（变分趋势原理）以及从可观测量（U, V, N）到其驱动力（T, p, μ）的勒让德变换。在此，我们将这种结构推广到Caliber Force Theory中的非平衡态，用路径熵代替状态熵；并用动态可观测量（节点概率、边缘流量和循环通量）代替（U, V, N）。Caliber Force Theory推导出动态力和一整套共轭关系：（i）它产生广义的Maxwell-Onsager关系和波动-响应关系，适用于远离平衡的情况；（ii）它从混合力-可观测量约束中构建动态模型；（iii）它揭示了关系</w:t>
      </w:r>
    </w:p>
    <w:p>
      <w:pPr>
        <w:spacing w:before="0" w:after="200" w:lineRule="auto" w:line="276"/>
      </w:pPr>
      <w:r>
        <w:rPr>
          <w:b/>
        </w:rPr>
        <w:t xml:space="preserve">Abstract (EN): </w:t>
      </w:r>
      <w:r>
        <w:t>The great power of equilibrium statistical physics comes from its principled foundations: its First Law (conservation), Second Law (variational tendency principle), and its Legendre Transforms from observables (U, V, N) to their driving forces (T, p, μ). Here, we generalize this structure to nonequilibria in Caliber Force Theory, replacing state entropies with path entropies; and replacing (U, V, N) with dynamic observables (node probabilities, edge traffics, and cycle fluxes). Caliber Force Theory derives dynamical forces and a complete set of conjugate relations: (i) It yields generalized Maxwell-Onsager relations and fluctuation-response relations, applicable far from equilibrium; (ii) It constructs dynamical models from mixed force-observable constraints; and (iii) It reveals relationships—including a generalized Einstein relation, an “equal-traffic” rule for optimizing molecular motors, and a “third Kirchhoff’s law” of stochastic transport—and can resolve some dynamical paradoxes.</w:t>
      </w:r>
    </w:p>
    <w:p>
      <w:pPr>
        <w:spacing w:before="120" w:after="120"/>
      </w:pPr>
      <w:r>
        <w:rPr>
          <w:sz w:val="18"/>
        </w:rPr>
        <w:t>——————————————————————————————————————————————————————————————————————</w:t>
      </w:r>
    </w:p>
    <w:p>
      <w:pPr>
        <w:spacing w:before="160" w:after="40" w:line="240" w:lineRule="auto"/>
      </w:pPr>
      <w:r>
        <w:rPr>
          <w:b/>
        </w:rPr>
        <w:t xml:space="preserve">[244] </w:t>
      </w:r>
      <w:hyperlink r:id="rId620">
        <w:r>
          <w:rPr>
            <w:color w:val="1155CC"/>
            <w:u w:val="single"/>
          </w:rPr>
          <w:t>少即是多：公共住房居民的能源使用适应和住房成本负担</w:t>
        </w:r>
      </w:hyperlink>
    </w:p>
    <w:p>
      <w:pPr>
        <w:spacing w:before="0" w:after="80"/>
      </w:pPr>
      <w:r>
        <w:rPr>
          <w:i/>
          <w:sz w:val="20"/>
        </w:rPr>
        <w:t>EN: Living with less: Energy use adaptation and housing cost burden among public housing residents</w:t>
      </w:r>
    </w:p>
    <w:p>
      <w:pPr>
        <w:spacing w:before="0" w:after="120"/>
      </w:pPr>
      <w:r>
        <w:rPr>
          <w:b/>
        </w:rPr>
        <w:t xml:space="preserve">Source: </w:t>
      </w:r>
      <w:r>
        <w:t>ScienceDirect Publication: Energy Policy</w:t>
      </w:r>
      <w:r>
        <w:t xml:space="preserve">    </w:t>
      </w:r>
      <w:r>
        <w:rPr>
          <w:b/>
        </w:rPr>
        <w:t xml:space="preserve">Pub date: </w:t>
      </w:r>
      <w:r>
        <w:t>2026-04-08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[245] </w:t>
      </w:r>
      <w:hyperlink r:id="rId621">
        <w:r>
          <w:rPr>
            <w:color w:val="1155CC"/>
            <w:u w:val="single"/>
          </w:rPr>
          <w:t>从边缘可再生能源到战略资产：追踪欧盟关于沼气和生物甲烷政策的演变</w:t>
        </w:r>
      </w:hyperlink>
    </w:p>
    <w:p>
      <w:pPr>
        <w:spacing w:before="0" w:after="80"/>
      </w:pPr>
      <w:r>
        <w:rPr>
          <w:i/>
          <w:sz w:val="20"/>
        </w:rPr>
        <w:t>EN: From marginal renewable to strategic asset: Tracing the evolution of EU policies on biogas and biomethane</w:t>
      </w:r>
    </w:p>
    <w:p>
      <w:pPr>
        <w:spacing w:before="0" w:after="120"/>
      </w:pPr>
      <w:r>
        <w:rPr>
          <w:b/>
        </w:rPr>
        <w:t xml:space="preserve">Source: </w:t>
      </w:r>
      <w:r>
        <w:t>ScienceDirect Publication: Energy Policy</w:t>
      </w:r>
      <w:r>
        <w:t xml:space="preserve">    </w:t>
      </w:r>
      <w:r>
        <w:rPr>
          <w:b/>
        </w:rPr>
        <w:t xml:space="preserve">Pub date: </w:t>
      </w:r>
      <w:r>
        <w:t>2026-04-08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[246] </w:t>
      </w:r>
      <w:hyperlink r:id="rId622">
        <w:r>
          <w:rPr>
            <w:color w:val="1155CC"/>
            <w:u w:val="single"/>
          </w:rPr>
          <w:t>在μm厚度下可扩展的模拟兼容相关钙钛矿的熔盐外延</w:t>
        </w:r>
      </w:hyperlink>
    </w:p>
    <w:p>
      <w:pPr>
        <w:spacing w:before="0" w:after="80"/>
      </w:pPr>
      <w:r>
        <w:rPr>
          <w:i/>
          <w:sz w:val="20"/>
        </w:rPr>
        <w:t>EN: A scalable molten-salt epitaxy of analog-compatible correlated-perovskites at μm-thick</w:t>
      </w:r>
    </w:p>
    <w:p>
      <w:pPr>
        <w:spacing w:before="0" w:after="120"/>
      </w:pPr>
      <w:r>
        <w:rPr>
          <w:b/>
        </w:rPr>
        <w:t xml:space="preserve">Source: </w:t>
      </w:r>
      <w:r>
        <w:t>National Science Review Advance Access</w:t>
      </w:r>
      <w:r>
        <w:t xml:space="preserve">    </w:t>
      </w:r>
      <w:r>
        <w:rPr>
          <w:b/>
        </w:rPr>
        <w:t xml:space="preserve">Pub date: </w:t>
      </w:r>
      <w:r>
        <w:t>2026-04-08 00:00:00+00:00</w:t>
      </w:r>
      <w:r>
        <w:t xml:space="preserve">    </w:t>
      </w:r>
      <w:r>
        <w:rPr>
          <w:b/>
        </w:rPr>
        <w:t xml:space="preserve">DOI: </w:t>
      </w:r>
      <w:hyperlink r:id="rId623">
        <w:r>
          <w:rPr>
            <w:color w:val="1155CC"/>
            <w:u w:val="single"/>
          </w:rPr>
          <w:t>10.1093/nsr/nwag216</w:t>
        </w:r>
      </w:hyperlink>
    </w:p>
    <w:p>
      <w:pPr>
        <w:spacing w:before="0" w:after="120"/>
      </w:pPr>
      <w:r>
        <w:rPr>
          <w:b/>
        </w:rPr>
        <w:t xml:space="preserve">Notes: </w:t>
      </w:r>
      <w:r>
        <w:t>abstract_source=rss_oup</w:t>
      </w:r>
    </w:p>
    <w:p>
      <w:pPr>
        <w:spacing w:before="0" w:after="80" w:lineRule="auto" w:line="276"/>
      </w:pPr>
      <w:r>
        <w:rPr>
          <w:b/>
        </w:rPr>
        <w:t xml:space="preserve">摘要（ZH）: </w:t>
      </w:r>
      <w:r>
        <w:t>相关钙钛矿显示出非凡的模拟功能，适用于神经形态计算和先进的场感知，超越了后摩尔定律的限制。然而，目前尚无法实现相关钙钛矿在微米级厚度上的可扩展材料生长，这是实现与模拟电路要求兼容的器件电阻的前提。在此，我们展示了典型亚稳态相关钙钛矿的超高效生长，例如镍酸盐（RE</w:t>
      </w:r>
    </w:p>
    <w:p>
      <w:pPr>
        <w:spacing w:before="0" w:after="200" w:lineRule="auto" w:line="276"/>
      </w:pPr>
      <w:r>
        <w:rPr>
          <w:b/>
        </w:rPr>
        <w:t xml:space="preserve">Abstract (EN): </w:t>
      </w:r>
      <w:r>
        <w:t>Correlated-perovskites display extraordinary analog functionalities catering for neuromorphic computing and advanced field-perceptions, transcending post-Moore limitations. Nevertheless, it is yet infeasible to achieve scalable material growth of correlated-perovskites at micrometer-scale thicknesses, a prerequisite for enabling device resistances compatible with analog circuit requirements. Herein, we demonstrate ultra-effective growths of archetypal metastable correlated-perovskites, e.g. nickelates (RE</w:t>
      </w:r>
    </w:p>
    <w:p>
      <w:pPr>
        <w:spacing w:before="120" w:after="120"/>
      </w:pPr>
      <w:r>
        <w:rPr>
          <w:sz w:val="18"/>
        </w:rPr>
        <w:t>——————————————————————————————————————————————————————————————————————</w:t>
      </w:r>
    </w:p>
    <w:p>
      <w:pPr>
        <w:spacing w:before="160" w:after="40" w:line="240" w:lineRule="auto"/>
      </w:pPr>
      <w:r>
        <w:rPr>
          <w:b/>
        </w:rPr>
        <w:t xml:space="preserve">[247] </w:t>
      </w:r>
      <w:hyperlink r:id="rId624">
        <w:r>
          <w:rPr>
            <w:color w:val="1155CC"/>
            <w:u w:val="single"/>
          </w:rPr>
          <w:t>基于边界变量传递模型的协作网络物理分布系统的弹性改进</w:t>
        </w:r>
      </w:hyperlink>
    </w:p>
    <w:p>
      <w:pPr>
        <w:spacing w:before="0" w:after="80"/>
      </w:pPr>
      <w:r>
        <w:rPr>
          <w:i/>
          <w:sz w:val="20"/>
        </w:rPr>
        <w:t>EN: Boundary variable transfer model-based resilience improvement for collaborative cyber-physical distribution systems</w:t>
      </w:r>
    </w:p>
    <w:p>
      <w:pPr>
        <w:spacing w:before="0" w:after="120"/>
      </w:pPr>
      <w:r>
        <w:rPr>
          <w:b/>
        </w:rPr>
        <w:t xml:space="preserve">Source: </w:t>
      </w:r>
      <w:r>
        <w:t>ScienceDirect Publication: Applied Energy</w:t>
      </w:r>
      <w:r>
        <w:t xml:space="preserve">    </w:t>
      </w:r>
      <w:r>
        <w:rPr>
          <w:b/>
        </w:rPr>
        <w:t xml:space="preserve">Pub date: </w:t>
      </w:r>
      <w:r>
        <w:t>2026-04-08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[248] </w:t>
      </w:r>
      <w:hyperlink r:id="rId625">
        <w:r>
          <w:rPr>
            <w:color w:val="1155CC"/>
            <w:u w:val="single"/>
          </w:rPr>
          <w:t>当玻璃松弛由化学键异质性控制时</w:t>
        </w:r>
      </w:hyperlink>
    </w:p>
    <w:p>
      <w:pPr>
        <w:spacing w:before="0" w:after="80"/>
      </w:pPr>
      <w:r>
        <w:rPr>
          <w:i/>
          <w:sz w:val="20"/>
        </w:rPr>
        <w:t>EN: When glass relaxation is governed by chemical bonding heterogeneity</w:t>
      </w:r>
    </w:p>
    <w:p>
      <w:pPr>
        <w:spacing w:before="0" w:after="120"/>
      </w:pPr>
      <w:r>
        <w:rPr>
          <w:b/>
        </w:rPr>
        <w:t xml:space="preserve">Source: </w:t>
      </w:r>
      <w:r>
        <w:t>National Science Review Advance Access</w:t>
      </w:r>
      <w:r>
        <w:t xml:space="preserve">    </w:t>
      </w:r>
      <w:r>
        <w:rPr>
          <w:b/>
        </w:rPr>
        <w:t xml:space="preserve">Pub date: </w:t>
      </w:r>
      <w:r>
        <w:t>2026-04-08 00:00:00+00:00</w:t>
      </w:r>
      <w:r>
        <w:t xml:space="preserve">    </w:t>
      </w:r>
      <w:r>
        <w:rPr>
          <w:b/>
        </w:rPr>
        <w:t xml:space="preserve">DOI: </w:t>
      </w:r>
      <w:hyperlink r:id="rId626">
        <w:r>
          <w:rPr>
            <w:color w:val="1155CC"/>
            <w:u w:val="single"/>
          </w:rPr>
          <w:t>10.1093/nsr/nwag175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[249] </w:t>
      </w:r>
      <w:hyperlink r:id="rId627">
        <w:r>
          <w:rPr>
            <w:color w:val="1155CC"/>
            <w:u w:val="single"/>
          </w:rPr>
          <w:t>翻译中的迷失</w:t>
        </w:r>
      </w:hyperlink>
    </w:p>
    <w:p>
      <w:pPr>
        <w:spacing w:before="0" w:after="80"/>
      </w:pPr>
      <w:r>
        <w:rPr>
          <w:i/>
          <w:sz w:val="20"/>
        </w:rPr>
        <w:t>EN: Lost in translation</w:t>
      </w:r>
    </w:p>
    <w:p>
      <w:pPr>
        <w:spacing w:before="0" w:after="120"/>
      </w:pPr>
      <w:r>
        <w:rPr>
          <w:b/>
        </w:rPr>
        <w:t xml:space="preserve">Source: </w:t>
      </w:r>
      <w:r>
        <w:t>Nature Chemistry</w:t>
      </w:r>
      <w:r>
        <w:t xml:space="preserve">    </w:t>
      </w:r>
      <w:r>
        <w:rPr>
          <w:b/>
        </w:rPr>
        <w:t xml:space="preserve">Pub date: </w:t>
      </w:r>
      <w:r>
        <w:t>2026-04-08 00:00:00+00:00</w:t>
      </w:r>
      <w:r>
        <w:t xml:space="preserve">    </w:t>
      </w:r>
      <w:r>
        <w:rPr>
          <w:b/>
        </w:rPr>
        <w:t xml:space="preserve">DOI: </w:t>
      </w:r>
      <w:hyperlink r:id="rId628">
        <w:r>
          <w:rPr>
            <w:color w:val="1155CC"/>
            <w:u w:val="single"/>
          </w:rPr>
          <w:t>10.1038/s41557-026-02117-6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[250] </w:t>
      </w:r>
      <w:hyperlink r:id="rId629">
        <w:r>
          <w:rPr>
            <w:color w:val="1155CC"/>
            <w:u w:val="single"/>
          </w:rPr>
          <w:t>吡咯赖氨酸拒绝停止</w:t>
        </w:r>
      </w:hyperlink>
    </w:p>
    <w:p>
      <w:pPr>
        <w:spacing w:before="0" w:after="80"/>
      </w:pPr>
      <w:r>
        <w:rPr>
          <w:i/>
          <w:sz w:val="20"/>
        </w:rPr>
        <w:t>EN: Pyrrolysine refusing to stop</w:t>
      </w:r>
    </w:p>
    <w:p>
      <w:pPr>
        <w:spacing w:before="0" w:after="120"/>
      </w:pPr>
      <w:r>
        <w:rPr>
          <w:b/>
        </w:rPr>
        <w:t xml:space="preserve">Source: </w:t>
      </w:r>
      <w:r>
        <w:t>Nature Chemistry</w:t>
      </w:r>
      <w:r>
        <w:t xml:space="preserve">    </w:t>
      </w:r>
      <w:r>
        <w:rPr>
          <w:b/>
        </w:rPr>
        <w:t xml:space="preserve">Pub date: </w:t>
      </w:r>
      <w:r>
        <w:t>2026-04-08 00:00:00+00:00</w:t>
      </w:r>
      <w:r>
        <w:t xml:space="preserve">    </w:t>
      </w:r>
      <w:r>
        <w:rPr>
          <w:b/>
        </w:rPr>
        <w:t xml:space="preserve">DOI: </w:t>
      </w:r>
      <w:hyperlink r:id="rId630">
        <w:r>
          <w:rPr>
            <w:color w:val="1155CC"/>
            <w:u w:val="single"/>
          </w:rPr>
          <w:t>10.1038/s41557-026-02094-w</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[251] </w:t>
      </w:r>
      <w:hyperlink r:id="rId631">
        <w:r>
          <w:rPr>
            <w:color w:val="1155CC"/>
            <w:u w:val="single"/>
          </w:rPr>
          <w:t>通过互利方法在可再生分布网格中实现以舒适为中心的机会约束损失最小化</w:t>
        </w:r>
      </w:hyperlink>
    </w:p>
    <w:p>
      <w:pPr>
        <w:spacing w:before="0" w:after="80"/>
      </w:pPr>
      <w:r>
        <w:rPr>
          <w:i/>
          <w:sz w:val="20"/>
        </w:rPr>
        <w:t>EN: Chance-constrained comfort-centric loss minimization in renewable distribution grids through mutual-interest approach</w:t>
      </w:r>
    </w:p>
    <w:p>
      <w:pPr>
        <w:spacing w:before="0" w:after="120"/>
      </w:pPr>
      <w:r>
        <w:rPr>
          <w:b/>
        </w:rPr>
        <w:t xml:space="preserve">Source: </w:t>
      </w:r>
      <w:r>
        <w:t>ScienceDirect Publication: Applied Energy</w:t>
      </w:r>
      <w:r>
        <w:t xml:space="preserve">    </w:t>
      </w:r>
      <w:r>
        <w:rPr>
          <w:b/>
        </w:rPr>
        <w:t xml:space="preserve">Pub date: </w:t>
      </w:r>
      <w:r>
        <w:t>2026-04-08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[252] </w:t>
      </w:r>
      <w:hyperlink r:id="rId632">
        <w:r>
          <w:rPr>
            <w:color w:val="1155CC"/>
            <w:u w:val="single"/>
          </w:rPr>
          <w:t>船舶性能建模的最新机器学习应用：从设计、操作到维护和改造的全面综述</w:t>
        </w:r>
      </w:hyperlink>
    </w:p>
    <w:p>
      <w:pPr>
        <w:spacing w:before="0" w:after="80"/>
      </w:pPr>
      <w:r>
        <w:rPr>
          <w:i/>
          <w:sz w:val="20"/>
        </w:rPr>
        <w:t>EN: State-of-the-art machine learning applications for ship performance modeling: a comprehensive review from design and operation to maintenance and retrofit</w:t>
      </w:r>
    </w:p>
    <w:p>
      <w:pPr>
        <w:spacing w:before="0" w:after="120"/>
      </w:pPr>
      <w:r>
        <w:rPr>
          <w:b/>
        </w:rPr>
        <w:t xml:space="preserve">Source: </w:t>
      </w:r>
      <w:r>
        <w:t>ScienceDirect Publication: Applied Energy</w:t>
      </w:r>
      <w:r>
        <w:t xml:space="preserve">    </w:t>
      </w:r>
      <w:r>
        <w:rPr>
          <w:b/>
        </w:rPr>
        <w:t xml:space="preserve">Pub date: </w:t>
      </w:r>
      <w:r>
        <w:t>2026-04-08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[253] </w:t>
      </w:r>
      <w:hyperlink r:id="rId633">
        <w:r>
          <w:rPr>
            <w:color w:val="1155CC"/>
            <w:u w:val="single"/>
          </w:rPr>
          <w:t>保护隐私的分布系统灵活性利用以增强TSO-DSO互操作性：一种基于机器学习的新型最优潮流方法</w:t>
        </w:r>
      </w:hyperlink>
    </w:p>
    <w:p>
      <w:pPr>
        <w:spacing w:before="0" w:after="80"/>
      </w:pPr>
      <w:r>
        <w:rPr>
          <w:i/>
          <w:sz w:val="20"/>
        </w:rPr>
        <w:t>EN: Privacy-preserving utilization of distribution system flexibility for enhanced TSO-DSO interoperability: A novel machine learning-based optimal power flow approach</w:t>
      </w:r>
    </w:p>
    <w:p>
      <w:pPr>
        <w:spacing w:before="0" w:after="120"/>
      </w:pPr>
      <w:r>
        <w:rPr>
          <w:b/>
        </w:rPr>
        <w:t xml:space="preserve">Source: </w:t>
      </w:r>
      <w:r>
        <w:t>ScienceDirect Publication: Applied Energy</w:t>
      </w:r>
      <w:r>
        <w:t xml:space="preserve">    </w:t>
      </w:r>
      <w:r>
        <w:rPr>
          <w:b/>
        </w:rPr>
        <w:t xml:space="preserve">Pub date: </w:t>
      </w:r>
      <w:r>
        <w:t>2026-04-08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[254] </w:t>
      </w:r>
      <w:hyperlink r:id="rId634">
        <w:r>
          <w:rPr>
            <w:color w:val="1155CC"/>
            <w:u w:val="single"/>
          </w:rPr>
          <w:t>简报聊天：帮助太阳鸟吸吮的舌头技巧</w:t>
        </w:r>
      </w:hyperlink>
    </w:p>
    <w:p>
      <w:pPr>
        <w:spacing w:before="0" w:after="80"/>
      </w:pPr>
      <w:r>
        <w:rPr>
          <w:i/>
          <w:sz w:val="20"/>
        </w:rPr>
        <w:t>EN: Briefing Chat: The tongue trick that helps sunbirds suck</w:t>
      </w:r>
    </w:p>
    <w:p>
      <w:pPr>
        <w:spacing w:before="0" w:after="120"/>
      </w:pPr>
      <w:r>
        <w:rPr>
          <w:b/>
        </w:rPr>
        <w:t xml:space="preserve">Source: </w:t>
      </w:r>
      <w:r>
        <w:t>Nature</w:t>
      </w:r>
      <w:r>
        <w:t xml:space="preserve">    </w:t>
      </w:r>
      <w:r>
        <w:rPr>
          <w:b/>
        </w:rPr>
        <w:t xml:space="preserve">Pub date: </w:t>
      </w:r>
      <w:r>
        <w:t>2026-04-08 00:00:00+00:00</w:t>
      </w:r>
      <w:r>
        <w:t xml:space="preserve">    </w:t>
      </w:r>
      <w:r>
        <w:rPr>
          <w:b/>
        </w:rPr>
        <w:t xml:space="preserve">DOI: </w:t>
      </w:r>
      <w:hyperlink r:id="rId635">
        <w:r>
          <w:rPr>
            <w:color w:val="1155CC"/>
            <w:u w:val="single"/>
          </w:rPr>
          <w:t>10.1038/d41586-026-01132-4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[255] </w:t>
      </w:r>
      <w:hyperlink r:id="rId636">
        <w:r>
          <w:rPr>
            <w:color w:val="1155CC"/>
            <w:u w:val="single"/>
          </w:rPr>
          <w:t>一种三层框架，用于在协调攻击下提高高可再生能源渗透的网络物理电力系统的灵活性增强</w:t>
        </w:r>
      </w:hyperlink>
    </w:p>
    <w:p>
      <w:pPr>
        <w:spacing w:before="0" w:after="80"/>
      </w:pPr>
      <w:r>
        <w:rPr>
          <w:i/>
          <w:sz w:val="20"/>
        </w:rPr>
        <w:t>EN: A tri-level framework for flexibility-enabled resilience enhancement of cyber-physical power systems with high renewable energy penetration under coordinated attacks</w:t>
      </w:r>
    </w:p>
    <w:p>
      <w:pPr>
        <w:spacing w:before="0" w:after="120"/>
      </w:pPr>
      <w:r>
        <w:rPr>
          <w:b/>
        </w:rPr>
        <w:t xml:space="preserve">Source: </w:t>
      </w:r>
      <w:r>
        <w:t>ScienceDirect Publication: Applied Energy</w:t>
      </w:r>
      <w:r>
        <w:t xml:space="preserve">    </w:t>
      </w:r>
      <w:r>
        <w:rPr>
          <w:b/>
        </w:rPr>
        <w:t xml:space="preserve">Pub date: </w:t>
      </w:r>
      <w:r>
        <w:t>2026-04-08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[256] </w:t>
      </w:r>
      <w:hyperlink r:id="rId637">
        <w:r>
          <w:rPr>
            <w:color w:val="1155CC"/>
            <w:u w:val="single"/>
          </w:rPr>
          <w:t>多组学和深度学习剖析人类发展中的调控语法</w:t>
        </w:r>
      </w:hyperlink>
    </w:p>
    <w:p>
      <w:pPr>
        <w:spacing w:before="0" w:after="80"/>
      </w:pPr>
      <w:r>
        <w:rPr>
          <w:i/>
          <w:sz w:val="20"/>
        </w:rPr>
        <w:t>EN: Multiomics and deep learning dissect regulatory syntax in human development</w:t>
      </w:r>
    </w:p>
    <w:p>
      <w:pPr>
        <w:spacing w:before="0" w:after="120"/>
      </w:pPr>
      <w:r>
        <w:rPr>
          <w:b/>
        </w:rPr>
        <w:t xml:space="preserve">Source: </w:t>
      </w:r>
      <w:r>
        <w:t>Nature</w:t>
      </w:r>
      <w:r>
        <w:t xml:space="preserve">    </w:t>
      </w:r>
      <w:r>
        <w:rPr>
          <w:b/>
        </w:rPr>
        <w:t xml:space="preserve">Pub date: </w:t>
      </w:r>
      <w:r>
        <w:t>2026-04-08 00:00:00+00:00</w:t>
      </w:r>
      <w:r>
        <w:t xml:space="preserve">    </w:t>
      </w:r>
      <w:r>
        <w:rPr>
          <w:b/>
        </w:rPr>
        <w:t xml:space="preserve">DOI: </w:t>
      </w:r>
      <w:hyperlink r:id="rId638">
        <w:r>
          <w:rPr>
            <w:color w:val="1155CC"/>
            <w:u w:val="single"/>
          </w:rPr>
          <w:t>10.1038/s41586-026-10326-9</w:t>
        </w:r>
      </w:hyperlink>
    </w:p>
    <w:p>
      <w:pPr>
        <w:spacing w:before="0" w:after="120"/>
      </w:pPr>
      <w:r>
        <w:rPr>
          <w:b/>
        </w:rPr>
        <w:t xml:space="preserve">Notes: </w:t>
      </w:r>
      <w:r>
        <w:t>abstract_source=nature_html</w:t>
      </w:r>
    </w:p>
    <w:p>
      <w:pPr>
        <w:spacing w:before="0" w:after="80" w:lineRule="auto" w:line="276"/>
      </w:pPr>
      <w:r>
        <w:rPr>
          <w:b/>
        </w:rPr>
        <w:t xml:space="preserve">摘要（ZH）: </w:t>
      </w:r>
      <w:r>
        <w:t>转录因子通过以序列特异性方式结合调控DNA，在发育过程中建立细胞身份，通常促进局部染色质可及性并调节基因表达1。绘制可及染色质图谱为转录控制提供了关键见解，但现有的人类发育数据集仅限于整体组织、单一器官或单一模式2。在此，我们展示了人类发育多组学图谱，这是一个来自12个器官的817,740个胎儿细胞的单细胞染色质可及性和基因表达图谱，涵盖203种细胞类型和超过100万个候选顺式调控元件，其中许多在体内表现出器官特异性增强子活性。训练用于从局部DNA序列预测可及性的深度学习模型揭示了一个协同作用</w:t>
      </w:r>
    </w:p>
    <w:p>
      <w:pPr>
        <w:spacing w:before="0" w:after="200" w:lineRule="auto" w:line="276"/>
      </w:pPr>
      <w:r>
        <w:rPr>
          <w:b/>
        </w:rPr>
        <w:t xml:space="preserve">Abstract (EN): </w:t>
      </w:r>
      <w:r>
        <w:t>Transcription factors establish cell identity during development by binding regulatory DNA in a sequence-specific manner, often promoting local chromatin accessibility and regulating gene expression1. Mapping accessible chromatin offers critical insights into transcriptional control, but available datasets for human development are restricted to bulk tissue, single organs or single modalities2. Here we present the Human Development Multiomic Atlas, a single-cell atlas of chromatin accessibility and gene expression from 817,740 fetal cells across 12 organs, spanning 203 cell types and more than 1 million candidate cis-regulatory elements, many of which exhibit organ-specific in vivo enhancer activity. Deep learning models trained to predict accessibility from local DNA sequence unravel a comprehensive lexicon of motifs that influence accessibility, including composite motifs exhibiting distinct syntactic constraints that are predicted to mediate transcription factor cooperativity. We identify ‘hard’ syntactic rules requiring precise motif spacing and orientation, ‘soft’ rules allowing flexible motif arrangements, and ubiquitous motifs inhibiting accessibility. Model-based interpretation of genetic variants reveals that disruption of motifs with positive and negative effects is associated with concordant effects on gene expression. Our work delineates how motif syntax governs cell-type-specific chromatin accessibility and provides a foundational resource for decoding cis-regulatory logic and interpreting genetic variation during human development.</w:t>
      </w:r>
    </w:p>
    <w:p>
      <w:pPr>
        <w:spacing w:before="120" w:after="120"/>
      </w:pPr>
      <w:r>
        <w:rPr>
          <w:sz w:val="18"/>
        </w:rPr>
        <w:t>——————————————————————————————————————————————————————————————————————</w:t>
      </w:r>
    </w:p>
    <w:p>
      <w:pPr>
        <w:spacing w:before="160" w:after="40" w:line="240" w:lineRule="auto"/>
      </w:pPr>
      <w:r>
        <w:rPr>
          <w:b/>
        </w:rPr>
        <w:t xml:space="preserve">[257] </w:t>
      </w:r>
      <w:hyperlink r:id="rId639">
        <w:r>
          <w:rPr>
            <w:color w:val="1155CC"/>
            <w:u w:val="single"/>
          </w:rPr>
          <w:t>每日简报：AI传播关于明显捏造疾病的信息</w:t>
        </w:r>
      </w:hyperlink>
    </w:p>
    <w:p>
      <w:pPr>
        <w:spacing w:before="0" w:after="80"/>
      </w:pPr>
      <w:r>
        <w:rPr>
          <w:i/>
          <w:sz w:val="20"/>
        </w:rPr>
        <w:t>EN: Daily briefing: AI spread information about an obviously made-up disease</w:t>
      </w:r>
    </w:p>
    <w:p>
      <w:pPr>
        <w:spacing w:before="0" w:after="120"/>
      </w:pPr>
      <w:r>
        <w:rPr>
          <w:b/>
        </w:rPr>
        <w:t xml:space="preserve">Source: </w:t>
      </w:r>
      <w:r>
        <w:t>Nature</w:t>
      </w:r>
      <w:r>
        <w:t xml:space="preserve">    </w:t>
      </w:r>
      <w:r>
        <w:rPr>
          <w:b/>
        </w:rPr>
        <w:t xml:space="preserve">Pub date: </w:t>
      </w:r>
      <w:r>
        <w:t>2026-04-08 00:00:00+00:00</w:t>
      </w:r>
      <w:r>
        <w:t xml:space="preserve">    </w:t>
      </w:r>
      <w:r>
        <w:rPr>
          <w:b/>
        </w:rPr>
        <w:t xml:space="preserve">DOI: </w:t>
      </w:r>
      <w:hyperlink r:id="rId640">
        <w:r>
          <w:rPr>
            <w:color w:val="1155CC"/>
            <w:u w:val="single"/>
          </w:rPr>
          <w:t>10.1038/d41586-026-01140-4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[258] </w:t>
      </w:r>
      <w:hyperlink r:id="rId641">
        <w:r>
          <w:rPr>
            <w:color w:val="1155CC"/>
            <w:u w:val="single"/>
          </w:rPr>
          <w:t>跨尺度代谢组学：从单细胞到人群研究</w:t>
        </w:r>
      </w:hyperlink>
    </w:p>
    <w:p>
      <w:pPr>
        <w:spacing w:before="0" w:after="80"/>
      </w:pPr>
      <w:r>
        <w:rPr>
          <w:i/>
          <w:sz w:val="20"/>
        </w:rPr>
        <w:t>EN: Metabolomics across scales: from single cells to population studies</w:t>
      </w:r>
    </w:p>
    <w:p>
      <w:pPr>
        <w:spacing w:before="0" w:after="120"/>
      </w:pPr>
      <w:r>
        <w:rPr>
          <w:b/>
        </w:rPr>
        <w:t xml:space="preserve">Source: </w:t>
      </w:r>
      <w:r>
        <w:t>Nature</w:t>
      </w:r>
      <w:r>
        <w:t xml:space="preserve">    </w:t>
      </w:r>
      <w:r>
        <w:rPr>
          <w:b/>
        </w:rPr>
        <w:t xml:space="preserve">Pub date: </w:t>
      </w:r>
      <w:r>
        <w:t>2026-04-08 00:00:00+00:00</w:t>
      </w:r>
      <w:r>
        <w:t xml:space="preserve">    </w:t>
      </w:r>
      <w:r>
        <w:rPr>
          <w:b/>
        </w:rPr>
        <w:t xml:space="preserve">DOI: </w:t>
      </w:r>
      <w:hyperlink r:id="rId642">
        <w:r>
          <w:rPr>
            <w:color w:val="1155CC"/>
            <w:u w:val="single"/>
          </w:rPr>
          <w:t>10.1038/s41586-026-10277-1</w:t>
        </w:r>
      </w:hyperlink>
    </w:p>
    <w:p>
      <w:pPr>
        <w:spacing w:before="0" w:after="120"/>
      </w:pPr>
      <w:r>
        <w:rPr>
          <w:b/>
        </w:rPr>
        <w:t xml:space="preserve">Notes: </w:t>
      </w:r>
      <w:r>
        <w:t>abstract_source=nature_html</w:t>
      </w:r>
    </w:p>
    <w:p>
      <w:pPr>
        <w:spacing w:before="0" w:after="80" w:lineRule="auto" w:line="276"/>
      </w:pPr>
      <w:r>
        <w:rPr>
          <w:b/>
        </w:rPr>
        <w:t xml:space="preserve">摘要（ZH）: </w:t>
      </w:r>
      <w:r>
        <w:t>代谢组学已发展成为探究代谢的强大方法，提供的读数能够紧密反映健康和疾病中的细胞和有机体功能。在此，我们强调两个快速发展的前沿领域：单细胞代谢组学和群体规模代谢组学。单细胞代谢组学解析个体细胞的代谢状态，揭示细胞间的异质性和组织内的空间组织。群体规模的分析则在大型群体中分析代谢物，能够发现疾病标志物、环境暴露和遗传变异。尽管这些方法在不同的尺度上运作，但它们面临共同的挑战——包括代谢物的识别、定量和多模态数据整合——并提供共同的优势，例如</w:t>
      </w:r>
    </w:p>
    <w:p>
      <w:pPr>
        <w:spacing w:before="0" w:after="200" w:lineRule="auto" w:line="276"/>
      </w:pPr>
      <w:r>
        <w:rPr>
          <w:b/>
        </w:rPr>
        <w:t xml:space="preserve">Abstract (EN): </w:t>
      </w:r>
      <w:r>
        <w:t>Metabolomics has matured into a powerful approach for probing metabolism, offering readouts that closely reflect cellular and organismal function in health and disease. Here we highlight two rapidly advancing frontiers: single-cell metabolomics and population-scale metabolomics. Single-cell metabolomics resolves the metabolic states of individual cells, uncovering cell-to-cell heterogeneity and spatial organization within tissues. Population-scale profiling profiles metabolites across large cohorts, enabling the discovery of markers of disease, environmental exposures and genetic variation. Although these approaches operate at different scales, they face shared challenges—including metabolite identification, quantification and multimodal data integration—and offer common advantages, such as the ability to capture non-genetic influences on phenotype and to scale to high throughput. We propose that continued advances in scalability will bring these domains together, enabling the construction of comprehensive metabolic atlases that chart cellular and interindividual variation and provide training data for foundation models of metabolism. By integrating cellular and population-level insights, single-cell and population-scale metabolomics promise to advance our understanding of metabolism across biology, medicine and pharmacology.</w:t>
      </w:r>
    </w:p>
    <w:p>
      <w:pPr>
        <w:spacing w:before="120" w:after="120"/>
      </w:pPr>
      <w:r>
        <w:rPr>
          <w:sz w:val="18"/>
        </w:rPr>
        <w:t>——————————————————————————————————————————————————————————————————————</w:t>
      </w:r>
    </w:p>
    <w:p>
      <w:pPr>
        <w:spacing w:before="160" w:after="40" w:line="240" w:lineRule="auto"/>
      </w:pPr>
      <w:r>
        <w:rPr>
          <w:b/>
        </w:rPr>
        <w:t xml:space="preserve">[259] </w:t>
      </w:r>
      <w:hyperlink r:id="rId643">
        <w:r>
          <w:rPr>
            <w:color w:val="1155CC"/>
            <w:u w:val="single"/>
          </w:rPr>
          <w:t>从晶格QCD高精度计算夸克-胶子耦合</w:t>
        </w:r>
      </w:hyperlink>
    </w:p>
    <w:p>
      <w:pPr>
        <w:spacing w:before="0" w:after="80"/>
      </w:pPr>
      <w:r>
        <w:rPr>
          <w:i/>
          <w:sz w:val="20"/>
        </w:rPr>
        <w:t>EN: High-precision calculation of the quark–gluon coupling from lattice QCD</w:t>
      </w:r>
    </w:p>
    <w:p>
      <w:pPr>
        <w:spacing w:before="0" w:after="120"/>
      </w:pPr>
      <w:r>
        <w:rPr>
          <w:b/>
        </w:rPr>
        <w:t xml:space="preserve">Source: </w:t>
      </w:r>
      <w:r>
        <w:t>Nature</w:t>
      </w:r>
      <w:r>
        <w:t xml:space="preserve">    </w:t>
      </w:r>
      <w:r>
        <w:rPr>
          <w:b/>
        </w:rPr>
        <w:t xml:space="preserve">Pub date: </w:t>
      </w:r>
      <w:r>
        <w:t>2026-04-08 00:00:00+00:00</w:t>
      </w:r>
      <w:r>
        <w:t xml:space="preserve">    </w:t>
      </w:r>
      <w:r>
        <w:rPr>
          <w:b/>
        </w:rPr>
        <w:t xml:space="preserve">DOI: </w:t>
      </w:r>
      <w:hyperlink r:id="rId644">
        <w:r>
          <w:rPr>
            <w:color w:val="1155CC"/>
            <w:u w:val="single"/>
          </w:rPr>
          <w:t>10.1038/s41586-026-10339-4</w:t>
        </w:r>
      </w:hyperlink>
    </w:p>
    <w:p>
      <w:pPr>
        <w:spacing w:before="0" w:after="120"/>
      </w:pPr>
      <w:r>
        <w:rPr>
          <w:b/>
        </w:rPr>
        <w:t xml:space="preserve">Notes: </w:t>
      </w:r>
      <w:r>
        <w:t>abstract_source=nature_html</w:t>
      </w:r>
    </w:p>
    <w:p>
      <w:pPr>
        <w:spacing w:before="0" w:after="80" w:lineRule="auto" w:line="276"/>
      </w:pPr>
      <w:r>
        <w:rPr>
          <w:b/>
        </w:rPr>
        <w:t xml:space="preserve">摘要（ZH）: </w:t>
      </w:r>
      <w:r>
        <w:t>现代粒子物理实验的结果，例如在CERN（欧洲核子研究组织）的大型强子对撞机上的质子-质子碰撞，关键依赖于对基本力的散射过程的精确描述。在所有已知的贡献力中，对强核力的有限理解是一个主要的不准确来源。在基本层面上，强力由量子色动力学描述，即夸克和胶子的理论。它们的耦合常数αs在高能量下变弱（渐近自由），使得在αs中进行幂级数展开成为可能，但夸克在强子束缚态中的禁闭通常需要额外的模型假设。因此，从实验中确定αs大多仍然</w:t>
      </w:r>
    </w:p>
    <w:p>
      <w:pPr>
        <w:spacing w:before="0" w:after="200" w:lineRule="auto" w:line="276"/>
      </w:pPr>
      <w:r>
        <w:rPr>
          <w:b/>
        </w:rPr>
        <w:t xml:space="preserve">Abstract (EN): </w:t>
      </w:r>
      <w:r>
        <w:t>The outcomes of modern particle physics experiments, such as proton–proton collisions at the Large Hadron Collider at CERN (European Organization for Nuclear Research), depend crucially on the precise description of the scattering processes in terms of the fundamental forces. Among all the known forces that contribute, the limited understanding of the strong nuclear force is a key source of inaccuracy. At the fundamental level, the strong force is described by quantum chromodynamics, the theory of quarks and gluons. Their coupling, αs, becomes weaker at high energies (asymptotic freedom), enabling power series expansions in αs, but the confinement of quarks in hadronic bound states usually requires additional model assumptions. Consequently, determinations of αs from experiment mostly remain with large systematic theory errors1,2. Here we report the model-free determination of αs with unprecedented precision from low-energy experimental input combined with large-scale numerical simulations of the first-principles formulation of quantum chromodynamics on a space–time lattice. The uncertainty, about half that of all other results combined3, originates predominantly from the statistical Monte Carlo evaluation and has a clear probabilistic interpretation. The result for αs describes both low-energy hadronic physics with the help of lattice quantum chromodynamics and high-energy scattering using the perturbative expansion. By removing a source of theoretical uncertainty, our estimate of αs could enable markedly improved analyses of many high-energy experiments4. This will contribute to the likelihood that small effects of yet unknown physics are uncovered, as well as enable stringent precision tests of the Standard Model.</w:t>
      </w:r>
    </w:p>
    <w:p>
      <w:pPr>
        <w:spacing w:before="120" w:after="120"/>
      </w:pPr>
      <w:r>
        <w:rPr>
          <w:sz w:val="18"/>
        </w:rPr>
        <w:t>——————————————————————————————————————————————————————————————————————</w:t>
      </w:r>
    </w:p>
    <w:p>
      <w:pPr>
        <w:spacing w:before="160" w:after="40" w:line="240" w:lineRule="auto"/>
      </w:pPr>
      <w:r>
        <w:rPr>
          <w:b/>
        </w:rPr>
        <w:t xml:space="preserve">[260] </w:t>
      </w:r>
      <w:hyperlink r:id="rId645">
        <w:r>
          <w:rPr>
            <w:color w:val="1155CC"/>
            <w:u w:val="single"/>
          </w:rPr>
          <w:t>OmniTIEFormer：一种具有跨尺度迁移学习的三分支变压器，用于多尺度电池生命周期预测</w:t>
        </w:r>
      </w:hyperlink>
    </w:p>
    <w:p>
      <w:pPr>
        <w:spacing w:before="0" w:after="80"/>
      </w:pPr>
      <w:r>
        <w:rPr>
          <w:i/>
          <w:sz w:val="20"/>
        </w:rPr>
        <w:t>EN: OmniTIEFormer: A tri-branch transformer with cross-scale transfer learning for multi-scale battery life-cycle forecasting</w:t>
      </w:r>
    </w:p>
    <w:p>
      <w:pPr>
        <w:spacing w:before="0" w:after="120"/>
      </w:pPr>
      <w:r>
        <w:rPr>
          <w:b/>
        </w:rPr>
        <w:t xml:space="preserve">Source: </w:t>
      </w:r>
      <w:r>
        <w:t>ScienceDirect Publication: Applied Energy</w:t>
      </w:r>
      <w:r>
        <w:t xml:space="preserve">    </w:t>
      </w:r>
      <w:r>
        <w:rPr>
          <w:b/>
        </w:rPr>
        <w:t xml:space="preserve">Pub date: </w:t>
      </w:r>
      <w:r>
        <w:t>2026-04-08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[261] </w:t>
      </w:r>
      <w:hyperlink r:id="rId646">
        <w:r>
          <w:rPr>
            <w:color w:val="1155CC"/>
            <w:u w:val="single"/>
          </w:rPr>
          <w:t>热带雨林中的生物多样性恢复力</w:t>
        </w:r>
      </w:hyperlink>
    </w:p>
    <w:p>
      <w:pPr>
        <w:spacing w:before="0" w:after="80"/>
      </w:pPr>
      <w:r>
        <w:rPr>
          <w:i/>
          <w:sz w:val="20"/>
        </w:rPr>
        <w:t>EN: Biodiversity resilience in a tropical rainforest</w:t>
      </w:r>
    </w:p>
    <w:p>
      <w:pPr>
        <w:spacing w:before="0" w:after="120"/>
      </w:pPr>
      <w:r>
        <w:rPr>
          <w:b/>
        </w:rPr>
        <w:t xml:space="preserve">Source: </w:t>
      </w:r>
      <w:r>
        <w:t>Nature</w:t>
      </w:r>
      <w:r>
        <w:t xml:space="preserve">    </w:t>
      </w:r>
      <w:r>
        <w:rPr>
          <w:b/>
        </w:rPr>
        <w:t xml:space="preserve">Pub date: </w:t>
      </w:r>
      <w:r>
        <w:t>2026-04-08 00:00:00+00:00</w:t>
      </w:r>
      <w:r>
        <w:t xml:space="preserve">    </w:t>
      </w:r>
      <w:r>
        <w:rPr>
          <w:b/>
        </w:rPr>
        <w:t xml:space="preserve">DOI: </w:t>
      </w:r>
      <w:hyperlink r:id="rId647">
        <w:r>
          <w:rPr>
            <w:color w:val="1155CC"/>
            <w:u w:val="single"/>
          </w:rPr>
          <w:t>10.1038/s41586-026-10365-2</w:t>
        </w:r>
      </w:hyperlink>
    </w:p>
    <w:p>
      <w:pPr>
        <w:spacing w:before="0" w:after="120"/>
      </w:pPr>
      <w:r>
        <w:rPr>
          <w:b/>
        </w:rPr>
        <w:t xml:space="preserve">Notes: </w:t>
      </w:r>
      <w:r>
        <w:t>abstract_source=nature_html</w:t>
      </w:r>
    </w:p>
    <w:p>
      <w:pPr>
        <w:spacing w:before="0" w:after="80" w:lineRule="auto" w:line="276"/>
      </w:pPr>
      <w:r>
        <w:rPr>
          <w:b/>
        </w:rPr>
        <w:t xml:space="preserve">摘要（ZH）: </w:t>
      </w:r>
      <w:r>
        <w:t>联合国生态系统恢复十年计划旨在阻止生物多样性丧失1。大约60%的热带森林已经丧失或严重退化2，使得恢复对于实现保护目标至关重要。树木的恢复轨迹已被深入研究3,4，但对生物多样性恢复的全面理解仍然缺乏。在此，我们通过研究对干扰的抵抗力、恢复时间和恢复到原始森林条件的速度，分析了包括来自三个界的16个分类群的营养级恢复轨迹。在30年内，丰度和多样性恢复了超过90%，组成与原始森林的相似性约为75%，但完全恢复需要几十年。移动动物群落</w:t>
      </w:r>
    </w:p>
    <w:p>
      <w:pPr>
        <w:spacing w:before="0" w:after="200" w:lineRule="auto" w:line="276"/>
      </w:pPr>
      <w:r>
        <w:rPr>
          <w:b/>
        </w:rPr>
        <w:t xml:space="preserve">Abstract (EN): </w:t>
      </w:r>
      <w:r>
        <w:t>The UN Decade on Ecosystem Restoration aims to stop biodiversity losses1. Approximately 60% of tropical forests have already been lost or severely degraded2, making restoration essential to achieve conservation goals. Recovery trajectories of trees have been studied intensively3,4, but a comprehensive understanding of biodiversity recovery is lacking. Here we analyse recovery trajectories across trophic levels including 16 taxonomic groups from three kingdoms in a lowland tropical forest by investigating resistance to perturbation, recovery times and return rates to old-growth forest conditions. Abundance and diversity regained more than 90% and composition approximately 75% similarity to old-growth forests within 30 years, but full recovery takes several decades. Mobile animal communities acting as seed dispersers or pollinators had high resistance levels and recovered faster than trees or tree seedlings. Return rates contributed 1–2.5 times more than resistance to the recovery times of species composition. Taxon-specific recovery times could not be explained by simple mechanisms (life-history strategies, trophic level or mobility). We show the enormous potential of protecting naturally recovering secondary forests to stop and reverse biodiversity losses.</w:t>
      </w:r>
    </w:p>
    <w:p>
      <w:pPr>
        <w:spacing w:before="120" w:after="120"/>
      </w:pPr>
      <w:r>
        <w:rPr>
          <w:sz w:val="18"/>
        </w:rPr>
        <w:t>——————————————————————————————————————————————————————————————————————</w:t>
      </w:r>
    </w:p>
    <w:p>
      <w:pPr>
        <w:spacing w:before="160" w:after="40" w:line="240" w:lineRule="auto"/>
      </w:pPr>
      <w:r>
        <w:rPr>
          <w:b/>
        </w:rPr>
        <w:t xml:space="preserve">[262] </w:t>
      </w:r>
      <w:hyperlink r:id="rId648">
        <w:r>
          <w:rPr>
            <w:color w:val="1155CC"/>
            <w:u w:val="single"/>
          </w:rPr>
          <w:t>工程化免疫抑制性树突状细胞保护心脏重塑</w:t>
        </w:r>
      </w:hyperlink>
    </w:p>
    <w:p>
      <w:pPr>
        <w:spacing w:before="0" w:after="80"/>
      </w:pPr>
      <w:r>
        <w:rPr>
          <w:i/>
          <w:sz w:val="20"/>
        </w:rPr>
        <w:t>EN: Engineered immunosuppressive dendritic cells protect against cardiac remodelling</w:t>
      </w:r>
    </w:p>
    <w:p>
      <w:pPr>
        <w:spacing w:before="0" w:after="120"/>
      </w:pPr>
      <w:r>
        <w:rPr>
          <w:b/>
        </w:rPr>
        <w:t xml:space="preserve">Source: </w:t>
      </w:r>
      <w:r>
        <w:t>Nature</w:t>
      </w:r>
      <w:r>
        <w:t xml:space="preserve">    </w:t>
      </w:r>
      <w:r>
        <w:rPr>
          <w:b/>
        </w:rPr>
        <w:t xml:space="preserve">Pub date: </w:t>
      </w:r>
      <w:r>
        <w:t>2026-04-08 00:00:00+00:00</w:t>
      </w:r>
      <w:r>
        <w:t xml:space="preserve">    </w:t>
      </w:r>
      <w:r>
        <w:rPr>
          <w:b/>
        </w:rPr>
        <w:t xml:space="preserve">DOI: </w:t>
      </w:r>
      <w:hyperlink r:id="rId649">
        <w:r>
          <w:rPr>
            <w:color w:val="1155CC"/>
            <w:u w:val="single"/>
          </w:rPr>
          <w:t>10.1038/s41586-026-10346-5</w:t>
        </w:r>
      </w:hyperlink>
    </w:p>
    <w:p>
      <w:pPr>
        <w:spacing w:before="0" w:after="120"/>
      </w:pPr>
      <w:r>
        <w:rPr>
          <w:b/>
        </w:rPr>
        <w:t xml:space="preserve">Notes: </w:t>
      </w:r>
      <w:r>
        <w:t>abstract_source=nature_html</w:t>
      </w:r>
    </w:p>
    <w:p>
      <w:pPr>
        <w:spacing w:before="0" w:after="80" w:lineRule="auto" w:line="276"/>
      </w:pPr>
      <w:r>
        <w:rPr>
          <w:b/>
        </w:rPr>
        <w:t xml:space="preserve">摘要（ZH）: </w:t>
      </w:r>
      <w:r>
        <w:t>心力衰竭仍然是发病率和死亡率的主要原因，但尚无批准的疗法能够有效预防或逆转病理性心脏纤维化及其相关的心脏功能下降1,2,3,4。慢性炎症是缺血或血流动力学应激后病理性纤维化的核心驱动因素，但缺乏在不进行全身免疫抑制的情况下局部重新平衡损伤和修复免疫反应的策略5,6。树突状细胞（DCs）是免疫激活和耐受的关键调节者，为心脏疾病的治疗性免疫重编程提供了机会7,8。在此，我们展示了工程化的免疫抑制和纤维化靶向的DCs（iCDCs）有效保护病理性心脏重塑。在缺血-再灌注损伤的小鼠模型中，</w:t>
      </w:r>
    </w:p>
    <w:p>
      <w:pPr>
        <w:spacing w:before="0" w:after="200" w:lineRule="auto" w:line="276"/>
      </w:pPr>
      <w:r>
        <w:rPr>
          <w:b/>
        </w:rPr>
        <w:t xml:space="preserve">Abstract (EN): </w:t>
      </w:r>
      <w:r>
        <w:t>Heart failure remains a leading cause of morbidity and mortality, yet no approved therapies effectively prevent or reverse pathological cardiac fibrosis and the associated decline in cardiac function1,2,3,4. Chronic inflammation is a central driver of pathological fibrosis after ischaemic or haemodynamic stress, but strategies that locally rebalance injurious and reparative immune responses without systemic immunosuppression are lacking5,6. Dendritic cells (DCs) are key regulators of immune activation and tolerance, providing an opportunity for therapeutic immune reprogramming in cardiac diseases7,8. Here we show that engineered immunosuppressive and fibrosis-targeted DCs (iCDCs) effectively protect against pathological cardiac remodelling. In mouse models of ischaemia–reperfusion injury, myocardial infarction and pressure overload, iCDC therapy reduced inflammatory cardiac fibrosis, improved cardiac perfusion and preserved contractility. Mechanistically, iCDCs conferred sustained cardioprotection directly by suppressing immune and stromal cell activation or indirectly through promoting clonal expansion of regulatory T cells. Importantly, in a non-human primate model of myocardial infarction, iCDC therapy also reduced cardiac fibrosis, improved cardiac perfusion and contractile function without inducing systemic toxicity. These findings establish lesion-targeted immune modulation as a feasible strategy to control cardiac fibrosis and identify engineered dendritic cells as a promising therapeutic platform for treating cardiac remodelling and heart failure.</w:t>
      </w:r>
    </w:p>
    <w:p>
      <w:pPr>
        <w:spacing w:before="120" w:after="120"/>
      </w:pPr>
      <w:r>
        <w:rPr>
          <w:sz w:val="18"/>
        </w:rPr>
        <w:t>——————————————————————————————————————————————————————————————————————</w:t>
      </w:r>
    </w:p>
    <w:p>
      <w:pPr>
        <w:spacing w:before="160" w:after="40" w:line="240" w:lineRule="auto"/>
      </w:pPr>
      <w:r>
        <w:rPr>
          <w:b/>
        </w:rPr>
        <w:t xml:space="preserve">[263] </w:t>
      </w:r>
      <w:hyperlink r:id="rId650">
        <w:r>
          <w:rPr>
            <w:color w:val="1155CC"/>
            <w:u w:val="single"/>
          </w:rPr>
          <w:t>镍酸盐薄膜超结构的超导性和电子结构</w:t>
        </w:r>
      </w:hyperlink>
    </w:p>
    <w:p>
      <w:pPr>
        <w:spacing w:before="0" w:after="80"/>
      </w:pPr>
      <w:r>
        <w:rPr>
          <w:i/>
          <w:sz w:val="20"/>
        </w:rPr>
        <w:t>EN: Superconductivity and electronic structures of nickelate thin film superstructures</w:t>
      </w:r>
    </w:p>
    <w:p>
      <w:pPr>
        <w:spacing w:before="0" w:after="120"/>
      </w:pPr>
      <w:r>
        <w:rPr>
          <w:b/>
        </w:rPr>
        <w:t xml:space="preserve">Source: </w:t>
      </w:r>
      <w:r>
        <w:t>Nature</w:t>
      </w:r>
      <w:r>
        <w:t xml:space="preserve">    </w:t>
      </w:r>
      <w:r>
        <w:rPr>
          <w:b/>
        </w:rPr>
        <w:t xml:space="preserve">Pub date: </w:t>
      </w:r>
      <w:r>
        <w:t>2026-04-08 00:00:00+00:00</w:t>
      </w:r>
      <w:r>
        <w:t xml:space="preserve">    </w:t>
      </w:r>
      <w:r>
        <w:rPr>
          <w:b/>
        </w:rPr>
        <w:t xml:space="preserve">DOI: </w:t>
      </w:r>
      <w:hyperlink r:id="rId651">
        <w:r>
          <w:rPr>
            <w:color w:val="1155CC"/>
            <w:u w:val="single"/>
          </w:rPr>
          <w:t>10.1038/s41586-026-10352-7</w:t>
        </w:r>
      </w:hyperlink>
    </w:p>
    <w:p>
      <w:pPr>
        <w:spacing w:before="0" w:after="120"/>
      </w:pPr>
      <w:r>
        <w:rPr>
          <w:b/>
        </w:rPr>
        <w:t xml:space="preserve">Notes: </w:t>
      </w:r>
      <w:r>
        <w:t>abstract_source=nature_html</w:t>
      </w:r>
    </w:p>
    <w:p>
      <w:pPr>
        <w:spacing w:before="0" w:after="80" w:lineRule="auto" w:line="276"/>
      </w:pPr>
      <w:r>
        <w:rPr>
          <w:b/>
        </w:rPr>
        <w:t xml:space="preserve">摘要（ZH）: </w:t>
      </w:r>
      <w:r>
        <w:t>Ruddlesden–Popper镍酸盐已成为探索高温超导机制的重要平台1,2,3,4,5,6,7。然而，超导所需的费米面拓扑仍然未知。在此，除了超导的纯双层（2222）相之外，我们报告了单层-双层（1212）和双层-三层（2323）超结构的薄膜生长和常压超导性，同时在相同的压缩外延应变下，单层-三层（1313）超结构中不存在超导性。超导转变温度的起始范围为46 K至50 K，超过了McMillan极限。角分辨光电子能谱显示了这些原子工程结构中的关键费米面差异。在s</w:t>
      </w:r>
    </w:p>
    <w:p>
      <w:pPr>
        <w:spacing w:before="0" w:after="200" w:lineRule="auto" w:line="276"/>
      </w:pPr>
      <w:r>
        <w:rPr>
          <w:b/>
        </w:rPr>
        <w:t xml:space="preserve">Abstract (EN): </w:t>
      </w:r>
      <w:r>
        <w:t>Ruddlesden–Popper nickelates have emerged as a crucial platform for exploring the mechanisms of high-temperature superconductivity1,2,3,4,5,6,7. However, the Fermi surface topology required for superconductivity remains unknown. Here, beyond the superconducting pure bilayer (2222) phase, we report the thin film growth and ambient-pressure superconductivity of monolayer–bilayer (1212) and bilayer–trilayer (2323) superstructures, together with the absence of superconductivity in monolayer–trilayer (1313) superstructure, under identical compressive epitaxial strain. The onset superconducting transition temperatures range from 46 K to 50 K, exceeding the McMillan limit. Angle-resolved photoemission spectroscopy shows key Fermi surface differences in these atomically engineered structures. In superconducting 1212 and 2222 films, a dispersive hole-like band (γΙΙ) forms an underlying Fermi pocket, surrounding the Brillouin zone corner. By contrast, the top of the flat band (γΙΙΙ) is observed at about 70 meV below EF in the non-superconducting 1313 films. Particularly, the superconducting 2323 films host both γΙΙ and γΙΙΙ bands. The polarization dependence of the γ bands reveals their Ni \({d}_{{z}^{2}}\) origin. Our findings expand the family of ambient-pressure nickelate superconductors and establish a connection between structural configuration, electronic structure and the emergence of superconductivity in nickelates.</w:t>
      </w:r>
    </w:p>
    <w:p>
      <w:pPr>
        <w:spacing w:before="120" w:after="120"/>
      </w:pPr>
      <w:r>
        <w:rPr>
          <w:sz w:val="18"/>
        </w:rPr>
        <w:t>——————————————————————————————————————————————————————————————————————</w:t>
      </w:r>
    </w:p>
    <w:p>
      <w:pPr>
        <w:spacing w:before="160" w:after="40" w:line="240" w:lineRule="auto"/>
      </w:pPr>
      <w:r>
        <w:rPr>
          <w:b/>
        </w:rPr>
        <w:t xml:space="preserve">[264] </w:t>
      </w:r>
      <w:hyperlink r:id="rId652">
        <w:r>
          <w:rPr>
            <w:color w:val="1155CC"/>
            <w:u w:val="single"/>
          </w:rPr>
          <w:t>合成超级增强子实现精确病毒免疫疗法</w:t>
        </w:r>
      </w:hyperlink>
    </w:p>
    <w:p>
      <w:pPr>
        <w:spacing w:before="0" w:after="80"/>
      </w:pPr>
      <w:r>
        <w:rPr>
          <w:i/>
          <w:sz w:val="20"/>
        </w:rPr>
        <w:t>EN: Synthetic super-enhancers enable precision viral immunotherapy</w:t>
      </w:r>
    </w:p>
    <w:p>
      <w:pPr>
        <w:spacing w:before="0" w:after="120"/>
      </w:pPr>
      <w:r>
        <w:rPr>
          <w:b/>
        </w:rPr>
        <w:t xml:space="preserve">Source: </w:t>
      </w:r>
      <w:r>
        <w:t>Nature</w:t>
      </w:r>
      <w:r>
        <w:t xml:space="preserve">    </w:t>
      </w:r>
      <w:r>
        <w:rPr>
          <w:b/>
        </w:rPr>
        <w:t xml:space="preserve">Pub date: </w:t>
      </w:r>
      <w:r>
        <w:t>2026-04-08 00:00:00+00:00</w:t>
      </w:r>
      <w:r>
        <w:t xml:space="preserve">    </w:t>
      </w:r>
      <w:r>
        <w:rPr>
          <w:b/>
        </w:rPr>
        <w:t xml:space="preserve">DOI: </w:t>
      </w:r>
      <w:hyperlink r:id="rId653">
        <w:r>
          <w:rPr>
            <w:color w:val="1155CC"/>
            <w:u w:val="single"/>
          </w:rPr>
          <w:t>10.1038/s41586-026-10329-6</w:t>
        </w:r>
      </w:hyperlink>
    </w:p>
    <w:p>
      <w:pPr>
        <w:spacing w:before="0" w:after="120"/>
      </w:pPr>
      <w:r>
        <w:rPr>
          <w:b/>
        </w:rPr>
        <w:t xml:space="preserve">Notes: </w:t>
      </w:r>
      <w:r>
        <w:t>abstract_source=nature_html</w:t>
      </w:r>
    </w:p>
    <w:p>
      <w:pPr>
        <w:spacing w:before="0" w:after="80" w:lineRule="auto" w:line="276"/>
      </w:pPr>
      <w:r>
        <w:rPr>
          <w:b/>
        </w:rPr>
        <w:t xml:space="preserve">摘要（ZH）: </w:t>
      </w:r>
      <w:r>
        <w:t>细胞类型特异性启动子在基因治疗中用于限制治疗性载荷的表达。然而，这些启动子通常具有次优的强度、选择性和大小。在此，利用最近对增强子功能的见解，我们通过将功能验证的增强子片段组装成多部分阵列，开发了合成超级增强子（SSEs）。专注于胶质母细胞瘤干细胞（GSCs）中的核心SOX2驱动和SOX9驱动的转录调控网络，我们设计了具有强大活性和高选择性的SSEs。单细胞分析、生化分析和基因组结合数据表明，SSEs整合了神经发育和信号状态转录因子，以触发大规模多聚转录因子复合物的形成。</w:t>
      </w:r>
    </w:p>
    <w:p>
      <w:pPr>
        <w:spacing w:before="0" w:after="200" w:lineRule="auto" w:line="276"/>
      </w:pPr>
      <w:r>
        <w:rPr>
          <w:b/>
        </w:rPr>
        <w:t xml:space="preserve">Abstract (EN): </w:t>
      </w:r>
      <w:r>
        <w:t>Cell-type-specific promoters are used in gene therapy to restrict expression of the therapeutic payload. However, these promoters often have suboptimal strength, selectivity and size. Here, leveraging recent insights into the function of enhancers, we developed synthetic super-enhancers (SSEs) by assembling functionally validated enhancer fragments into multipart arrays. Focusing on the core SOX2-driven and SOX9-driven transcriptional regulatory network in glioblastoma stem cells (GSCs)1, we engineered SSEs with robust activity and high selectivity. Single-cell profiling, biochemical analyses and genome-binding data indicated that SSEs integrate neurodevelopmental and signalling-state transcription factors to trigger the formation of large multimeric complexes of transcription factors. Moreover, GSC-selective expression of a combination of cytotoxic (HSV-TK and ganciclovir) and immunomodulatory (IL-12) payloads, delivered using adeno-associated virus vectors, as a single treatment led to curative outcomes in a mouse model of aggressive glioblastoma. Notably, IL-12 induced an immunological memory that prevented tumour recurrence. The activity and selectivity of the adeno-associated virus and SSE were validated using primary human glioblastoma tissue and normal cortex samples. In summary, SSEs harness the unique core transcriptional programs that define the GSC phenotype and enable precision immune activation. This approach may have broader applications in other contexts when precise control of transgene expression in specific cell states is necessary.</w:t>
      </w:r>
    </w:p>
    <w:p>
      <w:pPr>
        <w:spacing w:before="120" w:after="120"/>
      </w:pPr>
      <w:r>
        <w:rPr>
          <w:sz w:val="18"/>
        </w:rPr>
        <w:t>——————————————————————————————————————————————————————————————————————</w:t>
      </w:r>
    </w:p>
    <w:p>
      <w:pPr>
        <w:spacing w:before="160" w:after="40" w:line="240" w:lineRule="auto"/>
      </w:pPr>
      <w:r>
        <w:rPr>
          <w:b/>
        </w:rPr>
        <w:t xml:space="preserve">[265] </w:t>
      </w:r>
      <w:hyperlink r:id="rId654">
        <w:r>
          <w:rPr>
            <w:color w:val="1155CC"/>
            <w:u w:val="single"/>
          </w:rPr>
          <w:t>遗传学揭示人们对GLP-1减肥药物反应不同的原因</w:t>
        </w:r>
      </w:hyperlink>
    </w:p>
    <w:p>
      <w:pPr>
        <w:spacing w:before="0" w:after="80"/>
      </w:pPr>
      <w:r>
        <w:rPr>
          <w:i/>
          <w:sz w:val="20"/>
        </w:rPr>
        <w:t>EN: Genetics reveal why people respond differently to GLP-1 weight-loss drugs</w:t>
      </w:r>
    </w:p>
    <w:p>
      <w:pPr>
        <w:spacing w:before="0" w:after="120"/>
      </w:pPr>
      <w:r>
        <w:rPr>
          <w:b/>
        </w:rPr>
        <w:t xml:space="preserve">Source: </w:t>
      </w:r>
      <w:r>
        <w:t>Nature</w:t>
      </w:r>
      <w:r>
        <w:t xml:space="preserve">    </w:t>
      </w:r>
      <w:r>
        <w:rPr>
          <w:b/>
        </w:rPr>
        <w:t xml:space="preserve">Pub date: </w:t>
      </w:r>
      <w:r>
        <w:t>2026-04-08 00:00:00+00:00</w:t>
      </w:r>
      <w:r>
        <w:t xml:space="preserve">    </w:t>
      </w:r>
      <w:r>
        <w:rPr>
          <w:b/>
        </w:rPr>
        <w:t xml:space="preserve">DOI: </w:t>
      </w:r>
      <w:hyperlink r:id="rId655">
        <w:r>
          <w:rPr>
            <w:color w:val="1155CC"/>
            <w:u w:val="single"/>
          </w:rPr>
          <w:t>10.1038/d41586-026-00905-1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[266] </w:t>
      </w:r>
      <w:hyperlink r:id="rId656">
        <w:r>
          <w:rPr>
            <w:color w:val="1155CC"/>
            <w:u w:val="single"/>
          </w:rPr>
          <w:t>当职业焦虑变成游戏：来自中国“青年教师模拟器”的教训</w:t>
        </w:r>
      </w:hyperlink>
    </w:p>
    <w:p>
      <w:pPr>
        <w:spacing w:before="0" w:after="80"/>
      </w:pPr>
      <w:r>
        <w:rPr>
          <w:i/>
          <w:sz w:val="20"/>
        </w:rPr>
        <w:t>EN: When career anxiety becomes gameplay: lessons from China’s ‘young-faculty simulator’</w:t>
      </w:r>
    </w:p>
    <w:p>
      <w:pPr>
        <w:spacing w:before="0" w:after="120"/>
      </w:pPr>
      <w:r>
        <w:rPr>
          <w:b/>
        </w:rPr>
        <w:t xml:space="preserve">Source: </w:t>
      </w:r>
      <w:r>
        <w:t>Nature</w:t>
      </w:r>
      <w:r>
        <w:t xml:space="preserve">    </w:t>
      </w:r>
      <w:r>
        <w:rPr>
          <w:b/>
        </w:rPr>
        <w:t xml:space="preserve">Pub date: </w:t>
      </w:r>
      <w:r>
        <w:t>2026-04-08 00:00:00+00:00</w:t>
      </w:r>
      <w:r>
        <w:t xml:space="preserve">    </w:t>
      </w:r>
      <w:r>
        <w:rPr>
          <w:b/>
        </w:rPr>
        <w:t xml:space="preserve">DOI: </w:t>
      </w:r>
      <w:hyperlink r:id="rId657">
        <w:r>
          <w:rPr>
            <w:color w:val="1155CC"/>
            <w:u w:val="single"/>
          </w:rPr>
          <w:t>10.1038/d41586-026-00224-5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[267] </w:t>
      </w:r>
      <w:hyperlink r:id="rId658">
        <w:r>
          <w:rPr>
            <w:color w:val="1155CC"/>
            <w:u w:val="single"/>
          </w:rPr>
          <w:t>脑类器官是一项变革性技术——但它们需要监管</w:t>
        </w:r>
      </w:hyperlink>
    </w:p>
    <w:p>
      <w:pPr>
        <w:spacing w:before="0" w:after="80"/>
      </w:pPr>
      <w:r>
        <w:rPr>
          <w:i/>
          <w:sz w:val="20"/>
        </w:rPr>
        <w:t>EN: Brain organoids are a transformative technology — but they need regulation</w:t>
      </w:r>
    </w:p>
    <w:p>
      <w:pPr>
        <w:spacing w:before="0" w:after="120"/>
      </w:pPr>
      <w:r>
        <w:rPr>
          <w:b/>
        </w:rPr>
        <w:t xml:space="preserve">Source: </w:t>
      </w:r>
      <w:r>
        <w:t>Nature</w:t>
      </w:r>
      <w:r>
        <w:t xml:space="preserve">    </w:t>
      </w:r>
      <w:r>
        <w:rPr>
          <w:b/>
        </w:rPr>
        <w:t xml:space="preserve">Pub date: </w:t>
      </w:r>
      <w:r>
        <w:t>2026-04-08 00:00:00+00:00</w:t>
      </w:r>
      <w:r>
        <w:t xml:space="preserve">    </w:t>
      </w:r>
      <w:r>
        <w:rPr>
          <w:b/>
        </w:rPr>
        <w:t xml:space="preserve">DOI: </w:t>
      </w:r>
      <w:hyperlink r:id="rId659">
        <w:r>
          <w:rPr>
            <w:color w:val="1155CC"/>
            <w:u w:val="single"/>
          </w:rPr>
          <w:t>10.1038/d41586-026-01021-w</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[268] </w:t>
      </w:r>
      <w:hyperlink r:id="rId660">
        <w:r>
          <w:rPr>
            <w:color w:val="1155CC"/>
            <w:u w:val="single"/>
          </w:rPr>
          <w:t>改善中国的山水工程：其可持续发展的战略路径</w:t>
        </w:r>
      </w:hyperlink>
    </w:p>
    <w:p>
      <w:pPr>
        <w:spacing w:before="0" w:after="80"/>
      </w:pPr>
      <w:r>
        <w:rPr>
          <w:i/>
          <w:sz w:val="20"/>
        </w:rPr>
        <w:t>EN: Improvement of China’s Shan-Shui Initiative: Strategic Pathways for Its Sustainable Development</w:t>
      </w:r>
    </w:p>
    <w:p>
      <w:pPr>
        <w:spacing w:before="0" w:after="120"/>
      </w:pPr>
      <w:r>
        <w:rPr>
          <w:b/>
        </w:rPr>
        <w:t xml:space="preserve">Source: </w:t>
      </w:r>
      <w:r>
        <w:t>National Science Review Advance Access</w:t>
      </w:r>
      <w:r>
        <w:t xml:space="preserve">    </w:t>
      </w:r>
      <w:r>
        <w:rPr>
          <w:b/>
        </w:rPr>
        <w:t xml:space="preserve">Pub date: </w:t>
      </w:r>
      <w:r>
        <w:t>2026-04-08 00:00:00+00:00</w:t>
      </w:r>
      <w:r>
        <w:t xml:space="preserve">    </w:t>
      </w:r>
      <w:r>
        <w:rPr>
          <w:b/>
        </w:rPr>
        <w:t xml:space="preserve">DOI: </w:t>
      </w:r>
      <w:hyperlink r:id="rId661">
        <w:r>
          <w:rPr>
            <w:color w:val="1155CC"/>
            <w:u w:val="single"/>
          </w:rPr>
          <w:t>10.1093/nsr/nwag215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[269] </w:t>
      </w:r>
      <w:hyperlink r:id="rId662">
        <w:r>
          <w:rPr>
            <w:color w:val="1155CC"/>
            <w:u w:val="single"/>
          </w:rPr>
          <w:t>电化学数据在预测电池寿命和故障方面的限制</w:t>
        </w:r>
      </w:hyperlink>
    </w:p>
    <w:p>
      <w:pPr>
        <w:spacing w:before="0" w:after="80"/>
      </w:pPr>
      <w:r>
        <w:rPr>
          <w:i/>
          <w:sz w:val="20"/>
        </w:rPr>
        <w:t>EN: Limits of electrochemical data for predicting battery lifetime and failure</w:t>
      </w:r>
    </w:p>
    <w:p>
      <w:pPr>
        <w:spacing w:before="0" w:after="120"/>
      </w:pPr>
      <w:r>
        <w:rPr>
          <w:b/>
        </w:rPr>
        <w:t xml:space="preserve">Source: </w:t>
      </w:r>
      <w:r>
        <w:t>Joule</w:t>
      </w:r>
      <w:r>
        <w:t xml:space="preserve">    </w:t>
      </w:r>
      <w:r>
        <w:rPr>
          <w:b/>
        </w:rPr>
        <w:t xml:space="preserve">Pub date: </w:t>
      </w:r>
      <w:r>
        <w:t>2026-04-08 00:00:00+00:00</w:t>
      </w:r>
      <w:r>
        <w:t xml:space="preserve">    </w:t>
      </w:r>
      <w:r>
        <w:rPr>
          <w:b/>
        </w:rPr>
        <w:t xml:space="preserve">DOI: </w:t>
      </w:r>
      <w:hyperlink r:id="rId663">
        <w:r>
          <w:rPr>
            <w:color w:val="1155CC"/>
            <w:u w:val="single"/>
          </w:rPr>
          <w:t>10.1016/j.joule.2026.102423</w:t>
        </w:r>
      </w:hyperlink>
    </w:p>
    <w:p>
      <w:pPr>
        <w:spacing w:before="0" w:after="120"/>
      </w:pPr>
      <w:r>
        <w:rPr>
          <w:b/>
        </w:rPr>
        <w:t xml:space="preserve">Notes: </w:t>
      </w:r>
      <w:r>
        <w:t>abstract_source=rss_cell</w:t>
      </w:r>
    </w:p>
    <w:p>
      <w:pPr>
        <w:spacing w:before="0" w:after="80" w:lineRule="auto" w:line="276"/>
      </w:pPr>
      <w:r>
        <w:rPr>
          <w:b/>
        </w:rPr>
        <w:t xml:space="preserve">摘要（ZH）: </w:t>
      </w:r>
      <w:r>
        <w:t>这项工作强调了仅使用电化学数据源进行电池寿命和故障早期预测的局限性。电化学数据是当前电池寿命预测研究的主要输入，但许多关键的电池故障模式需要非电化学数据源来获取早期预测所需的信息。因此，基于AI的电池寿命预测需要多模态数据和多模态学习策略。</w:t>
      </w:r>
    </w:p>
    <w:p>
      <w:pPr>
        <w:spacing w:before="0" w:after="200" w:lineRule="auto" w:line="276"/>
      </w:pPr>
      <w:r>
        <w:rPr>
          <w:b/>
        </w:rPr>
        <w:t xml:space="preserve">Abstract (EN): </w:t>
      </w:r>
      <w:r>
        <w:t>This work highlights the limits of using only electrochemical data sources for early prediction of battery lifetime and failure. Electrochemical data is the primary input for battery lifetime prediction studies today, but many key battery failure modes require non-electrochemical data sources to obtain the necessary information for early prediction. Thus, AI-based battery lifetime prediction requires both multimodal data and multimodal learning strategies.</w:t>
      </w:r>
    </w:p>
    <w:p>
      <w:pPr>
        <w:spacing w:before="120" w:after="120"/>
      </w:pPr>
      <w:r>
        <w:rPr>
          <w:sz w:val="18"/>
        </w:rPr>
        <w:t>——————————————————————————————————————————————————————————————————————</w:t>
      </w:r>
    </w:p>
    <w:p>
      <w:pPr>
        <w:spacing w:before="160" w:after="40" w:line="240" w:lineRule="auto"/>
      </w:pPr>
      <w:r>
        <w:rPr>
          <w:b/>
        </w:rPr>
        <w:t xml:space="preserve">[270] </w:t>
      </w:r>
      <w:hyperlink r:id="rId664">
        <w:r>
          <w:rPr>
            <w:color w:val="1155CC"/>
            <w:u w:val="single"/>
          </w:rPr>
          <w:t>自焚</w:t>
        </w:r>
      </w:hyperlink>
    </w:p>
    <w:p>
      <w:pPr>
        <w:spacing w:before="0" w:after="80"/>
      </w:pPr>
      <w:r>
        <w:rPr>
          <w:i/>
          <w:sz w:val="20"/>
        </w:rPr>
        <w:t>EN: Immolation</w:t>
      </w:r>
    </w:p>
    <w:p>
      <w:pPr>
        <w:spacing w:before="0" w:after="120"/>
      </w:pPr>
      <w:r>
        <w:rPr>
          <w:b/>
        </w:rPr>
        <w:t xml:space="preserve">Source: </w:t>
      </w:r>
      <w:r>
        <w:t>Nature</w:t>
      </w:r>
      <w:r>
        <w:t xml:space="preserve">    </w:t>
      </w:r>
      <w:r>
        <w:rPr>
          <w:b/>
        </w:rPr>
        <w:t xml:space="preserve">Pub date: </w:t>
      </w:r>
      <w:r>
        <w:t>2026-04-08 00:00:00+00:00</w:t>
      </w:r>
      <w:r>
        <w:t xml:space="preserve">    </w:t>
      </w:r>
      <w:r>
        <w:rPr>
          <w:b/>
        </w:rPr>
        <w:t xml:space="preserve">DOI: </w:t>
      </w:r>
      <w:hyperlink r:id="rId665">
        <w:r>
          <w:rPr>
            <w:color w:val="1155CC"/>
            <w:u w:val="single"/>
          </w:rPr>
          <w:t>10.1038/d41586-026-01039-0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[271] </w:t>
      </w:r>
      <w:hyperlink r:id="rId666">
        <w:r>
          <w:rPr>
            <w:color w:val="1155CC"/>
            <w:u w:val="single"/>
          </w:rPr>
          <w:t>为什么肥胖药物对某些人更有效：这些基因提供线索</w:t>
        </w:r>
      </w:hyperlink>
    </w:p>
    <w:p>
      <w:pPr>
        <w:spacing w:before="0" w:after="80"/>
      </w:pPr>
      <w:r>
        <w:rPr>
          <w:i/>
          <w:sz w:val="20"/>
        </w:rPr>
        <w:t>EN: Why obesity drugs work better for some people: these genes hold clues</w:t>
      </w:r>
    </w:p>
    <w:p>
      <w:pPr>
        <w:spacing w:before="0" w:after="120"/>
      </w:pPr>
      <w:r>
        <w:rPr>
          <w:b/>
        </w:rPr>
        <w:t xml:space="preserve">Source: </w:t>
      </w:r>
      <w:r>
        <w:t>Nature</w:t>
      </w:r>
      <w:r>
        <w:t xml:space="preserve">    </w:t>
      </w:r>
      <w:r>
        <w:rPr>
          <w:b/>
        </w:rPr>
        <w:t xml:space="preserve">Pub date: </w:t>
      </w:r>
      <w:r>
        <w:t>2026-04-08 00:00:00+00:00</w:t>
      </w:r>
      <w:r>
        <w:t xml:space="preserve">    </w:t>
      </w:r>
      <w:r>
        <w:rPr>
          <w:b/>
        </w:rPr>
        <w:t xml:space="preserve">DOI: </w:t>
      </w:r>
      <w:hyperlink r:id="rId667">
        <w:r>
          <w:rPr>
            <w:color w:val="1155CC"/>
            <w:u w:val="single"/>
          </w:rPr>
          <w:t>10.1038/d41586-026-01107-5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[272] </w:t>
      </w:r>
      <w:hyperlink r:id="rId668">
        <w:r>
          <w:rPr>
            <w:color w:val="1155CC"/>
            <w:u w:val="single"/>
          </w:rPr>
          <w:t>W玻色子质量的高精度测量为标准模型增重</w:t>
        </w:r>
      </w:hyperlink>
    </w:p>
    <w:p>
      <w:pPr>
        <w:spacing w:before="0" w:after="80"/>
      </w:pPr>
      <w:r>
        <w:rPr>
          <w:i/>
          <w:sz w:val="20"/>
        </w:rPr>
        <w:t>EN: High-precision measurement of the W boson’s mass lends weight to the standard model</w:t>
      </w:r>
    </w:p>
    <w:p>
      <w:pPr>
        <w:spacing w:before="0" w:after="120"/>
      </w:pPr>
      <w:r>
        <w:rPr>
          <w:b/>
        </w:rPr>
        <w:t xml:space="preserve">Source: </w:t>
      </w:r>
      <w:r>
        <w:t>Nature</w:t>
      </w:r>
      <w:r>
        <w:t xml:space="preserve">    </w:t>
      </w:r>
      <w:r>
        <w:rPr>
          <w:b/>
        </w:rPr>
        <w:t xml:space="preserve">Pub date: </w:t>
      </w:r>
      <w:r>
        <w:t>2026-04-08 00:00:00+00:00</w:t>
      </w:r>
      <w:r>
        <w:t xml:space="preserve">    </w:t>
      </w:r>
      <w:r>
        <w:rPr>
          <w:b/>
        </w:rPr>
        <w:t xml:space="preserve">DOI: </w:t>
      </w:r>
      <w:hyperlink r:id="rId669">
        <w:r>
          <w:rPr>
            <w:color w:val="1155CC"/>
            <w:u w:val="single"/>
          </w:rPr>
          <w:t>10.1038/d41586-026-00630-9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[273] </w:t>
      </w:r>
      <w:hyperlink r:id="rId670">
        <w:r>
          <w:rPr>
            <w:color w:val="1155CC"/>
            <w:u w:val="single"/>
          </w:rPr>
          <w:t>现实版宝可梦教授招聘：为什么媒体特许经营正在雇用学者</w:t>
        </w:r>
      </w:hyperlink>
    </w:p>
    <w:p>
      <w:pPr>
        <w:spacing w:before="0" w:after="80"/>
      </w:pPr>
      <w:r>
        <w:rPr>
          <w:i/>
          <w:sz w:val="20"/>
        </w:rPr>
        <w:t>EN: Real-life Pokémon professors wanted: why the media franchise is hiring academics</w:t>
      </w:r>
    </w:p>
    <w:p>
      <w:pPr>
        <w:spacing w:before="0" w:after="120"/>
      </w:pPr>
      <w:r>
        <w:rPr>
          <w:b/>
        </w:rPr>
        <w:t xml:space="preserve">Source: </w:t>
      </w:r>
      <w:r>
        <w:t>Nature</w:t>
      </w:r>
      <w:r>
        <w:t xml:space="preserve">    </w:t>
      </w:r>
      <w:r>
        <w:rPr>
          <w:b/>
        </w:rPr>
        <w:t xml:space="preserve">Pub date: </w:t>
      </w:r>
      <w:r>
        <w:t>2026-04-08 00:00:00+00:00</w:t>
      </w:r>
      <w:r>
        <w:t xml:space="preserve">    </w:t>
      </w:r>
      <w:r>
        <w:rPr>
          <w:b/>
        </w:rPr>
        <w:t xml:space="preserve">DOI: </w:t>
      </w:r>
      <w:hyperlink r:id="rId671">
        <w:r>
          <w:rPr>
            <w:color w:val="1155CC"/>
            <w:u w:val="single"/>
          </w:rPr>
          <w:t>10.1038/d41586-026-00960-8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[274] </w:t>
      </w:r>
      <w:hyperlink r:id="rId672">
        <w:r>
          <w:rPr>
            <w:color w:val="1155CC"/>
            <w:u w:val="single"/>
          </w:rPr>
          <w:t>阿尔忒弥斯II依赖于欧洲科学：这对该地区的太空雄心意味着什么</w:t>
        </w:r>
      </w:hyperlink>
    </w:p>
    <w:p>
      <w:pPr>
        <w:spacing w:before="0" w:after="80"/>
      </w:pPr>
      <w:r>
        <w:rPr>
          <w:i/>
          <w:sz w:val="20"/>
        </w:rPr>
        <w:t>EN: Artemis II relied on European science: what that means for the region’s space ambitions</w:t>
      </w:r>
    </w:p>
    <w:p>
      <w:pPr>
        <w:spacing w:before="0" w:after="120"/>
      </w:pPr>
      <w:r>
        <w:rPr>
          <w:b/>
        </w:rPr>
        <w:t xml:space="preserve">Source: </w:t>
      </w:r>
      <w:r>
        <w:t>Nature</w:t>
      </w:r>
      <w:r>
        <w:t xml:space="preserve">    </w:t>
      </w:r>
      <w:r>
        <w:rPr>
          <w:b/>
        </w:rPr>
        <w:t xml:space="preserve">Pub date: </w:t>
      </w:r>
      <w:r>
        <w:t>2026-04-08 00:00:00+00:00</w:t>
      </w:r>
      <w:r>
        <w:t xml:space="preserve">    </w:t>
      </w:r>
      <w:r>
        <w:rPr>
          <w:b/>
        </w:rPr>
        <w:t xml:space="preserve">DOI: </w:t>
      </w:r>
      <w:hyperlink r:id="rId673">
        <w:r>
          <w:rPr>
            <w:color w:val="1155CC"/>
            <w:u w:val="single"/>
          </w:rPr>
          <w:t>10.1038/d41586-026-01013-w</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[275] </w:t>
      </w:r>
      <w:hyperlink r:id="rId674">
        <w:r>
          <w:rPr>
            <w:color w:val="1155CC"/>
            <w:u w:val="single"/>
          </w:rPr>
          <w:t>肿瘤陷阱：工程化增强子序列被用来杀死癌细胞</w:t>
        </w:r>
      </w:hyperlink>
    </w:p>
    <w:p>
      <w:pPr>
        <w:spacing w:before="0" w:after="80"/>
      </w:pPr>
      <w:r>
        <w:rPr>
          <w:i/>
          <w:sz w:val="20"/>
        </w:rPr>
        <w:t>EN: Tumour trap: engineered enhancer sequences enlisted to kill cancer cells</w:t>
      </w:r>
    </w:p>
    <w:p>
      <w:pPr>
        <w:spacing w:before="0" w:after="120"/>
      </w:pPr>
      <w:r>
        <w:rPr>
          <w:b/>
        </w:rPr>
        <w:t xml:space="preserve">Source: </w:t>
      </w:r>
      <w:r>
        <w:t>Nature</w:t>
      </w:r>
      <w:r>
        <w:t xml:space="preserve">    </w:t>
      </w:r>
      <w:r>
        <w:rPr>
          <w:b/>
        </w:rPr>
        <w:t xml:space="preserve">Pub date: </w:t>
      </w:r>
      <w:r>
        <w:t>2026-04-08 00:00:00+00:00</w:t>
      </w:r>
      <w:r>
        <w:t xml:space="preserve">    </w:t>
      </w:r>
      <w:r>
        <w:rPr>
          <w:b/>
        </w:rPr>
        <w:t xml:space="preserve">DOI: </w:t>
      </w:r>
      <w:hyperlink r:id="rId675">
        <w:r>
          <w:rPr>
            <w:color w:val="1155CC"/>
            <w:u w:val="single"/>
          </w:rPr>
          <w:t>10.1038/d41586-026-00812-5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[276] </w:t>
      </w:r>
      <w:hyperlink r:id="rId676">
        <w:r>
          <w:rPr>
            <w:color w:val="1155CC"/>
            <w:u w:val="single"/>
          </w:rPr>
          <w:t>卫星图像揭示人类夜间活动的日益波动</w:t>
        </w:r>
      </w:hyperlink>
    </w:p>
    <w:p>
      <w:pPr>
        <w:spacing w:before="0" w:after="80"/>
      </w:pPr>
      <w:r>
        <w:rPr>
          <w:i/>
          <w:sz w:val="20"/>
        </w:rPr>
        <w:t>EN: Satellite imagery reveals increasing volatility in human night-time activity</w:t>
      </w:r>
    </w:p>
    <w:p>
      <w:pPr>
        <w:spacing w:before="0" w:after="120"/>
      </w:pPr>
      <w:r>
        <w:rPr>
          <w:b/>
        </w:rPr>
        <w:t xml:space="preserve">Source: </w:t>
      </w:r>
      <w:r>
        <w:t>Nature</w:t>
      </w:r>
      <w:r>
        <w:t xml:space="preserve">    </w:t>
      </w:r>
      <w:r>
        <w:rPr>
          <w:b/>
        </w:rPr>
        <w:t xml:space="preserve">Pub date: </w:t>
      </w:r>
      <w:r>
        <w:t>2026-04-08 00:00:00+00:00</w:t>
      </w:r>
      <w:r>
        <w:t xml:space="preserve">    </w:t>
      </w:r>
      <w:r>
        <w:rPr>
          <w:b/>
        </w:rPr>
        <w:t xml:space="preserve">DOI: </w:t>
      </w:r>
      <w:hyperlink r:id="rId677">
        <w:r>
          <w:rPr>
            <w:color w:val="1155CC"/>
            <w:u w:val="single"/>
          </w:rPr>
          <w:t>10.1038/s41586-026-10260-w</w:t>
        </w:r>
      </w:hyperlink>
    </w:p>
    <w:p>
      <w:pPr>
        <w:spacing w:before="0" w:after="120"/>
      </w:pPr>
      <w:r>
        <w:rPr>
          <w:b/>
        </w:rPr>
        <w:t xml:space="preserve">Notes: </w:t>
      </w:r>
      <w:r>
        <w:t>abstract_source=nature_html</w:t>
      </w:r>
    </w:p>
    <w:p>
      <w:pPr>
        <w:spacing w:before="0" w:after="80" w:lineRule="auto" w:line="276"/>
      </w:pPr>
      <w:r>
        <w:rPr>
          <w:b/>
        </w:rPr>
        <w:t xml:space="preserve">摘要（ZH）: </w:t>
      </w:r>
      <w:r>
        <w:t>夜间人造光（ALAN）标志着人类的全球影响。然而，我们对其真实涨落的理解有限，通常基于时间聚合的卫星数据，这掩盖了更细微的动态。在此，使用每日夜间卫星图像和连续变化检测方法，我们创建了高频ALAN动态的全球地图（2014-2022年）。我们的研究结果挑战了光辐射变化主要是渐进和单向的普遍观点。相反，地球的夜灯出人意料地动态，特征是频繁且共存的亮化和暗化。平均而言，每个经历变化的位置在9年内经历了6.6次不同的变化。受这种波动性驱动，总ALAN变化的累积面积包括</w:t>
      </w:r>
    </w:p>
    <w:p>
      <w:pPr>
        <w:spacing w:before="0" w:after="200" w:lineRule="auto" w:line="276"/>
      </w:pPr>
      <w:r>
        <w:rPr>
          <w:b/>
        </w:rPr>
        <w:t xml:space="preserve">Abstract (EN): </w:t>
      </w:r>
      <w:r>
        <w:t>Artificial light at night (ALAN) marks the global impact of humanity1,2. Yet, our understanding of its true ebb and flow has been limited, often based on temporally aggregated satellite data that obscure finer dynamics. Here, using daily night-time satellite imagery3 and a continuous change detection approach4,5, we created global maps of high-frequency ALAN dynamics (2014–2022). Our findings challenge the prevailing perspective that changes in light radiance are largely gradual and unidirectional. Instead, the nightlights of Earth are surprisingly dynamic, characterized by frequent and coexisting brightening and dimming. On average, each location experiencing change underwent 6.6 distinct shifts over the 9 years. Driven by this volatility, the cumulative area of total ALAN change comprised 2.05 million km2 of abrupt changes and 19.04 million km2 of gradual changes. Brightening contributed a radiance increase equivalent to 34% of the 2014 global baseline, whereas dimming offset this by 18%. Notably, both brightening and dimming have markedly intensified over the past decade. This evidence of increasing volatility in human night-time activity provides an important dynamic dimension for understanding urban evolution, energy transitions, policy impacts and ecological consequences of rapidly changing illuminated nights.</w:t>
      </w:r>
    </w:p>
    <w:p>
      <w:pPr>
        <w:spacing w:before="120" w:after="120"/>
      </w:pPr>
      <w:r>
        <w:rPr>
          <w:sz w:val="18"/>
        </w:rPr>
        <w:t>——————————————————————————————————————————————————————————————————————</w:t>
      </w:r>
    </w:p>
    <w:p>
      <w:pPr>
        <w:spacing w:before="160" w:after="40" w:line="240" w:lineRule="auto"/>
      </w:pPr>
      <w:r>
        <w:rPr>
          <w:b/>
        </w:rPr>
        <w:t xml:space="preserve">[277] </w:t>
      </w:r>
      <w:hyperlink r:id="rId678">
        <w:r>
          <w:rPr>
            <w:color w:val="1155CC"/>
            <w:u w:val="single"/>
          </w:rPr>
          <w:t>年轻的热带森林有助于扭转生物多样性损失</w:t>
        </w:r>
      </w:hyperlink>
    </w:p>
    <w:p>
      <w:pPr>
        <w:spacing w:before="0" w:after="80"/>
      </w:pPr>
      <w:r>
        <w:rPr>
          <w:i/>
          <w:sz w:val="20"/>
        </w:rPr>
        <w:t>EN: Young tropical forests help to reverse biodiversity losses</w:t>
      </w:r>
    </w:p>
    <w:p>
      <w:pPr>
        <w:spacing w:before="0" w:after="120"/>
      </w:pPr>
      <w:r>
        <w:rPr>
          <w:b/>
        </w:rPr>
        <w:t xml:space="preserve">Source: </w:t>
      </w:r>
      <w:r>
        <w:t>Nature</w:t>
      </w:r>
      <w:r>
        <w:t xml:space="preserve">    </w:t>
      </w:r>
      <w:r>
        <w:rPr>
          <w:b/>
        </w:rPr>
        <w:t xml:space="preserve">Pub date: </w:t>
      </w:r>
      <w:r>
        <w:t>2026-04-08 00:00:00+00:00</w:t>
      </w:r>
      <w:r>
        <w:t xml:space="preserve">    </w:t>
      </w:r>
      <w:r>
        <w:rPr>
          <w:b/>
        </w:rPr>
        <w:t xml:space="preserve">DOI: </w:t>
      </w:r>
      <w:hyperlink r:id="rId679">
        <w:r>
          <w:rPr>
            <w:color w:val="1155CC"/>
            <w:u w:val="single"/>
          </w:rPr>
          <w:t>10.1038/d41586-026-00811-6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[278] </w:t>
      </w:r>
      <w:hyperlink r:id="rId680">
        <w:r>
          <w:rPr>
            <w:color w:val="1155CC"/>
            <w:u w:val="single"/>
          </w:rPr>
          <w:t>使用动态光学晶格中的量子比特双重子保护量子门</w:t>
        </w:r>
      </w:hyperlink>
    </w:p>
    <w:p>
      <w:pPr>
        <w:spacing w:before="0" w:after="80"/>
      </w:pPr>
      <w:r>
        <w:rPr>
          <w:i/>
          <w:sz w:val="20"/>
        </w:rPr>
        <w:t>EN: Protected quantum gates using qubit doublons in dynamical optical lattices</w:t>
      </w:r>
    </w:p>
    <w:p>
      <w:pPr>
        <w:spacing w:before="0" w:after="120"/>
      </w:pPr>
      <w:r>
        <w:rPr>
          <w:b/>
        </w:rPr>
        <w:t xml:space="preserve">Source: </w:t>
      </w:r>
      <w:r>
        <w:t>Nature</w:t>
      </w:r>
      <w:r>
        <w:t xml:space="preserve">    </w:t>
      </w:r>
      <w:r>
        <w:rPr>
          <w:b/>
        </w:rPr>
        <w:t xml:space="preserve">Pub date: </w:t>
      </w:r>
      <w:r>
        <w:t>2026-04-08 00:00:00+00:00</w:t>
      </w:r>
      <w:r>
        <w:t xml:space="preserve">    </w:t>
      </w:r>
      <w:r>
        <w:rPr>
          <w:b/>
        </w:rPr>
        <w:t xml:space="preserve">DOI: </w:t>
      </w:r>
      <w:hyperlink r:id="rId681">
        <w:r>
          <w:rPr>
            <w:color w:val="1155CC"/>
            <w:u w:val="single"/>
          </w:rPr>
          <w:t>10.1038/s41586-026-10285-1</w:t>
        </w:r>
      </w:hyperlink>
    </w:p>
    <w:p>
      <w:pPr>
        <w:spacing w:before="0" w:after="120"/>
      </w:pPr>
      <w:r>
        <w:rPr>
          <w:b/>
        </w:rPr>
        <w:t xml:space="preserve">Notes: </w:t>
      </w:r>
      <w:r>
        <w:t>abstract_source=nature_html</w:t>
      </w:r>
    </w:p>
    <w:p>
      <w:pPr>
        <w:spacing w:before="0" w:after="80" w:lineRule="auto" w:line="276"/>
      </w:pPr>
      <w:r>
        <w:rPr>
          <w:b/>
        </w:rPr>
        <w:t xml:space="preserve">摘要（ZH）: </w:t>
      </w:r>
      <w:r>
        <w:t>量子计算是现代科学中的一个核心挑战。光学晶格中的中性原子已成为领先的计算平台，碰撞门提供了一种稳定的量子逻辑机制1,2,3,4,5,6,7,8,9,10。然而，以前的实验将超冷碰撞视为一个动态微调的过程11,12,13,14,15,16,17,18,19,20,21,22，这掩盖了实现本质上稳健操作所需的基础量子几何和量子统计。在此，我们提出并实验演示了一种纯几何的双量子比特SWAP门，通过在动态光学晶格中瞬时填充费米子原子的量子比特双重态。由于这些双重态的存在以及费米子交换反对称性，使得实现双粒子量子</w:t>
      </w:r>
    </w:p>
    <w:p>
      <w:pPr>
        <w:spacing w:before="0" w:after="200" w:lineRule="auto" w:line="276"/>
      </w:pPr>
      <w:r>
        <w:rPr>
          <w:b/>
        </w:rPr>
        <w:t xml:space="preserve">Abstract (EN): </w:t>
      </w:r>
      <w:r>
        <w:t>Quantum computing represents a central challenge in modern science. Neutral atoms in optical lattices have emerged as a leading computing platform, with collisional gates offering a stable mechanism for quantum logic1,2,3,4,5,6,7,8,9,10. However, previous experiments have treated ultracold collisions as a dynamically fine-tuned process11,12,13,14,15,16,17,18,19,20,21,22, which obscures the underlying quantum geometry and quantum statistics crucial for realizing intrinsically robust operations. Here we propose and experimentally demonstrate a purely geometric two-qubit SWAP gate by transiently populating qubit doublon states of fermionic atoms in a dynamical optical lattice. The presence of these doublon states, together with fermionic exchange anti-symmetry, enables a two-particle quantum holonomy—a geometric evolution in which dynamical phases are absent23. This yields a gate mechanism that is intrinsically protected against fluctuations and inhomogeneities of the confining potentials. The resilience of the gate is further reinforced by time-reversal and chiral symmetries of the Hamiltonian. We experimentally validate this exceptional protection, achieving a loss-corrected amplitude fidelity of 99.91(7)% measured across the entire system consisting of more than 17,000 atom pairs. When combined with recently developed topological pumping methods for atom transport16, our results pave the way for large-scale, highly connected quantum processors. This work introduces a new model for quantum logic that transforms fundamental symmetries, including quantum statistics, into a powerful resource for fault-tolerant computation.</w:t>
      </w:r>
    </w:p>
    <w:p>
      <w:pPr>
        <w:spacing w:before="120" w:after="120"/>
      </w:pPr>
      <w:r>
        <w:rPr>
          <w:sz w:val="18"/>
        </w:rPr>
        <w:t>——————————————————————————————————————————————————————————————————————</w:t>
      </w:r>
    </w:p>
    <w:p>
      <w:pPr>
        <w:spacing w:before="160" w:after="40" w:line="240" w:lineRule="auto"/>
      </w:pPr>
      <w:r>
        <w:rPr>
          <w:b/>
        </w:rPr>
        <w:t xml:space="preserve">[279] </w:t>
      </w:r>
      <w:hyperlink r:id="rId682">
        <w:r>
          <w:rPr>
            <w:color w:val="1155CC"/>
            <w:u w:val="single"/>
          </w:rPr>
          <w:t>DNA损伤驱动锥虫抗原多样化</w:t>
        </w:r>
      </w:hyperlink>
    </w:p>
    <w:p>
      <w:pPr>
        <w:spacing w:before="0" w:after="80"/>
      </w:pPr>
      <w:r>
        <w:rPr>
          <w:i/>
          <w:sz w:val="20"/>
        </w:rPr>
        <w:t>EN: DNA damage drives antigen diversification in Trypanosoma brucei</w:t>
      </w:r>
    </w:p>
    <w:p>
      <w:pPr>
        <w:spacing w:before="0" w:after="120"/>
      </w:pPr>
      <w:r>
        <w:rPr>
          <w:b/>
        </w:rPr>
        <w:t xml:space="preserve">Source: </w:t>
      </w:r>
      <w:r>
        <w:t>Nature</w:t>
      </w:r>
      <w:r>
        <w:t xml:space="preserve">    </w:t>
      </w:r>
      <w:r>
        <w:rPr>
          <w:b/>
        </w:rPr>
        <w:t xml:space="preserve">Pub date: </w:t>
      </w:r>
      <w:r>
        <w:t>2026-04-08 00:00:00+00:00</w:t>
      </w:r>
      <w:r>
        <w:t xml:space="preserve">    </w:t>
      </w:r>
      <w:r>
        <w:rPr>
          <w:b/>
        </w:rPr>
        <w:t xml:space="preserve">DOI: </w:t>
      </w:r>
      <w:hyperlink r:id="rId683">
        <w:r>
          <w:rPr>
            <w:color w:val="1155CC"/>
            <w:u w:val="single"/>
          </w:rPr>
          <w:t>10.1038/s41586-026-10337-6</w:t>
        </w:r>
      </w:hyperlink>
    </w:p>
    <w:p>
      <w:pPr>
        <w:spacing w:before="0" w:after="120"/>
      </w:pPr>
      <w:r>
        <w:rPr>
          <w:b/>
        </w:rPr>
        <w:t xml:space="preserve">Notes: </w:t>
      </w:r>
      <w:r>
        <w:t>abstract_source=nature_html</w:t>
      </w:r>
    </w:p>
    <w:p>
      <w:pPr>
        <w:spacing w:before="0" w:after="80" w:lineRule="auto" w:line="276"/>
      </w:pPr>
      <w:r>
        <w:rPr>
          <w:b/>
        </w:rPr>
        <w:t xml:space="preserve">摘要（ZH）: </w:t>
      </w:r>
      <w:r>
        <w:t>抗原变异通过使用大量编码抗原的基因组库，使病原体能够逃避宿主抗体。许多病原体，包括非洲锥虫Trypanosoma brucei，通过基因组多样化扩展其抗原库。尽管有证据表明T. brucei依赖于生成新的变异表面糖蛋白（VSG）基因来维持慢性感染1,2,3,4，但缺乏可实验操作的工具来研究这一过程，导致其基础机制不明。在此，我们提出了一种高灵敏度的靶向测序方法来测量VSG多样化。使用这种方法，我们证明了在VSG编码序列中由Cas9引发的DNA双链断裂可以诱导RAD51和BRCA2依赖的VSG重组，模式为i</w:t>
      </w:r>
    </w:p>
    <w:p>
      <w:pPr>
        <w:spacing w:before="0" w:after="200" w:lineRule="auto" w:line="276"/>
      </w:pPr>
      <w:r>
        <w:rPr>
          <w:b/>
        </w:rPr>
        <w:t xml:space="preserve">Abstract (EN): </w:t>
      </w:r>
      <w:r>
        <w:t>Antigenic variation, using large genomic repertoires of antigen-encoding genes, allows pathogens to evade host antibody. Many pathogens, including the African trypanosome Trypanosoma brucei, extend their antigenic repertoire through genomic diversification. Although evidence suggests that T. brucei depends on the generation of new variant surface glycoprotein (VSG) genes to maintain a chronic infection1,2,3,4, a lack of experimentally tractable tools for studying this process has obscured its underlying mechanisms. Here we present a highly sensitive targeted sequencing approach for measuring VSG diversification. Using this method, we demonstrate that a Cas9-induced DNA double-strand break within the VSG coding sequence can induce RAD51- and BRCA2-dependent VSG recombination with patterns identical to those observed during infection. These newly generated VSGs are antigenically distinct from parental clones and thus capable of facilitating immune evasion. Together, these results provide insight into the mechanisms of VSG diversification and an experimental framework for studying the evolution of antigen repertoires in pathogenic microorganisms.</w:t>
      </w:r>
    </w:p>
    <w:p>
      <w:pPr>
        <w:spacing w:before="120" w:after="120"/>
      </w:pPr>
      <w:r>
        <w:rPr>
          <w:sz w:val="18"/>
        </w:rPr>
        <w:t>——————————————————————————————————————————————————————————————————————</w:t>
      </w:r>
    </w:p>
    <w:p>
      <w:pPr>
        <w:spacing w:before="160" w:after="40" w:line="240" w:lineRule="auto"/>
      </w:pPr>
      <w:r>
        <w:rPr>
          <w:b/>
        </w:rPr>
        <w:t xml:space="preserve">[280] </w:t>
      </w:r>
      <w:hyperlink r:id="rId684">
        <w:r>
          <w:rPr>
            <w:color w:val="1155CC"/>
            <w:u w:val="single"/>
          </w:rPr>
          <w:t>通过高分辨率映射孕期母胎界面</w:t>
        </w:r>
      </w:hyperlink>
    </w:p>
    <w:p>
      <w:pPr>
        <w:spacing w:before="0" w:after="80"/>
      </w:pPr>
      <w:r>
        <w:rPr>
          <w:i/>
          <w:sz w:val="20"/>
        </w:rPr>
        <w:t>EN: Mapping the maternal–fetal interface through pregnancy in high resolution</w:t>
      </w:r>
    </w:p>
    <w:p>
      <w:pPr>
        <w:spacing w:before="0" w:after="120"/>
      </w:pPr>
      <w:r>
        <w:rPr>
          <w:b/>
        </w:rPr>
        <w:t xml:space="preserve">Source: </w:t>
      </w:r>
      <w:r>
        <w:t>Nature</w:t>
      </w:r>
      <w:r>
        <w:t xml:space="preserve">    </w:t>
      </w:r>
      <w:r>
        <w:rPr>
          <w:b/>
        </w:rPr>
        <w:t xml:space="preserve">Pub date: </w:t>
      </w:r>
      <w:r>
        <w:t>2026-04-08 00:00:00+00:00</w:t>
      </w:r>
      <w:r>
        <w:t xml:space="preserve">    </w:t>
      </w:r>
      <w:r>
        <w:rPr>
          <w:b/>
        </w:rPr>
        <w:t xml:space="preserve">DOI: </w:t>
      </w:r>
      <w:hyperlink r:id="rId685">
        <w:r>
          <w:rPr>
            <w:color w:val="1155CC"/>
            <w:u w:val="single"/>
          </w:rPr>
          <w:t>10.1038/d41586-026-01037-2</w:t>
        </w:r>
      </w:hyperlink>
    </w:p>
    <w:p>
      <w:pPr>
        <w:spacing w:before="0" w:after="120"/>
      </w:pPr>
      <w:r>
        <w:rPr>
          <w:b/>
        </w:rPr>
        <w:t xml:space="preserve">Notes: </w:t>
      </w:r>
      <w:r>
        <w:t>abstract_source=openalex</w:t>
      </w:r>
    </w:p>
    <w:p>
      <w:pPr>
        <w:spacing w:before="0" w:after="80" w:lineRule="auto" w:line="276"/>
      </w:pPr>
      <w:r>
        <w:rPr>
          <w:b/>
        </w:rPr>
        <w:t xml:space="preserve">摘要（ZH）: </w:t>
      </w:r>
      <w:r>
        <w:t>胎盘——一种胎儿的临时器官——附着在母亲的子宫上，从中获取血液供应。现在，在这个连接处的单个细胞的高分辨率地图揭示了一些特定的细胞-细胞相互作用，并指出了在常见妊娠并发症中易受影响的细胞类型。对胎盘-子宫连接的研究已经描述了已知和以前未知的细胞类型和状态。</w:t>
      </w:r>
    </w:p>
    <w:p>
      <w:pPr>
        <w:spacing w:before="0" w:after="200" w:lineRule="auto" w:line="276"/>
      </w:pPr>
      <w:r>
        <w:rPr>
          <w:b/>
        </w:rPr>
        <w:t xml:space="preserve">Abstract (EN): </w:t>
      </w:r>
      <w:r>
        <w:t>The placenta — a temporary organ of the offspring — attaches to the mother’s uterus, from which it taps a blood supply. A high-resolution map of individual cells at this junction now reveals some of the specific cell–cell interactions involved and pinpoints cell types that are vulnerable in common pregnancy complications. A study of the placental–uterine connection has characterized known and previously unknown cell types and states.</w:t>
      </w:r>
    </w:p>
    <w:p>
      <w:pPr>
        <w:spacing w:before="120" w:after="120"/>
      </w:pPr>
      <w:r>
        <w:rPr>
          <w:sz w:val="18"/>
        </w:rPr>
        <w:t>——————————————————————————————————————————————————————————————————————</w:t>
      </w:r>
    </w:p>
    <w:p>
      <w:pPr>
        <w:spacing w:before="160" w:after="40" w:line="240" w:lineRule="auto"/>
      </w:pPr>
      <w:r>
        <w:rPr>
          <w:b/>
        </w:rPr>
        <w:t xml:space="preserve">[281] </w:t>
      </w:r>
      <w:hyperlink r:id="rId686">
        <w:r>
          <w:rPr>
            <w:color w:val="1155CC"/>
            <w:u w:val="single"/>
          </w:rPr>
          <w:t>具有费米子原子的高保真碰撞量子门</w:t>
        </w:r>
      </w:hyperlink>
    </w:p>
    <w:p>
      <w:pPr>
        <w:spacing w:before="0" w:after="80"/>
      </w:pPr>
      <w:r>
        <w:rPr>
          <w:i/>
          <w:sz w:val="20"/>
        </w:rPr>
        <w:t>EN: High-fidelity collisional quantum gates with fermionic atoms</w:t>
      </w:r>
    </w:p>
    <w:p>
      <w:pPr>
        <w:spacing w:before="0" w:after="120"/>
      </w:pPr>
      <w:r>
        <w:rPr>
          <w:b/>
        </w:rPr>
        <w:t xml:space="preserve">Source: </w:t>
      </w:r>
      <w:r>
        <w:t>Nature</w:t>
      </w:r>
      <w:r>
        <w:t xml:space="preserve">    </w:t>
      </w:r>
      <w:r>
        <w:rPr>
          <w:b/>
        </w:rPr>
        <w:t xml:space="preserve">Pub date: </w:t>
      </w:r>
      <w:r>
        <w:t>2026-04-08 00:00:00+00:00</w:t>
      </w:r>
      <w:r>
        <w:t xml:space="preserve">    </w:t>
      </w:r>
      <w:r>
        <w:rPr>
          <w:b/>
        </w:rPr>
        <w:t xml:space="preserve">DOI: </w:t>
      </w:r>
      <w:hyperlink r:id="rId687">
        <w:r>
          <w:rPr>
            <w:color w:val="1155CC"/>
            <w:u w:val="single"/>
          </w:rPr>
          <w:t>10.1038/s41586-026-10356-3</w:t>
        </w:r>
      </w:hyperlink>
    </w:p>
    <w:p>
      <w:pPr>
        <w:spacing w:before="0" w:after="120"/>
      </w:pPr>
      <w:r>
        <w:rPr>
          <w:b/>
        </w:rPr>
        <w:t xml:space="preserve">Notes: </w:t>
      </w:r>
      <w:r>
        <w:t>abstract_source=nature_html</w:t>
      </w:r>
    </w:p>
    <w:p>
      <w:pPr>
        <w:spacing w:before="0" w:after="80" w:lineRule="auto" w:line="276"/>
      </w:pPr>
      <w:r>
        <w:rPr>
          <w:b/>
        </w:rPr>
        <w:t xml:space="preserve">摘要（ZH）: </w:t>
      </w:r>
      <w:r>
        <w:t>电子结构和强关联量子相的量子模拟是量子计算最有前途的应用之一。这些计算受益于原生费米子编码1,2，强制执行费米子统计和守恒定律，如粒子数和磁化3，与门错误无关。虽然光学晶格中的超冷原子已成为强关联费米子物质的强大模拟器4,5,6,7，中性原子平台同时作为基于自旋的数字量子计算的多功能、可扩展架构出现8。统一这些能力需要高保真运动相干门用于费米子原子9,10,11，类似于玻色子系统中的碰撞门12,13，为可编程</w:t>
      </w:r>
    </w:p>
    <w:p>
      <w:pPr>
        <w:spacing w:before="0" w:after="200" w:lineRule="auto" w:line="276"/>
      </w:pPr>
      <w:r>
        <w:rPr>
          <w:b/>
        </w:rPr>
        <w:t xml:space="preserve">Abstract (EN): </w:t>
      </w:r>
      <w:r>
        <w:t>Quantum simulations of electronic structure and strongly correlated quantum phases are among the most promising applications of quantum computing. These computations benefit from native fermionic encodings1,2, enforcing fermionic statistics and conservation laws such as particle number and magnetization3 independent of gate errors. While ultracold atoms in optical lattices have become established as powerful analogue simulators of strongly correlated fermionic matter4,5,6,7, neutral-atom platforms have concurrently emerged as versatile, scalable architectures for spin-based digital quantum computation8. Unifying these capabilities requires high-fidelity motionally coherent gates for fermionic atoms9,10,11, similar to collisional gates in bosonic systems12,13, paving the way for programmable fermionic quantum processors. Here we demonstrate collisional entangling gates with fidelities up to 99.75(6)% and Bell-state lifetimes exceeding 10 s, realized by means of controlled interactions of fermionic atoms in an optical superlattice. Using quantum gas microscopy14, we microscopically characterize spin-exchange and pair-tunnelling gates and realize a robust composite pair-exchange gate, a key building block for quantum chemistry simulations3,15. Our results establish controlled collisions in optical lattices as a competitive and complementary route to high entangling gate fidelities in neutral-atom quantum computers. Operating intrinsically with fermions, this capability naturally extends to many-qubit architectures, in which fermionic statistics become relevant, enabling complex state preparation and advanced readout16,17,18,19 in scalable analogue–digital hybrid quantum simulators. Combined with local addressing20,21, these gates mark a crucial step towards a fully digital fermionic quantum computer based on controlled motion and entanglement of neutral atoms.</w:t>
      </w:r>
    </w:p>
    <w:p>
      <w:pPr>
        <w:spacing w:before="120" w:after="120"/>
      </w:pPr>
      <w:r>
        <w:rPr>
          <w:sz w:val="18"/>
        </w:rPr>
        <w:t>——————————————————————————————————————————————————————————————————————</w:t>
      </w:r>
    </w:p>
    <w:p>
      <w:pPr>
        <w:spacing w:before="160" w:after="40" w:line="240" w:lineRule="auto"/>
      </w:pPr>
      <w:r>
        <w:rPr>
          <w:b/>
        </w:rPr>
        <w:t xml:space="preserve">[282] </w:t>
      </w:r>
      <w:hyperlink r:id="rId688">
        <w:r>
          <w:rPr>
            <w:color w:val="1155CC"/>
            <w:u w:val="single"/>
          </w:rPr>
          <w:t>人类母胎界面的单细胞时空解剖</w:t>
        </w:r>
      </w:hyperlink>
    </w:p>
    <w:p>
      <w:pPr>
        <w:spacing w:before="0" w:after="80"/>
      </w:pPr>
      <w:r>
        <w:rPr>
          <w:i/>
          <w:sz w:val="20"/>
        </w:rPr>
        <w:t>EN: Single-cell spatiotemporal dissection of the human maternal–fetal interface</w:t>
      </w:r>
    </w:p>
    <w:p>
      <w:pPr>
        <w:spacing w:before="0" w:after="120"/>
      </w:pPr>
      <w:r>
        <w:rPr>
          <w:b/>
        </w:rPr>
        <w:t xml:space="preserve">Source: </w:t>
      </w:r>
      <w:r>
        <w:t>Nature</w:t>
      </w:r>
      <w:r>
        <w:t xml:space="preserve">    </w:t>
      </w:r>
      <w:r>
        <w:rPr>
          <w:b/>
        </w:rPr>
        <w:t xml:space="preserve">Pub date: </w:t>
      </w:r>
      <w:r>
        <w:t>2026-04-08 00:00:00+00:00</w:t>
      </w:r>
      <w:r>
        <w:t xml:space="preserve">    </w:t>
      </w:r>
      <w:r>
        <w:rPr>
          <w:b/>
        </w:rPr>
        <w:t xml:space="preserve">DOI: </w:t>
      </w:r>
      <w:hyperlink r:id="rId689">
        <w:r>
          <w:rPr>
            <w:color w:val="1155CC"/>
            <w:u w:val="single"/>
          </w:rPr>
          <w:t>10.1038/s41586-026-10316-x</w:t>
        </w:r>
      </w:hyperlink>
    </w:p>
    <w:p>
      <w:pPr>
        <w:spacing w:before="0" w:after="120"/>
      </w:pPr>
      <w:r>
        <w:rPr>
          <w:b/>
        </w:rPr>
        <w:t xml:space="preserve">Notes: </w:t>
      </w:r>
      <w:r>
        <w:t>abstract_source=nature_html</w:t>
      </w:r>
    </w:p>
    <w:p>
      <w:pPr>
        <w:spacing w:before="0" w:after="80" w:lineRule="auto" w:line="276"/>
      </w:pPr>
      <w:r>
        <w:rPr>
          <w:b/>
        </w:rPr>
        <w:t xml:space="preserve">摘要（ZH）: </w:t>
      </w:r>
      <w:r>
        <w:t>人类母胎界面以母体和胎儿细胞的镶嵌混合为特征1。然而，潜在的细胞、分子和空间程序仍未完全定义。在此，我们通过整合大规模配对的单核转录组和染色质可及性分析与亚微米分辨率的空间转录组学和CODEX多重蛋白成像2，生成了从早期妊娠到足月的正常妊娠人类母胎界面的综合图谱，大大提高了先前研究的时空分辨率3。该框架描绘了胎儿和母体区室中的常见和短暂细胞类型、状态和空间生态位，重建了指导细胞滋养层和蜕膜的转录程序。</w:t>
      </w:r>
    </w:p>
    <w:p>
      <w:pPr>
        <w:spacing w:before="0" w:after="200" w:lineRule="auto" w:line="276"/>
      </w:pPr>
      <w:r>
        <w:rPr>
          <w:b/>
        </w:rPr>
        <w:t xml:space="preserve">Abstract (EN): </w:t>
      </w:r>
      <w:r>
        <w:t>The human maternal–fetal interface is characterized by mosaic intermingling of maternal and fetal cells1. Yet the underlying cellular, molecular and spatial programmes remain incompletely defined. Here we generate a comprehensive atlas of the human maternal–fetal interface across normal pregnancies from early gestation to term by integrating large-scale paired single-nucleus transcriptomic and chromatin accessibility profiling with submicrometre-resolution spatial transcriptomics and CODEX multiplex protein imaging2, substantially boosting the spatiotemporal resolution of prior research3. This framework delineates common and transient cell types, states and spatial niches across the fetal and maternal compartments, reconstructs transcriptional programmes that guide cytotrophoblast and decidual stromal cell differentiation, and resolves recurrent architecture structural units that build this interface. We identify previously unrecognized arterial endothelial state transitions during cytotrophoblast-mediated spiral artery remodelling and develop a machine learning model that predicts cytotrophoblast invasiveness from transcriptomic signatures. We further discover a decidual stromal cell subtype that suppresses cytotrophoblast invasion via endocannabinoid signalling at the human maternal–fetal interface. By integrating the atlas with genome-wide association data, we pinpoint maternal and fetal cells that are most vulnerable to pre-eclampsia, preterm birth or miscarriage. This resource provides a comprehensive spatially resolved single-cell multiomic reference of the human placenta and decidua and offers a framework for decoding their normal and disordered development.</w:t>
      </w:r>
    </w:p>
    <w:p>
      <w:pPr>
        <w:spacing w:before="120" w:after="120"/>
      </w:pPr>
      <w:r>
        <w:rPr>
          <w:sz w:val="18"/>
        </w:rPr>
        <w:t>——————————————————————————————————————————————————————————————————————</w:t>
      </w:r>
    </w:p>
    <w:p>
      <w:pPr>
        <w:spacing w:before="160" w:after="40" w:line="240" w:lineRule="auto"/>
      </w:pPr>
      <w:r>
        <w:rPr>
          <w:b/>
        </w:rPr>
        <w:t xml:space="preserve">[283] </w:t>
      </w:r>
      <w:hyperlink r:id="rId690">
        <w:r>
          <w:rPr>
            <w:color w:val="1155CC"/>
            <w:u w:val="single"/>
          </w:rPr>
          <w:t>RNU4-2的饱和编辑揭示了不同的显性和隐性疾病</w:t>
        </w:r>
      </w:hyperlink>
    </w:p>
    <w:p>
      <w:pPr>
        <w:spacing w:before="0" w:after="80"/>
      </w:pPr>
      <w:r>
        <w:rPr>
          <w:i/>
          <w:sz w:val="20"/>
        </w:rPr>
        <w:t>EN: Saturation editing of RNU4-2 reveals distinct dominant and recessive disorders</w:t>
      </w:r>
    </w:p>
    <w:p>
      <w:pPr>
        <w:spacing w:before="0" w:after="120"/>
      </w:pPr>
      <w:r>
        <w:rPr>
          <w:b/>
        </w:rPr>
        <w:t xml:space="preserve">Source: </w:t>
      </w:r>
      <w:r>
        <w:t>Nature</w:t>
      </w:r>
      <w:r>
        <w:t xml:space="preserve">    </w:t>
      </w:r>
      <w:r>
        <w:rPr>
          <w:b/>
        </w:rPr>
        <w:t xml:space="preserve">Pub date: </w:t>
      </w:r>
      <w:r>
        <w:t>2026-04-08 00:00:00+00:00</w:t>
      </w:r>
      <w:r>
        <w:t xml:space="preserve">    </w:t>
      </w:r>
      <w:r>
        <w:rPr>
          <w:b/>
        </w:rPr>
        <w:t xml:space="preserve">DOI: </w:t>
      </w:r>
      <w:hyperlink r:id="rId691">
        <w:r>
          <w:rPr>
            <w:color w:val="1155CC"/>
            <w:u w:val="single"/>
          </w:rPr>
          <w:t>10.1038/s41586-026-10334-9</w:t>
        </w:r>
      </w:hyperlink>
    </w:p>
    <w:p>
      <w:pPr>
        <w:spacing w:before="0" w:after="120"/>
      </w:pPr>
      <w:r>
        <w:rPr>
          <w:b/>
        </w:rPr>
        <w:t xml:space="preserve">Notes: </w:t>
      </w:r>
      <w:r>
        <w:t>abstract_source=nature_html</w:t>
      </w:r>
    </w:p>
    <w:p>
      <w:pPr>
        <w:spacing w:before="0" w:after="80" w:lineRule="auto" w:line="276"/>
      </w:pPr>
      <w:r>
        <w:rPr>
          <w:b/>
        </w:rPr>
        <w:t xml:space="preserve">摘要（ZH）: </w:t>
      </w:r>
      <w:r>
        <w:t>最近，在RNU4-2中心的一个18个核苷酸区域内的de novo变体被证明会导致ReNU综合征，这是一种预测会影响全球数万人的综合性神经发育障碍1,2。RNU4-2是一个非蛋白编码基因，被转录为主要剪接体的U4小核RNA成分3。ReNU综合征变体破坏了剪接体功能并改变了5′剪接位点选择1,4。在此，我们对RNU4-2进行了饱和基因组编辑（SGE），以识别整个基因中变体的功能和临床影响。由变体对细胞适应性的影响得出的SGE功能评分，可以区分ReNU综合征变体与在人群中观察到的变体，并显著优于计算机模拟的变体效应预测。</w:t>
      </w:r>
    </w:p>
    <w:p>
      <w:pPr>
        <w:spacing w:before="0" w:after="200" w:lineRule="auto" w:line="276"/>
      </w:pPr>
      <w:r>
        <w:rPr>
          <w:b/>
        </w:rPr>
        <w:t xml:space="preserve">Abstract (EN): </w:t>
      </w:r>
      <w:r>
        <w:t>Recently, de novo variants in an 18-nucleotide region in the centre of RNU4-2 were shown to cause ReNU syndrome, a syndromic neurodevelopmental disorder that is predicted to affect tens of thousands of individuals worldwide1,2. RNU4-2 is a non-protein-coding gene that is transcribed into the U4 small nuclear RNA component of the major spliceosome3. ReNU syndrome variants disrupt spliceosome function and alter 5′ splice site selection1,4. Here we performed saturation genome editing (SGE) of RNU4-2 to identify the functional and clinical impact of variants across the entire gene. The resulting SGE function scores, derived from variants’ effects on cell fitness, discriminate ReNU syndrome variants from those observed in the population and markedly outperform in silico variant effect prediction. Using these data, we redefine the ReNU syndrome critical region at single-nucleotide resolution, resolve variant pathogenicity for variants of uncertain significance and show that SGE function scores delineate variants by phenotypic severity and the extent of observed splicing disruption. Furthermore, we identify variants affecting function in regions of RNU4-2 that are critical for interactions with other spliceosome components. We show that these variants cause a new recessive neurodevelopmental disorder that is distinct from ReNU syndrome. Together, this work defines the landscape of variant function across RNU4-2, providing critical insights for both diagnosis and therapeutic development.</w:t>
      </w:r>
    </w:p>
    <w:p>
      <w:pPr>
        <w:spacing w:before="120" w:after="120"/>
      </w:pPr>
      <w:r>
        <w:rPr>
          <w:sz w:val="18"/>
        </w:rPr>
        <w:t>——————————————————————————————————————————————————————————————————————</w:t>
      </w:r>
    </w:p>
    <w:p>
      <w:pPr>
        <w:spacing w:before="160" w:after="40" w:line="240" w:lineRule="auto"/>
      </w:pPr>
      <w:r>
        <w:rPr>
          <w:b/>
        </w:rPr>
        <w:t xml:space="preserve">[284] </w:t>
      </w:r>
      <w:hyperlink r:id="rId692">
        <w:r>
          <w:rPr>
            <w:color w:val="1155CC"/>
            <w:u w:val="single"/>
          </w:rPr>
          <w:t>GLP1受体激动剂减肥和副作用的遗传预测因子</w:t>
        </w:r>
      </w:hyperlink>
    </w:p>
    <w:p>
      <w:pPr>
        <w:spacing w:before="0" w:after="80"/>
      </w:pPr>
      <w:r>
        <w:rPr>
          <w:i/>
          <w:sz w:val="20"/>
        </w:rPr>
        <w:t>EN: Genetic predictors of GLP1 receptor agonist weight loss and side effects</w:t>
      </w:r>
    </w:p>
    <w:p>
      <w:pPr>
        <w:spacing w:before="0" w:after="120"/>
      </w:pPr>
      <w:r>
        <w:rPr>
          <w:b/>
        </w:rPr>
        <w:t xml:space="preserve">Source: </w:t>
      </w:r>
      <w:r>
        <w:t>Nature</w:t>
      </w:r>
      <w:r>
        <w:t xml:space="preserve">    </w:t>
      </w:r>
      <w:r>
        <w:rPr>
          <w:b/>
        </w:rPr>
        <w:t xml:space="preserve">Pub date: </w:t>
      </w:r>
      <w:r>
        <w:t>2026-04-08 00:00:00+00:00</w:t>
      </w:r>
      <w:r>
        <w:t xml:space="preserve">    </w:t>
      </w:r>
      <w:r>
        <w:rPr>
          <w:b/>
        </w:rPr>
        <w:t xml:space="preserve">DOI: </w:t>
      </w:r>
      <w:hyperlink r:id="rId693">
        <w:r>
          <w:rPr>
            <w:color w:val="1155CC"/>
            <w:u w:val="single"/>
          </w:rPr>
          <w:t>10.1038/s41586-026-10330-z</w:t>
        </w:r>
      </w:hyperlink>
    </w:p>
    <w:p>
      <w:pPr>
        <w:spacing w:before="0" w:after="120"/>
      </w:pPr>
      <w:r>
        <w:rPr>
          <w:b/>
        </w:rPr>
        <w:t xml:space="preserve">Notes: </w:t>
      </w:r>
      <w:r>
        <w:t>abstract_source=nature_html</w:t>
      </w:r>
    </w:p>
    <w:p>
      <w:pPr>
        <w:spacing w:before="0" w:after="80" w:lineRule="auto" w:line="276"/>
      </w:pPr>
      <w:r>
        <w:rPr>
          <w:b/>
        </w:rPr>
        <w:t xml:space="preserve">摘要（ZH）: </w:t>
      </w:r>
      <w:r>
        <w:t>胰高血糖素样肽1（GLP1）受体激动剂的发展，包括司美格鲁肽和替尔塞帕肽，已经改变了超重和肥胖的临床管理。然而，体重减轻效果和副作用发生率存在显著的个体差异1。为了研究这种差异的遗传基础，我们在27,885名接受GLP1受体激动剂治疗的人中进行了自我报告的体重减轻和治疗相关副作用的全基因组关联研究。我们发现GLP1R中的一个错义变体与GLP1药物的疗效显著增加相关（P = 2.9 × 10−10），每个效应等位基因预计额外减重0.76公斤。此外，我们还发现了与变异相关的关联。</w:t>
      </w:r>
    </w:p>
    <w:p>
      <w:pPr>
        <w:spacing w:before="0" w:after="200" w:lineRule="auto" w:line="276"/>
      </w:pPr>
      <w:r>
        <w:rPr>
          <w:b/>
        </w:rPr>
        <w:t xml:space="preserve">Abstract (EN): </w:t>
      </w:r>
      <w:r>
        <w:t>The development of glucagon-like peptide 1 (GLP1) receptor agonists, including semaglutide and tirzepatide, has transformed the clinical management of overweight and obesity. However, substantial inter-person variability exists in both weight loss efficacy and the incidence of side effects1. To investigate the genetic basis of this variability, here we conduct a genome-wide association study of self-reported weight loss and treatment-related side effects in 27,885 people following GLP1 receptor agonist therapy. We identify a missense variant in GLP1R that is associated significantly with increased efficacy of GLP1 medications (P = 2.9 × 10−10), with an additional −0.76 kg of weight loss expected per copy of the effect allele. Furthermore, we identify associations linking variation in both GLP1R and GIPR to GLP1 medication-related nausea or vomiting, with the GIPR association being restricted to people using tirzepatide. We incorporate these findings into a broader model of GLP1 medication response, and demonstrate the ability to stratify patients by efficacy and side effect risk. These findings provide direct genetic evidence that variation in the drug target genes contributes to inter-person variability in response and lay the foundation for precision medicine approaches in the treatment of obesity.</w:t>
      </w:r>
    </w:p>
    <w:p>
      <w:pPr>
        <w:spacing w:before="120" w:after="120"/>
      </w:pPr>
      <w:r>
        <w:rPr>
          <w:sz w:val="18"/>
        </w:rPr>
        <w:t>——————————————————————————————————————————————————————————————————————</w:t>
      </w:r>
    </w:p>
    <w:p>
      <w:pPr>
        <w:spacing w:before="160" w:after="40" w:line="240" w:lineRule="auto"/>
      </w:pPr>
      <w:r>
        <w:rPr>
          <w:b/>
        </w:rPr>
        <w:t xml:space="preserve">[285] </w:t>
      </w:r>
      <w:hyperlink r:id="rId694">
        <w:r>
          <w:rPr>
            <w:color w:val="1155CC"/>
            <w:u w:val="single"/>
          </w:rPr>
          <w:t>早二叠纪爬行动物木乃伊揭示了古代羊膜动物的呼吸装置</w:t>
        </w:r>
      </w:hyperlink>
    </w:p>
    <w:p>
      <w:pPr>
        <w:spacing w:before="0" w:after="80"/>
      </w:pPr>
      <w:r>
        <w:rPr>
          <w:i/>
          <w:sz w:val="20"/>
        </w:rPr>
        <w:t>EN: Mummified early Permian reptile reveals ancient amniote breathing apparatus</w:t>
      </w:r>
    </w:p>
    <w:p>
      <w:pPr>
        <w:spacing w:before="0" w:after="120"/>
      </w:pPr>
      <w:r>
        <w:rPr>
          <w:b/>
        </w:rPr>
        <w:t xml:space="preserve">Source: </w:t>
      </w:r>
      <w:r>
        <w:t>Nature</w:t>
      </w:r>
      <w:r>
        <w:t xml:space="preserve">    </w:t>
      </w:r>
      <w:r>
        <w:rPr>
          <w:b/>
        </w:rPr>
        <w:t xml:space="preserve">Pub date: </w:t>
      </w:r>
      <w:r>
        <w:t>2026-04-08 00:00:00+00:00</w:t>
      </w:r>
      <w:r>
        <w:t xml:space="preserve">    </w:t>
      </w:r>
      <w:r>
        <w:rPr>
          <w:b/>
        </w:rPr>
        <w:t xml:space="preserve">DOI: </w:t>
      </w:r>
      <w:hyperlink r:id="rId695">
        <w:r>
          <w:rPr>
            <w:color w:val="1155CC"/>
            <w:u w:val="single"/>
          </w:rPr>
          <w:t>10.1038/s41586-026-10307-y</w:t>
        </w:r>
      </w:hyperlink>
    </w:p>
    <w:p>
      <w:pPr>
        <w:spacing w:before="0" w:after="120"/>
      </w:pPr>
      <w:r>
        <w:rPr>
          <w:b/>
        </w:rPr>
        <w:t xml:space="preserve">Notes: </w:t>
      </w:r>
      <w:r>
        <w:t>abstract_source=nature_html</w:t>
      </w:r>
    </w:p>
    <w:p>
      <w:pPr>
        <w:spacing w:before="0" w:after="80" w:lineRule="auto" w:line="276"/>
      </w:pPr>
      <w:r>
        <w:rPr>
          <w:b/>
        </w:rPr>
        <w:t xml:space="preserve">摘要（ZH）: </w:t>
      </w:r>
      <w:r>
        <w:t>肋骨吸气呼吸是一种进化创新，对羊膜动物（哺乳动物、爬行动物、鸟类及其共同祖先）征服陆地领域至关重要1,2,3,4,5。现存的羊膜动物使用一个集成的胸骨架进行肋肌产生的吸气和呼气，与其无羊膜动物亲属显著不同，后者具有更被动的皮肤和口腔泵送形式的通气。这种差异延伸到古生代，但在缺乏软组织化石的情况下，这些呼吸模式之间的进化转变未被记录且大多不清楚6,7,8,9,10。在此，我们展示了木乃伊化的早二叠纪爬行动物Captorhinus，其包括三维皮肤覆盖、天然蛋白质残余和完整的骨架。</w:t>
      </w:r>
    </w:p>
    <w:p>
      <w:pPr>
        <w:spacing w:before="0" w:after="200" w:lineRule="auto" w:line="276"/>
      </w:pPr>
      <w:r>
        <w:rPr>
          <w:b/>
        </w:rPr>
        <w:t xml:space="preserve">Abstract (EN): </w:t>
      </w:r>
      <w:r>
        <w:t>Costal aspiration breathing was an evolutionary innovation that was fundamental to the conquest of the terrestrial realm by amniotes (mammals, reptiles, birds and their common ancestor)1,2,3,4,5. Extant amniotes use an integrated thoracic skeleton for costal-muscle-generated inhalation and exhalation, differing substantially from their anamniote relatives, which possess more passive cutaneous and buccal pumping forms of ventilation. This difference extends into the Palaeozoic era, but the evolutionary transformation between these modes of breathing is undocumented and largely unclear6,7,8,9,10 in the absence of soft tissue fossils. Here we present the mummified early Permian reptile Captorhinus, which includes a covering of three-dimensional skin, native protein remnants and a complete shoulder girdle and ribcage with preserved cartilages. These are the oldest-known preserved cartilages and protein remnants in a terrestrial vertebrate. High-resolution neutron computed tomography and histology data reveal previously undescribed structures, including the cartilaginous sternum, sternal ribs, rib extensions and epicoracoids. Our skeletal reconstruction of this ancient reptile reveals the precise relationships between the ribcage and the shoulder girdle, and their pivotal role in the evolution of terrestrial breathing and locomotor regimes11,12. This finding substantially changes expectations of soft tissue preservation in deep time to reveal the potential ancestral amniote breathing mechanism and its impact on terrestrial vertebrate evolution.</w:t>
      </w:r>
    </w:p>
    <w:p>
      <w:pPr>
        <w:spacing w:before="120" w:after="120"/>
      </w:pPr>
      <w:r>
        <w:rPr>
          <w:sz w:val="18"/>
        </w:rPr>
        <w:t>——————————————————————————————————————————————————————————————————————</w:t>
      </w:r>
    </w:p>
    <w:p>
      <w:pPr>
        <w:spacing w:before="160" w:after="40" w:line="240" w:lineRule="auto"/>
      </w:pPr>
      <w:r>
        <w:rPr>
          <w:b/>
        </w:rPr>
        <w:t xml:space="preserve">[286] </w:t>
      </w:r>
      <w:hyperlink r:id="rId696">
        <w:r>
          <w:rPr>
            <w:color w:val="1155CC"/>
            <w:u w:val="single"/>
          </w:rPr>
          <w:t>碱基编辑治疗β地中海贫血的临床应用</w:t>
        </w:r>
      </w:hyperlink>
    </w:p>
    <w:p>
      <w:pPr>
        <w:spacing w:before="0" w:after="80"/>
      </w:pPr>
      <w:r>
        <w:rPr>
          <w:i/>
          <w:sz w:val="20"/>
        </w:rPr>
        <w:t>EN: Clinical application of base editing for treating β-thalassaemia</w:t>
      </w:r>
    </w:p>
    <w:p>
      <w:pPr>
        <w:spacing w:before="0" w:after="120"/>
      </w:pPr>
      <w:r>
        <w:rPr>
          <w:b/>
        </w:rPr>
        <w:t xml:space="preserve">Source: </w:t>
      </w:r>
      <w:r>
        <w:t>Nature</w:t>
      </w:r>
      <w:r>
        <w:t xml:space="preserve">    </w:t>
      </w:r>
      <w:r>
        <w:rPr>
          <w:b/>
        </w:rPr>
        <w:t xml:space="preserve">Pub date: </w:t>
      </w:r>
      <w:r>
        <w:t>2026-04-08 00:00:00+00:00</w:t>
      </w:r>
      <w:r>
        <w:t xml:space="preserve">    </w:t>
      </w:r>
      <w:r>
        <w:rPr>
          <w:b/>
        </w:rPr>
        <w:t xml:space="preserve">DOI: </w:t>
      </w:r>
      <w:hyperlink r:id="rId697">
        <w:r>
          <w:rPr>
            <w:color w:val="1155CC"/>
            <w:u w:val="single"/>
          </w:rPr>
          <w:t>10.1038/s41586-026-10342-9</w:t>
        </w:r>
      </w:hyperlink>
    </w:p>
    <w:p>
      <w:pPr>
        <w:spacing w:before="0" w:after="120"/>
      </w:pPr>
      <w:r>
        <w:rPr>
          <w:b/>
        </w:rPr>
        <w:t xml:space="preserve">Notes: </w:t>
      </w:r>
      <w:r>
        <w:t>abstract_source=nature_html</w:t>
      </w:r>
    </w:p>
    <w:p>
      <w:pPr>
        <w:spacing w:before="0" w:after="80" w:lineRule="auto" w:line="276"/>
      </w:pPr>
      <w:r>
        <w:rPr>
          <w:b/>
        </w:rPr>
        <w:t xml:space="preserve">摘要（ZH）: </w:t>
      </w:r>
      <w:r>
        <w:t>β-地中海贫血是由于β-血红蛋白的减少或缺失生产引起的1,2,3,4。之前，我们使用转换基编辑器对来自β-地中海贫血患者的CD34+造血干细胞和祖细胞进行了实验室规模的电穿孔5,6。目的是靶向HBG1和HBG2启动子中转录抑制因子BCL11A的结合基序7，以重新激活胎儿血红蛋白（HbF）的生产。这里我们展示了一项1期临床试验的结果（ClinicalTrials.gov标识符：NCT06024876），该试验涉及五名接受临床规模（CS-101）转换基编辑器修饰的自体CD34+细胞的患者。在CS-101输注后中位随访23.0个月，中性粒细胞和血小板植入的中位时间分别为16天和25天。</w:t>
      </w:r>
    </w:p>
    <w:p>
      <w:pPr>
        <w:spacing w:before="0" w:after="200" w:lineRule="auto" w:line="276"/>
      </w:pPr>
      <w:r>
        <w:rPr>
          <w:b/>
        </w:rPr>
        <w:t xml:space="preserve">Abstract (EN): </w:t>
      </w:r>
      <w:r>
        <w:t>β-Thalassaemia is caused by reduced or absent production of β-haemoglobin1,2,3,4. Previously, we performed laboratory-scale electroporation of CD34+ haematopoietic stem and progenitor cells from patients with β-thalassaemia using a transformer base editor5,6. The aim was to target the binding motif of the transcription repressor BCL11A in the HBG1 and HBG2 promoters7 to reactivate fetal haemoglobin (HbF) production. Here we present results of a phase 1 clinical trial (ClinicalTrials.gov identifier: NCT06024876) of five patients who received autologous CD34+ cells modified using a transformer base editor at clinical scale (CS-101). With a median follow-up of 23.0 months after CS-101 infusion, the median times to neutrophil and platelet engraftment were 16 days and 25 days, respectively. Moreover, all patients had stopped red blood cell transfusions, with a median time to the last transfusion of 18 days after CS-101 infusion. The mean total haemoglobin and HbF concentrations were 12.4 ± 1.0 and 11.5 ± 0.9 g dl–1, respectively, at month 3 after infusion. These levels remained at similar or higher levels throughout the follow-up period, which indicated rapid haematopoietic reconstitution. The adverse events of CS-101 were generally consistent with those of busulfan myeloablative conditioning and autologous haematopoietic stem and progenitor cell transplantation. No deaths or cancer occurrences were reported. In summary, CS-101 can lead to rapid and sustained increases in both total haemoglobin and HbF levels, which resulted in early and enduring transfusion independence.</w:t>
      </w:r>
    </w:p>
    <w:p>
      <w:pPr>
        <w:spacing w:before="120" w:after="120"/>
      </w:pPr>
      <w:r>
        <w:rPr>
          <w:sz w:val="18"/>
        </w:rPr>
        <w:t>——————————————————————————————————————————————————————————————————————</w:t>
      </w:r>
    </w:p>
    <w:p>
      <w:pPr>
        <w:spacing w:before="160" w:after="40" w:line="240" w:lineRule="auto"/>
      </w:pPr>
      <w:r>
        <w:rPr>
          <w:b/>
        </w:rPr>
        <w:t xml:space="preserve">[287] </w:t>
      </w:r>
      <w:hyperlink r:id="rId698">
        <w:r>
          <w:rPr>
            <w:color w:val="1155CC"/>
            <w:u w:val="single"/>
          </w:rPr>
          <w:t>水稻免疫模块的不对称选择和疾病抗性的重建</w:t>
        </w:r>
      </w:hyperlink>
    </w:p>
    <w:p>
      <w:pPr>
        <w:spacing w:before="0" w:after="80"/>
      </w:pPr>
      <w:r>
        <w:rPr>
          <w:i/>
          <w:sz w:val="20"/>
        </w:rPr>
        <w:t>EN: Asymmetric selection of a rice immune module and rebuild of disease resistance</w:t>
      </w:r>
    </w:p>
    <w:p>
      <w:pPr>
        <w:spacing w:before="0" w:after="120"/>
      </w:pPr>
      <w:r>
        <w:rPr>
          <w:b/>
        </w:rPr>
        <w:t xml:space="preserve">Source: </w:t>
      </w:r>
      <w:r>
        <w:t>Nature</w:t>
      </w:r>
      <w:r>
        <w:t xml:space="preserve">    </w:t>
      </w:r>
      <w:r>
        <w:rPr>
          <w:b/>
        </w:rPr>
        <w:t xml:space="preserve">Pub date: </w:t>
      </w:r>
      <w:r>
        <w:t>2026-04-08 00:00:00+00:00</w:t>
      </w:r>
      <w:r>
        <w:t xml:space="preserve">    </w:t>
      </w:r>
      <w:r>
        <w:rPr>
          <w:b/>
        </w:rPr>
        <w:t xml:space="preserve">DOI: </w:t>
      </w:r>
      <w:hyperlink r:id="rId699">
        <w:r>
          <w:rPr>
            <w:color w:val="1155CC"/>
            <w:u w:val="single"/>
          </w:rPr>
          <w:t>10.1038/s41586-026-10361-6</w:t>
        </w:r>
      </w:hyperlink>
    </w:p>
    <w:p>
      <w:pPr>
        <w:spacing w:before="0" w:after="120"/>
      </w:pPr>
      <w:r>
        <w:rPr>
          <w:b/>
        </w:rPr>
        <w:t xml:space="preserve">Notes: </w:t>
      </w:r>
      <w:r>
        <w:t>abstract_source=nature_html</w:t>
      </w:r>
    </w:p>
    <w:p>
      <w:pPr>
        <w:spacing w:before="0" w:after="80" w:lineRule="auto" w:line="276"/>
      </w:pPr>
      <w:r>
        <w:rPr>
          <w:b/>
        </w:rPr>
        <w:t xml:space="preserve">摘要（ZH）: </w:t>
      </w:r>
      <w:r>
        <w:t>人工选择极大地塑造了作物的农艺性状1,2,3；然而，免疫选择的机制基础仍不清楚。在这里，我们识别了水稻（Oryza sativa）核苷酸结合位点和富含亮氨酸重复（NLR）受体XA48及下游转录因子OsVOZ1和OsVOZ2（OsVOZ1/2），它们赋予对细菌性条斑病的抗性。XA48感知古老的病原体效应子XopG，通过降解负调节因子OsVOZ1/2激活效应子触发的免疫。XA48–OsVOZ1模块经历了亚种特异性选择：Xa48仅保留在籼稻中，而在粳稻中丢失。相比之下，OsVOZ1分化为两个单倍型——籼稻保留了与Xa48兼容的OsVOZ1A/S等位基因，而粳稻仅有OsV</w:t>
      </w:r>
    </w:p>
    <w:p>
      <w:pPr>
        <w:spacing w:before="0" w:after="200" w:lineRule="auto" w:line="276"/>
      </w:pPr>
      <w:r>
        <w:rPr>
          <w:b/>
        </w:rPr>
        <w:t xml:space="preserve">Abstract (EN): </w:t>
      </w:r>
      <w:r>
        <w:t>Artificial selection has greatly shaped crop agronomic traits1,2,3; however, the mechanistic basis of how immunity is selected remains unclear. Here we identify the Oryza sativa nucleotide-binding site and leucine-rich repeat (NLR) receptor XA48 and downstream transcription factors OsVOZ1 and OsVOZ2 (OsVOZ1/2), which confer resistance to bacterial blight. XA48 perceives the ancient pathogen effector XopG, activating effector-triggered immunity by degrading the negative regulator OsVOZ1/2. The XA48–OsVOZ1 module has undergone subspecies-specific selection: Xa48 is retained only in Oryza sativa indica and was lost in Oryza sativa japonica. By contrast, OsVOZ1 has diverged into two haplotypes—O. s. indica retains both OsVOZ1A/S alleles compatible with Xa48, whereas O. s. japonica has only OsVOZ1A. Reintroducing Xa48 into O. s. japonica severely compromises yield owing to the XA48–OsVOZ1A-mediated immune incompatibility. Stacking XA48-mediated effector-triggered immunity with XA21-mediated pattern-triggered immunity reconstitutes the broad-spectrum resistance from wild rice. Our study therefore reveals how asymmetric selection of an NLR–transcription factor module shapes disease resistance and reproductive development, providing a strategy for breeding crops by harnessing the relative immunity of wild rice.</w:t>
      </w:r>
    </w:p>
    <w:p>
      <w:pPr>
        <w:spacing w:before="120" w:after="120"/>
      </w:pPr>
      <w:r>
        <w:rPr>
          <w:sz w:val="18"/>
        </w:rPr>
        <w:t>——————————————————————————————————————————————————————————————————————</w:t>
      </w:r>
    </w:p>
    <w:p>
      <w:pPr>
        <w:spacing w:before="160" w:after="40" w:line="240" w:lineRule="auto"/>
      </w:pPr>
      <w:r>
        <w:rPr>
          <w:b/>
        </w:rPr>
        <w:t xml:space="preserve">[288] </w:t>
      </w:r>
      <w:hyperlink r:id="rId700">
        <w:r>
          <w:rPr>
            <w:color w:val="1155CC"/>
            <w:u w:val="single"/>
          </w:rPr>
          <w:t>作者更正：神经活动基础模型预测对新刺激类型的响应</w:t>
        </w:r>
      </w:hyperlink>
    </w:p>
    <w:p>
      <w:pPr>
        <w:spacing w:before="0" w:after="80"/>
      </w:pPr>
      <w:r>
        <w:rPr>
          <w:i/>
          <w:sz w:val="20"/>
        </w:rPr>
        <w:t>EN: Author Correction: Foundation model of neural activity predicts response to new stimulus types</w:t>
      </w:r>
    </w:p>
    <w:p>
      <w:pPr>
        <w:spacing w:before="0" w:after="120"/>
      </w:pPr>
      <w:r>
        <w:rPr>
          <w:b/>
        </w:rPr>
        <w:t xml:space="preserve">Source: </w:t>
      </w:r>
      <w:r>
        <w:t>Nature</w:t>
      </w:r>
      <w:r>
        <w:t xml:space="preserve">    </w:t>
      </w:r>
      <w:r>
        <w:rPr>
          <w:b/>
        </w:rPr>
        <w:t xml:space="preserve">Pub date: </w:t>
      </w:r>
      <w:r>
        <w:t>2026-04-08 00:00:00+00:00</w:t>
      </w:r>
      <w:r>
        <w:t xml:space="preserve">    </w:t>
      </w:r>
      <w:r>
        <w:rPr>
          <w:b/>
        </w:rPr>
        <w:t xml:space="preserve">DOI: </w:t>
      </w:r>
      <w:hyperlink r:id="rId701">
        <w:r>
          <w:rPr>
            <w:color w:val="1155CC"/>
            <w:u w:val="single"/>
          </w:rPr>
          <w:t>10.1038/s41586-026-10457-z</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[289] </w:t>
      </w:r>
      <w:hyperlink r:id="rId702">
        <w:r>
          <w:rPr>
            <w:color w:val="1155CC"/>
            <w:u w:val="single"/>
          </w:rPr>
          <w:t>使用CMS实验对W玻色子质量的高精度测量</w:t>
        </w:r>
      </w:hyperlink>
    </w:p>
    <w:p>
      <w:pPr>
        <w:spacing w:before="0" w:after="80"/>
      </w:pPr>
      <w:r>
        <w:rPr>
          <w:i/>
          <w:sz w:val="20"/>
        </w:rPr>
        <w:t>EN: High-precision measurement of the W boson mass with the CMS experiment</w:t>
      </w:r>
    </w:p>
    <w:p>
      <w:pPr>
        <w:spacing w:before="0" w:after="120"/>
      </w:pPr>
      <w:r>
        <w:rPr>
          <w:b/>
        </w:rPr>
        <w:t xml:space="preserve">Source: </w:t>
      </w:r>
      <w:r>
        <w:t>Nature</w:t>
      </w:r>
      <w:r>
        <w:t xml:space="preserve">    </w:t>
      </w:r>
      <w:r>
        <w:rPr>
          <w:b/>
        </w:rPr>
        <w:t xml:space="preserve">Pub date: </w:t>
      </w:r>
      <w:r>
        <w:t>2026-04-08 00:00:00+00:00</w:t>
      </w:r>
      <w:r>
        <w:t xml:space="preserve">    </w:t>
      </w:r>
      <w:r>
        <w:rPr>
          <w:b/>
        </w:rPr>
        <w:t xml:space="preserve">DOI: </w:t>
      </w:r>
      <w:hyperlink r:id="rId703">
        <w:r>
          <w:rPr>
            <w:color w:val="1155CC"/>
            <w:u w:val="single"/>
          </w:rPr>
          <w:t>10.1038/s41586-026-10168-5</w:t>
        </w:r>
      </w:hyperlink>
    </w:p>
    <w:p>
      <w:pPr>
        <w:spacing w:before="0" w:after="120"/>
      </w:pPr>
      <w:r>
        <w:rPr>
          <w:b/>
        </w:rPr>
        <w:t xml:space="preserve">Notes: </w:t>
      </w:r>
      <w:r>
        <w:t>abstract_source=nature_html</w:t>
      </w:r>
    </w:p>
    <w:p>
      <w:pPr>
        <w:spacing w:before="0" w:after="80" w:lineRule="auto" w:line="276"/>
      </w:pPr>
      <w:r>
        <w:rPr>
          <w:b/>
        </w:rPr>
        <w:t xml:space="preserve">摘要（ZH）: </w:t>
      </w:r>
      <w:r>
        <w:t>在粒子物理的标准模型中，W和Z玻色子（弱相互作用的载体）的质量是唯一相关的。精确测定它们的质量很重要，因为重的、未发现的粒子的量子环可能会改变这种关系。虽然Z质量已知的精度达到每百万22个部分（2.0 MeV），但W质量的精度要低得多。对测量的电弱观测量进行全局拟合预测W质量的不确定性为6 MeV1,2,3。达到可比的实验精度将是对标准模型的一个敏感且基本的测试，最近由Fermilab Tevatron对撞机的CDF合作组的测量对全局拟合预测提出了挑战，使这一测试更加紧迫4。这里我们报告了测量</w:t>
      </w:r>
    </w:p>
    <w:p>
      <w:pPr>
        <w:spacing w:before="0" w:after="200" w:lineRule="auto" w:line="276"/>
      </w:pPr>
      <w:r>
        <w:rPr>
          <w:b/>
        </w:rPr>
        <w:t xml:space="preserve">Abstract (EN): </w:t>
      </w:r>
      <w:r>
        <w:t>In the standard model of particle physics, the masses of the W and Z bosons, the carriers of the weak interaction, are uniquely related. A precise determination of their masses is important because quantum loops of heavy, undiscovered particles could modify this relationship. Although the Z mass is known to the remarkable precision of 22 parts per million (2.0 MeV), the W mass is known much less precisely. A global fit to measured electroweak observables predicts the W mass with 6 MeV uncertainty1,2,3. Reaching a comparable experimental precision would be a sensitive and fundamental test of the standard model, made even more urgent by a recent challenge to the global fit prediction by a measurement from the CDF Collaboration at the Fermilab Tevatron collider4. Here we report the measurement of the W mass by the CMS Collaboration at the CERN Large Hadron Collider, based on a large data sample of W → μν events collected in 2016 at the proton–proton collision energy of 13 TeV. The measurement exploits a high-granularity maximum likelihood fit to the kinematic properties of muons produced in W decays. By combining an accurate determination of experimental effects with marked in situ constraints of theoretical inputs, we reach a precise measurement of the W mass, of 80,360.2 ± 9.9 MeV, in agreement with the standard model prediction.</w:t>
      </w:r>
    </w:p>
    <w:p>
      <w:pPr>
        <w:spacing w:before="120" w:after="120"/>
      </w:pPr>
      <w:r>
        <w:rPr>
          <w:sz w:val="18"/>
        </w:rPr>
        <w:t>——————————————————————————————————————————————————————————————————————</w:t>
      </w:r>
    </w:p>
    <w:p>
      <w:pPr>
        <w:spacing w:before="160" w:after="40" w:line="240" w:lineRule="auto"/>
      </w:pPr>
      <w:r>
        <w:rPr>
          <w:b/>
        </w:rPr>
        <w:t xml:space="preserve">[290] </w:t>
      </w:r>
      <w:hyperlink r:id="rId704">
        <w:r>
          <w:rPr>
            <w:color w:val="1155CC"/>
            <w:u w:val="single"/>
          </w:rPr>
          <w:t>二维磁体中的自旋跃迁调制发光器件</w:t>
        </w:r>
      </w:hyperlink>
    </w:p>
    <w:p>
      <w:pPr>
        <w:spacing w:before="0" w:after="80"/>
      </w:pPr>
      <w:r>
        <w:rPr>
          <w:i/>
          <w:sz w:val="20"/>
        </w:rPr>
        <w:t>EN: Spin-transition modulated light-emitting devices in a 2D magnet</w:t>
      </w:r>
    </w:p>
    <w:p>
      <w:pPr>
        <w:spacing w:before="0" w:after="120"/>
      </w:pPr>
      <w:r>
        <w:rPr>
          <w:b/>
        </w:rPr>
        <w:t xml:space="preserve">Source: </w:t>
      </w:r>
      <w:r>
        <w:t>Nature Communications</w:t>
      </w:r>
      <w:r>
        <w:t xml:space="preserve">    </w:t>
      </w:r>
      <w:r>
        <w:rPr>
          <w:b/>
        </w:rPr>
        <w:t xml:space="preserve">Pub date: </w:t>
      </w:r>
      <w:r>
        <w:t>2026-04-08 00:00:00+00:00</w:t>
      </w:r>
      <w:r>
        <w:t xml:space="preserve">    </w:t>
      </w:r>
      <w:r>
        <w:rPr>
          <w:b/>
        </w:rPr>
        <w:t xml:space="preserve">DOI: </w:t>
      </w:r>
      <w:hyperlink r:id="rId705">
        <w:r>
          <w:rPr>
            <w:color w:val="1155CC"/>
            <w:u w:val="single"/>
          </w:rPr>
          <w:t>10.1038/s41467-026-71489-7</w:t>
        </w:r>
      </w:hyperlink>
    </w:p>
    <w:p>
      <w:pPr>
        <w:spacing w:before="0" w:after="120"/>
      </w:pPr>
      <w:r>
        <w:rPr>
          <w:b/>
        </w:rPr>
        <w:t xml:space="preserve">Notes: </w:t>
      </w:r>
      <w:r>
        <w:t>abstract_source=nature_html</w:t>
      </w:r>
    </w:p>
    <w:p>
      <w:pPr>
        <w:spacing w:before="0" w:after="80" w:lineRule="auto" w:line="276"/>
      </w:pPr>
      <w:r>
        <w:rPr>
          <w:b/>
        </w:rPr>
        <w:t xml:space="preserve">摘要（ZH）: </w:t>
      </w:r>
      <w:r>
        <w:t>新兴的二维磁性半导体代表了探索磁光学和光自旋电子学应用的变革性平台。尽管二维光自旋电子学在自旋依赖的光电探测器和非易失性存储组件方面吸引了大量研究努力，但实现一个核心应用——自旋调制发光器件——迄今仍然难以实现。在此，我们成功实现了与二维半导体磁体硫化铬溴化物集成的原型自旋调制发光器件，展示了显著的电致发光，甚至在双层中也能实现。有趣的是，发现它可以通过自旋翻转和自旋倾斜转变直接操控。值得注意的是，铬中的本征载流子可调节的层间磁耦合</w:t>
      </w:r>
    </w:p>
    <w:p>
      <w:pPr>
        <w:spacing w:before="0" w:after="200" w:lineRule="auto" w:line="276"/>
      </w:pPr>
      <w:r>
        <w:rPr>
          <w:b/>
        </w:rPr>
        <w:t xml:space="preserve">Abstract (EN): </w:t>
      </w:r>
      <w:r>
        <w:t>Emerging two-dimensional magnetic semiconductors represent transformative platforms to explore magneto-optics and opto-spintronic applications. Though two-dimensional opto-spintronics has attracted tremendous research efforts in spin-dependent photodetectors and non-volatile memory components, the realization of one core application - spin-modulated light-emitting device - remains elusive so far. Here, we successfully realize prototype spin-modulated light-emitting device integrated with a two-dimensional semiconducting magnet chromium sulfide bromide, demonstrating considerable electroluminescence down to bilayers. Intriguingly, it's discovered to be directly manipulated by spin-flip and spin-canting transitions. Notably, the intrinsic carrier-tunable interlayer magnetic coupling in chromium sulfide bromide enables electroluminescence to actively amplify magnetic hysteresis (via spin-flip) and continuously tune magnetic order (via spin-canting) with robust anisotropy, establishing a connection between carrier injection, magnetic phase transitions, and optical emission. The prototype demonstration of spin-modulated light-emitting device establishes an indispensable scheme of opto-spintronic devices leveraging two-dimensional spin transitions and strong excitonic effects, presenting a critical step towards integrated two-dimensional opto-spintronics.</w:t>
      </w:r>
    </w:p>
    <w:p>
      <w:pPr>
        <w:spacing w:before="120" w:after="120"/>
      </w:pPr>
      <w:r>
        <w:rPr>
          <w:sz w:val="18"/>
        </w:rPr>
        <w:t>——————————————————————————————————————————————————————————————————————</w:t>
      </w:r>
    </w:p>
    <w:p>
      <w:pPr>
        <w:spacing w:before="160" w:after="40" w:line="240" w:lineRule="auto"/>
      </w:pPr>
      <w:r>
        <w:rPr>
          <w:b/>
        </w:rPr>
        <w:t xml:space="preserve">[291] </w:t>
      </w:r>
      <w:hyperlink r:id="rId706">
        <w:r>
          <w:rPr>
            <w:color w:val="1155CC"/>
            <w:u w:val="single"/>
          </w:rPr>
          <w:t>通过动态氢键网络稳定晶格氧化路径以实现工业电流海水电解</w:t>
        </w:r>
      </w:hyperlink>
    </w:p>
    <w:p>
      <w:pPr>
        <w:spacing w:before="0" w:after="80"/>
      </w:pPr>
      <w:r>
        <w:rPr>
          <w:i/>
          <w:sz w:val="20"/>
        </w:rPr>
        <w:t>EN: Stabilizing the Lattice Oxygen Oxidation Pathway via a Dynamic Hydrogen‐Bond Network for Industrial‐Current Seawater Electrolysis</w:t>
      </w:r>
    </w:p>
    <w:p>
      <w:pPr>
        <w:spacing w:before="0" w:after="120"/>
      </w:pPr>
      <w:r>
        <w:rPr>
          <w:b/>
        </w:rPr>
        <w:t xml:space="preserve">Source: </w:t>
      </w:r>
      <w:r>
        <w:t>Wiley: Advanced Materials: Table of Contents</w:t>
      </w:r>
      <w:r>
        <w:t xml:space="preserve">    </w:t>
      </w:r>
      <w:r>
        <w:rPr>
          <w:b/>
        </w:rPr>
        <w:t xml:space="preserve">Pub date: </w:t>
      </w:r>
      <w:r>
        <w:t>2026-04-08 06:05:50+00:00</w:t>
      </w:r>
      <w:r>
        <w:t xml:space="preserve">    </w:t>
      </w:r>
      <w:r>
        <w:rPr>
          <w:b/>
        </w:rPr>
        <w:t xml:space="preserve">DOI: </w:t>
      </w:r>
      <w:hyperlink r:id="rId707">
        <w:r>
          <w:rPr>
            <w:color w:val="1155CC"/>
            <w:u w:val="single"/>
          </w:rPr>
          <w:t>10.1002/adma.72996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海水电解制备绿色氢气受到竞争性氯化物氧化反应（ClOR）和缓慢的氧气析出反应（OER）动力学的严重限制。本研究引入了一种晶格重整策略，以引导碱性电解质中Co–Mo–O催化剂的重构，有效地将OER路径从传统的吸附物演化机制（AEM）转向更高效的晶格氧机制（LOM）。选择性Mo浸出诱导了CoOOH/Co(OH)</w:t>
      </w:r>
      <w:r>
        <w:rPr>
          <w:vertAlign w:val="subscript"/>
        </w:rPr>
        <w:t>2</w:t>
      </w:r>
      <w:r>
        <w:t>的构建，形成稳定的Co</w:t>
      </w:r>
      <w:r>
        <w:t xml:space="preserve"> </w:t>
      </w:r>
      <w:r>
        <w:t>3+</w:t>
      </w:r>
      <w:r>
        <w:t xml:space="preserve"> </w:t>
      </w:r>
      <w:r>
        <w:t>–O–Co</w:t>
      </w:r>
      <w:r>
        <w:t xml:space="preserve"> </w:t>
      </w:r>
      <w:r>
        <w:t>2+</w:t>
      </w:r>
      <w:r>
        <w:t xml:space="preserve"> </w:t>
      </w:r>
      <w:r>
        <w:t>电子吸引链，显著增强了Co–O共价性和活性</w:t>
      </w:r>
    </w:p>
    <w:p>
      <w:pPr>
        <w:spacing w:before="0" w:after="200" w:lineRule="auto" w:line="276"/>
      </w:pPr>
      <w:r>
        <w:rPr>
          <w:b/>
        </w:rPr>
        <w:t xml:space="preserve">Abstract (EN): </w:t>
      </w:r>
      <w:r>
        <w:t>Seawater electrolysis for green hydrogen is severely limited by the competing chloride oxidation reaction (ClOR) and the sluggish kinetics of oxygen evolution reaction (OER). This study introduces a lattice renormalization strategy to direct the reconstruction of Co–Mo–O catalysts in alkaline electrolyte, effectively shifting the OER pathway from the traditional adsorbate evolution mechanism (AEM) to the more efficient lattice oxygen mechanism (LOM). Selective Mo leaching induces the construction of a CoOOH/Co(OH)</w:t>
      </w:r>
      <w:r>
        <w:rPr>
          <w:vertAlign w:val="subscript"/>
        </w:rPr>
        <w:t>2</w:t>
      </w:r>
      <w:r>
        <w:t>with a stable Co</w:t>
      </w:r>
      <w:r>
        <w:t xml:space="preserve"> </w:t>
      </w:r>
      <w:r>
        <w:t>3+</w:t>
      </w:r>
      <w:r>
        <w:t xml:space="preserve"> </w:t>
      </w:r>
      <w:r>
        <w:t>–O–Co</w:t>
      </w:r>
      <w:r>
        <w:t xml:space="preserve"> </w:t>
      </w:r>
      <w:r>
        <w:t>2+</w:t>
      </w:r>
      <w:r>
        <w:t xml:space="preserve"> </w:t>
      </w:r>
      <w:r>
        <w:t>electron‐withdrawing chain, which significantly enhances Co–O covalency and activates lattice oxygen. The optimized catalyst,</w:t>
      </w:r>
      <w:r>
        <w:t xml:space="preserve"> </w:t>
      </w:r>
      <w:r>
        <w:t>r</w:t>
      </w:r>
      <w:r>
        <w:t xml:space="preserve"> </w:t>
      </w:r>
      <w:r>
        <w:t>‐CoO</w:t>
      </w:r>
      <w:r>
        <w:t xml:space="preserve"> </w:t>
      </w:r>
      <w:r>
        <w:t>x</w:t>
      </w:r>
      <w:r>
        <w:t xml:space="preserve"> </w:t>
      </w:r>
      <w:r>
        <w:t>H</w:t>
      </w:r>
      <w:r>
        <w:t xml:space="preserve"> </w:t>
      </w:r>
      <w:r>
        <w:t>y</w:t>
      </w:r>
      <w:r>
        <w:t xml:space="preserve"> </w:t>
      </w:r>
      <w:r>
        <w:t>@NF, achieves low overpotentials of 330 and 380 mV at 500 and 1000 mA cm</w:t>
      </w:r>
      <w:r>
        <w:t xml:space="preserve"> </w:t>
      </w:r>
      <w:r>
        <w:t>−</w:t>
      </w:r>
      <w:r>
        <w:rPr>
          <w:vertAlign w:val="subscript"/>
        </w:rPr>
        <w:t>2</w:t>
      </w:r>
      <w:r>
        <w:t>in simulated alkaline seawater, respectively. When configured into a membrane electrode assembly (MEA) electrolyzer, the system attains a low cell voltage of 1.66 V at 1.0 A cm</w:t>
      </w:r>
      <w:r>
        <w:t xml:space="preserve"> </w:t>
      </w:r>
      <w:r>
        <w:t>−</w:t>
      </w:r>
      <w:r>
        <w:rPr>
          <w:vertAlign w:val="subscript"/>
        </w:rPr>
        <w:t>2</w:t>
      </w:r>
      <w:r>
        <w:t>for 480 h. In situ characterization and theoretical analysis reveal a “lattice oxygen‐hydrogen‐bonding network” synergy, where dynamically evolving hydrogen‐bonding network at the interface not only facilitates rapid proton transfer but also electronically modulates the lattice oxygen orbitals via polarization effects, with stabilizing the LOM pathway and conferring superior chloride resistance. This work underscores the pivotal role of metal‐ligand covalency and interfacial microenvironment in steering reconstruction pathways for industrial seawater splitting.</w:t>
      </w:r>
    </w:p>
    <w:p>
      <w:pPr>
        <w:spacing w:before="120" w:after="120"/>
      </w:pPr>
      <w:r>
        <w:rPr>
          <w:sz w:val="18"/>
        </w:rPr>
        <w:t>——————————————————————————————————————————————————————————————————————</w:t>
      </w:r>
    </w:p>
    <w:p>
      <w:pPr>
        <w:spacing w:before="160" w:after="40" w:line="240" w:lineRule="auto"/>
      </w:pPr>
      <w:r>
        <w:rPr>
          <w:b/>
        </w:rPr>
        <w:t xml:space="preserve">[292] </w:t>
      </w:r>
      <w:hyperlink r:id="rId708">
        <w:r>
          <w:rPr>
            <w:color w:val="1155CC"/>
            <w:u w:val="single"/>
          </w:rPr>
          <w:t>病毒感染启发的自主检测融合能力病毒用于筛查和环境监测</w:t>
        </w:r>
      </w:hyperlink>
    </w:p>
    <w:p>
      <w:pPr>
        <w:spacing w:before="0" w:after="80"/>
      </w:pPr>
      <w:r>
        <w:rPr>
          <w:i/>
          <w:sz w:val="20"/>
        </w:rPr>
        <w:t>EN: Viral Infection‐Inspired Autonomous Detection of Fusion‐Competent Viruses for Screening and Environmental Surveillance</w:t>
      </w:r>
    </w:p>
    <w:p>
      <w:pPr>
        <w:spacing w:before="0" w:after="120"/>
      </w:pPr>
      <w:r>
        <w:rPr>
          <w:b/>
        </w:rPr>
        <w:t xml:space="preserve">Source: </w:t>
      </w:r>
      <w:r>
        <w:t>Wiley: Advanced Materials: Table of Contents</w:t>
      </w:r>
      <w:r>
        <w:t xml:space="preserve">    </w:t>
      </w:r>
      <w:r>
        <w:rPr>
          <w:b/>
        </w:rPr>
        <w:t xml:space="preserve">Pub date: </w:t>
      </w:r>
      <w:r>
        <w:t>2026-04-08 06:07:18+00:00</w:t>
      </w:r>
      <w:r>
        <w:t xml:space="preserve">    </w:t>
      </w:r>
      <w:r>
        <w:rPr>
          <w:b/>
        </w:rPr>
        <w:t xml:space="preserve">DOI: </w:t>
      </w:r>
      <w:hyperlink r:id="rId709">
        <w:r>
          <w:rPr>
            <w:color w:val="1155CC"/>
            <w:u w:val="single"/>
          </w:rPr>
          <w:t>10.1002/adma.202521241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呼吸道病毒的持续负担需要快速、简单且稳健的筛查和环境监测技术，以实现广泛和频繁的检测。重要的是，这些技术应基于与感染相关的信号，因为仅RNA检测与传播风险的相关性有限。在此，我们提出了一种膜融合介导的平台，通过重现天然病毒进入机制来自主检测病毒。融合性囊泡选择性地与具有融合能力的病毒颗粒融合，触发封装的CRISPR-Cas13a组件在识别释放的病毒RNA时产生荧光信号。通过自主工作流程和在封闭环境中加速信号生成</w:t>
      </w:r>
    </w:p>
    <w:p>
      <w:pPr>
        <w:spacing w:before="0" w:after="200" w:lineRule="auto" w:line="276"/>
      </w:pPr>
      <w:r>
        <w:rPr>
          <w:b/>
        </w:rPr>
        <w:t xml:space="preserve">Abstract (EN): </w:t>
      </w:r>
      <w:r>
        <w:t>The persistent burden of respiratory viruses requires rapid, simple, and robust screening and environmental surveillance technologies that enable widespread and frequent testing. Importantly, these technologies should be based on infectivity‐relevant signals, as RNA detection alone has limited correlation with transmission risk. Here, we present a membrane fusion‐mediated platform that autonomously detects viruses by recapitulating the native viral entry mechanism. Fusogenic vesicles selectively fuse with fusion‐competent viral particles, triggering encapsulated CRISPR‐Cas13a components to generate fluorescent signals upon recognition of the released viral RNA. Through an autonomous workflow and accelerated signal generation within a confined vesicle, our platform achieves one‐step detection of viruses within 2 min. The assay robustly detects three major respiratory viruses, with analytical sensitivities down to 5 TCID</w:t>
      </w:r>
      <w:r>
        <w:rPr>
          <w:vertAlign w:val="subscript"/>
        </w:rPr>
        <w:t>50</w:t>
      </w:r>
      <w:r>
        <w:t>/mL for RSV and 50 TCID</w:t>
      </w:r>
      <w:r>
        <w:rPr>
          <w:vertAlign w:val="subscript"/>
        </w:rPr>
        <w:t>50</w:t>
      </w:r>
      <w:r>
        <w:t>/mL for SARS‐CoV‐2 and IAV. Clinical validation with 100 nasopharyngeal samples achieved 91.7% sensitivity. Remarkably, the sprayable format enables large‐area surveillance of surface contamination—like luminol revealing hidden bloodstains, it makes invisible viral threats visible. This approach establishes an intuitive real‐time detection platform, extending beyond clinical specimens to encompass environmental threats.</w:t>
      </w:r>
    </w:p>
    <w:p>
      <w:pPr>
        <w:spacing w:before="120" w:after="120"/>
      </w:pPr>
      <w:r>
        <w:rPr>
          <w:sz w:val="18"/>
        </w:rPr>
        <w:t>——————————————————————————————————————————————————————————————————————</w:t>
      </w:r>
    </w:p>
    <w:p>
      <w:pPr>
        <w:spacing w:before="160" w:after="40" w:line="240" w:lineRule="auto"/>
      </w:pPr>
      <w:r>
        <w:rPr>
          <w:b/>
        </w:rPr>
        <w:t xml:space="preserve">[293] </w:t>
      </w:r>
      <w:hyperlink r:id="rId710">
        <w:r>
          <w:rPr>
            <w:color w:val="1155CC"/>
            <w:u w:val="single"/>
          </w:rPr>
          <w:t>碱性氧析出反应中的应变驱动表面重构：一种模型薄膜研究</w:t>
        </w:r>
      </w:hyperlink>
    </w:p>
    <w:p>
      <w:pPr>
        <w:spacing w:before="0" w:after="80"/>
      </w:pPr>
      <w:r>
        <w:rPr>
          <w:i/>
          <w:sz w:val="20"/>
        </w:rPr>
        <w:t>EN: Strain‐Driven Surface Reconstruction During the Alkaline Oxygen Evolution Reaction: a Model Thin‐Film Study</w:t>
      </w:r>
    </w:p>
    <w:p>
      <w:pPr>
        <w:spacing w:before="0" w:after="120"/>
      </w:pPr>
      <w:r>
        <w:rPr>
          <w:b/>
        </w:rPr>
        <w:t xml:space="preserve">Source: </w:t>
      </w:r>
      <w:r>
        <w:t>Wiley: Advanced Materials: Table of Contents</w:t>
      </w:r>
      <w:r>
        <w:t xml:space="preserve">    </w:t>
      </w:r>
      <w:r>
        <w:rPr>
          <w:b/>
        </w:rPr>
        <w:t xml:space="preserve">Pub date: </w:t>
      </w:r>
      <w:r>
        <w:t>2026-04-08 06:11:17+00:00</w:t>
      </w:r>
      <w:r>
        <w:t xml:space="preserve">    </w:t>
      </w:r>
      <w:r>
        <w:rPr>
          <w:b/>
        </w:rPr>
        <w:t xml:space="preserve">DOI: </w:t>
      </w:r>
      <w:hyperlink r:id="rId711">
        <w:r>
          <w:rPr>
            <w:color w:val="1155CC"/>
            <w:u w:val="single"/>
          </w:rPr>
          <w:t>10.1002/adma.72847</w:t>
        </w:r>
      </w:hyperlink>
    </w:p>
    <w:p>
      <w:pPr>
        <w:spacing w:before="0" w:after="120"/>
      </w:pPr>
      <w:r>
        <w:rPr>
          <w:b/>
        </w:rPr>
        <w:t xml:space="preserve">Notes: </w:t>
      </w:r>
      <w:r>
        <w:t>abstract_source=crossref</w:t>
      </w:r>
    </w:p>
    <w:p>
      <w:pPr>
        <w:spacing w:before="0" w:after="80" w:lineRule="auto" w:line="276"/>
      </w:pPr>
      <w:r>
        <w:rPr>
          <w:b/>
        </w:rPr>
        <w:t xml:space="preserve">摘要（ZH）: </w:t>
      </w:r>
      <w:r>
        <w:t>动态表面重构对氧化物基电催化剂在氧析出反应（OER）中的性能和耐久性至关重要，但在操作条件下控制这一过程仍然具有挑战性。在此，我们展示了通过调节晶格镍（Ni）的氧化还原行为，晶格应变调节钙钛矿氧化物表面重构的程度。使用外延LaNiO3（LNO）薄膜作为模型系统，我们表明应变引起的Ni-氧（O）键长变化系统地调节了Ni3+的还原性，从而控制了表面重构的程度。</w:t>
      </w:r>
    </w:p>
    <w:p>
      <w:pPr>
        <w:spacing w:before="0" w:after="200" w:lineRule="auto" w:line="276"/>
      </w:pPr>
      <w:r>
        <w:rPr>
          <w:b/>
        </w:rPr>
        <w:t xml:space="preserve">Abstract (EN): </w:t>
      </w:r>
      <w:r>
        <w:t>A</w:t>
      </w:r>
      <w:r>
        <w:t xml:space="preserve"> </w:t>
      </w:r>
      <w:r>
        <w:t>BSTRACT</w:t>
      </w:r>
      <w:r>
        <w:t xml:space="preserve"> </w:t>
      </w:r>
      <w:r>
        <w:t>Dynamic surface reconstruction critically governs the performance and durability of oxide‐based electrocatalysts for the oxygen evolution reaction (OER), yet controlling this process under operating conditions remains challenging. Here, we demonstrate that lattice strain regulates the extent of surface reconstruction in perovskite oxides by modulating the redox behavior of lattice nickel (Ni). Using epitaxial LaNiO</w:t>
      </w:r>
      <w:r>
        <w:rPr>
          <w:vertAlign w:val="subscript"/>
        </w:rPr>
        <w:t>3</w:t>
      </w:r>
      <w:r>
        <w:t>(LNO) thin films as a model system, we show that strain‐induced changes in Ni–oxygen(O) bond length systematically tune the reducibility of Ni</w:t>
      </w:r>
      <w:r>
        <w:t xml:space="preserve"> </w:t>
      </w:r>
      <w:r>
        <w:t>3+</w:t>
      </w:r>
      <w:r>
        <w:t xml:space="preserve"> </w:t>
      </w:r>
      <w:r>
        <w:t>, thereby controlling the degree of surface reconstruction. Tensile strain enhances Ni reducibility, promotes Ni (oxy)hydroxide formation, and results in a nearly order‐of‐magnitude increase in reconstruction compared to compressive strain. Under OER conditions in iron (Fe)‐containing alkaline electrolytes, tensile‐strained LNO exhibits a 5.7‐fold enhancement in activity due to synergistic interactions between Fe species and the reconstructed Ni‐based surface. By extending this concept to powder‐type catalysts through isovalent doping, we demonstrate that modulation of the Ni–O bond length through Scandium (Sc) doping induces comparable surface reconstruction behavior and catalyst activity, thereby confirming the scalability of this approach. These results identify metal–oxygen bond length as a general design parameter for tuning dynamic surface reconstruction and catalytic activity in perovskite oxide electrocatalysts.</w:t>
      </w:r>
    </w:p>
    <w:p>
      <w:pPr>
        <w:spacing w:before="120" w:after="120"/>
      </w:pPr>
      <w:r>
        <w:rPr>
          <w:sz w:val="18"/>
        </w:rPr>
        <w:t>——————————————————————————————————————————————————————————————————————</w:t>
      </w:r>
    </w:p>
    <w:p>
      <w:pPr>
        <w:spacing w:before="160" w:after="40" w:line="240" w:lineRule="auto"/>
      </w:pPr>
      <w:r>
        <w:rPr>
          <w:b/>
        </w:rPr>
        <w:t xml:space="preserve">[294] </w:t>
      </w:r>
      <w:hyperlink r:id="rId712">
        <w:r>
          <w:rPr>
            <w:color w:val="1155CC"/>
            <w:u w:val="single"/>
          </w:rPr>
          <w:t>可扩展的广义元跨度器实现并行多任务光学操控</w:t>
        </w:r>
      </w:hyperlink>
    </w:p>
    <w:p>
      <w:pPr>
        <w:spacing w:before="0" w:after="80"/>
      </w:pPr>
      <w:r>
        <w:rPr>
          <w:i/>
          <w:sz w:val="20"/>
        </w:rPr>
        <w:t>EN: Scalable generalized meta-spanners enabling parallel multitasking optical manipulation</w:t>
      </w:r>
    </w:p>
    <w:p>
      <w:pPr>
        <w:spacing w:before="0" w:after="120"/>
      </w:pPr>
      <w:r>
        <w:rPr>
          <w:b/>
        </w:rPr>
        <w:t xml:space="preserve">Source: </w:t>
      </w:r>
      <w:r>
        <w:t>AAAS: Science Advances: Table of Contents</w:t>
      </w:r>
      <w:r>
        <w:t xml:space="preserve">    </w:t>
      </w:r>
      <w:r>
        <w:rPr>
          <w:b/>
        </w:rPr>
        <w:t xml:space="preserve">Pub date: </w:t>
      </w:r>
      <w:r>
        <w:t>2026-04-08 07:00:00+00:00</w:t>
      </w:r>
      <w:r>
        <w:t xml:space="preserve">    </w:t>
      </w:r>
      <w:r>
        <w:rPr>
          <w:b/>
        </w:rPr>
        <w:t xml:space="preserve">DOI: </w:t>
      </w:r>
      <w:hyperlink r:id="rId713">
        <w:r>
          <w:rPr>
            <w:color w:val="1155CC"/>
            <w:u w:val="single"/>
          </w:rPr>
          <w:t>10.1126/sciadv.aed5302</w:t>
        </w:r>
      </w:hyperlink>
    </w:p>
    <w:p>
      <w:pPr>
        <w:spacing w:before="0" w:after="120"/>
      </w:pPr>
      <w:r>
        <w:rPr>
          <w:b/>
        </w:rPr>
        <w:t xml:space="preserve">Notes: </w:t>
      </w:r>
      <w:r>
        <w:t>abstract_source=crossref</w:t>
      </w:r>
    </w:p>
    <w:p>
      <w:pPr>
        <w:spacing w:before="0" w:after="80" w:lineRule="auto" w:line="276"/>
      </w:pPr>
      <w:r>
        <w:rPr>
          <w:b/>
        </w:rPr>
        <w:t xml:space="preserve">摘要（ZH）: </w:t>
      </w:r>
      <w:r>
        <w:t>光学操控技术提供了卓越的无接触控制，但在执行并行多任务方面存在根本限制。为了实现具有亚波长光子器件的高密度、多功能操控，必须在多个维度上雕刻光。在此，我们通过引入基于超表面的广义光学元件（GOMSs）克服了这一挑战，这些元件生成无散斑、可定制的光学涡旋，抑制了衍射损失。因此，同时实现了多种先进功能，包括纵向变化的操控和面内元件阵列，其性能优于传统环形轨道流实现的相同操作。此外，通过简单的</w:t>
      </w:r>
    </w:p>
    <w:p>
      <w:pPr>
        <w:spacing w:before="0" w:after="200" w:lineRule="auto" w:line="276"/>
      </w:pPr>
      <w:r>
        <w:rPr>
          <w:b/>
        </w:rPr>
        <w:t xml:space="preserve">Abstract (EN): </w:t>
      </w:r>
      <w:r>
        <w:t>Optical manipulation techniques offer exceptional contactless control but are fundamentally limited in their ability to perform parallel multitasking. To achieve high-density, versatile manipulation with subwavelength photonic devices, it is essential to sculpt light in multiple dimensions. Here, we overcome this challenge by introducing generalized optical meta-spanners (GOMSs) based on metasurfaces, which generate speckle-free, customizable optical vortices that suppress diffractive losses. As a result, several advanced functionalities are simultaneously achieved, including longitudinally varying manipulation and in-plane spanner arrays, which outperforms the same operations realized by conventional donut-shaped orbital flows. Furthermore, the particle dynamics are reconfigurable by simply switching the input and output polarizations, facilitating robust multichannel control. We experimentally validate our approach through the stable manipulation of both single particle and particle ensembles, demonstrating scalable multitasking stability for numerous simultaneous optical spanners, and advancing metadevices from wavefront sculptors to particle manipulators. We envision that the GOMS will catalyze innovations in cross-disciplinary fields such as targeted drug delivery and cell-level biomechanics.</w:t>
      </w:r>
    </w:p>
    <w:p>
      <w:pPr>
        <w:spacing w:before="120" w:after="120"/>
      </w:pPr>
      <w:r>
        <w:rPr>
          <w:sz w:val="18"/>
        </w:rPr>
        <w:t>——————————————————————————————————————————————————————————————————————</w:t>
      </w:r>
    </w:p>
    <w:p>
      <w:pPr>
        <w:spacing w:before="160" w:after="40" w:line="240" w:lineRule="auto"/>
      </w:pPr>
      <w:r>
        <w:rPr>
          <w:b/>
        </w:rPr>
        <w:t xml:space="preserve">[295] </w:t>
      </w:r>
      <w:hyperlink r:id="rId714">
        <w:r>
          <w:rPr>
            <w:color w:val="1155CC"/>
            <w:u w:val="single"/>
          </w:rPr>
          <w:t>重塑静态水系锌-溴电池化学，无液态溴以实现本质安全性和循环耐久性</w:t>
        </w:r>
      </w:hyperlink>
    </w:p>
    <w:p>
      <w:pPr>
        <w:spacing w:before="0" w:after="80"/>
      </w:pPr>
      <w:r>
        <w:rPr>
          <w:i/>
          <w:sz w:val="20"/>
        </w:rPr>
        <w:t>EN: Reshaping static aqueous Zn─Br battery chemistry without liquid Br2 for intrinsic safety and cycle durability</w:t>
      </w:r>
    </w:p>
    <w:p>
      <w:pPr>
        <w:spacing w:before="0" w:after="120"/>
      </w:pPr>
      <w:r>
        <w:rPr>
          <w:b/>
        </w:rPr>
        <w:t xml:space="preserve">Source: </w:t>
      </w:r>
      <w:r>
        <w:t>AAAS: Science Advances: Table of Contents</w:t>
      </w:r>
      <w:r>
        <w:t xml:space="preserve">    </w:t>
      </w:r>
      <w:r>
        <w:rPr>
          <w:b/>
        </w:rPr>
        <w:t xml:space="preserve">Pub date: </w:t>
      </w:r>
      <w:r>
        <w:t>2026-04-08 07:00:00+00:00</w:t>
      </w:r>
      <w:r>
        <w:t xml:space="preserve">    </w:t>
      </w:r>
      <w:r>
        <w:rPr>
          <w:b/>
        </w:rPr>
        <w:t xml:space="preserve">DOI: </w:t>
      </w:r>
      <w:hyperlink r:id="rId715">
        <w:r>
          <w:rPr>
            <w:color w:val="1155CC"/>
            <w:u w:val="single"/>
          </w:rPr>
          <w:t>10.1126/sciadv.aed8075</w:t>
        </w:r>
      </w:hyperlink>
    </w:p>
    <w:p>
      <w:pPr>
        <w:spacing w:before="0" w:after="120"/>
      </w:pPr>
      <w:r>
        <w:rPr>
          <w:b/>
        </w:rPr>
        <w:t xml:space="preserve">Notes: </w:t>
      </w:r>
      <w:r>
        <w:t>abstract_source=crossref</w:t>
      </w:r>
    </w:p>
    <w:p>
      <w:pPr>
        <w:spacing w:before="0" w:after="80" w:lineRule="auto" w:line="276"/>
      </w:pPr>
      <w:r>
        <w:rPr>
          <w:b/>
        </w:rPr>
        <w:t xml:space="preserve">摘要（ZH）: </w:t>
      </w:r>
      <w:r>
        <w:t>新兴的静态水系Zn─Br电池提供了显著的成本和能量密度优势，但受到有毒Br2生成和多溴化物穿梭的影响。在此，我们通过将层状材料引入阴极，报告了一种用于先进Zn─Br电池的通用电极工程，将工作机制从转化重塑为插层-转化。研究结果证实，Br−在不饱和富氮g-C3N4中插层-转化为Br−0.14，有效避免了液态Br2的生成，并抑制了其毒性和扩散。</w:t>
      </w:r>
    </w:p>
    <w:p>
      <w:pPr>
        <w:spacing w:before="0" w:after="200" w:lineRule="auto" w:line="276"/>
      </w:pPr>
      <w:r>
        <w:rPr>
          <w:b/>
        </w:rPr>
        <w:t xml:space="preserve">Abstract (EN): </w:t>
      </w:r>
      <w:r>
        <w:t>Emerging static aqueous Zn─Br batteries offer substantial cost and energy density advantages but suffer from toxic Br</w:t>
      </w:r>
      <w:r>
        <w:rPr>
          <w:vertAlign w:val="subscript"/>
        </w:rPr>
        <w:t>2</w:t>
      </w:r>
      <w:r>
        <w:t>formation and polybromide shuttling. Here, we report a universal electrode engineering for advanced Zn─Br battery via incorporating layered materials into the cathode, reshaping the working mechanism from conversion to intercalation-conversion. Findings confirm that Br</w:t>
      </w:r>
      <w:r>
        <w:t xml:space="preserve"> </w:t>
      </w:r>
      <w:r>
        <w:t>−</w:t>
      </w:r>
      <w:r>
        <w:t>intercalate-converts to Br</w:t>
      </w:r>
      <w:r>
        <w:t xml:space="preserve"> </w:t>
      </w:r>
      <w:r>
        <w:t>−0.14</w:t>
      </w:r>
      <w:r>
        <w:t xml:space="preserve"> </w:t>
      </w:r>
      <w:r>
        <w:t>within unsaturated N-rich g-C</w:t>
      </w:r>
      <w:r>
        <w:rPr>
          <w:vertAlign w:val="subscript"/>
        </w:rPr>
        <w:t>3</w:t>
      </w:r>
      <w:r>
        <w:t>N</w:t>
      </w:r>
      <w:r>
        <w:rPr>
          <w:vertAlign w:val="subscript"/>
        </w:rPr>
        <w:t>4</w:t>
      </w:r>
      <w:r>
        <w:t>, effectively avoiding liquid Br</w:t>
      </w:r>
      <w:r>
        <w:rPr>
          <w:vertAlign w:val="subscript"/>
        </w:rPr>
        <w:t>2</w:t>
      </w:r>
      <w:r>
        <w:t>formation and suppressing its toxicity and diffusion. Consequently, the self-discharge of cell remarkably decreases from 96.5 to 9.5% following 12 hours resting. Through controlling 48.7% Zn depth-of-discharge and industrial-level mass loading 40 mg</w:t>
      </w:r>
      <w:r>
        <w:t xml:space="preserve"> </w:t>
      </w:r>
      <w:r>
        <w:t>(KBr)</w:t>
      </w:r>
      <w:r>
        <w:t xml:space="preserve"> </w:t>
      </w:r>
      <w:r>
        <w:t>cm</w:t>
      </w:r>
      <w:r>
        <w:t xml:space="preserve"> </w:t>
      </w:r>
      <w:r>
        <w:t>−2</w:t>
      </w:r>
      <w:r>
        <w:t xml:space="preserve"> </w:t>
      </w:r>
      <w:r>
        <w:t>, the multilevel pouch cell with ampere hour–level capacity exhibits 750 cycles, outperforming aqueous counterparts at high mass loadings. This electrode engineering is applicable to other layered materials, underscoring its practical universality. These findings not only unlock the full potential of aqueous Zn─Br batteries but also enrich the chemistry landscape of aqueous battery family.</w:t>
      </w:r>
    </w:p>
    <w:p>
      <w:pPr>
        <w:spacing w:before="120" w:after="120"/>
      </w:pPr>
      <w:r>
        <w:rPr>
          <w:sz w:val="18"/>
        </w:rPr>
        <w:t>——————————————————————————————————————————————————————————————————————</w:t>
      </w:r>
    </w:p>
    <w:p>
      <w:pPr>
        <w:spacing w:before="160" w:after="40" w:line="240" w:lineRule="auto"/>
      </w:pPr>
      <w:r>
        <w:rPr>
          <w:b/>
        </w:rPr>
        <w:t xml:space="preserve">[296] </w:t>
      </w:r>
      <w:hyperlink r:id="rId716">
        <w:r>
          <w:rPr>
            <w:color w:val="1155CC"/>
            <w:u w:val="single"/>
          </w:rPr>
          <w:t>DJ-1抑制重塑肿瘤微环境并增强免疫检查点抑制剂的效果</w:t>
        </w:r>
      </w:hyperlink>
    </w:p>
    <w:p>
      <w:pPr>
        <w:spacing w:before="0" w:after="80"/>
      </w:pPr>
      <w:r>
        <w:rPr>
          <w:i/>
          <w:sz w:val="20"/>
        </w:rPr>
        <w:t>EN: DJ-1 inhibition reshapes tumor microenvironment and potentiates immune checkpoint inhibitors</w:t>
      </w:r>
    </w:p>
    <w:p>
      <w:pPr>
        <w:spacing w:before="0" w:after="120"/>
      </w:pPr>
      <w:r>
        <w:rPr>
          <w:b/>
        </w:rPr>
        <w:t xml:space="preserve">Source: </w:t>
      </w:r>
      <w:r>
        <w:t>AAAS: Science Advances: Table of Contents</w:t>
      </w:r>
      <w:r>
        <w:t xml:space="preserve">    </w:t>
      </w:r>
      <w:r>
        <w:rPr>
          <w:b/>
        </w:rPr>
        <w:t xml:space="preserve">Pub date: </w:t>
      </w:r>
      <w:r>
        <w:t>2026-04-08 07:00:00+00:00</w:t>
      </w:r>
      <w:r>
        <w:t xml:space="preserve">    </w:t>
      </w:r>
      <w:r>
        <w:rPr>
          <w:b/>
        </w:rPr>
        <w:t xml:space="preserve">DOI: </w:t>
      </w:r>
      <w:hyperlink r:id="rId717">
        <w:r>
          <w:rPr>
            <w:color w:val="1155CC"/>
            <w:u w:val="single"/>
          </w:rPr>
          <w:t>10.1126/sciadv.ady7556</w:t>
        </w:r>
      </w:hyperlink>
    </w:p>
    <w:p>
      <w:pPr>
        <w:spacing w:before="0" w:after="120"/>
      </w:pPr>
      <w:r>
        <w:rPr>
          <w:b/>
        </w:rPr>
        <w:t xml:space="preserve">Notes: </w:t>
      </w:r>
      <w:r>
        <w:t>abstract_source=crossref</w:t>
      </w:r>
    </w:p>
    <w:p>
      <w:pPr>
        <w:spacing w:before="0" w:after="80" w:lineRule="auto" w:line="276"/>
      </w:pPr>
      <w:r>
        <w:rPr>
          <w:b/>
        </w:rPr>
        <w:t xml:space="preserve">摘要（ZH）: </w:t>
      </w:r>
      <w:r>
        <w:t>免疫检查点抑制剂（ICIs）可以有效治疗癌症，但仅在一小部分患者中有效。能够有效且稳健地使难治性患者对ICIs敏感的治疗策略代表了一种备受期待但尚未满足的临床需求。在这项研究中，我们确定了DJ-1作为一种负性T细胞调节因子。DJ-1敲除增强了抗肿瘤免疫力，并显著增强了小鼠癌症模型中PD-1和TIM-3的阻断效果。肿瘤浸润CD45+细胞的单细胞测序显示，DJ-1缺失通过重编程巨噬细胞间接激活T细胞。在机制上，DJ-1的缺失增加了巨噬细胞中的活性氧（ROS），激活NF-κB/STAT3信号以促进分化为Cxcl9</w:t>
      </w:r>
    </w:p>
    <w:p>
      <w:pPr>
        <w:spacing w:before="0" w:after="200" w:lineRule="auto" w:line="276"/>
      </w:pPr>
      <w:r>
        <w:rPr>
          <w:b/>
        </w:rPr>
        <w:t xml:space="preserve">Abstract (EN): </w:t>
      </w:r>
      <w:r>
        <w:t>Immune checkpoint inhibitors (ICIs) can essentially treat cancer but only in a small subset of patients. Treatment strategies capable of effectively and robustly sensitizing refractory patients to ICIs represent a highly coveted yet unmet clinical need. In this study, we identified DJ-1 as a negative T cell regulator. DJ-1 knockout boosts antitumor immunity and significantly potentiates PD-1 and TIM-3 blockades in murine cancer models. Single-cell sequencing of tumor-infiltrating CD45</w:t>
      </w:r>
      <w:r>
        <w:t xml:space="preserve"> </w:t>
      </w:r>
      <w:r>
        <w:t>+</w:t>
      </w:r>
      <w:r>
        <w:t xml:space="preserve"> </w:t>
      </w:r>
      <w:r>
        <w:t>cells revealed that DJ-1 deficiency indirectly activates T cells by reprogramming macrophages. Mechanistically, loss of DJ-1 increases reactive oxygen species (ROS) in macrophages, activating NF-κB/STAT3 signaling to promote differentiation into Cxcl9</w:t>
      </w:r>
      <w:r>
        <w:t xml:space="preserve"> </w:t>
      </w:r>
      <w:r>
        <w:t>+</w:t>
      </w:r>
      <w:r>
        <w:t xml:space="preserve"> </w:t>
      </w:r>
      <w:r>
        <w:t>immune-stimulatory phenotypes while reducing immune-suppressive Spp1</w:t>
      </w:r>
      <w:r>
        <w:t xml:space="preserve"> </w:t>
      </w:r>
      <w:r>
        <w:t>+</w:t>
      </w:r>
      <w:r>
        <w:t xml:space="preserve"> </w:t>
      </w:r>
      <w:r>
        <w:t>macrophages. Notably, this reprogramming may be stable across tumor microenvironments because the transplanted DJ-1–deficient macrophages maintain T cell–activating capacity. Pharmacological inhibition of DJ-1 by disulfiram markedly potentiated antitumor efficacy of PD-1 blockade. This designates DJ-1 as a promising target for overcoming immune checkpoint resistance and optimize combination therapies.</w:t>
      </w:r>
    </w:p>
    <w:p>
      <w:pPr>
        <w:spacing w:before="120" w:after="120"/>
      </w:pPr>
      <w:r>
        <w:rPr>
          <w:sz w:val="18"/>
        </w:rPr>
        <w:t>——————————————————————————————————————————————————————————————————————</w:t>
      </w:r>
    </w:p>
    <w:p>
      <w:pPr>
        <w:spacing w:before="160" w:after="40" w:line="240" w:lineRule="auto"/>
      </w:pPr>
      <w:r>
        <w:rPr>
          <w:b/>
        </w:rPr>
        <w:t xml:space="preserve">[297] </w:t>
      </w:r>
      <w:hyperlink r:id="rId718">
        <w:r>
          <w:rPr>
            <w:color w:val="1155CC"/>
            <w:u w:val="single"/>
          </w:rPr>
          <w:t>从振动到功能：药物响应蛋白复合物中π-π堆积的光谱检测和量化</w:t>
        </w:r>
      </w:hyperlink>
    </w:p>
    <w:p>
      <w:pPr>
        <w:spacing w:before="0" w:after="80"/>
      </w:pPr>
      <w:r>
        <w:rPr>
          <w:i/>
          <w:sz w:val="20"/>
        </w:rPr>
        <w:t>EN: From vibrations to function: Spectroscopic detection and quantification of π-π stacking in drug-responsive protein complexes</w:t>
      </w:r>
    </w:p>
    <w:p>
      <w:pPr>
        <w:spacing w:before="0" w:after="120"/>
      </w:pPr>
      <w:r>
        <w:rPr>
          <w:b/>
        </w:rPr>
        <w:t xml:space="preserve">Source: </w:t>
      </w:r>
      <w:r>
        <w:t>AAAS: Science Advances: Table of Contents</w:t>
      </w:r>
      <w:r>
        <w:t xml:space="preserve">    </w:t>
      </w:r>
      <w:r>
        <w:rPr>
          <w:b/>
        </w:rPr>
        <w:t xml:space="preserve">Pub date: </w:t>
      </w:r>
      <w:r>
        <w:t>2026-04-08 07:00:00+00:00</w:t>
      </w:r>
      <w:r>
        <w:t xml:space="preserve">    </w:t>
      </w:r>
      <w:r>
        <w:rPr>
          <w:b/>
        </w:rPr>
        <w:t xml:space="preserve">DOI: </w:t>
      </w:r>
      <w:hyperlink r:id="rId719">
        <w:r>
          <w:rPr>
            <w:color w:val="1155CC"/>
            <w:u w:val="single"/>
          </w:rPr>
          <w:t>10.1126/sciadv.aeb3917</w:t>
        </w:r>
      </w:hyperlink>
    </w:p>
    <w:p>
      <w:pPr>
        <w:spacing w:before="0" w:after="120"/>
      </w:pPr>
      <w:r>
        <w:rPr>
          <w:b/>
        </w:rPr>
        <w:t xml:space="preserve">Notes: </w:t>
      </w:r>
      <w:r>
        <w:t>abstract_source=crossref</w:t>
      </w:r>
    </w:p>
    <w:p>
      <w:pPr>
        <w:spacing w:before="0" w:after="80" w:lineRule="auto" w:line="276"/>
      </w:pPr>
      <w:r>
        <w:rPr>
          <w:b/>
        </w:rPr>
        <w:t xml:space="preserve">摘要（ZH）: </w:t>
      </w:r>
      <w:r>
        <w:t>芳香π-π堆积相互作用是蛋白质结构、分子识别和药物效力的基础，但在近生理条件下直接量化它们仍然具有挑战性。在此，我们使用一种新开发的光谱平台，热稳定拉曼相互作用分析（TRIP），能够在复杂的蛋白质环境中直接、无标记地检测和量化芳香π-π相互作用。使用SARS-CoV-2（严重急性呼吸综合征冠状病毒2）主蛋白酶（Mpro）作为生物学和临床相关模型，我们证明苯丙氨酸苯环呼吸（BRB）模式的细微变化可作为π-π堆积强度的精确光谱指示器。该信号高度</w:t>
      </w:r>
    </w:p>
    <w:p>
      <w:pPr>
        <w:spacing w:before="0" w:after="200" w:lineRule="auto" w:line="276"/>
      </w:pPr>
      <w:r>
        <w:rPr>
          <w:b/>
        </w:rPr>
        <w:t xml:space="preserve">Abstract (EN): </w:t>
      </w:r>
      <w:r>
        <w:t>Aromatic π-π stacking interactions are fundamental to protein architecture, molecular recognition, and drug efficacy, yet directly quantifying them under near-physiological conditions has remained challenging. Here, we use a recently developed spectroscopic platform, thermostable Raman interaction profiling (TRIP), that enables direct, label-free detection and quantification of aromatic π-π interactions in complex protein environments. Using the SARS-CoV-2 (severe acute respiratory syndrome coronavirus 2) main protease (M</w:t>
      </w:r>
      <w:r>
        <w:t xml:space="preserve"> </w:t>
      </w:r>
      <w:r>
        <w:t>pro</w:t>
      </w:r>
      <w:r>
        <w:t xml:space="preserve"> </w:t>
      </w:r>
      <w:r>
        <w:t>) as a biologically and clinically relevant model, we demonstrate that subtle changes in the phenylalanine benzene ring breathing (BRB) mode serve as a precise spectroscopic indicator of π-π stacking strength. This signal is highly responsive to both protein concentration-dependent dimerization and ligand-induced structural changes. M</w:t>
      </w:r>
      <w:r>
        <w:t xml:space="preserve"> </w:t>
      </w:r>
      <w:r>
        <w:t>pro</w:t>
      </w:r>
      <w:r>
        <w:t xml:space="preserve"> </w:t>
      </w:r>
      <w:r>
        <w:t>forms a catalytically active dimer stabilized by a conserved aromatic triad (phenylalanine-140, histidine-163, and histidine-172), providing an ideal system to interrogate π-stacking at an important protein interface. Potent inhibitors MPI8 and nirmatrelvir produced the strongest BRB spectral shifts, broadening, and intensity changes, consistent with enhanced aromatic stacking and dimer stabilization, whereas halicin and VB-B-145 showed weaker engagement. BRB spectral changes also showed quantitative correlation with dimerization efficiency, published IC</w:t>
      </w:r>
      <w:r>
        <w:rPr>
          <w:vertAlign w:val="subscript"/>
        </w:rPr>
        <w:t>50</w:t>
      </w:r>
      <w:r>
        <w:t>(median inhibitory concentration) values, and antiviral efficacy in A549-ACE2 cells. Complementary density functional theory revealed electron density rearrangements and vibrational coupling patterns unique to stacked aromatic residues. This integrated spectroscopic-computational approach enables quantitative probing of π-π stacking in native-like protein environments and positioning TRIP as a generalizable tool for designing drugs targeting aromatic protein-protein interfaces.</w:t>
      </w:r>
    </w:p>
    <w:p>
      <w:pPr>
        <w:spacing w:before="120" w:after="120"/>
      </w:pPr>
      <w:r>
        <w:rPr>
          <w:sz w:val="18"/>
        </w:rPr>
        <w:t>——————————————————————————————————————————————————————————————————————</w:t>
      </w:r>
    </w:p>
    <w:p>
      <w:pPr>
        <w:spacing w:before="160" w:after="40" w:line="240" w:lineRule="auto"/>
      </w:pPr>
      <w:r>
        <w:rPr>
          <w:b/>
        </w:rPr>
        <w:t xml:space="preserve">[298] </w:t>
      </w:r>
      <w:hyperlink r:id="rId720">
        <w:r>
          <w:rPr>
            <w:color w:val="1155CC"/>
            <w:u w:val="single"/>
          </w:rPr>
          <w:t>上如是，下不然：行星模拟冰中的离子分馏</w:t>
        </w:r>
      </w:hyperlink>
    </w:p>
    <w:p>
      <w:pPr>
        <w:spacing w:before="0" w:after="80"/>
      </w:pPr>
      <w:r>
        <w:rPr>
          <w:i/>
          <w:sz w:val="20"/>
        </w:rPr>
        <w:t>EN: As above, not so below: Ion fractionation in planetary analog ices</w:t>
      </w:r>
    </w:p>
    <w:p>
      <w:pPr>
        <w:spacing w:before="0" w:after="120"/>
      </w:pPr>
      <w:r>
        <w:rPr>
          <w:b/>
        </w:rPr>
        <w:t xml:space="preserve">Source: </w:t>
      </w:r>
      <w:r>
        <w:t>AAAS: Science Advances: Table of Contents</w:t>
      </w:r>
      <w:r>
        <w:t xml:space="preserve">    </w:t>
      </w:r>
      <w:r>
        <w:rPr>
          <w:b/>
        </w:rPr>
        <w:t xml:space="preserve">Pub date: </w:t>
      </w:r>
      <w:r>
        <w:t>2026-04-08 07:00:00+00:00</w:t>
      </w:r>
      <w:r>
        <w:t xml:space="preserve">    </w:t>
      </w:r>
      <w:r>
        <w:rPr>
          <w:b/>
        </w:rPr>
        <w:t xml:space="preserve">DOI: </w:t>
      </w:r>
      <w:hyperlink r:id="rId721">
        <w:r>
          <w:rPr>
            <w:color w:val="1155CC"/>
            <w:u w:val="single"/>
          </w:rPr>
          <w:t>10.1126/sciadv.ady6763</w:t>
        </w:r>
      </w:hyperlink>
    </w:p>
    <w:p>
      <w:pPr>
        <w:spacing w:before="0" w:after="120"/>
      </w:pPr>
      <w:r>
        <w:rPr>
          <w:b/>
        </w:rPr>
        <w:t xml:space="preserve">Notes: </w:t>
      </w:r>
      <w:r>
        <w:t>abstract_source=crossref</w:t>
      </w:r>
    </w:p>
    <w:p>
      <w:pPr>
        <w:spacing w:before="0" w:after="80" w:lineRule="auto" w:line="276"/>
      </w:pPr>
      <w:r>
        <w:rPr>
          <w:b/>
        </w:rPr>
        <w:t xml:space="preserve">摘要（ZH）: </w:t>
      </w:r>
      <w:r>
        <w:t>海洋世界的地球物理演化和天体生物学潜力与其海洋和冰壳的化学成分密不可分。在缺乏直接测量的情况下，地下海洋成分的经验估计依赖于冰壳表面的离子成分代表其下层海洋成分的假设。在此，我们展示了实验结果，表明离子分馏——在形成冰时离子种类的差异性夹带——可能是海洋世界中普遍存在的过程，暗示行星冰壳成分并不直接反映其下层海洋成分。我们测量了冰中相对离子浓度的消耗和放大，范围在-40%到+77%之间，与</w:t>
      </w:r>
    </w:p>
    <w:p>
      <w:pPr>
        <w:spacing w:before="0" w:after="200" w:lineRule="auto" w:line="276"/>
      </w:pPr>
      <w:r>
        <w:rPr>
          <w:b/>
        </w:rPr>
        <w:t xml:space="preserve">Abstract (EN): </w:t>
      </w:r>
      <w:r>
        <w:t>The geophysical evolution and astrobiological potential of ocean worlds are indelibly linked to the chemical compositions of their oceans and ice shells. In the absence of direct measurements, empirical estimates of subsurface ocean compositions have relied on the assumption that the ionic compositions of ice shell surfaces are representative of their underlying ocean compositions. Here, we present experimental results demonstrating that ion fractionation—the differential entrainment of ion species in forming ices—is likely a prevalent process on ocean worlds, suggesting that planetary ice shell compositions do not directly reflect their underlying ocean compositions. We measure in-ice depletions and amplifications of relative ion concentrations ranging between −40 and +77%, compared to the parent fluid composition. Although this may complicate the interpretation of spacecraft data, ion fractionation provides a mechanism for generating compositionally diverse ices that could help explain the geological complexity of planetary ice shells.</w:t>
      </w:r>
    </w:p>
    <w:p>
      <w:pPr>
        <w:spacing w:before="120" w:after="120"/>
      </w:pPr>
      <w:r>
        <w:rPr>
          <w:sz w:val="18"/>
        </w:rPr>
        <w:t>——————————————————————————————————————————————————————————————————————</w:t>
      </w:r>
    </w:p>
    <w:p>
      <w:pPr>
        <w:spacing w:before="160" w:after="40" w:line="240" w:lineRule="auto"/>
      </w:pPr>
      <w:r>
        <w:rPr>
          <w:b/>
        </w:rPr>
        <w:t xml:space="preserve">[299] </w:t>
      </w:r>
      <w:hyperlink r:id="rId722">
        <w:r>
          <w:rPr>
            <w:color w:val="1155CC"/>
            <w:u w:val="single"/>
          </w:rPr>
          <w:t>观测到的西部边界对大西洋经向翻转环流的贡献呈经向一致性下降</w:t>
        </w:r>
      </w:hyperlink>
    </w:p>
    <w:p>
      <w:pPr>
        <w:spacing w:before="0" w:after="80"/>
      </w:pPr>
      <w:r>
        <w:rPr>
          <w:i/>
          <w:sz w:val="20"/>
        </w:rPr>
        <w:t>EN: Meridionally consistent decline in the observed western boundary contribution to the Atlantic Meridional Overturning Circulation</w:t>
      </w:r>
    </w:p>
    <w:p>
      <w:pPr>
        <w:spacing w:before="0" w:after="120"/>
      </w:pPr>
      <w:r>
        <w:rPr>
          <w:b/>
        </w:rPr>
        <w:t xml:space="preserve">Source: </w:t>
      </w:r>
      <w:r>
        <w:t>AAAS: Science Advances: Table of Contents</w:t>
      </w:r>
      <w:r>
        <w:t xml:space="preserve">    </w:t>
      </w:r>
      <w:r>
        <w:rPr>
          <w:b/>
        </w:rPr>
        <w:t xml:space="preserve">Pub date: </w:t>
      </w:r>
      <w:r>
        <w:t>2026-04-08 07:00:00+00:00</w:t>
      </w:r>
      <w:r>
        <w:t xml:space="preserve">    </w:t>
      </w:r>
      <w:r>
        <w:rPr>
          <w:b/>
        </w:rPr>
        <w:t xml:space="preserve">DOI: </w:t>
      </w:r>
      <w:hyperlink r:id="rId723">
        <w:r>
          <w:rPr>
            <w:color w:val="1155CC"/>
            <w:u w:val="single"/>
          </w:rPr>
          <w:t>10.1126/sciadv.adz7738</w:t>
        </w:r>
      </w:hyperlink>
    </w:p>
    <w:p>
      <w:pPr>
        <w:spacing w:before="0" w:after="120"/>
      </w:pPr>
      <w:r>
        <w:rPr>
          <w:b/>
        </w:rPr>
        <w:t xml:space="preserve">Notes: </w:t>
      </w:r>
      <w:r>
        <w:t>abstract_source=crossref</w:t>
      </w:r>
    </w:p>
    <w:p>
      <w:pPr>
        <w:spacing w:before="0" w:after="80" w:lineRule="auto" w:line="276"/>
      </w:pPr>
      <w:r>
        <w:rPr>
          <w:b/>
        </w:rPr>
        <w:t xml:space="preserve">摘要（ZH）: </w:t>
      </w:r>
      <w:r>
        <w:t>尽管许多基于模型的分析表明大西洋经向翻转环流（AMOC）在最近几十年显著下降，但来自多纬度现场观测的长期有力证据仍然有限。本研究使用来自四个锚系阵列的观测数据，这些阵列沿北大西洋西部边界（从16.5°N到42.5°N）布置，以检查深层西部翻转输运的趋势，这些趋势是从海底压力或其等效的跨坡度梯度推导出来的，低于并相对于1000米，与西部边界的变化条件相关。我们在过去二十年中识别出这些纬度上深层西部翻转输运的一致下降。这种下降在西部边界观测到。</w:t>
      </w:r>
    </w:p>
    <w:p>
      <w:pPr>
        <w:spacing w:before="0" w:after="200" w:lineRule="auto" w:line="276"/>
      </w:pPr>
      <w:r>
        <w:rPr>
          <w:b/>
        </w:rPr>
        <w:t xml:space="preserve">Abstract (EN): </w:t>
      </w:r>
      <w:r>
        <w:t>Despite numerous model-based analyses indicating a notable decline in the Atlantic Meridional Overturning Circulation (AMOC) in recent decades, robust, long-term evidence from multilatitudinal in situ observations remains limited. This study uses observational data from four mooring arrays, positioned along the western boundary of the North Atlantic (from 16.5°N to 42.5°N), to examine trends in the deep western overturning transports, derived from the cross-slope gradient in ocean bottom pressure or its equivalent, below and relative to 1000 meters that are linked to changing conditions at the western boundary. We identify a meridionally consistent decline in deep western overturning transport across these latitudes over the past two decades. This decline, observed at the western boundary, may serve as an effective indicator of AMOC weakening, despite the partial compensatory effect of overturn strengthening at the eastern boundary.</w:t>
      </w:r>
    </w:p>
    <w:p>
      <w:pPr>
        <w:spacing w:before="120" w:after="120"/>
      </w:pPr>
      <w:r>
        <w:rPr>
          <w:sz w:val="18"/>
        </w:rPr>
        <w:t>——————————————————————————————————————————————————————————————————————</w:t>
      </w:r>
    </w:p>
    <w:p>
      <w:pPr>
        <w:spacing w:before="160" w:after="40" w:line="240" w:lineRule="auto"/>
      </w:pPr>
      <w:r>
        <w:rPr>
          <w:b/>
        </w:rPr>
        <w:t xml:space="preserve">[300] </w:t>
      </w:r>
      <w:hyperlink r:id="rId724">
        <w:r>
          <w:rPr>
            <w:color w:val="1155CC"/>
            <w:u w:val="single"/>
          </w:rPr>
          <w:t>古代基因组揭示了韩国三国时期社会的广泛亲属网络和内婚制</w:t>
        </w:r>
      </w:hyperlink>
    </w:p>
    <w:p>
      <w:pPr>
        <w:spacing w:before="0" w:after="80"/>
      </w:pPr>
      <w:r>
        <w:rPr>
          <w:i/>
          <w:sz w:val="20"/>
        </w:rPr>
        <w:t>EN: Ancient genomes reveal an extensive kinship network and endogamy in a Three-Kingdoms period society in Korea</w:t>
      </w:r>
    </w:p>
    <w:p>
      <w:pPr>
        <w:spacing w:before="0" w:after="120"/>
      </w:pPr>
      <w:r>
        <w:rPr>
          <w:b/>
        </w:rPr>
        <w:t xml:space="preserve">Source: </w:t>
      </w:r>
      <w:r>
        <w:t>AAAS: Science Advances: Table of Contents</w:t>
      </w:r>
      <w:r>
        <w:t xml:space="preserve">    </w:t>
      </w:r>
      <w:r>
        <w:rPr>
          <w:b/>
        </w:rPr>
        <w:t xml:space="preserve">Pub date: </w:t>
      </w:r>
      <w:r>
        <w:t>2026-04-08 07:00:00+00:00</w:t>
      </w:r>
      <w:r>
        <w:t xml:space="preserve">    </w:t>
      </w:r>
      <w:r>
        <w:rPr>
          <w:b/>
        </w:rPr>
        <w:t xml:space="preserve">DOI: </w:t>
      </w:r>
      <w:hyperlink r:id="rId725">
        <w:r>
          <w:rPr>
            <w:color w:val="1155CC"/>
            <w:u w:val="single"/>
          </w:rPr>
          <w:t>10.1126/sciadv.ady8614</w:t>
        </w:r>
      </w:hyperlink>
    </w:p>
    <w:p>
      <w:pPr>
        <w:spacing w:before="0" w:after="120"/>
      </w:pPr>
      <w:r>
        <w:rPr>
          <w:b/>
        </w:rPr>
        <w:t xml:space="preserve">Notes: </w:t>
      </w:r>
      <w:r>
        <w:t>abstract_source=crossref</w:t>
      </w:r>
    </w:p>
    <w:p>
      <w:pPr>
        <w:spacing w:before="0" w:after="80" w:lineRule="auto" w:line="276"/>
      </w:pPr>
      <w:r>
        <w:rPr>
          <w:b/>
        </w:rPr>
        <w:t xml:space="preserve">摘要（ZH）: </w:t>
      </w:r>
      <w:r>
        <w:t>庆尚南道东南部的临堂-朝英遗址的墓葬群因在约100年内（公元四至六世纪）建造的大量墓葬和广泛的人祭实践而引人注目。通过分析78名个体的全基因组数据，我们检测到11对、23对和20对第一、第二和三度或更远的亲属关系，揭示了临堂-朝英社会中密集的亲属网络。我们发现五名个体来自近亲父母，表明无论是墓主还是被祭祀者都存在近亲婚姻的实践。我们还观察到成年女性后代与其亲属一起埋葬，这与欧洲最近的几项考古遗传学研究报告的严格女性外婚模式不同。我们未检测到明显的</w:t>
      </w:r>
    </w:p>
    <w:p>
      <w:pPr>
        <w:spacing w:before="0" w:after="200" w:lineRule="auto" w:line="276"/>
      </w:pPr>
      <w:r>
        <w:rPr>
          <w:b/>
        </w:rPr>
        <w:t xml:space="preserve">Abstract (EN): </w:t>
      </w:r>
      <w:r>
        <w:t>The burial complex of the Imdang-Joyeong site at Gyeongsan in southeastern Korea is notable for the large number of tombs constructed within ~100 years (fourth and sixth centuries CE) and widespread practice of human sacrifice. Analyzing genome-wide data from 78 individuals, we detected 11, 23, and 20 pairs of the first, second, and three-or-more-distant degree relatives, respectively, revealing a dense network of kinship in the Imdang-Joyeong society. We found five individuals from closely related parents, suggesting the practice of consanguineous marriage in both grave owners and the sacrificed. We also observed adult female descendants buried together with their kin, unlike several recent archeogenetic studies in Europe reporting a strict pattern of female exogamy. We detected no discernible genetic difference between grave owners and the sacrificed. Our analysis provides bioarcheological information on the burial customs and social structure of the Three-Kingdoms period society in Korea.</w:t>
      </w:r>
    </w:p>
    <w:p>
      <w:pPr>
        <w:spacing w:before="120" w:after="120"/>
      </w:pPr>
      <w:r>
        <w:rPr>
          <w:sz w:val="18"/>
        </w:rPr>
        <w:t>——————————————————————————————————————————————————————————————————————</w:t>
      </w:r>
    </w:p>
    <w:p>
      <w:pPr>
        <w:spacing w:before="160" w:after="40" w:line="240" w:lineRule="auto"/>
      </w:pPr>
      <w:r>
        <w:rPr>
          <w:b/>
        </w:rPr>
        <w:t xml:space="preserve">[301] </w:t>
      </w:r>
      <w:hyperlink r:id="rId726">
        <w:r>
          <w:rPr>
            <w:color w:val="1155CC"/>
            <w:u w:val="single"/>
          </w:rPr>
          <w:t>在慢性感染期间，使用Fc完整抗体的PD-1疗法后从肝脏中选择性耗竭病毒特异性CD8 T细胞</w:t>
        </w:r>
      </w:hyperlink>
    </w:p>
    <w:p>
      <w:pPr>
        <w:spacing w:before="0" w:after="80"/>
      </w:pPr>
      <w:r>
        <w:rPr>
          <w:i/>
          <w:sz w:val="20"/>
        </w:rPr>
        <w:t>EN: Selective depletion of virus-specific CD8 T cells from the liver after PD-1 therapy with Fc-intact antibody during chronic infection</w:t>
      </w:r>
    </w:p>
    <w:p>
      <w:pPr>
        <w:spacing w:before="0" w:after="120"/>
      </w:pPr>
      <w:r>
        <w:rPr>
          <w:b/>
        </w:rPr>
        <w:t xml:space="preserve">Source: </w:t>
      </w:r>
      <w:r>
        <w:t>Proceedings of the National Academy of Sciences: Keyword search for query</w:t>
      </w:r>
      <w:r>
        <w:t xml:space="preserve">    </w:t>
      </w:r>
      <w:r>
        <w:rPr>
          <w:b/>
        </w:rPr>
        <w:t xml:space="preserve">Pub date: </w:t>
      </w:r>
      <w:r>
        <w:t>2026-04-08 07:00:00+00:00</w:t>
      </w:r>
      <w:r>
        <w:t xml:space="preserve">    </w:t>
      </w:r>
      <w:r>
        <w:rPr>
          <w:b/>
        </w:rPr>
        <w:t xml:space="preserve">DOI: </w:t>
      </w:r>
      <w:hyperlink r:id="rId727">
        <w:r>
          <w:rPr>
            <w:color w:val="1155CC"/>
            <w:u w:val="single"/>
          </w:rPr>
          <w:t>10.1073/pnas.2427192123</w:t>
        </w:r>
      </w:hyperlink>
    </w:p>
    <w:p>
      <w:pPr>
        <w:spacing w:before="0" w:after="120"/>
      </w:pPr>
      <w:r>
        <w:rPr>
          <w:b/>
        </w:rPr>
        <w:t xml:space="preserve">Notes: </w:t>
      </w:r>
      <w:r>
        <w:t>abstract_source=crossref</w:t>
      </w:r>
    </w:p>
    <w:p>
      <w:pPr>
        <w:spacing w:before="0" w:after="80" w:lineRule="auto" w:line="276"/>
      </w:pPr>
      <w:r>
        <w:rPr>
          <w:b/>
        </w:rPr>
        <w:t xml:space="preserve">摘要（ZH）: </w:t>
      </w:r>
      <w:r>
        <w:t>抗程序性细胞死亡1（PD-1）抗体疗法现已广泛应用于各种癌症。然而，抗体Fc区在PD-1导向免疫治疗中的作用尚不清楚。临床前研究通常使用物种不匹配的大鼠抗小鼠抗体，这可能无法准确反映抗体-Fcγ受体（FcγR）相互作用。在此，我们使用小鼠抗小鼠PD-1抗体研究Fc区如何影响治疗效果，以增强CD8 T细胞反应，使用慢性淋巴细胞性脉络脑膜炎病毒感染和CT26肿瘤的小鼠模型。用这些小鼠抗小鼠PD-1抗体治疗导致肝脏中PD-1+病毒特异性CD8 T细胞的优先耗竭，导致病毒滴度增加。这些小鼠抗PD-1抗体的效应</w:t>
      </w:r>
    </w:p>
    <w:p>
      <w:pPr>
        <w:spacing w:before="0" w:after="200" w:lineRule="auto" w:line="276"/>
      </w:pPr>
      <w:r>
        <w:rPr>
          <w:b/>
        </w:rPr>
        <w:t xml:space="preserve">Abstract (EN): </w:t>
      </w:r>
      <w:r>
        <w:t>Anti-programmed cell death 1 (PD-1) antibody therapy is now widely used in various cancers. However, the role of the antibody Fc region in PD-1 directed immunotherapy is not well understood. Preclinical studies commonly use species-mismatched rat anti-mouse antibodies, which may not accurately reflect antibody-Fc gamma receptor (FcγR) interactions. Here, we used mouse anti-mouse PD-1 antibodies to investigate how the Fc region influences therapeutic efficacy for enhancing CD8 T cell responses using mouse models of chronic lymphocytic choriomeningitis virus infection and CT26 tumors. Treatment with these mouse anti-mouse PD-1 antibodies caused preferential depletion of PD-1+ virus-specific CD8 T cells in the liver, resulting in increased viral titers. These effects of mouse anti-PD-1 antibodies were Fc dependent since mutating the Fc region to block FcγR interaction prevented PD-1+ CD8 T cell depletion and resulted in effective immunotherapy. Using mice lacking activating FcγR III or inhibitory FcγR IIb, we found that depletion of PD-1+ CD8 T cells was mediated via activating FcγR III. Furthermore, we determined that phagocytic cells, not natural killer cells, were the in vivo effectors that mediated depletion of PD-1+ CD8 T cells. Similar depletion of tumor-specific CD8 T cells and reduced tumor control were observed in the CT26 model with Fc-intact mouse anti-mouse PD-1 treatment. These findings highlight potential negative effects of Fc-functional anti-PD-1 antibodies in therapies for liver cancer, liver metastases, and chronic hepatotropic viral infections. Conversely, FcγR-mediated depletion could benefit “agonistic” anti-PD-1 antibodies for treatment of autoimmunity. Our research emphasizes the importance of Fc region in tailoring PD-1 therapies for diverse clinical applications.</w:t>
      </w:r>
    </w:p>
    <w:p>
      <w:pPr>
        <w:spacing w:before="120" w:after="120"/>
      </w:pPr>
      <w:r>
        <w:rPr>
          <w:sz w:val="18"/>
        </w:rPr>
        <w:t>——————————————————————————————————————————————————————————————————————</w:t>
      </w:r>
    </w:p>
    <w:p>
      <w:pPr>
        <w:spacing w:before="160" w:after="40" w:line="240" w:lineRule="auto"/>
      </w:pPr>
      <w:r>
        <w:rPr>
          <w:b/>
        </w:rPr>
        <w:t xml:space="preserve">[302] </w:t>
      </w:r>
      <w:hyperlink r:id="rId728">
        <w:r>
          <w:rPr>
            <w:color w:val="1155CC"/>
            <w:u w:val="single"/>
          </w:rPr>
          <w:t>连接组蛋白H1作为液态胶水在活体人类细胞中组织染色质</w:t>
        </w:r>
      </w:hyperlink>
    </w:p>
    <w:p>
      <w:pPr>
        <w:spacing w:before="0" w:after="80"/>
      </w:pPr>
      <w:r>
        <w:rPr>
          <w:i/>
          <w:sz w:val="20"/>
        </w:rPr>
        <w:t>EN: Linker histone H1 functions as a liquid-like glue to organize chromatin in living human cells</w:t>
      </w:r>
    </w:p>
    <w:p>
      <w:pPr>
        <w:spacing w:before="0" w:after="120"/>
      </w:pPr>
      <w:r>
        <w:rPr>
          <w:b/>
        </w:rPr>
        <w:t xml:space="preserve">Source: </w:t>
      </w:r>
      <w:r>
        <w:t>AAAS: Science Advances: Table of Contents</w:t>
      </w:r>
      <w:r>
        <w:t xml:space="preserve">    </w:t>
      </w:r>
      <w:r>
        <w:rPr>
          <w:b/>
        </w:rPr>
        <w:t xml:space="preserve">Pub date: </w:t>
      </w:r>
      <w:r>
        <w:t>2026-04-08 07:00:00+00:00</w:t>
      </w:r>
      <w:r>
        <w:t xml:space="preserve">    </w:t>
      </w:r>
      <w:r>
        <w:rPr>
          <w:b/>
        </w:rPr>
        <w:t xml:space="preserve">DOI: </w:t>
      </w:r>
      <w:hyperlink r:id="rId729">
        <w:r>
          <w:rPr>
            <w:color w:val="1155CC"/>
            <w:u w:val="single"/>
          </w:rPr>
          <w:t>10.1126/sciadv.aec9801</w:t>
        </w:r>
      </w:hyperlink>
    </w:p>
    <w:p>
      <w:pPr>
        <w:spacing w:before="0" w:after="120"/>
      </w:pPr>
      <w:r>
        <w:rPr>
          <w:b/>
        </w:rPr>
        <w:t xml:space="preserve">Notes: </w:t>
      </w:r>
      <w:r>
        <w:t>abstract_source=crossref</w:t>
      </w:r>
    </w:p>
    <w:p>
      <w:pPr>
        <w:spacing w:before="0" w:after="80" w:lineRule="auto" w:line="276"/>
      </w:pPr>
      <w:r>
        <w:rPr>
          <w:b/>
        </w:rPr>
        <w:t xml:space="preserve">摘要（ZH）: </w:t>
      </w:r>
      <w:r>
        <w:t>连接组蛋白H1是最丰富的染色质蛋白，能够浓缩染色质，调节转录和DNA复制/修复等DNA事务，并参与分化、发育和肿瘤发生。尽管最近的研究表明核小体在高等真核细胞中被聚集为浓缩的染色质域，但组蛋白H1如何机械地浓缩染色质仍不清楚。在此，通过结合活体人细胞中单个H1分子的直接可视化和多尺度分子动力学模拟，我们证明大多数H1在染色质域内表现得像液体，而不是像传统模型所建议的那样稳定地结合在核小体上。H1作为液体状的“胶水”发挥作用，介导动态多价静电</w:t>
      </w:r>
    </w:p>
    <w:p>
      <w:pPr>
        <w:spacing w:before="0" w:after="200" w:lineRule="auto" w:line="276"/>
      </w:pPr>
      <w:r>
        <w:rPr>
          <w:b/>
        </w:rPr>
        <w:t xml:space="preserve">Abstract (EN): </w:t>
      </w:r>
      <w:r>
        <w:t>Linker histone H1, the most abundant chromatin protein, condenses chromatin, modulates DNA transactions such as transcription and DNA replication/repair, and participates in differentiation, development, and tumorigenesis. While recent studies indicate that nucleosomes are clustered as condensed chromatin domains in higher eukaryotic cells, how histone H1 mechanically condenses chromatin remains unclear. Here, using a combination of direct visualization of single-H1 molecules in living human cells and multiscale molecular dynamics simulations, we demonstrate that the majority of H1 behaves like a liquid inside chromatin domains, rather than binding stably to nucleosomes as suggested by the traditional model. H1 functions as a liquid-like “glue,” mediating dynamic multivalent electrostatic interactions between nucleosomes within chromatin domains. Consistently, rapid depletion of H1.2 leads to decondensed chromatin domains both in cells and in silico. Our findings suggest that the H1 “glue” condenses chromatin domains while keeping them fluid and accessible, thereby supporting essential DNA transactions.</w:t>
      </w:r>
    </w:p>
    <w:p>
      <w:pPr>
        <w:spacing w:before="120" w:after="120"/>
      </w:pPr>
      <w:r>
        <w:rPr>
          <w:sz w:val="18"/>
        </w:rPr>
        <w:t>——————————————————————————————————————————————————————————————————————</w:t>
      </w:r>
    </w:p>
    <w:p>
      <w:pPr>
        <w:spacing w:before="160" w:after="40" w:line="240" w:lineRule="auto"/>
      </w:pPr>
      <w:r>
        <w:rPr>
          <w:b/>
        </w:rPr>
        <w:t xml:space="preserve">[303] </w:t>
      </w:r>
      <w:hyperlink r:id="rId730">
        <w:r>
          <w:rPr>
            <w:color w:val="1155CC"/>
            <w:u w:val="single"/>
          </w:rPr>
          <w:t>灯丝感应张力：用于自力调节人工肌肉驱动可穿戴机器人仿生人工肌腱</w:t>
        </w:r>
      </w:hyperlink>
    </w:p>
    <w:p>
      <w:pPr>
        <w:spacing w:before="0" w:after="80"/>
      </w:pPr>
      <w:r>
        <w:rPr>
          <w:i/>
          <w:sz w:val="20"/>
        </w:rPr>
        <w:t>EN: Filament sensing tension: A bionic artificial tendon for self–force-regulated artificial muscle–driven wearable robotics</w:t>
      </w:r>
    </w:p>
    <w:p>
      <w:pPr>
        <w:spacing w:before="0" w:after="120"/>
      </w:pPr>
      <w:r>
        <w:rPr>
          <w:b/>
        </w:rPr>
        <w:t xml:space="preserve">Source: </w:t>
      </w:r>
      <w:r>
        <w:t>AAAS: Science Advances: Table of Contents</w:t>
      </w:r>
      <w:r>
        <w:t xml:space="preserve">    </w:t>
      </w:r>
      <w:r>
        <w:rPr>
          <w:b/>
        </w:rPr>
        <w:t xml:space="preserve">Pub date: </w:t>
      </w:r>
      <w:r>
        <w:t>2026-04-08 07:00:00+00:00</w:t>
      </w:r>
      <w:r>
        <w:t xml:space="preserve">    </w:t>
      </w:r>
      <w:r>
        <w:rPr>
          <w:b/>
        </w:rPr>
        <w:t xml:space="preserve">DOI: </w:t>
      </w:r>
      <w:hyperlink r:id="rId731">
        <w:r>
          <w:rPr>
            <w:color w:val="1155CC"/>
            <w:u w:val="single"/>
          </w:rPr>
          <w:t>10.1126/sciadv.aea2709</w:t>
        </w:r>
      </w:hyperlink>
    </w:p>
    <w:p>
      <w:pPr>
        <w:spacing w:before="0" w:after="120"/>
      </w:pPr>
      <w:r>
        <w:rPr>
          <w:b/>
        </w:rPr>
        <w:t xml:space="preserve">Notes: </w:t>
      </w:r>
      <w:r>
        <w:t>abstract_source=crossref</w:t>
      </w:r>
    </w:p>
    <w:p>
      <w:pPr>
        <w:spacing w:before="0" w:after="80" w:lineRule="auto" w:line="276"/>
      </w:pPr>
      <w:r>
        <w:rPr>
          <w:b/>
        </w:rPr>
        <w:t xml:space="preserve">摘要（ZH）: </w:t>
      </w:r>
      <w:r>
        <w:t>人工肌肉的开发已有数十年历史，并在可穿戴机器人领域中发挥着关键作用。然而，仍然缺乏一种用于人工肌肉中感知和调节力的通用设备，使得场景所需的力控制难以实现。受高尔基腱器官的启发，本研究提出仿生ExoTendon作为人工肌肉中力感知和调节的通用解决方案。利用摩擦电效应和静电感应原理，ExoTendon提供高线性度、最小滞后性和可调节的灵敏度和范围，使其适合作为人工肌肉的肌腱。具体而言，ExoTendon有效地实现了对人工肌肉预张力的调整，在相同条件下产生各种辅助力</w:t>
      </w:r>
    </w:p>
    <w:p>
      <w:pPr>
        <w:spacing w:before="0" w:after="200" w:lineRule="auto" w:line="276"/>
      </w:pPr>
      <w:r>
        <w:rPr>
          <w:b/>
        </w:rPr>
        <w:t xml:space="preserve">Abstract (EN): </w:t>
      </w:r>
      <w:r>
        <w:t>Artificial muscles have been in development for decades and play a crucial role in the field of wearable robotics. However, a universal device for both sensing and regulating forces in artificial muscles is still absent, rendering scenario-required force control unfeasible. Inspired by Golgi tendon organs, this work proposes bionic ExoTendon for force sensing and regulating in artificial muscles as a general solution. Leveraging the principles of triboelectrification and electrostatic induction, the ExoTendon offers high linearity, minimal hysteresis, and adjustable sensitivity and range, making it suitable as the tendon of artificial muscles. Specifically, the ExoTendon effectively enable adjustment to the pretension of the artificial muscles, yielding various assistive forces under the same input. With the optimized pretension level and closed-loop force control, the artificial muscle–based exosuit achieves self–force regulation, substantially improving walking balance and speed in stroke subjects under low input, demonstrating its promise in wearable robotics and rehabilitation medicine.</w:t>
      </w:r>
    </w:p>
    <w:p>
      <w:pPr>
        <w:spacing w:before="120" w:after="120"/>
      </w:pPr>
      <w:r>
        <w:rPr>
          <w:sz w:val="18"/>
        </w:rPr>
        <w:t>——————————————————————————————————————————————————————————————————————</w:t>
      </w:r>
    </w:p>
    <w:p>
      <w:pPr>
        <w:spacing w:before="160" w:after="40" w:line="240" w:lineRule="auto"/>
      </w:pPr>
      <w:r>
        <w:rPr>
          <w:b/>
        </w:rPr>
        <w:t xml:space="preserve">[304] </w:t>
      </w:r>
      <w:hyperlink r:id="rId732">
        <w:r>
          <w:rPr>
            <w:color w:val="1155CC"/>
            <w:u w:val="single"/>
          </w:rPr>
          <w:t>爪哇岛的地面沉降及其对相对海平面变化的贡献</w:t>
        </w:r>
      </w:hyperlink>
    </w:p>
    <w:p>
      <w:pPr>
        <w:spacing w:before="0" w:after="80"/>
      </w:pPr>
      <w:r>
        <w:rPr>
          <w:i/>
          <w:sz w:val="20"/>
        </w:rPr>
        <w:t>EN: Land subsidence on Java Island and its contributions to relative sea level change</w:t>
      </w:r>
    </w:p>
    <w:p>
      <w:pPr>
        <w:spacing w:before="0" w:after="120"/>
      </w:pPr>
      <w:r>
        <w:rPr>
          <w:b/>
        </w:rPr>
        <w:t xml:space="preserve">Source: </w:t>
      </w:r>
      <w:r>
        <w:t>AAAS: Science Advances: Table of Contents</w:t>
      </w:r>
      <w:r>
        <w:t xml:space="preserve">    </w:t>
      </w:r>
      <w:r>
        <w:rPr>
          <w:b/>
        </w:rPr>
        <w:t xml:space="preserve">Pub date: </w:t>
      </w:r>
      <w:r>
        <w:t>2026-04-08 07:00:00+00:00</w:t>
      </w:r>
      <w:r>
        <w:t xml:space="preserve">    </w:t>
      </w:r>
      <w:r>
        <w:rPr>
          <w:b/>
        </w:rPr>
        <w:t xml:space="preserve">DOI: </w:t>
      </w:r>
      <w:hyperlink r:id="rId733">
        <w:r>
          <w:rPr>
            <w:color w:val="1155CC"/>
            <w:u w:val="single"/>
          </w:rPr>
          <w:t>10.1126/sciadv.aec0172</w:t>
        </w:r>
      </w:hyperlink>
    </w:p>
    <w:p>
      <w:pPr>
        <w:spacing w:before="0" w:after="120"/>
      </w:pPr>
      <w:r>
        <w:rPr>
          <w:b/>
        </w:rPr>
        <w:t xml:space="preserve">Notes: </w:t>
      </w:r>
      <w:r>
        <w:t>abstract_source=crossref</w:t>
      </w:r>
    </w:p>
    <w:p>
      <w:pPr>
        <w:spacing w:before="0" w:after="80" w:lineRule="auto" w:line="276"/>
      </w:pPr>
      <w:r>
        <w:rPr>
          <w:b/>
        </w:rPr>
        <w:t xml:space="preserve">摘要（ZH）: </w:t>
      </w:r>
      <w:r>
        <w:t>海平面上升和地面沉降共同决定了相对海平面（RSL）的上升，这加剧了沿海灾害。然而，许多人口稠密地区缺乏观测基础设施来识别和量化地面沉降对RSL的贡献，阻碍了有效应对措施的规划。在此，我们使用卫星雷达观测生成了印度尼西亚爪哇岛地面沉降的高分辨率评估，并评估其对21世纪RSL变化的贡献。我们识别出广泛且随时间演变的沉降，多个沿海城市的沉降率范围为1至15 cm/年。利用机器学习时空聚类和辅助数据集，我们将主要的沉降机制归因于各地的资源开采</w:t>
      </w:r>
    </w:p>
    <w:p>
      <w:pPr>
        <w:spacing w:before="0" w:after="200" w:lineRule="auto" w:line="276"/>
      </w:pPr>
      <w:r>
        <w:rPr>
          <w:b/>
        </w:rPr>
        <w:t xml:space="preserve">Abstract (EN): </w:t>
      </w:r>
      <w:r>
        <w:t>Rising sea levels and land subsidence combine to determine relative sea level (RSL) rise, which is intensifying coastal hazards. However, many densely populated regions lack the observational infrastructure to identify and quantify land subsidence contribution to RSL, hindering effective planning of responses. Here, we used satellite radar observations to generate a high-resolution assessment of land subsidence across Java Island, Indonesia, and evaluate its contribution to 21st-century RSL change. We identify widespread and temporally evolving subsidence with rates ranging from 1 to 15 cm/year in multiple coastal cities. Using machine learning spatiotemporal clustering and ancillary datasets, we attribute the dominant subsidence mechanisms to resource extraction across various geographic and geological settings. We further construct virtual tide gauges at 5-km intervals along the northern coastline, revealing that contemporary subsidence will dominate RSL budgets over the next 25 years along &amp;gt;75% of the coast. These findings underscore the urgent need to integrate subsidence into sea level risk and adaptation assessments in vulnerable coastal regions.</w:t>
      </w:r>
    </w:p>
    <w:p>
      <w:pPr>
        <w:spacing w:before="120" w:after="120"/>
      </w:pPr>
      <w:r>
        <w:rPr>
          <w:sz w:val="18"/>
        </w:rPr>
        <w:t>——————————————————————————————————————————————————————————————————————</w:t>
      </w:r>
    </w:p>
    <w:p>
      <w:pPr>
        <w:spacing w:before="160" w:after="40" w:line="240" w:lineRule="auto"/>
      </w:pPr>
      <w:r>
        <w:rPr>
          <w:b/>
        </w:rPr>
        <w:t xml:space="preserve">[305] </w:t>
      </w:r>
      <w:hyperlink r:id="rId734">
        <w:r>
          <w:rPr>
            <w:color w:val="1155CC"/>
            <w:u w:val="single"/>
          </w:rPr>
          <w:t>基于扩散的框架用于设计柔性蛋白口袋中的分子</w:t>
        </w:r>
      </w:hyperlink>
    </w:p>
    <w:p>
      <w:pPr>
        <w:spacing w:before="0" w:after="80"/>
      </w:pPr>
      <w:r>
        <w:rPr>
          <w:i/>
          <w:sz w:val="20"/>
        </w:rPr>
        <w:t>EN: A diffusion-based framework for designing molecules in flexible protein pockets</w:t>
      </w:r>
    </w:p>
    <w:p>
      <w:pPr>
        <w:spacing w:before="0" w:after="120"/>
      </w:pPr>
      <w:r>
        <w:rPr>
          <w:b/>
        </w:rPr>
        <w:t xml:space="preserve">Source: </w:t>
      </w:r>
      <w:r>
        <w:t>AAAS: Science Advances: Table of Contents</w:t>
      </w:r>
      <w:r>
        <w:t xml:space="preserve">    </w:t>
      </w:r>
      <w:r>
        <w:rPr>
          <w:b/>
        </w:rPr>
        <w:t xml:space="preserve">Pub date: </w:t>
      </w:r>
      <w:r>
        <w:t>2026-04-08 07:00:00+00:00</w:t>
      </w:r>
      <w:r>
        <w:t xml:space="preserve">    </w:t>
      </w:r>
      <w:r>
        <w:rPr>
          <w:b/>
        </w:rPr>
        <w:t xml:space="preserve">DOI: </w:t>
      </w:r>
      <w:hyperlink r:id="rId735">
        <w:r>
          <w:rPr>
            <w:color w:val="1155CC"/>
            <w:u w:val="single"/>
          </w:rPr>
          <w:t>10.1126/sciadv.aeb7045</w:t>
        </w:r>
      </w:hyperlink>
    </w:p>
    <w:p>
      <w:pPr>
        <w:spacing w:before="0" w:after="120"/>
      </w:pPr>
      <w:r>
        <w:rPr>
          <w:b/>
        </w:rPr>
        <w:t xml:space="preserve">Notes: </w:t>
      </w:r>
      <w:r>
        <w:t>abstract_source=pubmed</w:t>
      </w:r>
    </w:p>
    <w:p>
      <w:pPr>
        <w:spacing w:before="0" w:after="80" w:lineRule="auto" w:line="276"/>
      </w:pPr>
      <w:r>
        <w:rPr>
          <w:b/>
        </w:rPr>
        <w:t xml:space="preserve">摘要（ZH）: </w:t>
      </w:r>
      <w:r>
        <w:t>为灵活的蛋白质口袋设计分子在基于结构的药物发现中构成了重大挑战，因为蛋白质在配体结合时通常会发生构象变化。虽然基于深度学习的方法在分子生成方面显示出前景，但它们通常将蛋白质口袋视为刚性结构，限制了其捕捉蛋白质-配体相互作用动态特性的能力。在此，我们提出了YuelDesign，一个基于扩散的框架，联合建模蛋白质-配体复合物的口袋结构和配体构象。YuelDesign使用E3former来保持旋转和平移等变性。该框架结合了双重扩散过程，一个用于坐标的阐明扩散模型（EDM）和一个离散去噪扩散概率模型（D</w:t>
      </w:r>
    </w:p>
    <w:p>
      <w:pPr>
        <w:spacing w:before="0" w:after="200" w:lineRule="auto" w:line="276"/>
      </w:pPr>
      <w:r>
        <w:rPr>
          <w:b/>
        </w:rPr>
        <w:t xml:space="preserve">Abstract (EN): </w:t>
      </w:r>
      <w:r>
        <w:t>Designing molecules for flexible protein pockets poses a substantial challenge in structure-based drug discovery, as proteins often undergo conformational changes upon ligand binding. While deep learning-based methods have shown promise in molecular generation, they typically treat protein pockets as rigid structures, limiting their ability to capture the dynamic nature of protein-ligand interactions. Here, we present YuelDesign, a diffusion-based framework that jointly models the pocket structures and ligand conformations of protein-ligand complexes. YuelDesign uses E3former to maintain rotational and translational equivariance. The framework incorporates dual diffusion processes, an elucidated diffusion model (EDM) for coordinates and a discrete denoising diffusion probabilistic model (D3PM) for ligand atom types, enabling iterative refinement of both geometry and chemical identity. Our results demonstrate that YuelDesign generates molecules with favorable drug-likeness, low synthetic complexity, diverse chemical functional groups, and docking energies comparable to native ligands. YuelDesign presents a versatile framework for designing drugs in flexible protein pockets, with promising implications for drug discovery applications.</w:t>
      </w:r>
    </w:p>
    <w:p>
      <w:pPr>
        <w:spacing w:before="120" w:after="120"/>
      </w:pPr>
      <w:r>
        <w:rPr>
          <w:sz w:val="18"/>
        </w:rPr>
        <w:t>——————————————————————————————————————————————————————————————————————</w:t>
      </w:r>
    </w:p>
    <w:p>
      <w:pPr>
        <w:spacing w:before="160" w:after="40" w:line="240" w:lineRule="auto"/>
      </w:pPr>
      <w:r>
        <w:rPr>
          <w:b/>
        </w:rPr>
        <w:t xml:space="preserve">[306] </w:t>
      </w:r>
      <w:hyperlink r:id="rId736">
        <w:r>
          <w:rPr>
            <w:color w:val="1155CC"/>
            <w:u w:val="single"/>
          </w:rPr>
          <w:t>空间多组学分析揭示了膀胱癌中ZFP36介导的免疫代谢重编程</w:t>
        </w:r>
      </w:hyperlink>
    </w:p>
    <w:p>
      <w:pPr>
        <w:spacing w:before="0" w:after="80"/>
      </w:pPr>
      <w:r>
        <w:rPr>
          <w:i/>
          <w:sz w:val="20"/>
        </w:rPr>
        <w:t>EN: Spatial multiomics profiling reveals ZFP36-mediated immunometabolic reprogramming in bladder cancer</w:t>
      </w:r>
    </w:p>
    <w:p>
      <w:pPr>
        <w:spacing w:before="0" w:after="120"/>
      </w:pPr>
      <w:r>
        <w:rPr>
          <w:b/>
        </w:rPr>
        <w:t xml:space="preserve">Source: </w:t>
      </w:r>
      <w:r>
        <w:t>Proceedings of the National Academy of Sciences: Keyword search for query</w:t>
      </w:r>
      <w:r>
        <w:t xml:space="preserve">    </w:t>
      </w:r>
      <w:r>
        <w:rPr>
          <w:b/>
        </w:rPr>
        <w:t xml:space="preserve">Pub date: </w:t>
      </w:r>
      <w:r>
        <w:t>2026-04-08 07:00:00+00:00</w:t>
      </w:r>
      <w:r>
        <w:t xml:space="preserve">    </w:t>
      </w:r>
      <w:r>
        <w:rPr>
          <w:b/>
        </w:rPr>
        <w:t xml:space="preserve">DOI: </w:t>
      </w:r>
      <w:hyperlink r:id="rId737">
        <w:r>
          <w:rPr>
            <w:color w:val="1155CC"/>
            <w:u w:val="single"/>
          </w:rPr>
          <w:t>10.1073/pnas.2505125123</w:t>
        </w:r>
      </w:hyperlink>
    </w:p>
    <w:p>
      <w:pPr>
        <w:spacing w:before="0" w:after="120"/>
      </w:pPr>
      <w:r>
        <w:rPr>
          <w:b/>
        </w:rPr>
        <w:t xml:space="preserve">Notes: </w:t>
      </w:r>
      <w:r>
        <w:t>abstract_source=crossref</w:t>
      </w:r>
    </w:p>
    <w:p>
      <w:pPr>
        <w:spacing w:before="0" w:after="80" w:lineRule="auto" w:line="276"/>
      </w:pPr>
      <w:r>
        <w:rPr>
          <w:b/>
        </w:rPr>
        <w:t xml:space="preserve">摘要（ZH）: </w:t>
      </w:r>
      <w:r>
        <w:t>膀胱癌由于其显著的异质性和免疫逃逸能力，仍然是一个重大的治疗挑战。在此，我们采用空间代谢组学和空间转录组学系统地表征和可视化膀胱癌的代谢和转录景观。我们的研究发现识别出不同肿瘤区域的独特代谢和转录特征，突显了BLCA中的异质性和免疫相关的代谢重编程。进一步的研究确定锌指蛋白36（ZFP36）为潜在的免疫治疗靶点。利用Zfp36全身敲除和T细胞特异性Zfp36条件性敲除小鼠，我们验证了Zfp36</w:t>
      </w:r>
    </w:p>
    <w:p>
      <w:pPr>
        <w:spacing w:before="0" w:after="200" w:lineRule="auto" w:line="276"/>
      </w:pPr>
      <w:r>
        <w:rPr>
          <w:b/>
        </w:rPr>
        <w:t xml:space="preserve">Abstract (EN): </w:t>
      </w:r>
      <w:r>
        <w:t>Bladder cancer remains a significant therapeutic challenge due to its marked heterogeneity and capacity for immune evasion. Here, we employ spatial metabolomics and spatial transcriptomics to systematically characterize and visualize the metabolic and transcriptional landscapes of bladder cancer. Our findings identify distinct metabolic and transcriptional profiles across different tumor regions, highlighting heterogeneity and immune-associated metabolic reprogramming in BLCA. Further investigation identifies zinc finger protein 36 (ZFP36) as a potential immunotherapeutic target. Utilizing</w:t>
      </w:r>
      <w:r>
        <w:t xml:space="preserve"> </w:t>
      </w:r>
      <w:r>
        <w:t>Zfp36</w:t>
      </w:r>
      <w:r>
        <w:t xml:space="preserve"> </w:t>
      </w:r>
      <w:r>
        <w:t>whole-body knockout and T cell–specific</w:t>
      </w:r>
      <w:r>
        <w:t xml:space="preserve"> </w:t>
      </w:r>
      <w:r>
        <w:t>Zfp36</w:t>
      </w:r>
      <w:r>
        <w:t xml:space="preserve"> </w:t>
      </w:r>
      <w:r>
        <w:t>conditional knockout mice, we validated that</w:t>
      </w:r>
      <w:r>
        <w:t xml:space="preserve"> </w:t>
      </w:r>
      <w:r>
        <w:t>Zfp36</w:t>
      </w:r>
      <w:r>
        <w:t xml:space="preserve"> </w:t>
      </w:r>
      <w:r>
        <w:t>knockout decreases the activation threshold for T cells and increases T cell infiltration in tumors. Moreover, we found that elevated ZFP36 expression is dramatically linked to worse patient outcomes. Mechanistically, ZFP36 facilitates mRNA degradation of key immune regulators, including</w:t>
      </w:r>
      <w:r>
        <w:t xml:space="preserve"> </w:t>
      </w:r>
      <w:r>
        <w:t>C1QBP</w:t>
      </w:r>
      <w:r>
        <w:t xml:space="preserve"> </w:t>
      </w:r>
      <w:r>
        <w:t>, thereby inhibiting T cell activation and cytotoxicity. Notably, combining</w:t>
      </w:r>
      <w:r>
        <w:t xml:space="preserve"> </w:t>
      </w:r>
      <w:r>
        <w:t>Zfp36</w:t>
      </w:r>
      <w:r>
        <w:t xml:space="preserve"> </w:t>
      </w:r>
      <w:r>
        <w:t>knockout with anti-PD-1 therapy produced synergistic antitumor effects, suggesting that ZFP36 inhibition could be a promising therapeutic strategy. This integrated multiomics approach collectively uncovers immune-metabolic regulatory pathways in BLCA and points to critical molecular targets for immunotherapy.</w:t>
      </w:r>
    </w:p>
    <w:p>
      <w:pPr>
        <w:spacing w:before="120" w:after="120"/>
      </w:pPr>
      <w:r>
        <w:rPr>
          <w:sz w:val="18"/>
        </w:rPr>
        <w:t>——————————————————————————————————————————————————————————————————————</w:t>
      </w:r>
    </w:p>
    <w:p>
      <w:pPr>
        <w:spacing w:before="160" w:after="40" w:line="240" w:lineRule="auto"/>
      </w:pPr>
      <w:r>
        <w:rPr>
          <w:b/>
        </w:rPr>
        <w:t xml:space="preserve">[307] </w:t>
      </w:r>
      <w:hyperlink r:id="rId738">
        <w:r>
          <w:rPr>
            <w:color w:val="1155CC"/>
            <w:u w:val="single"/>
          </w:rPr>
          <w:t>通过绘制流体景观提高静电流体动力泵的功率密度</w:t>
        </w:r>
      </w:hyperlink>
    </w:p>
    <w:p>
      <w:pPr>
        <w:spacing w:before="0" w:after="80"/>
      </w:pPr>
      <w:r>
        <w:rPr>
          <w:i/>
          <w:sz w:val="20"/>
        </w:rPr>
        <w:t>EN: Increasing the power density of electrohydrodynamic pumps by mapping the fluid landscape</w:t>
      </w:r>
    </w:p>
    <w:p>
      <w:pPr>
        <w:spacing w:before="0" w:after="120"/>
      </w:pPr>
      <w:r>
        <w:rPr>
          <w:b/>
        </w:rPr>
        <w:t xml:space="preserve">Source: </w:t>
      </w:r>
      <w:r>
        <w:t>AAAS: Science Advances: Table of Contents</w:t>
      </w:r>
      <w:r>
        <w:t xml:space="preserve">    </w:t>
      </w:r>
      <w:r>
        <w:rPr>
          <w:b/>
        </w:rPr>
        <w:t xml:space="preserve">Pub date: </w:t>
      </w:r>
      <w:r>
        <w:t>2026-04-08 07:00:00+00:00</w:t>
      </w:r>
      <w:r>
        <w:t xml:space="preserve">    </w:t>
      </w:r>
      <w:r>
        <w:rPr>
          <w:b/>
        </w:rPr>
        <w:t xml:space="preserve">DOI: </w:t>
      </w:r>
      <w:hyperlink r:id="rId739">
        <w:r>
          <w:rPr>
            <w:color w:val="1155CC"/>
            <w:u w:val="single"/>
          </w:rPr>
          <w:t>10.1126/sciadv.aeb2623</w:t>
        </w:r>
      </w:hyperlink>
    </w:p>
    <w:p>
      <w:pPr>
        <w:spacing w:before="0" w:after="120"/>
      </w:pPr>
      <w:r>
        <w:rPr>
          <w:b/>
        </w:rPr>
        <w:t xml:space="preserve">Notes: </w:t>
      </w:r>
      <w:r>
        <w:t>abstract_source=crossref</w:t>
      </w:r>
    </w:p>
    <w:p>
      <w:pPr>
        <w:spacing w:before="0" w:after="80" w:lineRule="auto" w:line="276"/>
      </w:pPr>
      <w:r>
        <w:rPr>
          <w:b/>
        </w:rPr>
        <w:t xml:space="preserve">摘要（ZH）: </w:t>
      </w:r>
      <w:r>
        <w:t>静电流体动力（EHD）泵在介电液体中使用高电场无声地产生流体流动，以创建、加速和中和离子。这种泵在可穿戴致动器、软体机器人和主动热管理中有应用。流体特性对压力和流量的影响仍然知之甚少。我们对11种流体的EHD泵送进行了系统比较，包括8种先前未识别的候选流体，粘度范围从0.5到19毫帕秒，介电常数从2.3到64。超过30个柔性纤维泵的测试表明，低粘度和高介电常数液体显著提高了泵送性能。对于1.2毫米内径的纤维泵，用丙烯代替常用的Novec 7100</w:t>
      </w:r>
    </w:p>
    <w:p>
      <w:pPr>
        <w:spacing w:before="0" w:after="200" w:lineRule="auto" w:line="276"/>
      </w:pPr>
      <w:r>
        <w:rPr>
          <w:b/>
        </w:rPr>
        <w:t xml:space="preserve">Abstract (EN): </w:t>
      </w:r>
      <w:r>
        <w:t>Electrohydrodynamic (EHD) pumps noiselessly generate fluid flow in dielectric liquids using high electric fields to create, accelerate, and neutralize ions. Such pumps find applications in wearable actuators, soft robotics, and active thermal management. The influence of fluid properties on pressure and flow rate remains poorly understood. We present a systematic comparison of EHD pumping across 11 fluids, including 8 previously unidentified candidates, spanning viscosities from 0.5 to 19 millipascal seconds and dielectric constants from 2.3 to 64. Tests with more than 30 flexible fiber pumps show that low-viscosity and high–dielectric constant liquids markedly enhance pumping performance. For 1.2-millimeter–inner-diameter fiber pumps, replacing the commonly used Novec 7100 with propylene carbonate increased fluidic power density fivefold, reaching 495 milliwatts per cubic centimeter at 4.4 kilovolts. This study identifies key fluid properties for pumping, expands the EHD fluid library, and establishes a rigorous benchmark for performance evaluation, providing guidance for future EHD pump designs.</w:t>
      </w:r>
    </w:p>
    <w:p>
      <w:pPr>
        <w:spacing w:before="120" w:after="120"/>
      </w:pPr>
      <w:r>
        <w:rPr>
          <w:sz w:val="18"/>
        </w:rPr>
        <w:t>——————————————————————————————————————————————————————————————————————</w:t>
      </w:r>
    </w:p>
    <w:p>
      <w:pPr>
        <w:spacing w:before="160" w:after="40" w:line="240" w:lineRule="auto"/>
      </w:pPr>
      <w:r>
        <w:rPr>
          <w:b/>
        </w:rPr>
        <w:t xml:space="preserve">[308] </w:t>
      </w:r>
      <w:hyperlink r:id="rId740">
        <w:r>
          <w:rPr>
            <w:color w:val="1155CC"/>
            <w:u w:val="single"/>
          </w:rPr>
          <w:t>ITN效能的多模式平台：表面化学、生物利用度和蚊子行为</w:t>
        </w:r>
      </w:hyperlink>
    </w:p>
    <w:p>
      <w:pPr>
        <w:spacing w:before="0" w:after="80"/>
      </w:pPr>
      <w:r>
        <w:rPr>
          <w:i/>
          <w:sz w:val="20"/>
        </w:rPr>
        <w:t>EN: Multimodal platform for ITN efficacy: Surface chemistry, bioavailability, and mosquito behavior</w:t>
      </w:r>
    </w:p>
    <w:p>
      <w:pPr>
        <w:spacing w:before="0" w:after="120"/>
      </w:pPr>
      <w:r>
        <w:rPr>
          <w:b/>
        </w:rPr>
        <w:t xml:space="preserve">Source: </w:t>
      </w:r>
      <w:r>
        <w:t>AAAS: Science Advances: Table of Contents</w:t>
      </w:r>
      <w:r>
        <w:t xml:space="preserve">    </w:t>
      </w:r>
      <w:r>
        <w:rPr>
          <w:b/>
        </w:rPr>
        <w:t xml:space="preserve">Pub date: </w:t>
      </w:r>
      <w:r>
        <w:t>2026-04-08 07:00:00+00:00</w:t>
      </w:r>
      <w:r>
        <w:t xml:space="preserve">    </w:t>
      </w:r>
      <w:r>
        <w:rPr>
          <w:b/>
        </w:rPr>
        <w:t xml:space="preserve">DOI: </w:t>
      </w:r>
      <w:hyperlink r:id="rId741">
        <w:r>
          <w:rPr>
            <w:color w:val="1155CC"/>
            <w:u w:val="single"/>
          </w:rPr>
          <w:t>10.1126/sciadv.aeb2023</w:t>
        </w:r>
      </w:hyperlink>
    </w:p>
    <w:p>
      <w:pPr>
        <w:spacing w:before="0" w:after="120"/>
      </w:pPr>
      <w:r>
        <w:rPr>
          <w:b/>
        </w:rPr>
        <w:t xml:space="preserve">Notes: </w:t>
      </w:r>
      <w:r>
        <w:t>abstract_source=crossref</w:t>
      </w:r>
    </w:p>
    <w:p>
      <w:pPr>
        <w:spacing w:before="0" w:after="80" w:lineRule="auto" w:line="276"/>
      </w:pPr>
      <w:r>
        <w:rPr>
          <w:b/>
        </w:rPr>
        <w:t xml:space="preserve">摘要（ZH）: </w:t>
      </w:r>
      <w:r>
        <w:t>杀虫剂处理的蚊帐（ITNs）对疟疾控制至关重要，但其功效因蚊子抗性上升而受到影响。为了更好地理解ITN的有效性，我们通过一个案例研究提出了一个多学科框架，研究从ITN涂层中去除全氟和多氟烷基物质（PFAS）及其对东非和西非疟疾媒介的影响。我们的结果显示，尽管PFAS和非PFAS基的蚊帐都符合氯氰菊酯规格，但不含PFAS的拟除虫菊酯蚊帐对抗性疟疾媒介的生物效力降低。表面表征显示，PFAS稳定了较小的非晶态氯氰菊酯颗粒，提高了生物利用度，而不含PFAS的涂层促进了颗粒聚集，增加了晶态颗粒的数量</w:t>
      </w:r>
    </w:p>
    <w:p>
      <w:pPr>
        <w:spacing w:before="0" w:after="200" w:lineRule="auto" w:line="276"/>
      </w:pPr>
      <w:r>
        <w:rPr>
          <w:b/>
        </w:rPr>
        <w:t xml:space="preserve">Abstract (EN): </w:t>
      </w:r>
      <w:r>
        <w:t>Insecticide-treated nets (ITNs) are crucial for malaria control, but their efficacy is compromised by rising mosquito resistance. To better understand ITN effectiveness, we present a multidisciplinary framework through a case study examining the removal of per- and polyfluoroalkyl substances (PFAS) from ITN coatings and its impact on malaria vectors in East and West Africa. Our results show that PFAS-free pyrethroid nets exhibit reduced bio-efficacy against resistant malaria vectors compared with PFAS-based nets, despite both meeting deltamethrin specifications. Surface characterization reveals that PFAS stabilizes smaller, noncrystalline deltamethrin particulates enhancing bioavailability, while PFAS-free coatings promote particulate aggregation with an increased population of crystalline deltamethrin. Behavioral assays suggest that PFAS-free formulations reduce mosquito contact time and insecticide uptake, with resistant strains showing decreased irritancy and knockdown. These findings highlight the trade-offs of PFAS removal and stress the need for a multidisciplinary approach combining advanced chemical analytics and behavioral assessments to optimize ITNs for effective malaria control while considering environmental sustainability.</w:t>
      </w:r>
    </w:p>
    <w:p>
      <w:pPr>
        <w:spacing w:before="120" w:after="120"/>
      </w:pPr>
      <w:r>
        <w:rPr>
          <w:sz w:val="18"/>
        </w:rPr>
        <w:t>——————————————————————————————————————————————————————————————————————</w:t>
      </w:r>
    </w:p>
    <w:p>
      <w:pPr>
        <w:spacing w:before="160" w:after="40" w:line="240" w:lineRule="auto"/>
      </w:pPr>
      <w:r>
        <w:rPr>
          <w:b/>
        </w:rPr>
        <w:t xml:space="preserve">[309] </w:t>
      </w:r>
      <w:hyperlink r:id="rId742">
        <w:r>
          <w:rPr>
            <w:color w:val="1155CC"/>
            <w:u w:val="single"/>
          </w:rPr>
          <w:t>光学鼻子：用于等离子体气体传感的金表面单层敏化</w:t>
        </w:r>
      </w:hyperlink>
    </w:p>
    <w:p>
      <w:pPr>
        <w:spacing w:before="0" w:after="80"/>
      </w:pPr>
      <w:r>
        <w:rPr>
          <w:i/>
          <w:sz w:val="20"/>
        </w:rPr>
        <w:t>EN: The optical nose: Monolayer sensitization of Au surfaces for plasmonic gas sensing</w:t>
      </w:r>
    </w:p>
    <w:p>
      <w:pPr>
        <w:spacing w:before="0" w:after="120"/>
      </w:pPr>
      <w:r>
        <w:rPr>
          <w:b/>
        </w:rPr>
        <w:t xml:space="preserve">Source: </w:t>
      </w:r>
      <w:r>
        <w:t>AAAS: Science Advances: Table of Contents</w:t>
      </w:r>
      <w:r>
        <w:t xml:space="preserve">    </w:t>
      </w:r>
      <w:r>
        <w:rPr>
          <w:b/>
        </w:rPr>
        <w:t xml:space="preserve">Pub date: </w:t>
      </w:r>
      <w:r>
        <w:t>2026-04-08 07:00:00+00:00</w:t>
      </w:r>
      <w:r>
        <w:t xml:space="preserve">    </w:t>
      </w:r>
      <w:r>
        <w:rPr>
          <w:b/>
        </w:rPr>
        <w:t xml:space="preserve">DOI: </w:t>
      </w:r>
      <w:hyperlink r:id="rId743">
        <w:r>
          <w:rPr>
            <w:color w:val="1155CC"/>
            <w:u w:val="single"/>
          </w:rPr>
          <w:t>10.1126/sciadv.aea1478</w:t>
        </w:r>
      </w:hyperlink>
    </w:p>
    <w:p>
      <w:pPr>
        <w:spacing w:before="0" w:after="120"/>
      </w:pPr>
      <w:r>
        <w:rPr>
          <w:b/>
        </w:rPr>
        <w:t xml:space="preserve">Notes: </w:t>
      </w:r>
      <w:r>
        <w:t>abstract_source=crossref</w:t>
      </w:r>
    </w:p>
    <w:p>
      <w:pPr>
        <w:spacing w:before="0" w:after="80" w:lineRule="auto" w:line="276"/>
      </w:pPr>
      <w:r>
        <w:rPr>
          <w:b/>
        </w:rPr>
        <w:t xml:space="preserve">摘要（ZH）: </w:t>
      </w:r>
      <w:r>
        <w:t>强大的实时气体传感对于许多领域都很重要，包括农业和健康护理中的呼吸/生物液体挥发物分析。氨在环境中以十亿分之一（ppb）到百万分之一（ppm）的水平存在，但当前的检测技术存在测量时间长、不稳定、成本高和选择性问题。在此，通过精确的预清洁协议显著改善了表面增强拉曼光谱（SERS），这使得金属表面的敏化可以通过水单层进行。利用由刚性支架分子定义的密集堆积的金纳米颗粒的单层聚集体，以亚纳米间距实现室温下氨的亚ppm检测。访问研究较少的高波数[&gt;2500每厘米（cm</w:t>
      </w:r>
    </w:p>
    <w:p>
      <w:pPr>
        <w:spacing w:before="0" w:after="200" w:lineRule="auto" w:line="276"/>
      </w:pPr>
      <w:r>
        <w:rPr>
          <w:b/>
        </w:rPr>
        <w:t xml:space="preserve">Abstract (EN): </w:t>
      </w:r>
      <w:r>
        <w:t>Robust real-time gas sensing is important for many fields, including agriculture and health care analysis of breath/biofluid volatiles. Ammonia is ambiently present at parts per billion (ppb) to parts per million (ppm) levels, but current detection technologies suffer long measurement times, instability, cost, and issues with selectivity. Here, surface-enhanced Raman spectroscopy (SERS) is markedly improved through precision precleaning protocols, which allow surface sensitization of the metal facets using a water monolayer. Harnessing monolayer aggregates of densely packed gold nanoparticles with sub-nanometer spacing defined by rigid scaffolding molecules gives sub-ppm detection of ammonia at room temperature. Accessing the poorly studied high–wave number [&amp;gt;2500 per centimeter (cm</w:t>
      </w:r>
      <w:r>
        <w:t xml:space="preserve"> </w:t>
      </w:r>
      <w:r>
        <w:t>−1</w:t>
      </w:r>
      <w:r>
        <w:t xml:space="preserve"> </w:t>
      </w:r>
      <w:r>
        <w:t>)] region provides much improved discriminatory capabilities, enabling us to generalize this approach to a range of volatile organic carbon (VOC) molecules including ethanol, methanol, and acetone.</w:t>
      </w:r>
    </w:p>
    <w:p>
      <w:pPr>
        <w:spacing w:before="120" w:after="120"/>
      </w:pPr>
      <w:r>
        <w:rPr>
          <w:sz w:val="18"/>
        </w:rPr>
        <w:t>——————————————————————————————————————————————————————————————————————</w:t>
      </w:r>
    </w:p>
    <w:p>
      <w:pPr>
        <w:spacing w:before="160" w:after="40" w:line="240" w:lineRule="auto"/>
      </w:pPr>
      <w:r>
        <w:rPr>
          <w:b/>
        </w:rPr>
        <w:t xml:space="preserve">[310] </w:t>
      </w:r>
      <w:hyperlink r:id="rId744">
        <w:r>
          <w:rPr>
            <w:color w:val="1155CC"/>
            <w:u w:val="single"/>
          </w:rPr>
          <w:t>童年免疫印记塑造了队列和时期流感死亡率</w:t>
        </w:r>
      </w:hyperlink>
    </w:p>
    <w:p>
      <w:pPr>
        <w:spacing w:before="0" w:after="80"/>
      </w:pPr>
      <w:r>
        <w:rPr>
          <w:i/>
          <w:sz w:val="20"/>
        </w:rPr>
        <w:t>EN: Childhood immune imprinting shapes cohort and period influenza mortality</w:t>
      </w:r>
    </w:p>
    <w:p>
      <w:pPr>
        <w:spacing w:before="0" w:after="120"/>
      </w:pPr>
      <w:r>
        <w:rPr>
          <w:b/>
        </w:rPr>
        <w:t xml:space="preserve">Source: </w:t>
      </w:r>
      <w:r>
        <w:t>AAAS: Science Advances: Table of Contents</w:t>
      </w:r>
      <w:r>
        <w:t xml:space="preserve">    </w:t>
      </w:r>
      <w:r>
        <w:rPr>
          <w:b/>
        </w:rPr>
        <w:t xml:space="preserve">Pub date: </w:t>
      </w:r>
      <w:r>
        <w:t>2026-04-08 07:00:00+00:00</w:t>
      </w:r>
      <w:r>
        <w:t xml:space="preserve">    </w:t>
      </w:r>
      <w:r>
        <w:rPr>
          <w:b/>
        </w:rPr>
        <w:t xml:space="preserve">DOI: </w:t>
      </w:r>
      <w:hyperlink r:id="rId745">
        <w:r>
          <w:rPr>
            <w:color w:val="1155CC"/>
            <w:u w:val="single"/>
          </w:rPr>
          <w:t>10.1126/sciadv.aec3183</w:t>
        </w:r>
      </w:hyperlink>
    </w:p>
    <w:p>
      <w:pPr>
        <w:spacing w:before="0" w:after="120"/>
      </w:pPr>
      <w:r>
        <w:rPr>
          <w:b/>
        </w:rPr>
        <w:t xml:space="preserve">Notes: </w:t>
      </w:r>
      <w:r>
        <w:t>abstract_source=crossref</w:t>
      </w:r>
    </w:p>
    <w:p>
      <w:pPr>
        <w:spacing w:before="0" w:after="80" w:lineRule="auto" w:line="276"/>
      </w:pPr>
      <w:r>
        <w:rPr>
          <w:b/>
        </w:rPr>
        <w:t xml:space="preserve">摘要（ZH）: </w:t>
      </w:r>
      <w:r>
        <w:t>儿童时期遇到的流感病毒可以留下持久的免疫印记。为了理清年龄、流行季节性毒株和免疫历史对死亡率的影响，我们将统计死亡率模型拟合到来自美国的54年流感死亡率数据中。我们发现，在2009年大流行后的H1N1主导季节中，亚型水平的印记有明显的特征——与更相似的H1N1毒株印记的群体获得更大的保护。此外，我们发现基于印记毒株和其一生中占主导地位的季节性毒株，不同群体之间的年龄特异性死亡风险存在很大差异。与较老的H1N1和H2N2印记群体相比，我们的结果显示，最近的H3N2印记群体经历了显著的</w:t>
      </w:r>
    </w:p>
    <w:p>
      <w:pPr>
        <w:spacing w:before="0" w:after="200" w:lineRule="auto" w:line="276"/>
      </w:pPr>
      <w:r>
        <w:rPr>
          <w:b/>
        </w:rPr>
        <w:t xml:space="preserve">Abstract (EN): </w:t>
      </w:r>
      <w:r>
        <w:t>Influenza viruses encountered in childhood can leave a lasting immunological imprint. To disentangle the mortality effects of age, the circulating seasonal strain, and immune history, we fit statistical mortality models to 54 years of influenza mortality data from the United States. We find strong signatures of subtype-level imprinting in H1N1-dominated seasons following the 2009 pandemic—cohorts imprinted with more similar H1N1 strains experience greater protection. Furthermore, we find large differences in age-specific mortality risk across cohorts based on their imprinted strain and the seasonal strains that were dominant throughout their lifetime. In contrast to older H1N1- and H2N2-imprinted cohorts, our results show that more recent cohorts imprinted with H3N2 have experienced substantially higher mortality through most of their lifetime. Our results highlight the long-term consequences of immune imprinting and its impact on period and cohort influenza mortality. Overall, our findings have important implications for vaccination efforts and future influenza mortality burden.</w:t>
      </w:r>
    </w:p>
    <w:p>
      <w:pPr>
        <w:spacing w:before="120" w:after="120"/>
      </w:pPr>
      <w:r>
        <w:rPr>
          <w:sz w:val="18"/>
        </w:rPr>
        <w:t>——————————————————————————————————————————————————————————————————————</w:t>
      </w:r>
    </w:p>
    <w:p>
      <w:pPr>
        <w:spacing w:before="160" w:after="40" w:line="240" w:lineRule="auto"/>
      </w:pPr>
      <w:r>
        <w:rPr>
          <w:b/>
        </w:rPr>
        <w:t xml:space="preserve">[311] </w:t>
      </w:r>
      <w:hyperlink r:id="rId746">
        <w:r>
          <w:rPr>
            <w:color w:val="1155CC"/>
            <w:u w:val="single"/>
          </w:rPr>
          <w:t>揭开入侵主义作为管理策略的神秘面纱</w:t>
        </w:r>
      </w:hyperlink>
    </w:p>
    <w:p>
      <w:pPr>
        <w:spacing w:before="0" w:after="80"/>
      </w:pPr>
      <w:r>
        <w:rPr>
          <w:i/>
          <w:sz w:val="20"/>
        </w:rPr>
        <w:t>EN: Demystifying invasivorism as a management strategy</w:t>
      </w:r>
    </w:p>
    <w:p>
      <w:pPr>
        <w:spacing w:before="0" w:after="120"/>
      </w:pPr>
      <w:r>
        <w:rPr>
          <w:b/>
        </w:rPr>
        <w:t xml:space="preserve">Source: </w:t>
      </w:r>
      <w:r>
        <w:t>Proceedings of the National Academy of Sciences: Keyword search for query</w:t>
      </w:r>
      <w:r>
        <w:t xml:space="preserve">    </w:t>
      </w:r>
      <w:r>
        <w:rPr>
          <w:b/>
        </w:rPr>
        <w:t xml:space="preserve">Pub date: </w:t>
      </w:r>
      <w:r>
        <w:t>2026-04-08 07:00:00+00:00</w:t>
      </w:r>
      <w:r>
        <w:t xml:space="preserve">    </w:t>
      </w:r>
      <w:r>
        <w:rPr>
          <w:b/>
        </w:rPr>
        <w:t xml:space="preserve">DOI: </w:t>
      </w:r>
      <w:hyperlink r:id="rId747">
        <w:r>
          <w:rPr>
            <w:color w:val="1155CC"/>
            <w:u w:val="single"/>
          </w:rPr>
          <w:t>10.1073/pnas.2507779123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[312] </w:t>
      </w:r>
      <w:hyperlink r:id="rId748">
        <w:r>
          <w:rPr>
            <w:color w:val="1155CC"/>
            <w:u w:val="single"/>
          </w:rPr>
          <w:t>PTPRD的四氨基酸肽的替代微外显子剪接代码调控行为发展</w:t>
        </w:r>
      </w:hyperlink>
    </w:p>
    <w:p>
      <w:pPr>
        <w:spacing w:before="0" w:after="80"/>
      </w:pPr>
      <w:r>
        <w:rPr>
          <w:i/>
          <w:sz w:val="20"/>
        </w:rPr>
        <w:t>EN: Alternative microexon splicing code for a four-amino acid peptide of PTPRD governs behavioral development</w:t>
      </w:r>
    </w:p>
    <w:p>
      <w:pPr>
        <w:spacing w:before="0" w:after="120"/>
      </w:pPr>
      <w:r>
        <w:rPr>
          <w:b/>
        </w:rPr>
        <w:t xml:space="preserve">Source: </w:t>
      </w:r>
      <w:r>
        <w:t>Proceedings of the National Academy of Sciences: Keyword search for query</w:t>
      </w:r>
      <w:r>
        <w:t xml:space="preserve">    </w:t>
      </w:r>
      <w:r>
        <w:rPr>
          <w:b/>
        </w:rPr>
        <w:t xml:space="preserve">Pub date: </w:t>
      </w:r>
      <w:r>
        <w:t>2026-04-08 07:00:00+00:00</w:t>
      </w:r>
      <w:r>
        <w:t xml:space="preserve">    </w:t>
      </w:r>
      <w:r>
        <w:rPr>
          <w:b/>
        </w:rPr>
        <w:t xml:space="preserve">DOI: </w:t>
      </w:r>
      <w:hyperlink r:id="rId749">
        <w:r>
          <w:rPr>
            <w:color w:val="1155CC"/>
            <w:u w:val="single"/>
          </w:rPr>
          <w:t>10.1073/pnas.2515310123</w:t>
        </w:r>
      </w:hyperlink>
    </w:p>
    <w:p>
      <w:pPr>
        <w:spacing w:before="0" w:after="120"/>
      </w:pPr>
      <w:r>
        <w:rPr>
          <w:b/>
        </w:rPr>
        <w:t xml:space="preserve">Notes: </w:t>
      </w:r>
      <w:r>
        <w:t>abstract_source=crossref</w:t>
      </w:r>
    </w:p>
    <w:p>
      <w:pPr>
        <w:spacing w:before="0" w:after="80" w:lineRule="auto" w:line="276"/>
      </w:pPr>
      <w:r>
        <w:rPr>
          <w:b/>
        </w:rPr>
        <w:t xml:space="preserve">摘要（ZH）: </w:t>
      </w:r>
      <w:r>
        <w:t>在脊椎动物神经系统中选择性调控的3到27个核苷酸的微外显子作为修改神经元蛋白功能的新元素引起了关注。蛋白酪氨酸磷酸酶δ（PTPRD）是神经元突触组织的突触前枢纽之一。三个微外显子meA3、meA6和meB的可变剪接（AS），分别编码3、6和4个氨基酸肽，赋予PTPRD结构多样性，因此产生的八种剪接变体表现出不同的突触生成特性。然而，AS的调控机制和AS代码对Ptprd基因的生理意义仍然很大程度上未知。在此，我们报告这三个微外显子的AS是通过遗传调控生成时空</w:t>
      </w:r>
    </w:p>
    <w:p>
      <w:pPr>
        <w:spacing w:before="0" w:after="200" w:lineRule="auto" w:line="276"/>
      </w:pPr>
      <w:r>
        <w:rPr>
          <w:b/>
        </w:rPr>
        <w:t xml:space="preserve">Abstract (EN): </w:t>
      </w:r>
      <w:r>
        <w:t>Microexons of 3 to 27 nucleotides selectively regulated in the vertebrate nervous system have attracted attention as new elements for modifying the function of neuronal proteins. Protein tyrosine phosphatase δ (PTPRD) is one of presynaptic hubs for neuronal synaptic organization. Alternative splicing (AS) of three microexons, meA3, meA6, and meB, encoding 3, 6, and 4 amino acid-peptides, respectively, imparts structural diversity to PTPRD, due to which the resulting eight splice variants exhibit distinct synaptogenic properties. However, the regulatory mechanisms of AS and physiological significance of the AS code for</w:t>
      </w:r>
      <w:r>
        <w:t xml:space="preserve"> </w:t>
      </w:r>
      <w:r>
        <w:t>Ptprd</w:t>
      </w:r>
      <w:r>
        <w:t xml:space="preserve"> </w:t>
      </w:r>
      <w:r>
        <w:t>gene remain largely unknown. Here, we report the AS of the three microexons is genetically regulated to generate spatiotemporally distinct expression pattern of eight</w:t>
      </w:r>
      <w:r>
        <w:t xml:space="preserve"> </w:t>
      </w:r>
      <w:r>
        <w:t>Ptprd</w:t>
      </w:r>
      <w:r>
        <w:t xml:space="preserve"> </w:t>
      </w:r>
      <w:r>
        <w:t>splice variants across brain regions and is modulated by neuronal activity. We identified both the intronic splicing enhancer region (ISE) for meB contributing to the spatiotemporal patterning of the AS and the neuronal activity–dependent intronic splicing silencer region for meB (ISS). Heterozygous deletion of the ISE in mice led to a decreased meB selection rate by ~25% with unaltered total amount of PTPRD protein and caused severe sensory, motor, social, and emotional behavioral abnormalities but no obvious changes in learning and memory, while heterozygous</w:t>
      </w:r>
      <w:r>
        <w:t xml:space="preserve"> </w:t>
      </w:r>
      <w:r>
        <w:t>Ptprd</w:t>
      </w:r>
      <w:r>
        <w:t xml:space="preserve"> </w:t>
      </w:r>
      <w:r>
        <w:t>knockout mice with unaltered meB selection rate and ~50% decrease in total PTPRD protein showed much fewer behavioral abnormalities. Interestingly, deletion of the ISS for meB caused selective impairments in motor learning and fear memory. Our findings demonstrate the spatiotemporal and activity-dependent AS code for</w:t>
      </w:r>
      <w:r>
        <w:t xml:space="preserve"> </w:t>
      </w:r>
      <w:r>
        <w:t>Ptprd</w:t>
      </w:r>
      <w:r>
        <w:t xml:space="preserve"> </w:t>
      </w:r>
      <w:r>
        <w:t>meB plays a crucial role in proper behavioral development.</w:t>
      </w:r>
    </w:p>
    <w:p>
      <w:pPr>
        <w:spacing w:before="120" w:after="120"/>
      </w:pPr>
      <w:r>
        <w:rPr>
          <w:sz w:val="18"/>
        </w:rPr>
        <w:t>——————————————————————————————————————————————————————————————————————</w:t>
      </w:r>
    </w:p>
    <w:p>
      <w:pPr>
        <w:spacing w:before="160" w:after="40" w:line="240" w:lineRule="auto"/>
      </w:pPr>
      <w:r>
        <w:rPr>
          <w:b/>
        </w:rPr>
        <w:t xml:space="preserve">[313] </w:t>
      </w:r>
      <w:hyperlink r:id="rId750">
        <w:r>
          <w:rPr>
            <w:color w:val="1155CC"/>
            <w:u w:val="single"/>
          </w:rPr>
          <w:t>嫦娥五号和嫦娥六号月壤中冲击加工的含氮有机物</w:t>
        </w:r>
      </w:hyperlink>
    </w:p>
    <w:p>
      <w:pPr>
        <w:spacing w:before="0" w:after="80"/>
      </w:pPr>
      <w:r>
        <w:rPr>
          <w:i/>
          <w:sz w:val="20"/>
        </w:rPr>
        <w:t>EN: Impact-processed nitrogen-bearing organics in Chang’e-5 and Chang’e-6 lunar regolith</w:t>
      </w:r>
    </w:p>
    <w:p>
      <w:pPr>
        <w:spacing w:before="0" w:after="120"/>
      </w:pPr>
      <w:r>
        <w:rPr>
          <w:b/>
        </w:rPr>
        <w:t xml:space="preserve">Source: </w:t>
      </w:r>
      <w:r>
        <w:t>AAAS: Science Advances: Table of Contents</w:t>
      </w:r>
      <w:r>
        <w:t xml:space="preserve">    </w:t>
      </w:r>
      <w:r>
        <w:rPr>
          <w:b/>
        </w:rPr>
        <w:t xml:space="preserve">Pub date: </w:t>
      </w:r>
      <w:r>
        <w:t>2026-04-08 07:00:00+00:00</w:t>
      </w:r>
      <w:r>
        <w:t xml:space="preserve">    </w:t>
      </w:r>
      <w:r>
        <w:rPr>
          <w:b/>
        </w:rPr>
        <w:t xml:space="preserve">DOI: </w:t>
      </w:r>
      <w:hyperlink r:id="rId751">
        <w:r>
          <w:rPr>
            <w:color w:val="1155CC"/>
            <w:u w:val="single"/>
          </w:rPr>
          <w:t>10.1126/sciadv.aed4951</w:t>
        </w:r>
      </w:hyperlink>
    </w:p>
    <w:p>
      <w:pPr>
        <w:spacing w:before="0" w:after="120"/>
      </w:pPr>
      <w:r>
        <w:rPr>
          <w:b/>
        </w:rPr>
        <w:t xml:space="preserve">Notes: </w:t>
      </w:r>
      <w:r>
        <w:t>abstract_source=crossref</w:t>
      </w:r>
    </w:p>
    <w:p>
      <w:pPr>
        <w:spacing w:before="0" w:after="80" w:lineRule="auto" w:line="276"/>
      </w:pPr>
      <w:r>
        <w:rPr>
          <w:b/>
        </w:rPr>
        <w:t xml:space="preserve">摘要（ZH）: </w:t>
      </w:r>
      <w:r>
        <w:t>月球保存了由小行星和彗星撞击带来的有机物质的独特记录。在此，我们报告了嫦娥五号和嫦娥六号任务返回的月壤颗粒表面存在多样的有机相（颗粒状、附着状和包裹状）。它们主要是无定形碳样，含有N和O的功能团以及酰胺（─CONH─）键。月球有机物显示出比碳质球粒陨石和小行星中报告的不溶性有机物更负的δD、δ</w:t>
      </w:r>
      <w:r>
        <w:rPr>
          <w:vertAlign w:val="subscript"/>
        </w:rPr>
        <w:t>13</w:t>
      </w:r>
      <w:r>
        <w:t>C和δ</w:t>
      </w:r>
      <w:r>
        <w:rPr>
          <w:vertAlign w:val="subscript"/>
        </w:rPr>
        <w:t>15</w:t>
      </w:r>
      <w:r>
        <w:t>N值，这与撞击引起的蒸发-冷凝和表面重塑一致。有机物中太阳风植入的特征支持了这一点。</w:t>
      </w:r>
    </w:p>
    <w:p>
      <w:pPr>
        <w:spacing w:before="0" w:after="200" w:lineRule="auto" w:line="276"/>
      </w:pPr>
      <w:r>
        <w:rPr>
          <w:b/>
        </w:rPr>
        <w:t xml:space="preserve">Abstract (EN): </w:t>
      </w:r>
      <w:r>
        <w:t>The Moon has preserved a unique record of organic matter delivered and reworked by asteroid and comet impacts. Here, we report diverse organic phases (particle-like, adhering-like, and inclusion-like) on the surfaces of lunar regolith grains returned by the Chang’e-5 and Chang’e-6 missions. They are predominantly amorphous carbon–like, containing N- and O-bearing functionalities and amide (─CONH─) linkages. The lunar organics show δD, δ</w:t>
      </w:r>
      <w:r>
        <w:rPr>
          <w:vertAlign w:val="subscript"/>
        </w:rPr>
        <w:t>13</w:t>
      </w:r>
      <w:r>
        <w:t>C, and δ</w:t>
      </w:r>
      <w:r>
        <w:rPr>
          <w:vertAlign w:val="subscript"/>
        </w:rPr>
        <w:t>15</w:t>
      </w:r>
      <w:r>
        <w:t>N values more negative than those of insoluble organic matter reported in carbonaceous chondrites and asteroids, consistent with impact-induced evaporation-condensation and surface reworking. The presence of solar wind implantation signatures in the organics supports long-term exposure on the lunar surface. Together, these findings suggest that the impacts both delivered and chemically processed organic matter on the lunar surface, generating N- and O-bearing functionalities.</w:t>
      </w:r>
    </w:p>
    <w:p>
      <w:pPr>
        <w:spacing w:before="120" w:after="120"/>
      </w:pPr>
      <w:r>
        <w:rPr>
          <w:sz w:val="18"/>
        </w:rPr>
        <w:t>——————————————————————————————————————————————————————————————————————</w:t>
      </w:r>
    </w:p>
    <w:p>
      <w:pPr>
        <w:spacing w:before="160" w:after="40" w:line="240" w:lineRule="auto"/>
      </w:pPr>
      <w:r>
        <w:rPr>
          <w:b/>
        </w:rPr>
        <w:t xml:space="preserve">[314] </w:t>
      </w:r>
      <w:hyperlink r:id="rId752">
        <w:r>
          <w:rPr>
            <w:color w:val="1155CC"/>
            <w:u w:val="single"/>
          </w:rPr>
          <w:t>在稳定选择下的染色体特异性漂移产生了多基因障碍，阻碍了性染色体的转换</w:t>
        </w:r>
      </w:hyperlink>
    </w:p>
    <w:p>
      <w:pPr>
        <w:spacing w:before="0" w:after="80"/>
      </w:pPr>
      <w:r>
        <w:rPr>
          <w:i/>
          <w:sz w:val="20"/>
        </w:rPr>
        <w:t>EN: Chromosome-specific drift under stabilizing selection generates polygenic barriers to sex chromosome turnover</w:t>
      </w:r>
    </w:p>
    <w:p>
      <w:pPr>
        <w:spacing w:before="0" w:after="120"/>
      </w:pPr>
      <w:r>
        <w:rPr>
          <w:b/>
        </w:rPr>
        <w:t xml:space="preserve">Source: </w:t>
      </w:r>
      <w:r>
        <w:t>Proceedings of the National Academy of Sciences: Keyword search for query</w:t>
      </w:r>
      <w:r>
        <w:t xml:space="preserve">    </w:t>
      </w:r>
      <w:r>
        <w:rPr>
          <w:b/>
        </w:rPr>
        <w:t xml:space="preserve">Pub date: </w:t>
      </w:r>
      <w:r>
        <w:t>2026-04-08 07:00:00+00:00</w:t>
      </w:r>
      <w:r>
        <w:t xml:space="preserve">    </w:t>
      </w:r>
      <w:r>
        <w:rPr>
          <w:b/>
        </w:rPr>
        <w:t xml:space="preserve">DOI: </w:t>
      </w:r>
      <w:hyperlink r:id="rId753">
        <w:r>
          <w:rPr>
            <w:color w:val="1155CC"/>
            <w:u w:val="single"/>
          </w:rPr>
          <w:t>10.1073/pnas.2528925123</w:t>
        </w:r>
      </w:hyperlink>
    </w:p>
    <w:p>
      <w:pPr>
        <w:spacing w:before="0" w:after="120"/>
      </w:pPr>
      <w:r>
        <w:rPr>
          <w:b/>
        </w:rPr>
        <w:t xml:space="preserve">Notes: </w:t>
      </w:r>
      <w:r>
        <w:t>abstract_source=crossref</w:t>
      </w:r>
    </w:p>
    <w:p>
      <w:pPr>
        <w:spacing w:before="0" w:after="80" w:lineRule="auto" w:line="276"/>
      </w:pPr>
      <w:r>
        <w:rPr>
          <w:b/>
        </w:rPr>
        <w:t xml:space="preserve">摘要（ZH）: </w:t>
      </w:r>
      <w:r>
        <w:t>虽然性染色体系统在某些类群中显示出频繁的进化转变，但在许多其他类群中则表现出长期的稳定性。先前对这种停滞的解释依赖于性染色体特有的进化动态，例如性特异性染色体上有害突变的积累或性染色体上性别对抗性突变。在此，我展示了对数量性状的稳定选择促进了性染色体系统的稳定性。原因是稳定选择在保持性状值接近其最佳值的同时，允许个别染色体对性状的贡献漂移，而这种染色体特异性漂移降低了在性染色体转换期间必然产生的新性别决定基因型的适应性。鉴于</w:t>
      </w:r>
    </w:p>
    <w:p>
      <w:pPr>
        <w:spacing w:before="0" w:after="200" w:lineRule="auto" w:line="276"/>
      </w:pPr>
      <w:r>
        <w:rPr>
          <w:b/>
        </w:rPr>
        <w:t xml:space="preserve">Abstract (EN): </w:t>
      </w:r>
      <w:r>
        <w:t>While sex chromosome systems show frequent evolutionary transitions in some clades, in many others they show long-term stability. Previous explanations of this stasis rely on evolutionary dynamics peculiar to sex chromosomes, such as the accumulation of deleterious mutations on the sex-specific chromosome or sexually antagonistic mutations on either sex chromosome. Here, I show that stabilizing selection on quantitative traits promotes stability of sex chromosome systems. The reason is that stabilizing selection, while keeping the value of the trait near its optimum, allows individual chromosomes’ contributions to the trait to drift, and this chromosome-specific drift reduces the fitness of the novel sex-determining genotypes necessarily produced during sex chromosome turnover. Given the ubiquity of stabilizing selection on quantitative traits, chromosome-specific drift could play a pivotal role in preventing the turnover of sex chromosome systems across multiple stages of their evolution. The theory generates several testable predictions for the evolution of sex chromosome systems that align well with observed phylogenetic patterns. For example, although chromosome-specific drift acts as a global impediment to sex chromosome turnover, those turnovers that do occur should be more likely to maintain the system of heterogamety than to change it. The theory further predicts a higher rate of transitions from environmental to genetic sex determination, versus the reverse. Finally, the theory shows that the evolution of sexual dimorphism in complex traits can drive long-term sex chromosome stability.</w:t>
      </w:r>
    </w:p>
    <w:p>
      <w:pPr>
        <w:spacing w:before="120" w:after="120"/>
      </w:pPr>
      <w:r>
        <w:rPr>
          <w:sz w:val="18"/>
        </w:rPr>
        <w:t>——————————————————————————————————————————————————————————————————————</w:t>
      </w:r>
    </w:p>
    <w:p>
      <w:pPr>
        <w:spacing w:before="160" w:after="40" w:line="240" w:lineRule="auto"/>
      </w:pPr>
      <w:r>
        <w:rPr>
          <w:b/>
        </w:rPr>
        <w:t xml:space="preserve">[315] </w:t>
      </w:r>
      <w:hyperlink r:id="rId754">
        <w:r>
          <w:rPr>
            <w:color w:val="1155CC"/>
            <w:u w:val="single"/>
          </w:rPr>
          <w:t>溶酶体相关细胞器在色素细胞中协调鸟嘌呤晶体的形成</w:t>
        </w:r>
      </w:hyperlink>
    </w:p>
    <w:p>
      <w:pPr>
        <w:spacing w:before="0" w:after="80"/>
      </w:pPr>
      <w:r>
        <w:rPr>
          <w:i/>
          <w:sz w:val="20"/>
        </w:rPr>
        <w:t>EN: Lysosome-related organelles orchestrate guanine crystal formation in pigment cells</w:t>
      </w:r>
    </w:p>
    <w:p>
      <w:pPr>
        <w:spacing w:before="0" w:after="120"/>
      </w:pPr>
      <w:r>
        <w:rPr>
          <w:b/>
        </w:rPr>
        <w:t xml:space="preserve">Source: </w:t>
      </w:r>
      <w:r>
        <w:t>Proceedings of the National Academy of Sciences: Keyword search for query</w:t>
      </w:r>
      <w:r>
        <w:t xml:space="preserve">    </w:t>
      </w:r>
      <w:r>
        <w:rPr>
          <w:b/>
        </w:rPr>
        <w:t xml:space="preserve">Pub date: </w:t>
      </w:r>
      <w:r>
        <w:t>2026-04-08 07:00:00+00:00</w:t>
      </w:r>
      <w:r>
        <w:t xml:space="preserve">    </w:t>
      </w:r>
      <w:r>
        <w:rPr>
          <w:b/>
        </w:rPr>
        <w:t xml:space="preserve">DOI: </w:t>
      </w:r>
      <w:hyperlink r:id="rId755">
        <w:r>
          <w:rPr>
            <w:color w:val="1155CC"/>
            <w:u w:val="single"/>
          </w:rPr>
          <w:t>10.1073/pnas.2524305123</w:t>
        </w:r>
      </w:hyperlink>
    </w:p>
    <w:p>
      <w:pPr>
        <w:spacing w:before="0" w:after="120"/>
      </w:pPr>
      <w:r>
        <w:rPr>
          <w:b/>
        </w:rPr>
        <w:t xml:space="preserve">Notes: </w:t>
      </w:r>
      <w:r>
        <w:t>abstract_source=crossref</w:t>
      </w:r>
    </w:p>
    <w:p>
      <w:pPr>
        <w:spacing w:before="0" w:after="80" w:lineRule="auto" w:line="276"/>
      </w:pPr>
      <w:r>
        <w:rPr>
          <w:b/>
        </w:rPr>
        <w:t xml:space="preserve">摘要（ZH）: </w:t>
      </w:r>
      <w:r>
        <w:t>虹色体是色素产生虹色细胞的鸟嘌呤晶体形成细胞器，是脊椎动物生物学中最具多样性、视觉上引人注目但机制上未被表征的细胞器之一。溶酶体相关细胞器（LROs）通过适应内溶酶体途径以支持细胞类型特异性功能。在此，我们展示了虹色体代表了一种LROs的亚型。通过对斑马鱼虹色细胞的转录组分析、CRISPR-Cas9介导的基因破坏和低温透射电子显微镜，我们定义了虹色体生物发生的分子程序。虹色体在晶体生长方面进化出了独特的适应性，同时保留了其他LROs的核心特征。关键调节因子，包括Rab32a、Ap3m2和Hps5，对于晶体形成至关重要，</w:t>
      </w:r>
    </w:p>
    <w:p>
      <w:pPr>
        <w:spacing w:before="0" w:after="200" w:lineRule="auto" w:line="276"/>
      </w:pPr>
      <w:r>
        <w:rPr>
          <w:b/>
        </w:rPr>
        <w:t xml:space="preserve">Abstract (EN): </w:t>
      </w:r>
      <w:r>
        <w:t>Iridosomes, the guanine crystal-forming organelles of pigment-producing iridophores, are among the most versatile, visually striking yet mechanistically uncharacterized organelles in vertebrate biology. Lysosome-related organelles (LROs) support cell type–specific functions by adapting endolysosomal pathways for specialized roles. Here, we show that iridosomes represent a subtype of LROs. Using transcriptomic profiling of zebrafish iridophores, CRISPR-Cas9-mediated gene disruption, and cryogenic transmission electron microscopy, we define the molecular program underlying iridosome biogenesis. Iridosomes have evolved unique adaptations for crystal growth while retaining core features of other LROs. Key regulators, including Rab32a, Ap3m2, and Hps5, are essential for crystal formation, with gene knockouts causing reduced crystal number, altered morphology, and distinct maturation defects. We further identify hallmark LRO features in iridosomes, including intraluminal vesicles and pH-regulated developmental transitions. Cross-species transcriptomic analysis confirms that iridosomes share an LRO signature across vertebrates, including teleost fish and reptiles, suggesting ancient evolutionary origins. These findings establish iridosomes as crystalline LROs and as a model for investigating how cells construct structurally specialized organelles through coordinated trafficking and crystallization, with implications for LRO evolution and human disease.</w:t>
      </w:r>
    </w:p>
    <w:p>
      <w:pPr>
        <w:spacing w:before="120" w:after="120"/>
      </w:pPr>
      <w:r>
        <w:rPr>
          <w:sz w:val="18"/>
        </w:rPr>
        <w:t>——————————————————————————————————————————————————————————————————————</w:t>
      </w:r>
    </w:p>
    <w:p>
      <w:pPr>
        <w:spacing w:before="160" w:after="40" w:line="240" w:lineRule="auto"/>
      </w:pPr>
      <w:r>
        <w:rPr>
          <w:b/>
        </w:rPr>
        <w:t xml:space="preserve">[316] </w:t>
      </w:r>
      <w:hyperlink r:id="rId756">
        <w:r>
          <w:rPr>
            <w:color w:val="1155CC"/>
            <w:u w:val="single"/>
          </w:rPr>
          <w:t>基于模拟的推断捕捉了非马尔可夫效应，如通过细胞分裂在蛋白质生产动力学中的体现</w:t>
        </w:r>
      </w:hyperlink>
    </w:p>
    <w:p>
      <w:pPr>
        <w:spacing w:before="0" w:after="80"/>
      </w:pPr>
      <w:r>
        <w:rPr>
          <w:i/>
          <w:sz w:val="20"/>
        </w:rPr>
        <w:t>EN: Simulation-based inference captures non-Markovian effects as exemplified in protein production kinetics through cell division</w:t>
      </w:r>
    </w:p>
    <w:p>
      <w:pPr>
        <w:spacing w:before="0" w:after="120"/>
      </w:pPr>
      <w:r>
        <w:rPr>
          <w:b/>
        </w:rPr>
        <w:t xml:space="preserve">Source: </w:t>
      </w:r>
      <w:r>
        <w:t>Proceedings of the National Academy of Sciences: Keyword search for query</w:t>
      </w:r>
      <w:r>
        <w:t xml:space="preserve">    </w:t>
      </w:r>
      <w:r>
        <w:rPr>
          <w:b/>
        </w:rPr>
        <w:t xml:space="preserve">Pub date: </w:t>
      </w:r>
      <w:r>
        <w:t>2026-04-08 07:00:00+00:00</w:t>
      </w:r>
      <w:r>
        <w:t xml:space="preserve">    </w:t>
      </w:r>
      <w:r>
        <w:rPr>
          <w:b/>
        </w:rPr>
        <w:t xml:space="preserve">DOI: </w:t>
      </w:r>
      <w:hyperlink r:id="rId757">
        <w:r>
          <w:rPr>
            <w:color w:val="1155CC"/>
            <w:u w:val="single"/>
          </w:rPr>
          <w:t>10.1073/pnas.2517309123</w:t>
        </w:r>
      </w:hyperlink>
    </w:p>
    <w:p>
      <w:pPr>
        <w:spacing w:before="0" w:after="120"/>
      </w:pPr>
      <w:r>
        <w:rPr>
          <w:b/>
        </w:rPr>
        <w:t xml:space="preserve">Notes: </w:t>
      </w:r>
      <w:r>
        <w:t>abstract_source=crossref</w:t>
      </w:r>
    </w:p>
    <w:p>
      <w:pPr>
        <w:spacing w:before="0" w:after="80" w:lineRule="auto" w:line="276"/>
      </w:pPr>
      <w:r>
        <w:rPr>
          <w:b/>
        </w:rPr>
        <w:t xml:space="preserve">摘要（ZH）: </w:t>
      </w:r>
      <w:r>
        <w:t>推断分裂细胞中蛋白质生产动力学因母细胞的蛋白质继承而变得复杂。例如，常用于评估基因激活的荧光测量可能不仅反映新产生的蛋白质，还反映通过连续细胞分裂继承的蛋白质。在这种情况下，任何给定细胞中观察到的蛋白质水平都受到其分裂历史的影响。作为一个案例研究，我们研究了酵母中涉及糖原合成并在营养限制条件下表达的glc3基因的激活。我们通过流式细胞术使用快照荧光测量监测这种活动，其中绿色荧光蛋白（GFP）表达反映了glc3启动子活性。一个天真的</w:t>
      </w:r>
    </w:p>
    <w:p>
      <w:pPr>
        <w:spacing w:before="0" w:after="200" w:lineRule="auto" w:line="276"/>
      </w:pPr>
      <w:r>
        <w:rPr>
          <w:b/>
        </w:rPr>
        <w:t xml:space="preserve">Abstract (EN): </w:t>
      </w:r>
      <w:r>
        <w:t>Inferring protein production kinetics in dividing cells is complicated by protein inheritance from the mother cell. For instance, fluorescence measurements commonly used to assess gene activation may reflect not only newly produced proteins but also those inherited through successive cell divisions. In such cases, observed protein levels in any given cell are shaped by its division history. As a case study, we examine the activation of the</w:t>
      </w:r>
      <w:r>
        <w:t xml:space="preserve"> </w:t>
      </w:r>
      <w:r>
        <w:t>glc3</w:t>
      </w:r>
      <w:r>
        <w:t xml:space="preserve"> </w:t>
      </w:r>
      <w:r>
        <w:t>gene in yeast involved in glycogen synthesis and expressed under nutrient-limiting conditions. We monitor this activity using snapshot fluorescence measurements via flow cytometry, where green fluorescent protein (GFP) expression reflects</w:t>
      </w:r>
      <w:r>
        <w:t xml:space="preserve"> </w:t>
      </w:r>
      <w:r>
        <w:t>glc3</w:t>
      </w:r>
      <w:r>
        <w:t xml:space="preserve"> </w:t>
      </w:r>
      <w:r>
        <w:t>promoter activity. A naïve analysis of flow cytometry data ignoring cell division suggests many cells are active at low expression levels. Explicitly accounting for the (inherently non-Markovian) effects of cell division and protein inheritance makes it impossible to write down a tractable likelihood, namely the probability of observing data given a model—a key ingredient in physics-inspired inference. The dependence on a cell’s division history breaks the assumptions of standard (Markovian) master equations, rendering traditional likelihood-based approaches inapplicable. In order to generate a method for inference in arbitrary non-Markovian dynamics, we adapt conditional normalizing flows (a class of neural network models designed to learn probability distributions) to approximate otherwise intractable likelihoods from simulated data. In doing so, we find that</w:t>
      </w:r>
      <w:r>
        <w:t xml:space="preserve"> </w:t>
      </w:r>
      <w:r>
        <w:t>glc3</w:t>
      </w:r>
      <w:r>
        <w:t xml:space="preserve"> </w:t>
      </w:r>
      <w:r>
        <w:t>is mostly inactive under stress, showing that while cells occasionally activate the gene, expression is brief and transient.</w:t>
      </w:r>
    </w:p>
    <w:p>
      <w:pPr>
        <w:spacing w:before="120" w:after="120"/>
      </w:pPr>
      <w:r>
        <w:rPr>
          <w:sz w:val="18"/>
        </w:rPr>
        <w:t>——————————————————————————————————————————————————————————————————————</w:t>
      </w:r>
    </w:p>
    <w:p>
      <w:pPr>
        <w:spacing w:before="160" w:after="40" w:line="240" w:lineRule="auto"/>
      </w:pPr>
      <w:r>
        <w:rPr>
          <w:b/>
        </w:rPr>
        <w:t xml:space="preserve">[317] </w:t>
      </w:r>
      <w:hyperlink r:id="rId758">
        <w:r>
          <w:rPr>
            <w:color w:val="1155CC"/>
            <w:u w:val="single"/>
          </w:rPr>
          <w:t>将碳酸岩、稀土矿石和俯冲肥沃的地幔岩石圈联系起来</w:t>
        </w:r>
      </w:hyperlink>
    </w:p>
    <w:p>
      <w:pPr>
        <w:spacing w:before="0" w:after="80"/>
      </w:pPr>
      <w:r>
        <w:rPr>
          <w:i/>
          <w:sz w:val="20"/>
        </w:rPr>
        <w:t>EN: Linking carbonatites, rare earth ores, and subduction-fertilized mantle lithosphere</w:t>
      </w:r>
    </w:p>
    <w:p>
      <w:pPr>
        <w:spacing w:before="0" w:after="120"/>
      </w:pPr>
      <w:r>
        <w:rPr>
          <w:b/>
        </w:rPr>
        <w:t xml:space="preserve">Source: </w:t>
      </w:r>
      <w:r>
        <w:t>AAAS: Science Advances: Table of Contents</w:t>
      </w:r>
      <w:r>
        <w:t xml:space="preserve">    </w:t>
      </w:r>
      <w:r>
        <w:rPr>
          <w:b/>
        </w:rPr>
        <w:t xml:space="preserve">Pub date: </w:t>
      </w:r>
      <w:r>
        <w:t>2026-04-08 07:00:00+00:00</w:t>
      </w:r>
      <w:r>
        <w:t xml:space="preserve">    </w:t>
      </w:r>
      <w:r>
        <w:rPr>
          <w:b/>
        </w:rPr>
        <w:t xml:space="preserve">DOI: </w:t>
      </w:r>
      <w:hyperlink r:id="rId759">
        <w:r>
          <w:rPr>
            <w:color w:val="1155CC"/>
            <w:u w:val="single"/>
          </w:rPr>
          <w:t>10.1126/sciadv.aeb2942</w:t>
        </w:r>
      </w:hyperlink>
    </w:p>
    <w:p>
      <w:pPr>
        <w:spacing w:before="0" w:after="120"/>
      </w:pPr>
      <w:r>
        <w:rPr>
          <w:b/>
        </w:rPr>
        <w:t xml:space="preserve">Notes: </w:t>
      </w:r>
      <w:r>
        <w:t>abstract_source=crossref</w:t>
      </w:r>
    </w:p>
    <w:p>
      <w:pPr>
        <w:spacing w:before="0" w:after="80" w:lineRule="auto" w:line="276"/>
      </w:pPr>
      <w:r>
        <w:rPr>
          <w:b/>
        </w:rPr>
        <w:t xml:space="preserve">摘要（ZH）: </w:t>
      </w:r>
      <w:r>
        <w:t>大陆板内岩浆活动在时间上对古代大灭绝、景观演化、全球气候和火山活动起到了关键作用。这些岩浆系统也是关键金属的重要来源，包括稀土元素（REEs）。然而，碱性板内岩浆（如碳酸岩）的起源仍然是个谜。在这里，我们使用运动板块建模显示，现今约35%的大陆岩石圈地幔在过去20亿年中经历了显著的俯冲相关富集。这些富集的地幔域位于1.8亿年后的碳酸岩和约72%的岩浆相关稀土矿床（以及约92%的前寒武纪稀土矿床）下方，证实了古代富集地幔岩石之间的遗传联系</w:t>
      </w:r>
    </w:p>
    <w:p>
      <w:pPr>
        <w:spacing w:before="0" w:after="200" w:lineRule="auto" w:line="276"/>
      </w:pPr>
      <w:r>
        <w:rPr>
          <w:b/>
        </w:rPr>
        <w:t xml:space="preserve">Abstract (EN): </w:t>
      </w:r>
      <w:r>
        <w:t>Continental intraplate magmatism through time has played a crucial role in ancient mass extinctions, landscape evolution, global climate, and volcanism. These magmatic systems are also crucial sources of critical metals, including the rare earth elements (REEs). Nonetheless, the origins of alkaline intraplate magmas, such as carbonatites, remain enigmatic. Here, we use kinematic plate modeling to show that ~35% of the present-day subcontinental lithospheric mantle has experienced substantial subduction-related fertilization in the past 2 billion years. These fertilized mantle domains underlie ~67% of post–1.8-billion-year-old carbonatites and ~72% of magma-related REE ore deposits (and ~92% of Precambrian REE deposits), substantiating a genetic link between the ancient, enriched mantle lithosphere and alkaline intraplate magmatism and associated ore deposits. We find no correlation between the timing of mantle source fertilization and carbonatite formation, indicating that the evolution of these magmas is multistage, including an initial metasomatic “primer” of the mantle lithosphere and a subsequent and disconnected melting “trigger” event responsible for magma generation.</w:t>
      </w:r>
    </w:p>
    <w:p>
      <w:pPr>
        <w:spacing w:before="120" w:after="120"/>
      </w:pPr>
      <w:r>
        <w:rPr>
          <w:sz w:val="18"/>
        </w:rPr>
        <w:t>——————————————————————————————————————————————————————————————————————</w:t>
      </w:r>
    </w:p>
    <w:p>
      <w:pPr>
        <w:spacing w:before="160" w:after="40" w:line="240" w:lineRule="auto"/>
      </w:pPr>
      <w:r>
        <w:rPr>
          <w:b/>
        </w:rPr>
        <w:t xml:space="preserve">[318] </w:t>
      </w:r>
      <w:hyperlink r:id="rId760">
        <w:r>
          <w:rPr>
            <w:color w:val="1155CC"/>
            <w:u w:val="single"/>
          </w:rPr>
          <w:t>选择性、基因诱导的突触小泡启动增加</w:t>
        </w:r>
      </w:hyperlink>
    </w:p>
    <w:p>
      <w:pPr>
        <w:spacing w:before="0" w:after="80"/>
      </w:pPr>
      <w:r>
        <w:rPr>
          <w:i/>
          <w:sz w:val="20"/>
        </w:rPr>
        <w:t>EN: Selective, genetically induced increase in synaptic vesicle priming</w:t>
      </w:r>
    </w:p>
    <w:p>
      <w:pPr>
        <w:spacing w:before="0" w:after="120"/>
      </w:pPr>
      <w:r>
        <w:rPr>
          <w:b/>
        </w:rPr>
        <w:t xml:space="preserve">Source: </w:t>
      </w:r>
      <w:r>
        <w:t>AAAS: Science Advances: Table of Contents</w:t>
      </w:r>
      <w:r>
        <w:t xml:space="preserve">    </w:t>
      </w:r>
      <w:r>
        <w:rPr>
          <w:b/>
        </w:rPr>
        <w:t xml:space="preserve">Pub date: </w:t>
      </w:r>
      <w:r>
        <w:t>2026-04-08 07:00:00+00:00</w:t>
      </w:r>
      <w:r>
        <w:t xml:space="preserve">    </w:t>
      </w:r>
      <w:r>
        <w:rPr>
          <w:b/>
        </w:rPr>
        <w:t xml:space="preserve">DOI: </w:t>
      </w:r>
      <w:hyperlink r:id="rId761">
        <w:r>
          <w:rPr>
            <w:color w:val="1155CC"/>
            <w:u w:val="single"/>
          </w:rPr>
          <w:t>10.1126/sciadv.aee6848</w:t>
        </w:r>
      </w:hyperlink>
    </w:p>
    <w:p>
      <w:pPr>
        <w:spacing w:before="0" w:after="120"/>
      </w:pPr>
      <w:r>
        <w:rPr>
          <w:b/>
        </w:rPr>
        <w:t xml:space="preserve">Notes: </w:t>
      </w:r>
      <w:r>
        <w:t>abstract_source=crossref</w:t>
      </w:r>
    </w:p>
    <w:p>
      <w:pPr>
        <w:spacing w:before="0" w:after="80" w:lineRule="auto" w:line="276"/>
      </w:pPr>
      <w:r>
        <w:rPr>
          <w:b/>
        </w:rPr>
        <w:t xml:space="preserve">摘要（ZH）: </w:t>
      </w:r>
      <w:r>
        <w:t>突触小泡（SV）释放概率（Pv）由两个概率因素决定：释放位点被融合能力强、充分准备的SV占据的概率及其融合概率（Pfusion）。尽管最近的研究强调SV准备是功能性突触多样性的关键机制，但将准备与融合分开是出了名的具有挑战性的。在这里，我们开发了一种小鼠遗传方法，用于诱导和选择性增加SV准备。Munc13-1在位置567的组氨酸到赖氨酸的突变增加了其功能。将此突变与野生型Munc13-1等位基因的Cre依赖性去除结合起来，可以实现细胞类型选择性增强Munc13-</w:t>
      </w:r>
    </w:p>
    <w:p>
      <w:pPr>
        <w:spacing w:before="0" w:after="200" w:lineRule="auto" w:line="276"/>
      </w:pPr>
      <w:r>
        <w:rPr>
          <w:b/>
        </w:rPr>
        <w:t xml:space="preserve">Abstract (EN): </w:t>
      </w:r>
      <w:r>
        <w:t>Synaptic vesicle (SV) release probability (</w:t>
      </w:r>
      <w:r>
        <w:t xml:space="preserve"> </w:t>
      </w:r>
      <w:r>
        <w:t>Pv</w:t>
      </w:r>
      <w:r>
        <w:t xml:space="preserve"> </w:t>
      </w:r>
      <w:r>
        <w:t>) is determined by two probabilistic factors: the probability of release sites being occupied by fusion-competent, well-primed SVs and their fusion probability (</w:t>
      </w:r>
      <w:r>
        <w:t xml:space="preserve"> </w:t>
      </w:r>
      <w:r>
        <w:t>P</w:t>
      </w:r>
      <w:r>
        <w:t xml:space="preserve"> </w:t>
      </w:r>
      <w:r>
        <w:t>fusion</w:t>
      </w:r>
      <w:r>
        <w:t xml:space="preserve"> </w:t>
      </w:r>
      <w:r>
        <w:t>). While recent studies emphasize SV priming as a key mechanism underlying functional synaptic diversity, disentangling priming from fusion is notoriously challenging. Here we developed a mouse genetic approach for inducible and selective increase of SV priming. A histidine-to-lysine mutation at position 567 of Munc13-1 increases its function. Combining this mutation with a Cre-dependent removal of the wild-type Munc13-1 allele enables cell type–selective enhancement of Munc13-1 function. This manipulation increased excitatory postsynaptic current amplitude at hippocampal synapses exclusively through elevating</w:t>
      </w:r>
      <w:r>
        <w:t xml:space="preserve"> </w:t>
      </w:r>
      <w:r>
        <w:t>Pv</w:t>
      </w:r>
      <w:r>
        <w:t xml:space="preserve"> </w:t>
      </w:r>
      <w:r>
        <w:t>without affecting release site number or quantal size. A sequential, two-step priming model predicts that the enhanced</w:t>
      </w:r>
      <w:r>
        <w:t xml:space="preserve"> </w:t>
      </w:r>
      <w:r>
        <w:t>Pv</w:t>
      </w:r>
      <w:r>
        <w:t xml:space="preserve"> </w:t>
      </w:r>
      <w:r>
        <w:t>results from an elevated proportion of well-primed SVs, without altering</w:t>
      </w:r>
      <w:r>
        <w:t xml:space="preserve"> </w:t>
      </w:r>
      <w:r>
        <w:t>P</w:t>
      </w:r>
      <w:r>
        <w:t xml:space="preserve"> </w:t>
      </w:r>
      <w:r>
        <w:t>fusion</w:t>
      </w:r>
      <w:r>
        <w:t xml:space="preserve"> </w:t>
      </w:r>
      <w:r>
        <w:t>. Last, we provide unequivocal evidence that the postsynaptic target cell type–dependent variability in presynaptic glutamate release is mainly the consequence of variability in SV priming.</w:t>
      </w:r>
    </w:p>
    <w:p>
      <w:pPr>
        <w:spacing w:before="120" w:after="120"/>
      </w:pPr>
      <w:r>
        <w:rPr>
          <w:sz w:val="18"/>
        </w:rPr>
        <w:t>——————————————————————————————————————————————————————————————————————</w:t>
      </w:r>
    </w:p>
    <w:p>
      <w:pPr>
        <w:spacing w:before="160" w:after="40" w:line="240" w:lineRule="auto"/>
      </w:pPr>
      <w:r>
        <w:rPr>
          <w:b/>
        </w:rPr>
        <w:t xml:space="preserve">[319] </w:t>
      </w:r>
      <w:hyperlink r:id="rId762">
        <w:r>
          <w:rPr>
            <w:color w:val="1155CC"/>
            <w:u w:val="single"/>
          </w:rPr>
          <w:t>卫星测高揭示了全球海洋中空间非局部的动能级联</w:t>
        </w:r>
      </w:hyperlink>
    </w:p>
    <w:p>
      <w:pPr>
        <w:spacing w:before="0" w:after="80"/>
      </w:pPr>
      <w:r>
        <w:rPr>
          <w:i/>
          <w:sz w:val="20"/>
        </w:rPr>
        <w:t>EN: Satellite altimetry reveals spatially nonlocal kinetic energy cascade in the global ocean</w:t>
      </w:r>
    </w:p>
    <w:p>
      <w:pPr>
        <w:spacing w:before="0" w:after="120"/>
      </w:pPr>
      <w:r>
        <w:rPr>
          <w:b/>
        </w:rPr>
        <w:t xml:space="preserve">Source: </w:t>
      </w:r>
      <w:r>
        <w:t>AAAS: Science Advances: Table of Contents</w:t>
      </w:r>
      <w:r>
        <w:t xml:space="preserve">    </w:t>
      </w:r>
      <w:r>
        <w:rPr>
          <w:b/>
        </w:rPr>
        <w:t xml:space="preserve">Pub date: </w:t>
      </w:r>
      <w:r>
        <w:t>2026-04-08 07:00:00+00:00</w:t>
      </w:r>
      <w:r>
        <w:t xml:space="preserve">    </w:t>
      </w:r>
      <w:r>
        <w:rPr>
          <w:b/>
        </w:rPr>
        <w:t xml:space="preserve">DOI: </w:t>
      </w:r>
      <w:hyperlink r:id="rId763">
        <w:r>
          <w:rPr>
            <w:color w:val="1155CC"/>
            <w:u w:val="single"/>
          </w:rPr>
          <w:t>10.1126/sciadv.adz0593</w:t>
        </w:r>
      </w:hyperlink>
    </w:p>
    <w:p>
      <w:pPr>
        <w:spacing w:before="0" w:after="120"/>
      </w:pPr>
      <w:r>
        <w:rPr>
          <w:b/>
        </w:rPr>
        <w:t xml:space="preserve">Notes: </w:t>
      </w:r>
      <w:r>
        <w:t>abstract_source=crossref</w:t>
      </w:r>
    </w:p>
    <w:p>
      <w:pPr>
        <w:spacing w:before="0" w:after="80" w:lineRule="auto" w:line="276"/>
      </w:pPr>
      <w:r>
        <w:rPr>
          <w:b/>
        </w:rPr>
        <w:t xml:space="preserve">摘要（ZH）: </w:t>
      </w:r>
      <w:r>
        <w:t>动能（KE）在空间尺度上的转移传统上被视为一个过程，其中大尺度运动失去或获得的KE由同一区域内的小尺度运动平衡。利用卫星测高和粗粒化框架，我们表明全球表面KE级联主要是空间非局部的：大尺度失去或获得的能量可以被重新分配并运输到其他区域，而不仅仅是供给局部的小尺度。在涡流丰富的区域，如黑潮延伸和南大洋，这种非局部性表现得尤为明显，并与不可忽视的剩余KE相关。这种非局部行为在海洋模型中也很明显，揭示了空间非局部KE转移是全球海洋的一个基本且稳健的特征。</w:t>
      </w:r>
    </w:p>
    <w:p>
      <w:pPr>
        <w:spacing w:before="0" w:after="200" w:lineRule="auto" w:line="276"/>
      </w:pPr>
      <w:r>
        <w:rPr>
          <w:b/>
        </w:rPr>
        <w:t xml:space="preserve">Abstract (EN): </w:t>
      </w:r>
      <w:r>
        <w:t>The transfer of kinetic energy (KE) across spatial scales has traditionally been viewed as a process where KE lost or gained by larger-scale motions is balanced by smaller-scale motions within the same region. Using satellite altimetry and a coarse-graining framework, we show that the global surface KE cascade is predominantly spatially nonlocal: Energy lost or gained by larger scales can be redistributed and transported to or from other regions rather than solely feeding local smaller scales. In eddy-rich regions, such as the Kuroshio Extension and Southern Ocean, this nonlocality is pronounced and associated with non-negligible residual KE. This nonlocal behavior is also evident in ocean models, revealing that spatially nonlocal KE transfer is a fundamental and robust feature of global ocean dynamics.</w:t>
      </w:r>
    </w:p>
    <w:p>
      <w:pPr>
        <w:spacing w:before="120" w:after="120"/>
      </w:pPr>
      <w:r>
        <w:rPr>
          <w:sz w:val="18"/>
        </w:rPr>
        <w:t>——————————————————————————————————————————————————————————————————————</w:t>
      </w:r>
    </w:p>
    <w:p>
      <w:pPr>
        <w:spacing w:before="160" w:after="40" w:line="240" w:lineRule="auto"/>
      </w:pPr>
      <w:r>
        <w:rPr>
          <w:b/>
        </w:rPr>
        <w:t xml:space="preserve">[320] </w:t>
      </w:r>
      <w:hyperlink r:id="rId764">
        <w:r>
          <w:rPr>
            <w:color w:val="1155CC"/>
            <w:u w:val="single"/>
          </w:rPr>
          <w:t>STAG2的丧失放大了EWS-FLI1驱动的微卫星增强子活性，促进了尤文肉瘤的侵袭性</w:t>
        </w:r>
      </w:hyperlink>
    </w:p>
    <w:p>
      <w:pPr>
        <w:spacing w:before="0" w:after="80"/>
      </w:pPr>
      <w:r>
        <w:rPr>
          <w:i/>
          <w:sz w:val="20"/>
        </w:rPr>
        <w:t>EN: STAG2 loss amplifies EWS-FLI1-driven microsatellite enhancer activity promoting Ewing sarcoma aggressiveness</w:t>
      </w:r>
    </w:p>
    <w:p>
      <w:pPr>
        <w:spacing w:before="0" w:after="120"/>
      </w:pPr>
      <w:r>
        <w:rPr>
          <w:b/>
        </w:rPr>
        <w:t xml:space="preserve">Source: </w:t>
      </w:r>
      <w:r>
        <w:t>Proceedings of the National Academy of Sciences: Keyword search for query</w:t>
      </w:r>
      <w:r>
        <w:t xml:space="preserve">    </w:t>
      </w:r>
      <w:r>
        <w:rPr>
          <w:b/>
        </w:rPr>
        <w:t xml:space="preserve">Pub date: </w:t>
      </w:r>
      <w:r>
        <w:t>2026-04-08 07:00:00+00:00</w:t>
      </w:r>
      <w:r>
        <w:t xml:space="preserve">    </w:t>
      </w:r>
      <w:r>
        <w:rPr>
          <w:b/>
        </w:rPr>
        <w:t xml:space="preserve">DOI: </w:t>
      </w:r>
      <w:hyperlink r:id="rId765">
        <w:r>
          <w:rPr>
            <w:color w:val="1155CC"/>
            <w:u w:val="single"/>
          </w:rPr>
          <w:t>10.1073/pnas.2537425123</w:t>
        </w:r>
      </w:hyperlink>
    </w:p>
    <w:p>
      <w:pPr>
        <w:spacing w:before="0" w:after="120"/>
      </w:pPr>
      <w:r>
        <w:rPr>
          <w:b/>
        </w:rPr>
        <w:t xml:space="preserve">Notes: </w:t>
      </w:r>
      <w:r>
        <w:t>abstract_source=crossref</w:t>
      </w:r>
    </w:p>
    <w:p>
      <w:pPr>
        <w:spacing w:before="0" w:after="80" w:lineRule="auto" w:line="276"/>
      </w:pPr>
      <w:r>
        <w:rPr>
          <w:b/>
        </w:rPr>
        <w:t xml:space="preserve">摘要（ZH）: </w:t>
      </w:r>
      <w:r>
        <w:t>尤文肉瘤是由染色体易位驱动的，这些易位将FET RNA结合蛋白与ETS转录因子融合，最常见的是生成EWS-FLI1融合癌蛋白。EWS-FLI1与GGAA微卫星重复序列结合，形成新的增强子，激活对肿瘤发生至关重要的致癌转录程序。除了这个主干驱动因素外，约10%到15%的尤文肉瘤中发生的cohesin亚基STAG2的功能丧失突变与不良临床结果相关。然而，STAG2丧失如何重塑EWS-FLI1染色质结合和转录输出仍然知之甚少。在此，利用遗传STAG2功能丧失模型结合综合多组学分析，我们证明了STAG2-cohesin缺陷重新编程</w:t>
      </w:r>
    </w:p>
    <w:p>
      <w:pPr>
        <w:spacing w:before="0" w:after="200" w:lineRule="auto" w:line="276"/>
      </w:pPr>
      <w:r>
        <w:rPr>
          <w:b/>
        </w:rPr>
        <w:t xml:space="preserve">Abstract (EN): </w:t>
      </w:r>
      <w:r>
        <w:t>Ewing sarcoma is driven by chromosomal translocations that fuse a FET RNA-binding protein to an ETS transcription factor, most commonly generating the EWS-FLI1 fusion oncoprotein. EWS-FLI1 engages GGAA microsatellite repeats to form de novo enhancers that activate oncogenic transcriptional programs essential for tumorigenesis. In addition to this truncal driver, recurrent loss-of-function alterations in the cohesin subunit STAG2 occur in approximately 10 to 15% of Ewing sarcomas and are associated with adverse clinical outcomes. However, how STAG2 loss reshapes EWS-FLI1 chromatin engagement and transcriptional output remains poorly understood. Here, using genetic STAG2 loss-of-function models combined with integrative multiomic profiling, we demonstrate that STAG2–cohesin deficiency reprograms the EWS-FLI1 chromatin landscape by altering its binding at GGAA-microsatellite enhancers. Despite increased EWS-FLI1 protein abundance, STAG2 loss eliminates over 40% of EWS-FLI1 binding sites, predominantly at enhancers containing short (1–4) GGAA repeats, while concurrently increasing binding at multimeric enhancers with ≥5 GGAA-repeat motifs. These reprogrammed sites show changes in both chromatin accessibility and H3K27ac, leading to selective amplification of EWS-FLI1 activity at multimeric microsatellite enhancers. By integrating Hi-C chromatin interaction maps with altered EWS-FLI1 occupancy, we define distinct monomeric and multimeric GGAA enhancer–driven transcriptional gene signatures and demonstrate that STAG2 loss selectively augments the multimeric transcriptional program. Consistently, the long GGAA microsatellite-activated gene signature is enriched in patient tumors with aggressive clinical features and deleterious STAG2 alterations. Together, these findings reveal that STAG2 loss reprograms, rather than globally attenuates, EWS-FLI1 function, amplifying a high-risk oncogenic transcriptional state in Ewing sarcoma.</w:t>
      </w:r>
    </w:p>
    <w:p>
      <w:pPr>
        <w:spacing w:before="120" w:after="120"/>
      </w:pPr>
      <w:r>
        <w:rPr>
          <w:sz w:val="18"/>
        </w:rPr>
        <w:t>——————————————————————————————————————————————————————————————————————</w:t>
      </w:r>
    </w:p>
    <w:p>
      <w:pPr>
        <w:spacing w:before="160" w:after="40" w:line="240" w:lineRule="auto"/>
      </w:pPr>
      <w:r>
        <w:rPr>
          <w:b/>
        </w:rPr>
        <w:t xml:space="preserve">[321] </w:t>
      </w:r>
      <w:hyperlink r:id="rId766">
        <w:r>
          <w:rPr>
            <w:color w:val="1155CC"/>
            <w:u w:val="single"/>
          </w:rPr>
          <w:t>可转移的生成模型连接了从飞秒到纳秒时间步长的分子动力学</w:t>
        </w:r>
      </w:hyperlink>
    </w:p>
    <w:p>
      <w:pPr>
        <w:spacing w:before="0" w:after="80"/>
      </w:pPr>
      <w:r>
        <w:rPr>
          <w:i/>
          <w:sz w:val="20"/>
        </w:rPr>
        <w:t>EN: Transferable generative models bridge femtosecond to nanosecond time-step molecular dynamics</w:t>
      </w:r>
    </w:p>
    <w:p>
      <w:pPr>
        <w:spacing w:before="0" w:after="120"/>
      </w:pPr>
      <w:r>
        <w:rPr>
          <w:b/>
        </w:rPr>
        <w:t xml:space="preserve">Source: </w:t>
      </w:r>
      <w:r>
        <w:t>AAAS: Science Advances: Table of Contents</w:t>
      </w:r>
      <w:r>
        <w:t xml:space="preserve">    </w:t>
      </w:r>
      <w:r>
        <w:rPr>
          <w:b/>
        </w:rPr>
        <w:t xml:space="preserve">Pub date: </w:t>
      </w:r>
      <w:r>
        <w:t>2026-04-08 07:00:00+00:00</w:t>
      </w:r>
      <w:r>
        <w:t xml:space="preserve">    </w:t>
      </w:r>
      <w:r>
        <w:rPr>
          <w:b/>
        </w:rPr>
        <w:t xml:space="preserve">DOI: </w:t>
      </w:r>
      <w:hyperlink r:id="rId767">
        <w:r>
          <w:rPr>
            <w:color w:val="1155CC"/>
            <w:u w:val="single"/>
          </w:rPr>
          <w:t>10.1126/sciadv.aed2333</w:t>
        </w:r>
      </w:hyperlink>
    </w:p>
    <w:p>
      <w:pPr>
        <w:spacing w:before="0" w:after="120"/>
      </w:pPr>
      <w:r>
        <w:rPr>
          <w:b/>
        </w:rPr>
        <w:t xml:space="preserve">Notes: </w:t>
      </w:r>
      <w:r>
        <w:t>abstract_source=crossref</w:t>
      </w:r>
    </w:p>
    <w:p>
      <w:pPr>
        <w:spacing w:before="0" w:after="80" w:lineRule="auto" w:line="276"/>
      </w:pPr>
      <w:r>
        <w:rPr>
          <w:b/>
        </w:rPr>
        <w:t xml:space="preserve">摘要（ZH）: </w:t>
      </w:r>
      <w:r>
        <w:t>理解分子的结构、动力学和反应性需要跨越广泛分离的时间尺度的过程。传统的分子动力学模拟提供了原子级分辨率，但其飞秒时间步长限制了对控制化学功能的缓慢构象变化和弛豫过程的访问。在此，我们引入了一种深度生成建模框架，将分子动力学的采样加速了四个数量级，同时保持物理现实性。应用于小型有机分子和肽，该方法能够定量表征平衡集合和动态弛豫过程，这些过程以前仅能通过昂贵的蛮力模拟获得。该方法在化学组成上具有广泛的适用性。</w:t>
      </w:r>
    </w:p>
    <w:p>
      <w:pPr>
        <w:spacing w:before="0" w:after="200" w:lineRule="auto" w:line="276"/>
      </w:pPr>
      <w:r>
        <w:rPr>
          <w:b/>
        </w:rPr>
        <w:t xml:space="preserve">Abstract (EN): </w:t>
      </w:r>
      <w:r>
        <w:t>Understanding the molecular structure, dynamics, and reactivity requires bridging processes that occur across widely separated timescales. Conventional molecular dynamics simulations provide an atomistic resolution, but their femtosecond time steps limit access to the slow conformational changes and relaxation processes that govern chemical function. Here, we introduce a deep generative modeling framework that accelerates sampling of molecular dynamics by four orders of magnitude while retaining physical realism. Applied to small organic molecules and peptides, the approach enables quantitative characterization of equilibrium ensembles and dynamical relaxation processes that were previously only accessible by costly brute-force simulation. The method generalizes across chemical composition and system size, extrapolating to peptides larger than those used for training, and captures chemically meaningful transitions on extended timescales. By expanding the accessible range of molecular motions without sacrificing the atomistic detail, this approach opens opportunities for probing conformational landscapes, thermodynamics, and kinetics in systems central to chemistry and biophysics.</w:t>
      </w:r>
    </w:p>
    <w:p>
      <w:pPr>
        <w:spacing w:before="120" w:after="120"/>
      </w:pPr>
      <w:r>
        <w:rPr>
          <w:sz w:val="18"/>
        </w:rPr>
        <w:t>——————————————————————————————————————————————————————————————————————</w:t>
      </w:r>
    </w:p>
    <w:p>
      <w:pPr>
        <w:spacing w:before="160" w:after="40" w:line="240" w:lineRule="auto"/>
      </w:pPr>
      <w:r>
        <w:rPr>
          <w:b/>
        </w:rPr>
        <w:t xml:space="preserve">[322] </w:t>
      </w:r>
      <w:hyperlink r:id="rId768">
        <w:r>
          <w:rPr>
            <w:color w:val="1155CC"/>
            <w:u w:val="single"/>
          </w:rPr>
          <w:t>CD69调节表观遗传印记记忆CD4+ T细胞的组织动态</w:t>
        </w:r>
      </w:hyperlink>
    </w:p>
    <w:p>
      <w:pPr>
        <w:spacing w:before="0" w:after="80"/>
      </w:pPr>
      <w:r>
        <w:rPr>
          <w:i/>
          <w:sz w:val="20"/>
        </w:rPr>
        <w:t>EN: CD69 regulates the tissue dynamics of epigenetically imprinted memory CD4+ T cells</w:t>
      </w:r>
    </w:p>
    <w:p>
      <w:pPr>
        <w:spacing w:before="0" w:after="120"/>
      </w:pPr>
      <w:r>
        <w:rPr>
          <w:b/>
        </w:rPr>
        <w:t xml:space="preserve">Source: </w:t>
      </w:r>
      <w:r>
        <w:t>AAAS: Science Advances: Table of Contents</w:t>
      </w:r>
      <w:r>
        <w:t xml:space="preserve">    </w:t>
      </w:r>
      <w:r>
        <w:rPr>
          <w:b/>
        </w:rPr>
        <w:t xml:space="preserve">Pub date: </w:t>
      </w:r>
      <w:r>
        <w:t>2026-04-08 07:00:00+00:00</w:t>
      </w:r>
      <w:r>
        <w:t xml:space="preserve">    </w:t>
      </w:r>
      <w:r>
        <w:rPr>
          <w:b/>
        </w:rPr>
        <w:t xml:space="preserve">DOI: </w:t>
      </w:r>
      <w:hyperlink r:id="rId769">
        <w:r>
          <w:rPr>
            <w:color w:val="1155CC"/>
            <w:u w:val="single"/>
          </w:rPr>
          <w:t>10.1126/sciadv.adw1038</w:t>
        </w:r>
      </w:hyperlink>
    </w:p>
    <w:p>
      <w:pPr>
        <w:spacing w:before="0" w:after="120"/>
      </w:pPr>
      <w:r>
        <w:rPr>
          <w:b/>
        </w:rPr>
        <w:t xml:space="preserve">Notes: </w:t>
      </w:r>
      <w:r>
        <w:t>abstract_source=crossref</w:t>
      </w:r>
    </w:p>
    <w:p>
      <w:pPr>
        <w:spacing w:before="0" w:after="80" w:lineRule="auto" w:line="276"/>
      </w:pPr>
      <w:r>
        <w:rPr>
          <w:b/>
        </w:rPr>
        <w:t xml:space="preserve">摘要（ZH）: </w:t>
      </w:r>
      <w:r>
        <w:t>组织驻留记忆T细胞（T RM 细胞）驻留在非淋巴组织中，提供对抗病原体的第一道防线。T RM 细胞的一个子集可以从非淋巴组织进入循环系统。然而，循环T RM 细胞的功能后果和表观遗传印记的程度仍然未知。我们在此展示，在CD4 + T RM 细胞中，CD69-S1PR1轴控制组织驻留，中断该轴会导致肺CD4 + T RM 细胞的消失。一个亚群</w:t>
      </w:r>
    </w:p>
    <w:p>
      <w:pPr>
        <w:spacing w:before="0" w:after="200" w:lineRule="auto" w:line="276"/>
      </w:pPr>
      <w:r>
        <w:rPr>
          <w:b/>
        </w:rPr>
        <w:t xml:space="preserve">Abstract (EN): </w:t>
      </w:r>
      <w:r>
        <w:t>Tissue-resident memory T cells (T</w:t>
      </w:r>
      <w:r>
        <w:t xml:space="preserve"> </w:t>
      </w:r>
      <w:r>
        <w:t>RM</w:t>
      </w:r>
      <w:r>
        <w:t xml:space="preserve"> </w:t>
      </w:r>
      <w:r>
        <w:t>cells) reside in nonlymphoid tissues and provide the first line of defense against pathogens. A subset of T</w:t>
      </w:r>
      <w:r>
        <w:t xml:space="preserve"> </w:t>
      </w:r>
      <w:r>
        <w:t>RM</w:t>
      </w:r>
      <w:r>
        <w:t xml:space="preserve"> </w:t>
      </w:r>
      <w:r>
        <w:t>cells can egress from nonlymphoid tissues into the circulation. However, the functional consequences and the extent of epigenetic imprinting in recirculating T</w:t>
      </w:r>
      <w:r>
        <w:t xml:space="preserve"> </w:t>
      </w:r>
      <w:r>
        <w:t>RM</w:t>
      </w:r>
      <w:r>
        <w:t xml:space="preserve"> </w:t>
      </w:r>
      <w:r>
        <w:t>cells remain unknown. We herein demonstrate that in CD4</w:t>
      </w:r>
      <w:r>
        <w:t xml:space="preserve"> </w:t>
      </w:r>
      <w:r>
        <w:t>+</w:t>
      </w:r>
      <w:r>
        <w:t xml:space="preserve"> </w:t>
      </w:r>
      <w:r>
        <w:t>T</w:t>
      </w:r>
      <w:r>
        <w:t xml:space="preserve"> </w:t>
      </w:r>
      <w:r>
        <w:t>RM</w:t>
      </w:r>
      <w:r>
        <w:t xml:space="preserve"> </w:t>
      </w:r>
      <w:r>
        <w:t>cells, the CD69-S1PR1 axis controls tissue residency and that interrupting this axis results in ablation of lung CD4</w:t>
      </w:r>
      <w:r>
        <w:t xml:space="preserve"> </w:t>
      </w:r>
      <w:r>
        <w:t>+</w:t>
      </w:r>
      <w:r>
        <w:t xml:space="preserve"> </w:t>
      </w:r>
      <w:r>
        <w:t>T</w:t>
      </w:r>
      <w:r>
        <w:t xml:space="preserve"> </w:t>
      </w:r>
      <w:r>
        <w:t>RM</w:t>
      </w:r>
      <w:r>
        <w:t xml:space="preserve"> </w:t>
      </w:r>
      <w:r>
        <w:t>cells. A subpopulation of CD69</w:t>
      </w:r>
      <w:r>
        <w:t xml:space="preserve"> </w:t>
      </w:r>
      <w:r>
        <w:t>+</w:t>
      </w:r>
      <w:r>
        <w:t xml:space="preserve"> </w:t>
      </w:r>
      <w:r>
        <w:t>CD4</w:t>
      </w:r>
      <w:r>
        <w:t xml:space="preserve"> </w:t>
      </w:r>
      <w:r>
        <w:t>+</w:t>
      </w:r>
      <w:r>
        <w:t xml:space="preserve"> </w:t>
      </w:r>
      <w:r>
        <w:t>T</w:t>
      </w:r>
      <w:r>
        <w:t xml:space="preserve"> </w:t>
      </w:r>
      <w:r>
        <w:t>RM</w:t>
      </w:r>
      <w:r>
        <w:t xml:space="preserve"> </w:t>
      </w:r>
      <w:r>
        <w:t>cells reentered circulation via lymphatic vessels, where they epigenetically maintained the characteristics of T</w:t>
      </w:r>
      <w:r>
        <w:t xml:space="preserve"> </w:t>
      </w:r>
      <w:r>
        <w:t>RM</w:t>
      </w:r>
      <w:r>
        <w:t xml:space="preserve"> </w:t>
      </w:r>
      <w:r>
        <w:t>cells in both mice and humans. Circulating Ex-lung-T</w:t>
      </w:r>
      <w:r>
        <w:t xml:space="preserve"> </w:t>
      </w:r>
      <w:r>
        <w:t>RM</w:t>
      </w:r>
      <w:r>
        <w:t xml:space="preserve"> </w:t>
      </w:r>
      <w:r>
        <w:t>cells in mice caused enhanced skin inflammation compared to circulating memory cells. Furthermore, we identified GPR183 and CD161 as potential markers of Ex-T</w:t>
      </w:r>
      <w:r>
        <w:t xml:space="preserve"> </w:t>
      </w:r>
      <w:r>
        <w:t>RM</w:t>
      </w:r>
      <w:r>
        <w:t xml:space="preserve"> </w:t>
      </w:r>
      <w:r>
        <w:t>in human peripheral blood mononuclear cells. In chronic inflammatory diseases, the transposition of allergic inflammation to multiple tissues may therefore occur via recirculation of tissue-imprinted memory CD4</w:t>
      </w:r>
      <w:r>
        <w:t xml:space="preserve"> </w:t>
      </w:r>
      <w:r>
        <w:t>+</w:t>
      </w:r>
      <w:r>
        <w:t xml:space="preserve"> </w:t>
      </w:r>
      <w:r>
        <w:t>T cells.</w:t>
      </w:r>
    </w:p>
    <w:p>
      <w:pPr>
        <w:spacing w:before="120" w:after="120"/>
      </w:pPr>
      <w:r>
        <w:rPr>
          <w:sz w:val="18"/>
        </w:rPr>
        <w:t>——————————————————————————————————————————————————————————————————————</w:t>
      </w:r>
    </w:p>
    <w:p>
      <w:pPr>
        <w:spacing w:before="160" w:after="40" w:line="240" w:lineRule="auto"/>
      </w:pPr>
      <w:r>
        <w:rPr>
          <w:b/>
        </w:rPr>
        <w:t xml:space="preserve">[323] </w:t>
      </w:r>
      <w:hyperlink r:id="rId770">
        <w:r>
          <w:rPr>
            <w:color w:val="1155CC"/>
            <w:u w:val="single"/>
          </w:rPr>
          <w:t>由深俯冲板块中橄榄石的准扩散无剪切转变引发的断层</w:t>
        </w:r>
      </w:hyperlink>
    </w:p>
    <w:p>
      <w:pPr>
        <w:spacing w:before="0" w:after="80"/>
      </w:pPr>
      <w:r>
        <w:rPr>
          <w:i/>
          <w:sz w:val="20"/>
        </w:rPr>
        <w:t>EN: Faulting triggered by a quasi-diffusionless shear transition of olivine in deep subducted slabs</w:t>
      </w:r>
    </w:p>
    <w:p>
      <w:pPr>
        <w:spacing w:before="0" w:after="120"/>
      </w:pPr>
      <w:r>
        <w:rPr>
          <w:b/>
        </w:rPr>
        <w:t xml:space="preserve">Source: </w:t>
      </w:r>
      <w:r>
        <w:t>AAAS: Science Advances: Table of Contents</w:t>
      </w:r>
      <w:r>
        <w:t xml:space="preserve">    </w:t>
      </w:r>
      <w:r>
        <w:rPr>
          <w:b/>
        </w:rPr>
        <w:t xml:space="preserve">Pub date: </w:t>
      </w:r>
      <w:r>
        <w:t>2026-04-08 07:00:00+00:00</w:t>
      </w:r>
      <w:r>
        <w:t xml:space="preserve">    </w:t>
      </w:r>
      <w:r>
        <w:rPr>
          <w:b/>
        </w:rPr>
        <w:t xml:space="preserve">DOI: </w:t>
      </w:r>
      <w:hyperlink r:id="rId771">
        <w:r>
          <w:rPr>
            <w:color w:val="1155CC"/>
            <w:u w:val="single"/>
          </w:rPr>
          <w:t>10.1126/sciadv.adu5181</w:t>
        </w:r>
      </w:hyperlink>
    </w:p>
    <w:p>
      <w:pPr>
        <w:spacing w:before="0" w:after="120"/>
      </w:pPr>
      <w:r>
        <w:rPr>
          <w:b/>
        </w:rPr>
        <w:t xml:space="preserve">Notes: </w:t>
      </w:r>
      <w:r>
        <w:t>abstract_source=crossref</w:t>
      </w:r>
    </w:p>
    <w:p>
      <w:pPr>
        <w:spacing w:before="0" w:after="80" w:lineRule="auto" w:line="276"/>
      </w:pPr>
      <w:r>
        <w:rPr>
          <w:b/>
        </w:rPr>
        <w:t xml:space="preserve">摘要（ZH）: </w:t>
      </w:r>
      <w:r>
        <w:t>为了阐明在深部俯冲板块中由橄榄石-环状石过渡引发的断层过程，我们在15至20吉帕斯卡的压力和870至1320开尔文的温度下对地幔橄榄石进行了变形实验。由于剪切局部化到主要由弯曲橄榄石晶粒组成的“软”断层泥层，发生了贯穿性断层。在[010](100)滑移系上橄榄石晶粒的弯曲导致橄榄石通过具有[010] Ol // [010] Poi 和 [100] Ol // [101] Poi 关系的波伊尔石发生伪马氏体转变为环状石。通过释放大量潜热</w:t>
      </w:r>
    </w:p>
    <w:p>
      <w:pPr>
        <w:spacing w:before="0" w:after="200" w:lineRule="auto" w:line="276"/>
      </w:pPr>
      <w:r>
        <w:rPr>
          <w:b/>
        </w:rPr>
        <w:t xml:space="preserve">Abstract (EN): </w:t>
      </w:r>
      <w:r>
        <w:t>To clarify the process of faulting triggered by the olivine-ringwoodite transition in deep subducted slabs, we conducted deformation experiments on mantle olivine at pressures of 15 to 20 gigapascals and temperatures of 870 to 1320 kelvins. Throughgoing faulting occurred as a result of shear localization to “soft” gouge layers, which mainly consist of kinked olivine grains. Kinking of olivine grains on the [010](100) slip system resulted in a pseudo-martensitic transition of olivine to ringwoodite via poirierite having relationships of [010]</w:t>
      </w:r>
      <w:r>
        <w:t xml:space="preserve"> </w:t>
      </w:r>
      <w:r>
        <w:t>Ol</w:t>
      </w:r>
      <w:r>
        <w:t xml:space="preserve"> </w:t>
      </w:r>
      <w:r>
        <w:t>// [010]</w:t>
      </w:r>
      <w:r>
        <w:t xml:space="preserve"> </w:t>
      </w:r>
      <w:r>
        <w:t>Poi</w:t>
      </w:r>
      <w:r>
        <w:t xml:space="preserve"> </w:t>
      </w:r>
      <w:r>
        <w:t>and [100]</w:t>
      </w:r>
      <w:r>
        <w:t xml:space="preserve"> </w:t>
      </w:r>
      <w:r>
        <w:t>Ol</w:t>
      </w:r>
      <w:r>
        <w:t xml:space="preserve"> </w:t>
      </w:r>
      <w:r>
        <w:t>// [101]</w:t>
      </w:r>
      <w:r>
        <w:t xml:space="preserve"> </w:t>
      </w:r>
      <w:r>
        <w:t>Poi</w:t>
      </w:r>
      <w:r>
        <w:t xml:space="preserve"> </w:t>
      </w:r>
      <w:r>
        <w:t>. The release of a high amount of latent heat via the poirierite-ringwoodite transition can induce a significant weakening of the fault gouge, without the aid of grain size–sensitive creep, resulting in the occurrence of faulting. The observed pseudo-martensitic transition of olivine to ringwoodite, which can proceed even at room temperature under stress, explains the cause of high seismicity in bending regions of cold subducted slabs that consist of metastable olivine.</w:t>
      </w:r>
    </w:p>
    <w:p>
      <w:pPr>
        <w:spacing w:before="120" w:after="120"/>
      </w:pPr>
      <w:r>
        <w:rPr>
          <w:sz w:val="18"/>
        </w:rPr>
        <w:t>——————————————————————————————————————————————————————————————————————</w:t>
      </w:r>
    </w:p>
    <w:p>
      <w:pPr>
        <w:spacing w:before="160" w:after="40" w:line="240" w:lineRule="auto"/>
      </w:pPr>
      <w:r>
        <w:rPr>
          <w:b/>
        </w:rPr>
        <w:t xml:space="preserve">[324] </w:t>
      </w:r>
      <w:hyperlink r:id="rId772">
        <w:r>
          <w:rPr>
            <w:color w:val="1155CC"/>
            <w:u w:val="single"/>
          </w:rPr>
          <w:t>SLC13A2转运的柠檬酸通过蛋白质乙酰化重塑转录调控以抑制肿瘤生长</w:t>
        </w:r>
      </w:hyperlink>
    </w:p>
    <w:p>
      <w:pPr>
        <w:spacing w:before="0" w:after="80"/>
      </w:pPr>
      <w:r>
        <w:rPr>
          <w:i/>
          <w:sz w:val="20"/>
        </w:rPr>
        <w:t>EN: SLC13A2-transported citrate remodels transcriptional regulation through protein acetylation to suppress tumor growth</w:t>
      </w:r>
    </w:p>
    <w:p>
      <w:pPr>
        <w:spacing w:before="0" w:after="120"/>
      </w:pPr>
      <w:r>
        <w:rPr>
          <w:b/>
        </w:rPr>
        <w:t xml:space="preserve">Source: </w:t>
      </w:r>
      <w:r>
        <w:t>AAAS: Science Advances: Table of Contents</w:t>
      </w:r>
      <w:r>
        <w:t xml:space="preserve">    </w:t>
      </w:r>
      <w:r>
        <w:rPr>
          <w:b/>
        </w:rPr>
        <w:t xml:space="preserve">Pub date: </w:t>
      </w:r>
      <w:r>
        <w:t>2026-04-08 07:00:00+00:00</w:t>
      </w:r>
      <w:r>
        <w:t xml:space="preserve">    </w:t>
      </w:r>
      <w:r>
        <w:rPr>
          <w:b/>
        </w:rPr>
        <w:t xml:space="preserve">DOI: </w:t>
      </w:r>
      <w:hyperlink r:id="rId773">
        <w:r>
          <w:rPr>
            <w:color w:val="1155CC"/>
            <w:u w:val="single"/>
          </w:rPr>
          <w:t>10.1126/sciadv.aec4368</w:t>
        </w:r>
      </w:hyperlink>
    </w:p>
    <w:p>
      <w:pPr>
        <w:spacing w:before="0" w:after="120"/>
      </w:pPr>
      <w:r>
        <w:rPr>
          <w:b/>
        </w:rPr>
        <w:t xml:space="preserve">Notes: </w:t>
      </w:r>
      <w:r>
        <w:t>abstract_source=crossref</w:t>
      </w:r>
    </w:p>
    <w:p>
      <w:pPr>
        <w:spacing w:before="0" w:after="80" w:lineRule="auto" w:line="276"/>
      </w:pPr>
      <w:r>
        <w:rPr>
          <w:b/>
        </w:rPr>
        <w:t xml:space="preserve">摘要（ZH）: </w:t>
      </w:r>
      <w:r>
        <w:t>代谢重编程是癌症的标志，而三羧酸循环日益被认为是驱动肿瘤代谢和进展的多方面枢纽。对溶质载体（SLC）转运蛋白的综合分析显示，SLC13A2在肝细胞癌（HCC）细胞和来自人类患者和小鼠模型的肝组织中一致下调。腺相关病毒介导的肝特异性敲除或过表达SLC13A2（SLC13A2-OE）促进或改善HCC进展，表明其保护作用。SLC13A2通过抑制糖酵解、呼吸和腺苷5′-三磷酸的产生来减少线粒体功能，从而抑制HCC增殖。流量分析显示，SLC13A2导入柠檬酸以生成乙酰辅酶A用于丙酮酸激酶是</w:t>
      </w:r>
    </w:p>
    <w:p>
      <w:pPr>
        <w:spacing w:before="0" w:after="200" w:lineRule="auto" w:line="276"/>
      </w:pPr>
      <w:r>
        <w:rPr>
          <w:b/>
        </w:rPr>
        <w:t xml:space="preserve">Abstract (EN): </w:t>
      </w:r>
      <w:r>
        <w:t>Metabolic reprogramming is a hallmark of cancer, while tricarboxylic acid cycle is increasingly recognized as a multifaceted hub driving tumor metabolism and progression. Integrated analysis of solute carrier (SLC) transporters revealed consistent down-regulation of SLC13A2 in hepatocellular carcinoma (HCC) cells and liver tissues from human patients and mouse models. Adeno-associated virus–mediated liver-specific knockout or overexpression of SLC13A2 (SLC13A2-OE) promoted or ameliorated HCC progression, indicating its protective role. SLC13A2 inhibited HCC proliferation by decreasing mitochondrial function via suppressed glycolysis, respiration, and adenosine 5′-triphosphate production. Flux analysis showed that SLC13A2 imported citrate to generate acetyl–coenzyme A for pyruvate kinase isozyme type M2 acetylation, triggering its degradation. Reduced pyruvate kinase activity limited pyruvate supply, impairing amino acid synthesis and nucleotide metabolism. Moreover, SLC13A2-imported citrate induced intracellular protein acetylation, particularly histone proteins, which provided an epigenetic basis for transcriptional regulation and contributed to tumor suppression. Thus, SLC13A2 perturbs metabolic and transcriptional programs to suppress tumor growth, highlighting potential drug targets for HCC therapy.</w:t>
      </w:r>
    </w:p>
    <w:p>
      <w:pPr>
        <w:spacing w:before="120" w:after="120"/>
      </w:pPr>
      <w:r>
        <w:rPr>
          <w:sz w:val="18"/>
        </w:rPr>
        <w:t>——————————————————————————————————————————————————————————————————————</w:t>
      </w:r>
    </w:p>
    <w:p>
      <w:pPr>
        <w:spacing w:before="160" w:after="40" w:line="240" w:lineRule="auto"/>
      </w:pPr>
      <w:r>
        <w:rPr>
          <w:b/>
        </w:rPr>
        <w:t xml:space="preserve">[325] </w:t>
      </w:r>
      <w:hyperlink r:id="rId774">
        <w:r>
          <w:rPr>
            <w:color w:val="1155CC"/>
            <w:u w:val="single"/>
          </w:rPr>
          <w:t>夜间水合作用通过诱导藻红蛋白合成为沙漠蓝细菌的黎明光捕获做好准备</w:t>
        </w:r>
      </w:hyperlink>
    </w:p>
    <w:p>
      <w:pPr>
        <w:spacing w:before="0" w:after="80"/>
      </w:pPr>
      <w:r>
        <w:rPr>
          <w:i/>
          <w:sz w:val="20"/>
        </w:rPr>
        <w:t>EN: Nocturnal hydration prepares desert cyanobacteria for dawn-light harvesting by inducing phycoerythrin synthesis</w:t>
      </w:r>
    </w:p>
    <w:p>
      <w:pPr>
        <w:spacing w:before="0" w:after="120"/>
      </w:pPr>
      <w:r>
        <w:rPr>
          <w:b/>
        </w:rPr>
        <w:t xml:space="preserve">Source: </w:t>
      </w:r>
      <w:r>
        <w:t>Proceedings of the National Academy of Sciences: Keyword search for query</w:t>
      </w:r>
      <w:r>
        <w:t xml:space="preserve">    </w:t>
      </w:r>
      <w:r>
        <w:rPr>
          <w:b/>
        </w:rPr>
        <w:t xml:space="preserve">Pub date: </w:t>
      </w:r>
      <w:r>
        <w:t>2026-04-08 07:00:00+00:00</w:t>
      </w:r>
      <w:r>
        <w:t xml:space="preserve">    </w:t>
      </w:r>
      <w:r>
        <w:rPr>
          <w:b/>
        </w:rPr>
        <w:t xml:space="preserve">DOI: </w:t>
      </w:r>
      <w:hyperlink r:id="rId775">
        <w:r>
          <w:rPr>
            <w:color w:val="1155CC"/>
            <w:u w:val="single"/>
          </w:rPr>
          <w:t>10.1073/pnas.2601363123</w:t>
        </w:r>
      </w:hyperlink>
    </w:p>
    <w:p>
      <w:pPr>
        <w:spacing w:before="0" w:after="120"/>
      </w:pPr>
      <w:r>
        <w:rPr>
          <w:b/>
        </w:rPr>
        <w:t xml:space="preserve">Notes: </w:t>
      </w:r>
      <w:r>
        <w:t>abstract_source=crossref</w:t>
      </w:r>
    </w:p>
    <w:p>
      <w:pPr>
        <w:spacing w:before="0" w:after="80" w:lineRule="auto" w:line="276"/>
      </w:pPr>
      <w:r>
        <w:rPr>
          <w:b/>
        </w:rPr>
        <w:t xml:space="preserve">摘要（ZH）: </w:t>
      </w:r>
      <w:r>
        <w:t>作为全球干旱区的重要生态系统工程师，沙漠蓝藻调节生物地球化学循环并有助于干旱土壤的稳定。这些极端微生物经常利用夜间露水沉积恢复代谢，在短暂的黎明照明期间激活光合作用，然后恢复到日间静止状态。尽管藻胆体重塑是适应弱光条件下捕光的关键进化适应，但在水合/光重叠的狭窄窗口期间优化光捕获的分子机制仍不清楚。在此，我们表明参与藻红蛋白（PE）合成的基因主要由夜间再水合诱导，而不是光照暴露。我们确定SigB1是PE合成的一个重要调节因子，它与</w:t>
      </w:r>
    </w:p>
    <w:p>
      <w:pPr>
        <w:spacing w:before="0" w:after="200" w:lineRule="auto" w:line="276"/>
      </w:pPr>
      <w:r>
        <w:rPr>
          <w:b/>
        </w:rPr>
        <w:t xml:space="preserve">Abstract (EN): </w:t>
      </w:r>
      <w:r>
        <w:t>As crucial ecosystem engineers in global drylands, desert cyanobacteria regulate biogeochemical cycling and contribute to the stabilization of arid soils. These extremophiles frequently exploit nocturnal dew deposition to resume metabolism, activate photosynthesis during brief dawn illumination, and then return to diurnal quiescence. Although phycobilisome remodeling is a key evolutionary adaptation for light capture under dim conditions, the molecular mechanisms that optimize light harvesting during the narrow window of hydration/light overlap remain unclear. Here, we show that genes involved in phycoerythrin (PE) synthesis are induced primarily by nighttime rehydration, prior to light exposure. We identify SigB1 as an essential regulator of PE synthesis, where it functions in concert with the activator CpeR1. Deletion of</w:t>
      </w:r>
      <w:r>
        <w:t xml:space="preserve"> </w:t>
      </w:r>
      <w:r>
        <w:t>sigB1</w:t>
      </w:r>
      <w:r>
        <w:t xml:space="preserve"> </w:t>
      </w:r>
      <w:r>
        <w:t>disrupts PE production, thereby establishing its central role in this pathway. We further identify Hrr1 (hydration-responsive regulator 1) as an upstream transcription factor that is induced following nighttime water uptake and, in turn, activates</w:t>
      </w:r>
      <w:r>
        <w:t xml:space="preserve"> </w:t>
      </w:r>
      <w:r>
        <w:t>sigB1</w:t>
      </w:r>
      <w:r>
        <w:t xml:space="preserve"> </w:t>
      </w:r>
      <w:r>
        <w:t>and</w:t>
      </w:r>
      <w:r>
        <w:t xml:space="preserve"> </w:t>
      </w:r>
      <w:r>
        <w:t>cpeR1</w:t>
      </w:r>
      <w:r>
        <w:t xml:space="preserve"> </w:t>
      </w:r>
      <w:r>
        <w:t>, thereby initiating transcription of PE biosynthetic genes. Notably, we also find that SigB1 is regulated by the chromatic acclimation factor RcaF, which suppresses PE synthesis as weak dawn light emerges. Together, these findings reveal that nocturnal rehydration triggers an anticipatory transcriptional program that primes PE synthesis, enabling desert cyanobacteria to maximize light harvesting at dawn. More broadly, our results provide insight into how desiccation-tolerant photosynthetic organisms dynamically optimize their light-harvesting apparatus in response to transient environmental cues.</w:t>
      </w:r>
    </w:p>
    <w:p>
      <w:pPr>
        <w:spacing w:before="120" w:after="120"/>
      </w:pPr>
      <w:r>
        <w:rPr>
          <w:sz w:val="18"/>
        </w:rPr>
        <w:t>——————————————————————————————————————————————————————————————————————</w:t>
      </w:r>
    </w:p>
    <w:p>
      <w:pPr>
        <w:spacing w:before="160" w:after="40" w:line="240" w:lineRule="auto"/>
      </w:pPr>
      <w:r>
        <w:rPr>
          <w:b/>
        </w:rPr>
        <w:t xml:space="preserve">[326] </w:t>
      </w:r>
      <w:hyperlink r:id="rId776">
        <w:r>
          <w:rPr>
            <w:color w:val="1155CC"/>
            <w:u w:val="single"/>
          </w:rPr>
          <w:t>多巴胺D1和D2受体在灵长类动物前额叶皮层中差异性地控制抽象决策编码的强度和动态</w:t>
        </w:r>
      </w:hyperlink>
    </w:p>
    <w:p>
      <w:pPr>
        <w:spacing w:before="0" w:after="80"/>
      </w:pPr>
      <w:r>
        <w:rPr>
          <w:i/>
          <w:sz w:val="20"/>
        </w:rPr>
        <w:t>EN: Dopamine D1 and D2 receptors differentially control strength and dynamics of abstract decision codes in the primate prefrontal cortex</w:t>
      </w:r>
    </w:p>
    <w:p>
      <w:pPr>
        <w:spacing w:before="0" w:after="120"/>
      </w:pPr>
      <w:r>
        <w:rPr>
          <w:b/>
        </w:rPr>
        <w:t xml:space="preserve">Source: </w:t>
      </w:r>
      <w:r>
        <w:t>Proceedings of the National Academy of Sciences: Keyword search for query</w:t>
      </w:r>
      <w:r>
        <w:t xml:space="preserve">    </w:t>
      </w:r>
      <w:r>
        <w:rPr>
          <w:b/>
        </w:rPr>
        <w:t xml:space="preserve">Pub date: </w:t>
      </w:r>
      <w:r>
        <w:t>2026-04-08 07:00:00+00:00</w:t>
      </w:r>
      <w:r>
        <w:t xml:space="preserve">    </w:t>
      </w:r>
      <w:r>
        <w:rPr>
          <w:b/>
        </w:rPr>
        <w:t xml:space="preserve">DOI: </w:t>
      </w:r>
      <w:hyperlink r:id="rId777">
        <w:r>
          <w:rPr>
            <w:color w:val="1155CC"/>
            <w:u w:val="single"/>
          </w:rPr>
          <w:t>10.1073/pnas.2600210123</w:t>
        </w:r>
      </w:hyperlink>
    </w:p>
    <w:p>
      <w:pPr>
        <w:spacing w:before="0" w:after="120"/>
      </w:pPr>
      <w:r>
        <w:rPr>
          <w:b/>
        </w:rPr>
        <w:t xml:space="preserve">Notes: </w:t>
      </w:r>
      <w:r>
        <w:t>abstract_source=crossref</w:t>
      </w:r>
    </w:p>
    <w:p>
      <w:pPr>
        <w:spacing w:before="0" w:after="80" w:lineRule="auto" w:line="276"/>
      </w:pPr>
      <w:r>
        <w:rPr>
          <w:b/>
        </w:rPr>
        <w:t xml:space="preserve">摘要（ZH）: </w:t>
      </w:r>
      <w:r>
        <w:t>多巴胺对认知控制的前额叶回路具有关键调节作用，但D1型（D1R）和D2型（D2R）受体如何影响抽象决策编码尚不清楚。我们记录了两只猴子在执行数字比较任务时的单神经元活动，其中关于顺序呈现的点显示的抽象决策与运动反应分离，同时通过微离子电泳局部刺激D1R或D2R。D1R刺激抑制，而D2R刺激增强了个体神经元的决策编码强度，这些效应在解码准确性上在群体水平上得到了反映。有趣的是，多巴胺受体还双向调节了群体活动的时间结构：D1R刺激减少了神经元决策的时间可</w:t>
      </w:r>
    </w:p>
    <w:p>
      <w:pPr>
        <w:spacing w:before="0" w:after="200" w:lineRule="auto" w:line="276"/>
      </w:pPr>
      <w:r>
        <w:rPr>
          <w:b/>
        </w:rPr>
        <w:t xml:space="preserve">Abstract (EN): </w:t>
      </w:r>
      <w:r>
        <w:t>Dopamine critically modulates prefrontal circuits underlying cognitive control, but how D1-type (D1R) and D2-type (D2R) receptors influence abstract decision coding is unclear. We recorded single-neuron activity in two monkeys performing a number comparison task, in which abstract decisions about sequentially presented dot displays were dissociated from motor responses, while locally stimulating D1R or D2R via microiontophoresis. D1R stimulation suppressed, whereas D2R stimulation enhanced, the decision-coding strength of individual neurons, effects mirrored at the population level in decoding accuracy. Interestingly, dopamine receptors also bidirectionally modulated the temporal structure of population activity: D1R stimulation reduced the temporal generalizability of neuronal decision selectivity, suggesting more transient tuning and a shift toward a more dynamic coding regime. Conversely, D2R stimulation increased temporal generalizability of decision selectivity, implying more sustained tuning and a shift toward a more static coding regime. These findings suggest that D1- and D2-mediated mechanisms in the prefrontal cortex provide a receptor-specific substrate for balancing cognitive flexibility and stability in abstract decision-making. This pattern may reflect task-dependent deviations from classical dual-state models, in which D1 receptor activity stabilizes working memory representations whereas D2 receptor activity supports flexible coding—a relationship that appears reversed in the context of abstract decision formation.</w:t>
      </w:r>
    </w:p>
    <w:p>
      <w:pPr>
        <w:spacing w:before="120" w:after="120"/>
      </w:pPr>
      <w:r>
        <w:rPr>
          <w:sz w:val="18"/>
        </w:rPr>
        <w:t>——————————————————————————————————————————————————————————————————————</w:t>
      </w:r>
    </w:p>
    <w:p>
      <w:pPr>
        <w:spacing w:before="160" w:after="40" w:line="240" w:lineRule="auto"/>
      </w:pPr>
      <w:r>
        <w:rPr>
          <w:b/>
        </w:rPr>
        <w:t xml:space="preserve">[327] </w:t>
      </w:r>
      <w:hyperlink r:id="rId778">
        <w:r>
          <w:rPr>
            <w:color w:val="1155CC"/>
            <w:u w:val="single"/>
          </w:rPr>
          <w:t>骨骼肌中FoxO的缺失导致肌肉代谢紊乱并加剧饥饿诱导的肝脂肪变性</w:t>
        </w:r>
      </w:hyperlink>
    </w:p>
    <w:p>
      <w:pPr>
        <w:spacing w:before="0" w:after="80"/>
      </w:pPr>
      <w:r>
        <w:rPr>
          <w:i/>
          <w:sz w:val="20"/>
        </w:rPr>
        <w:t>EN: Loss of FoxO in skeletal muscle leads to disrupted muscle metabolism and exacerbates starvation-induced hepatic steatosis</w:t>
      </w:r>
    </w:p>
    <w:p>
      <w:pPr>
        <w:spacing w:before="0" w:after="120"/>
      </w:pPr>
      <w:r>
        <w:rPr>
          <w:b/>
        </w:rPr>
        <w:t xml:space="preserve">Source: </w:t>
      </w:r>
      <w:r>
        <w:t>Proceedings of the National Academy of Sciences: Keyword search for query</w:t>
      </w:r>
      <w:r>
        <w:t xml:space="preserve">    </w:t>
      </w:r>
      <w:r>
        <w:rPr>
          <w:b/>
        </w:rPr>
        <w:t xml:space="preserve">Pub date: </w:t>
      </w:r>
      <w:r>
        <w:t>2026-04-08 07:00:00+00:00</w:t>
      </w:r>
      <w:r>
        <w:t xml:space="preserve">    </w:t>
      </w:r>
      <w:r>
        <w:rPr>
          <w:b/>
        </w:rPr>
        <w:t xml:space="preserve">DOI: </w:t>
      </w:r>
      <w:hyperlink r:id="rId779">
        <w:r>
          <w:rPr>
            <w:color w:val="1155CC"/>
            <w:u w:val="single"/>
          </w:rPr>
          <w:t>10.1073/pnas.2600036123</w:t>
        </w:r>
      </w:hyperlink>
    </w:p>
    <w:p>
      <w:pPr>
        <w:spacing w:before="0" w:after="120"/>
      </w:pPr>
      <w:r>
        <w:rPr>
          <w:b/>
        </w:rPr>
        <w:t xml:space="preserve">Notes: </w:t>
      </w:r>
      <w:r>
        <w:t>abstract_source=crossref</w:t>
      </w:r>
    </w:p>
    <w:p>
      <w:pPr>
        <w:spacing w:before="0" w:after="80" w:lineRule="auto" w:line="276"/>
      </w:pPr>
      <w:r>
        <w:rPr>
          <w:b/>
        </w:rPr>
        <w:t xml:space="preserve">摘要（ZH）: </w:t>
      </w:r>
      <w:r>
        <w:t>全球多达三分之一的人口受到代谢功能障碍相关脂肪肝病的影响，肝脏中甘油三酯过度积累。长期禁食通过脂肪组织中过量游离脂肪酸的流入迅速导致肝脂肪变性。然而，目前尚不清楚骨骼肌是否参与饥饿期间肝脂肪变性的病因。在此，我们展示了通过FoxO转录因子在肝脏和骨骼肌之间的关键联系。在长期禁食期间，尽管防止了骨骼肌消耗，但在骨骼肌特异性FoxO缺陷小鼠（mFoxO1,3,4</w:t>
      </w:r>
      <w:r>
        <w:t xml:space="preserve"> </w:t>
      </w:r>
      <w:r>
        <w:t>−/−</w:t>
      </w:r>
      <w:r>
        <w:t>）中，肝脂肪变性加剧，这表明骨骼肌FoxOs在能量匮乏期间防止肝脂肪变性</w:t>
      </w:r>
    </w:p>
    <w:p>
      <w:pPr>
        <w:spacing w:before="0" w:after="200" w:lineRule="auto" w:line="276"/>
      </w:pPr>
      <w:r>
        <w:rPr>
          <w:b/>
        </w:rPr>
        <w:t xml:space="preserve">Abstract (EN): </w:t>
      </w:r>
      <w:r>
        <w:t>Up to a third of the global population is afflicted by metabolic dysfunction-associated steatotic liver disease with excessive triglyceride accumulation in the liver. Prolonged fasting rapidly causes hepatic steatosis via excessive influx of free fatty acids from adipose tissue. However, it is unclear whether skeletal muscle is involved in the etiology of hepatic steatosis during starvation. Here, we demonstrate a critical connection between the liver and skeletal muscle via FoxO transcription factors. During prolonged fasting, hepatic steatosis was exacerbated in skeletal muscle–specific FoxO-deficient mice (mFoxO1,3,4</w:t>
      </w:r>
      <w:r>
        <w:t xml:space="preserve"> </w:t>
      </w:r>
      <w:r>
        <w:t>−/−</w:t>
      </w:r>
      <w:r>
        <w:t>) despite preventing skeletal muscle wasting, suggesting that skeletal muscle FoxOs prevent hepatic steatosis during energy deprivation. FoxO deficiency in skeletal muscle weakened fatty acid oxidation and induced abnormal glycogen accumulation in skeletal muscle during fasting. Mechanistically, the starvation-induced transcriptional regulation of triglyceride lipase was attenuated in skeletal muscle of FoxO-deficient mice. Conversely, skeletal muscle–specific FOXO1 overexpression was sufficient to increase triglyceride lipase in vivo and protected the liver from Western diet–induced metabolic dysfunction–associated steatohepatitis-like phenotype. Taken together, our results demonstrate the physiological importance of skeletal muscle FoxO signaling on the liver pathophysiology.</w:t>
      </w:r>
    </w:p>
    <w:p>
      <w:pPr>
        <w:spacing w:before="120" w:after="120"/>
      </w:pPr>
      <w:r>
        <w:rPr>
          <w:sz w:val="18"/>
        </w:rPr>
        <w:t>——————————————————————————————————————————————————————————————————————</w:t>
      </w:r>
    </w:p>
    <w:p>
      <w:pPr>
        <w:spacing w:before="160" w:after="40" w:line="240" w:lineRule="auto"/>
      </w:pPr>
      <w:r>
        <w:rPr>
          <w:b/>
        </w:rPr>
        <w:t xml:space="preserve">[328] </w:t>
      </w:r>
      <w:hyperlink r:id="rId780">
        <w:r>
          <w:rPr>
            <w:color w:val="1155CC"/>
            <w:u w:val="single"/>
          </w:rPr>
          <w:t>SARS-CoV-2和MERS-CoV通过nsp1破坏宿主蛋白质合成，对综合应激反应产生不同影响</w:t>
        </w:r>
      </w:hyperlink>
    </w:p>
    <w:p>
      <w:pPr>
        <w:spacing w:before="0" w:after="80"/>
      </w:pPr>
      <w:r>
        <w:rPr>
          <w:i/>
          <w:sz w:val="20"/>
        </w:rPr>
        <w:t>EN: SARS-CoV-2 and MERS-CoV disrupt host protein synthesis via nsp1 with differential effects on the integrated stress response</w:t>
      </w:r>
    </w:p>
    <w:p>
      <w:pPr>
        <w:spacing w:before="0" w:after="120"/>
      </w:pPr>
      <w:r>
        <w:rPr>
          <w:b/>
        </w:rPr>
        <w:t xml:space="preserve">Source: </w:t>
      </w:r>
      <w:r>
        <w:t>Proceedings of the National Academy of Sciences: Keyword search for query</w:t>
      </w:r>
      <w:r>
        <w:t xml:space="preserve">    </w:t>
      </w:r>
      <w:r>
        <w:rPr>
          <w:b/>
        </w:rPr>
        <w:t xml:space="preserve">Pub date: </w:t>
      </w:r>
      <w:r>
        <w:t>2026-04-08 07:00:00+00:00</w:t>
      </w:r>
      <w:r>
        <w:t xml:space="preserve">    </w:t>
      </w:r>
      <w:r>
        <w:rPr>
          <w:b/>
        </w:rPr>
        <w:t xml:space="preserve">DOI: </w:t>
      </w:r>
      <w:hyperlink r:id="rId781">
        <w:r>
          <w:rPr>
            <w:color w:val="1155CC"/>
            <w:u w:val="single"/>
          </w:rPr>
          <w:t>10.1073/pnas.2536296123</w:t>
        </w:r>
      </w:hyperlink>
    </w:p>
    <w:p>
      <w:pPr>
        <w:spacing w:before="0" w:after="120"/>
      </w:pPr>
      <w:r>
        <w:rPr>
          <w:b/>
        </w:rPr>
        <w:t xml:space="preserve">Notes: </w:t>
      </w:r>
      <w:r>
        <w:t>abstract_source=crossref</w:t>
      </w:r>
    </w:p>
    <w:p>
      <w:pPr>
        <w:spacing w:before="0" w:after="80" w:lineRule="auto" w:line="276"/>
      </w:pPr>
      <w:r>
        <w:rPr>
          <w:b/>
        </w:rPr>
        <w:t xml:space="preserve">摘要（ZH）: </w:t>
      </w:r>
      <w:r>
        <w:t>冠状病毒对公共健康构成严重威胁，推动了抗病毒治疗和疫苗的需求。因此，了解这一病毒家族如何逃避细胞抗病毒反应并建立有效感染至关重要。已知保守的冠状病毒非结构蛋白1（nsp1）能够抑制宿主蛋白合成，并在某些冠状病毒中促进宿主信使RNA（mRNA）降解，而病毒mRNA则受到保护。我们之前显示，严重急性呼吸综合征冠状病毒-2（SARS-CoV-2）诱导宿主整合应激反应（ISR）激酶蛋白激酶R（PKR）和PKR样内质网激酶（PERK）的激活，这促进了真核起始因子2（eIF2α）的磷酸化，从而抑制宿主</w:t>
      </w:r>
    </w:p>
    <w:p>
      <w:pPr>
        <w:spacing w:before="0" w:after="200" w:lineRule="auto" w:line="276"/>
      </w:pPr>
      <w:r>
        <w:rPr>
          <w:b/>
        </w:rPr>
        <w:t xml:space="preserve">Abstract (EN): </w:t>
      </w:r>
      <w:r>
        <w:t>Coronaviruses pose a serious threat to public health, driving the need for antiviral therapeutics and vaccines. Therefore, it is paramount to understand how this family of viruses evades cellular antiviral responses and establishes productive infection. The conserved coronavirus nonstructural protein 1 (nsp1) has been shown to inhibit host protein synthesis and, in some coronaviruses, promote host messenger RNA (mRNA) degradation while viral mRNAs are protected. We showed previously that severe acute respiratory syndrome coronavirus-2 (SARS-CoV-2) induces activation of host integrated stress response (ISR) kinases protein kinase R (PKR) and PKR-like endoplasmic reticulum kinase (PERK), which promote phosphorylation of eukaryotic initiation factor 2 (eIF2α) and consequent inhibition of host protein synthesis. In contrast, eIF2α remains unphosphorylated during Middle East respiratory syndrome coronavirus (MERS-CoV) infection. To investigate the interactions of nsp1 and the ISR kinases, we utilized recombinant SARS-CoV-2 and MERS-CoV expressing nsp1 with mutations in each of two conserved domains. Upon infection with SARS-CoV-2 nsp1 mutants, translation was shut down in wildtype (WT) and PKR knockout (KO) cells but rescued in PERK KO cells, likely due to reduced p-eIF2α. In contrast, translation was rescued during infection with the analogous MERS-CoV nsp1 mutants even in WT cells. Moreover, SARS-CoV-2 WT suppressed expression of GADD34, a negative regulator of eIF2α phosphorylation, while SARS-CoV-2 nsp1 mutants induced GADD34. In contrast, MERS-CoV WT induced GADD34. Utilizing single-molecule fluorescence in situ hybridization, we found that SARS-CoV-2 and MERS-CoV nsp1 promote host mRNA degradation during WT, but not nsp1 mutant, infection. Thus, SARS-CoV-2 and MERS-CoV differ in interactions with the ISR and nsp1 control of host protein synthesis.</w:t>
      </w:r>
    </w:p>
    <w:p>
      <w:pPr>
        <w:spacing w:before="120" w:after="120"/>
      </w:pPr>
      <w:r>
        <w:rPr>
          <w:sz w:val="18"/>
        </w:rPr>
        <w:t>——————————————————————————————————————————————————————————————————————</w:t>
      </w:r>
    </w:p>
    <w:p>
      <w:pPr>
        <w:spacing w:before="160" w:after="40" w:line="240" w:lineRule="auto"/>
      </w:pPr>
      <w:r>
        <w:rPr>
          <w:b/>
        </w:rPr>
        <w:t xml:space="preserve">[329] </w:t>
      </w:r>
      <w:hyperlink r:id="rId782">
        <w:r>
          <w:rPr>
            <w:color w:val="1155CC"/>
            <w:u w:val="single"/>
          </w:rPr>
          <w:t>一种可扩展的胚胎干细胞平台，用于高效生成线粒体DNA突变小鼠</w:t>
        </w:r>
      </w:hyperlink>
    </w:p>
    <w:p>
      <w:pPr>
        <w:spacing w:before="0" w:after="80"/>
      </w:pPr>
      <w:r>
        <w:rPr>
          <w:i/>
          <w:sz w:val="20"/>
        </w:rPr>
        <w:t>EN: A scalable embryonic stem cell–based platform for efficient generation of mitochondrial DNA mutant mice</w:t>
      </w:r>
    </w:p>
    <w:p>
      <w:pPr>
        <w:spacing w:before="0" w:after="120"/>
      </w:pPr>
      <w:r>
        <w:rPr>
          <w:b/>
        </w:rPr>
        <w:t xml:space="preserve">Source: </w:t>
      </w:r>
      <w:r>
        <w:t>Proceedings of the National Academy of Sciences: Keyword search for query</w:t>
      </w:r>
      <w:r>
        <w:t xml:space="preserve">    </w:t>
      </w:r>
      <w:r>
        <w:rPr>
          <w:b/>
        </w:rPr>
        <w:t xml:space="preserve">Pub date: </w:t>
      </w:r>
      <w:r>
        <w:t>2026-04-08 07:00:00+00:00</w:t>
      </w:r>
      <w:r>
        <w:t xml:space="preserve">    </w:t>
      </w:r>
      <w:r>
        <w:rPr>
          <w:b/>
        </w:rPr>
        <w:t xml:space="preserve">DOI: </w:t>
      </w:r>
      <w:hyperlink r:id="rId783">
        <w:r>
          <w:rPr>
            <w:color w:val="1155CC"/>
            <w:u w:val="single"/>
          </w:rPr>
          <w:t>10.1073/pnas.2535453123</w:t>
        </w:r>
      </w:hyperlink>
    </w:p>
    <w:p>
      <w:pPr>
        <w:spacing w:before="0" w:after="120"/>
      </w:pPr>
      <w:r>
        <w:rPr>
          <w:b/>
        </w:rPr>
        <w:t xml:space="preserve">Notes: </w:t>
      </w:r>
      <w:r>
        <w:t>abstract_source=crossref</w:t>
      </w:r>
    </w:p>
    <w:p>
      <w:pPr>
        <w:spacing w:before="0" w:after="80" w:lineRule="auto" w:line="276"/>
      </w:pPr>
      <w:r>
        <w:rPr>
          <w:b/>
        </w:rPr>
        <w:t xml:space="preserve">摘要（ZH）: </w:t>
      </w:r>
      <w:r>
        <w:t>线粒体在能量代谢和细胞信号传导中起核心作用，线粒体DNA（mtDNA）中的突变可能破坏这些过程并导致人类疾病。然而，定义mtDNA变异如何影响适应性、病理生理学和疾病易感性的进展受到缺乏合适动物模型的限制。尽管最近的碱基编辑方法可以直接修改mtDNA，但其低效率限制了反映人类mtDNA变异的多样模型的生成。在此，我们开发了一种可扩展的胚胎干细胞（ES）平台，用于高效生产mtDNA突变小鼠。使用易错mtDNA聚合酶的随机诱变产生了广泛的mtDNA突变谱，这些突变通过多重融合体转移到ES细胞中</w:t>
      </w:r>
    </w:p>
    <w:p>
      <w:pPr>
        <w:spacing w:before="0" w:after="200" w:lineRule="auto" w:line="276"/>
      </w:pPr>
      <w:r>
        <w:rPr>
          <w:b/>
        </w:rPr>
        <w:t xml:space="preserve">Abstract (EN): </w:t>
      </w:r>
      <w:r>
        <w:t>Mitochondria are central to energy metabolism and cellular signaling, and mutations in mitochondrial DNA (mtDNA) can disrupt these processes and contribute to human disease. However, progress in defining how mtDNA variation influences adaptation, pathophysiology, and disease susceptibility has been limited by the lack of suitable animal models. Although recent base-editing approaches enable direct mtDNA modification, their low efficiency restricts the generation of diverse models reflecting human mtDNA variation. Here, we develop a scalable embryonic stem (ES) cell–based platform for efficient production of mtDNA mutant mice. Random mutagenesis using an error-prone mtDNA polymerase generates a broad spectrum of mtDNA mutations, which are transferred into ES cells via a multiplexed cybrid fusion strategy coupled with sensitive mutation detection. Optimized ES cell–embryo aggregation enables robust contribution of mtDNA mutant ES cells to host embryos, producing chimeric mice with germline transmission. Using this platform, we generate a library of 155 donor fibroblast lines carrying distinct homoplasmic single-nucleotide mtDNA mutations that produce diverse mitochondrial phenotypes, including impaired oxidative phosphorylation, increased reactive oxygen species, and altered mitochondrial membrane potential. We further generate 34 female C57BL/6 ES cell lines harboring 18 mtDNA mutations across a range of heteroplasmy levels, yielding multiple chimeric mice and achieving germline transmission for one mutation. These data reveal a strong correlation between mitochondrial function and early embryonic development, suggesting a minimal energetic threshold required for normal development. This scalable resource enables systematic investigation of mtDNA variation in physiology, adaptation, disease mechanisms, and therapeutic development.</w:t>
      </w:r>
    </w:p>
    <w:p>
      <w:pPr>
        <w:spacing w:before="120" w:after="120"/>
      </w:pPr>
      <w:r>
        <w:rPr>
          <w:sz w:val="18"/>
        </w:rPr>
        <w:t>——————————————————————————————————————————————————————————————————————</w:t>
      </w:r>
    </w:p>
    <w:p>
      <w:pPr>
        <w:spacing w:before="160" w:after="40" w:line="240" w:lineRule="auto"/>
      </w:pPr>
      <w:r>
        <w:rPr>
          <w:b/>
        </w:rPr>
        <w:t xml:space="preserve">[330] </w:t>
      </w:r>
      <w:hyperlink r:id="rId784">
        <w:r>
          <w:rPr>
            <w:color w:val="1155CC"/>
            <w:u w:val="single"/>
          </w:rPr>
          <w:t>肺神经内分泌细胞来源的外泌体调节肺神经元中的铁稳态和氧化应激</w:t>
        </w:r>
      </w:hyperlink>
    </w:p>
    <w:p>
      <w:pPr>
        <w:spacing w:before="0" w:after="80"/>
      </w:pPr>
      <w:r>
        <w:rPr>
          <w:i/>
          <w:sz w:val="20"/>
        </w:rPr>
        <w:t>EN: Pulmonary neuroendocrine cell–derived exosomes regulate iron homeostasis and oxidative stress in lung neurons</w:t>
      </w:r>
    </w:p>
    <w:p>
      <w:pPr>
        <w:spacing w:before="0" w:after="120"/>
      </w:pPr>
      <w:r>
        <w:rPr>
          <w:b/>
        </w:rPr>
        <w:t xml:space="preserve">Source: </w:t>
      </w:r>
      <w:r>
        <w:t>AAAS: Science Advances: Table of Contents</w:t>
      </w:r>
      <w:r>
        <w:t xml:space="preserve">    </w:t>
      </w:r>
      <w:r>
        <w:rPr>
          <w:b/>
        </w:rPr>
        <w:t xml:space="preserve">Pub date: </w:t>
      </w:r>
      <w:r>
        <w:t>2026-04-08 07:00:00+00:00</w:t>
      </w:r>
      <w:r>
        <w:t xml:space="preserve">    </w:t>
      </w:r>
      <w:r>
        <w:rPr>
          <w:b/>
        </w:rPr>
        <w:t xml:space="preserve">DOI: </w:t>
      </w:r>
      <w:hyperlink r:id="rId785">
        <w:r>
          <w:rPr>
            <w:color w:val="1155CC"/>
            <w:u w:val="single"/>
          </w:rPr>
          <w:t>10.1126/sciadv.ady2696</w:t>
        </w:r>
      </w:hyperlink>
    </w:p>
    <w:p>
      <w:pPr>
        <w:spacing w:before="0" w:after="120"/>
      </w:pPr>
      <w:r>
        <w:rPr>
          <w:b/>
        </w:rPr>
        <w:t xml:space="preserve">Notes: </w:t>
      </w:r>
      <w:r>
        <w:t>abstract_source=crossref</w:t>
      </w:r>
    </w:p>
    <w:p>
      <w:pPr>
        <w:spacing w:before="0" w:after="80" w:lineRule="auto" w:line="276"/>
      </w:pPr>
      <w:r>
        <w:rPr>
          <w:b/>
        </w:rPr>
        <w:t xml:space="preserve">摘要（ZH）: </w:t>
      </w:r>
      <w:r>
        <w:t>尼古丁是香烟的主要成瘾成分，与认知衰退和神经退行性改变有关，可能通过氧化应激和神经元中铁调节受损。然而，潜在的分子途径尚不清楚。本研究检查了肺神经内分泌细胞（PNECs）在烟雾诱导的神经变化中的作用。使用人类多能干细胞，我们生成了诱导的PNECs（iPNECs）以克服培养限制并进行机制分析。我们发现，尼古丁暴露刺激iPNECs分泌富含转铁蛋白的外泌体，这是一种铁结合糖蛋白。内化这些外泌体的神经元显示出转铁蛋白受体1（TFR1）、二价金属转运蛋白1和十二指肠细胞色素b水平升高，与铁蛋白相关</w:t>
      </w:r>
    </w:p>
    <w:p>
      <w:pPr>
        <w:spacing w:before="0" w:after="200" w:lineRule="auto" w:line="276"/>
      </w:pPr>
      <w:r>
        <w:rPr>
          <w:b/>
        </w:rPr>
        <w:t xml:space="preserve">Abstract (EN): </w:t>
      </w:r>
      <w:r>
        <w:t>Nicotine, the principal addictive component of cigarettes, is linked to cognitive decline and neurodegenerative alterations, likely through oxidative stress and impaired iron regulation in neurons. Yet, underlying molecular pathways remain unclear. This study examined the role of pulmonary neuroendocrine cells (PNECs) in smoke-induced neural changes. Using human pluripotent stem cells, we generated induced PNECs (iPNECs) to overcome culture limitations and performed mechanistic analyses. We found that nicotine exposure stimulates iPNECs to secrete exosomes enriched with serotransferrin, an iron-binding glycoprotein. Neurons internalizing these exosomes displayed elevated levels of transferrin receptor 1 (TFR1), divalent metal transporter 1, and duodenal cytochrome b, associated with ferritin accumulation, oxidative stress, and adenosine triphosphate depletion. Inhibition of TFR1 alleviated these effects. Furthermore, nicotine-triggered exosomes increased α-synuclein expression in neurons in a manner consistent with stress- and vulnerability-associated signatures observed in human lungs and nicotine-exposed mice, highlighting PNEC-derived exosomal signaling that may contribute to neuronal dysfunction.</w:t>
      </w:r>
    </w:p>
    <w:p>
      <w:pPr>
        <w:spacing w:before="120" w:after="120"/>
      </w:pPr>
      <w:r>
        <w:rPr>
          <w:sz w:val="18"/>
        </w:rPr>
        <w:t>——————————————————————————————————————————————————————————————————————</w:t>
      </w:r>
    </w:p>
    <w:p>
      <w:pPr>
        <w:spacing w:before="160" w:after="40" w:line="240" w:lineRule="auto"/>
      </w:pPr>
      <w:r>
        <w:rPr>
          <w:b/>
        </w:rPr>
        <w:t xml:space="preserve">[331] </w:t>
      </w:r>
      <w:hyperlink r:id="rId786">
        <w:r>
          <w:rPr>
            <w:color w:val="1155CC"/>
            <w:u w:val="single"/>
          </w:rPr>
          <w:t>中国的人口红利已从基于年龄的劳动力供给转向基于技能的生产力</w:t>
        </w:r>
      </w:hyperlink>
    </w:p>
    <w:p>
      <w:pPr>
        <w:spacing w:before="0" w:after="80"/>
      </w:pPr>
      <w:r>
        <w:rPr>
          <w:i/>
          <w:sz w:val="20"/>
        </w:rPr>
        <w:t>EN: China’s demographic dividend has moved from age-based labor supply to skill-based productivity</w:t>
      </w:r>
    </w:p>
    <w:p>
      <w:pPr>
        <w:spacing w:before="0" w:after="120"/>
      </w:pPr>
      <w:r>
        <w:rPr>
          <w:b/>
        </w:rPr>
        <w:t xml:space="preserve">Source: </w:t>
      </w:r>
      <w:r>
        <w:t>Proceedings of the National Academy of Sciences: Keyword search for query</w:t>
      </w:r>
      <w:r>
        <w:t xml:space="preserve">    </w:t>
      </w:r>
      <w:r>
        <w:rPr>
          <w:b/>
        </w:rPr>
        <w:t xml:space="preserve">Pub date: </w:t>
      </w:r>
      <w:r>
        <w:t>2026-04-08 07:00:00+00:00</w:t>
      </w:r>
      <w:r>
        <w:t xml:space="preserve">    </w:t>
      </w:r>
      <w:r>
        <w:rPr>
          <w:b/>
        </w:rPr>
        <w:t xml:space="preserve">DOI: </w:t>
      </w:r>
      <w:hyperlink r:id="rId787">
        <w:r>
          <w:rPr>
            <w:color w:val="1155CC"/>
            <w:u w:val="single"/>
          </w:rPr>
          <w:t>10.1073/pnas.2532906123</w:t>
        </w:r>
      </w:hyperlink>
    </w:p>
    <w:p>
      <w:pPr>
        <w:spacing w:before="0" w:after="120"/>
      </w:pPr>
      <w:r>
        <w:rPr>
          <w:b/>
        </w:rPr>
        <w:t xml:space="preserve">Notes: </w:t>
      </w:r>
      <w:r>
        <w:t>abstract_source=crossref</w:t>
      </w:r>
    </w:p>
    <w:p>
      <w:pPr>
        <w:spacing w:before="0" w:after="80" w:lineRule="auto" w:line="276"/>
      </w:pPr>
      <w:r>
        <w:rPr>
          <w:b/>
        </w:rPr>
        <w:t xml:space="preserve">摘要（ZH）: </w:t>
      </w:r>
      <w:r>
        <w:t>加速的全球人口老龄化挑战了传统的经济增长路径。然而，从基于年龄的人口红利（源于有利的年龄支持比，ASR）向基于技能的红利（由人力资本积累驱动）的过渡机制仍然理解不足。利用2000年至2020年间336个中国城市的人口普查数据，我们开发了一个基于任务的技能比率（TSR）指数，以量化当地劳动力市场的技能构成，捕捉城市级就业结构中高技能和低技能任务的相对强度。我们识别出一种分歧趋势，即ASR在2010年左右达到峰值后开始下降，而TSR则持续上升并在地理上扩散。我们进一步研究了ASR和TSR之间的协同效应。</w:t>
      </w:r>
    </w:p>
    <w:p>
      <w:pPr>
        <w:spacing w:before="0" w:after="200" w:lineRule="auto" w:line="276"/>
      </w:pPr>
      <w:r>
        <w:rPr>
          <w:b/>
        </w:rPr>
        <w:t xml:space="preserve">Abstract (EN): </w:t>
      </w:r>
      <w:r>
        <w:t>Accelerated global population aging challenges conventional economic growth paths. Yet, the mechanisms underlying the transition from the age-based demographic dividend, derived from a favorable age support ratio (ASR), to a skill-based dividend, driven by human capital accumulation, remain insufficiently understood. Using population census data for 336 Chinese cities from 2000 to 2020, we develop a task-based skill ratio (TSR) index to quantify the skill composition of local labor markets, capturing the relative intensity of high- and low-skill tasks within city-level employment structures. We identify a divergence trend where the ASR peaked around 2010 and has since declined, while the TSR has continued to rise and diffuse geographically. We further examine a synergistic effect between ASR and TSR on economic growth and project the compensatory TSR required under alternative demographic scenarios to 2100. It shows that both ASR and TSR positively affect the per capita GDP of a city, but the latter plays a dominant role. A higher ASR amplifies the economic returns to TSR, with the old-age support ratio (OSR) as the binding constraint. Projections indicate that delayed retirement can partly alleviate the effects of the ASR decline, but cannot reverse the long-term trend. Continued improvement in the TSR is therefore necessary to offset this structural demographic shift. Economic growth relies less on favorable age structures and increasingly depends on the skill composition of the workforce, making skill upgrading central to sustained prosperity.</w:t>
      </w:r>
    </w:p>
    <w:p>
      <w:pPr>
        <w:spacing w:before="120" w:after="120"/>
      </w:pPr>
      <w:r>
        <w:rPr>
          <w:sz w:val="18"/>
        </w:rPr>
        <w:t>——————————————————————————————————————————————————————————————————————</w:t>
      </w:r>
    </w:p>
    <w:p>
      <w:pPr>
        <w:spacing w:before="160" w:after="40" w:line="240" w:lineRule="auto"/>
      </w:pPr>
      <w:r>
        <w:rPr>
          <w:b/>
        </w:rPr>
        <w:t xml:space="preserve">[332] </w:t>
      </w:r>
      <w:hyperlink r:id="rId788">
        <w:r>
          <w:rPr>
            <w:color w:val="1155CC"/>
            <w:u w:val="single"/>
          </w:rPr>
          <w:t>负设计使得设计的跨膜β-桶的无细胞表达和折叠成为可能</w:t>
        </w:r>
      </w:hyperlink>
    </w:p>
    <w:p>
      <w:pPr>
        <w:spacing w:before="0" w:after="80"/>
      </w:pPr>
      <w:r>
        <w:rPr>
          <w:i/>
          <w:sz w:val="20"/>
        </w:rPr>
        <w:t>EN: Negative design enables cell-free expression and folding of designed transmembrane β-barrels</w:t>
      </w:r>
    </w:p>
    <w:p>
      <w:pPr>
        <w:spacing w:before="0" w:after="120"/>
      </w:pPr>
      <w:r>
        <w:rPr>
          <w:b/>
        </w:rPr>
        <w:t xml:space="preserve">Source: </w:t>
      </w:r>
      <w:r>
        <w:t>Proceedings of the National Academy of Sciences: Keyword search for query</w:t>
      </w:r>
      <w:r>
        <w:t xml:space="preserve">    </w:t>
      </w:r>
      <w:r>
        <w:rPr>
          <w:b/>
        </w:rPr>
        <w:t xml:space="preserve">Pub date: </w:t>
      </w:r>
      <w:r>
        <w:t>2026-04-08 07:00:00+00:00</w:t>
      </w:r>
      <w:r>
        <w:t xml:space="preserve">    </w:t>
      </w:r>
      <w:r>
        <w:rPr>
          <w:b/>
        </w:rPr>
        <w:t xml:space="preserve">DOI: </w:t>
      </w:r>
      <w:hyperlink r:id="rId789">
        <w:r>
          <w:rPr>
            <w:color w:val="1155CC"/>
            <w:u w:val="single"/>
          </w:rPr>
          <w:t>10.1073/pnas.2528772123</w:t>
        </w:r>
      </w:hyperlink>
    </w:p>
    <w:p>
      <w:pPr>
        <w:spacing w:before="0" w:after="120"/>
      </w:pPr>
      <w:r>
        <w:rPr>
          <w:b/>
        </w:rPr>
        <w:t xml:space="preserve">Notes: </w:t>
      </w:r>
      <w:r>
        <w:t>abstract_source=crossref</w:t>
      </w:r>
    </w:p>
    <w:p>
      <w:pPr>
        <w:spacing w:before="0" w:after="80" w:lineRule="auto" w:line="276"/>
      </w:pPr>
      <w:r>
        <w:rPr>
          <w:b/>
        </w:rPr>
        <w:t xml:space="preserve">摘要（ZH）: </w:t>
      </w:r>
      <w:r>
        <w:t>膜蛋白（MPs）的全新设计是一个快速发展的领域，对合成生物学具有变革潜力。然而，由于对MP折叠、稳定性和溶解性基本原理的理解有限，以及将其整合到计算模型中的困难，进展落后于可溶性蛋白。在细胞中，严格的质量控制机制限制了设计的MPs表达，这些MPs具有次优特性，阻碍了迭代的设计-构建-测试循环。在此，我们使用无细胞表达系统绕过失败或不溶性设计的细胞毒性，并研究序列特征如何影响设计的跨膜β-桶（TMBs）在合成膜中的热力学驱动组装。我们发现，即使是小的、理想的</w:t>
      </w:r>
    </w:p>
    <w:p>
      <w:pPr>
        <w:spacing w:before="0" w:after="200" w:lineRule="auto" w:line="276"/>
      </w:pPr>
      <w:r>
        <w:rPr>
          <w:b/>
        </w:rPr>
        <w:t xml:space="preserve">Abstract (EN): </w:t>
      </w:r>
      <w:r>
        <w:t>De novo design of membrane proteins (MPs) is a rapidly growing field with transformative potential for synthetic biology. Yet, progress has lagged behind that of soluble proteins, largely due to limited understanding of the fundamental principles governing MP folding, stability, and solubility—and the difficulty of integrating them into computational models. In cells, strict quality control mechanisms limit the expression of designed MPs with suboptimal properties, hindering iterative design-build-test cycles. Here, we use a cell-free expression system to bypass the cytotoxicity of failed or insoluble designs and investigate how sequence features influence the thermodynamically driven assembly of designed transmembrane β-barrels (TMBs) in synthetic membranes. We find that even small, idealized TMBs challenge classical protein design workflows: sequences optimized solely for thermodynamic stability misfold and aggregate, preventing membrane insertion. Aggregation in water emerges as key determinants of membrane association, instead of bulk hydrophobicity. By designing variants of a synthetic TMB, we demonstrate that suppressing aggregation-prone intermediates through local destabilization of β-strands (“negative design”) significantly improves membrane assembly. Strikingly, even substitutions typically considered highly destabilizing, such as prolines or polar threonines exposed to the bilayer core, can improve folding and assembly when strategically positioned, without significantly compromising thermodynamic stability. Based on these findings, we propose a framework for joint optimization of native stability and assembly pathways for future MP and nanopore design.</w:t>
      </w:r>
    </w:p>
    <w:p>
      <w:pPr>
        <w:spacing w:before="120" w:after="120"/>
      </w:pPr>
      <w:r>
        <w:rPr>
          <w:sz w:val="18"/>
        </w:rPr>
        <w:t>——————————————————————————————————————————————————————————————————————</w:t>
      </w:r>
    </w:p>
    <w:p>
      <w:pPr>
        <w:spacing w:before="160" w:after="40" w:line="240" w:lineRule="auto"/>
      </w:pPr>
      <w:r>
        <w:rPr>
          <w:b/>
        </w:rPr>
        <w:t xml:space="preserve">[333] </w:t>
      </w:r>
      <w:hyperlink r:id="rId790">
        <w:r>
          <w:rPr>
            <w:color w:val="1155CC"/>
            <w:u w:val="single"/>
          </w:rPr>
          <w:t>从雌性到雌性：通过化学信号的交流</w:t>
        </w:r>
      </w:hyperlink>
    </w:p>
    <w:p>
      <w:pPr>
        <w:spacing w:before="0" w:after="80"/>
      </w:pPr>
      <w:r>
        <w:rPr>
          <w:i/>
          <w:sz w:val="20"/>
        </w:rPr>
        <w:t>EN: From female to female: Communication via chemosignals</w:t>
      </w:r>
    </w:p>
    <w:p>
      <w:pPr>
        <w:spacing w:before="0" w:after="120"/>
      </w:pPr>
      <w:r>
        <w:rPr>
          <w:b/>
        </w:rPr>
        <w:t xml:space="preserve">Source: </w:t>
      </w:r>
      <w:r>
        <w:t>Proceedings of the National Academy of Sciences: Keyword search for query</w:t>
      </w:r>
      <w:r>
        <w:t xml:space="preserve">    </w:t>
      </w:r>
      <w:r>
        <w:rPr>
          <w:b/>
        </w:rPr>
        <w:t xml:space="preserve">Pub date: </w:t>
      </w:r>
      <w:r>
        <w:t>2026-04-08 07:00:00+00:00</w:t>
      </w:r>
      <w:r>
        <w:t xml:space="preserve">    </w:t>
      </w:r>
      <w:r>
        <w:rPr>
          <w:b/>
        </w:rPr>
        <w:t xml:space="preserve">DOI: </w:t>
      </w:r>
      <w:hyperlink r:id="rId791">
        <w:r>
          <w:rPr>
            <w:color w:val="1155CC"/>
            <w:u w:val="single"/>
          </w:rPr>
          <w:t>10.1073/pnas.2528625123</w:t>
        </w:r>
      </w:hyperlink>
    </w:p>
    <w:p>
      <w:pPr>
        <w:spacing w:before="0" w:after="120"/>
      </w:pPr>
      <w:r>
        <w:rPr>
          <w:b/>
        </w:rPr>
        <w:t xml:space="preserve">Notes: </w:t>
      </w:r>
      <w:r>
        <w:t>abstract_source=crossref</w:t>
      </w:r>
    </w:p>
    <w:p>
      <w:pPr>
        <w:spacing w:before="0" w:after="80" w:lineRule="auto" w:line="276"/>
      </w:pPr>
      <w:r>
        <w:rPr>
          <w:b/>
        </w:rPr>
        <w:t xml:space="preserve">摘要（ZH）: </w:t>
      </w:r>
      <w:r>
        <w:t>在许多物种中，化学感知线索传达了关于生殖状态的重要信息，但它们在塑造女性之间社会互动中的作用尚不清楚。在此，我们结合功能性神经影像学和行为测量，测试来自不同生殖阶段（经期、排卵期（OV）和早孕期（PRG））女性的化学信号如何影响女性接受者在其自身月经周期中的社会感知。化学信号捐赠者被筛选并跟踪周期阶段（n = 59）和怀孕状态（n = 36）。女性功能性MRI参与者（n = 33）完成了一个单盲的被试内交叉设计，进行了两个会话，一个在经期，一个在排卵期。参与者对标准的吸引力、期望的接近度和怀孕状态进行了评分。</w:t>
      </w:r>
    </w:p>
    <w:p>
      <w:pPr>
        <w:spacing w:before="0" w:after="200" w:lineRule="auto" w:line="276"/>
      </w:pPr>
      <w:r>
        <w:rPr>
          <w:b/>
        </w:rPr>
        <w:t xml:space="preserve">Abstract (EN): </w:t>
      </w:r>
      <w:r>
        <w:t>In many species, chemosensory cues convey important information about reproductive status, but their role in shaping social interactions among women is less understood. Here, we combined functional neuroimaging with behavioral measures to test how chemosignals from women at different reproductive stages [menstruation, ovulation (OV), and early pregnancy (PRG)] affect social perception in female recipients across their own menstrual cycle. Chemosignal donors were screened and tracked for cycle phase (n = 59) and pregnancy status (n = 36). Female functional MRI participants (n = 33) completed a single-blind within-subject crossover design with two sessions, one during menstruation and one during ovulation. The participants rated attractiveness, desired proximity, and pregnancy status of standardized female faces while being unknowingly exposed to the axillary chemosignals. Neuroimaging analyses showed OV chemosignals to elicit greater activation across frontal, parietal, temporal, and subcortical regions, including the temporoparietal junction, insula, hippocampus, hypothalamus, and basal ganglia. PRG chemosignals were associated with more circumscribed responses, particularly in the prefrontal and cingulate areas. These effects were modulated by the recipient’s own cycle phase, with broader networks being engaged during ovulation than menstruation. Behaviorally, the participants maintained a greater distance from faces paired with PRG but approached them more closely during their own ovulation. Attractiveness ratings and pregnancy categorizations were unaffected by chemosensory condition or cycle phase. Together, these findings demonstrate that subtle chemosensory signals shape female social cognition in a cycle-dependent manner, highlighting an adaptive mechanism by which chemosensory cues guide competition, vigilance, and affiliation without necessarily altering explicit judgments.</w:t>
      </w:r>
    </w:p>
    <w:p>
      <w:pPr>
        <w:spacing w:before="120" w:after="120"/>
      </w:pPr>
      <w:r>
        <w:rPr>
          <w:sz w:val="18"/>
        </w:rPr>
        <w:t>——————————————————————————————————————————————————————————————————————</w:t>
      </w:r>
    </w:p>
    <w:p>
      <w:pPr>
        <w:spacing w:before="160" w:after="40" w:line="240" w:lineRule="auto"/>
      </w:pPr>
      <w:r>
        <w:rPr>
          <w:b/>
        </w:rPr>
        <w:t xml:space="preserve">[334] </w:t>
      </w:r>
      <w:hyperlink r:id="rId792">
        <w:r>
          <w:rPr>
            <w:color w:val="1155CC"/>
            <w:u w:val="single"/>
          </w:rPr>
          <w:t>后代对成年生殖转变的化学控制在社会性昆虫中的作用</w:t>
        </w:r>
      </w:hyperlink>
    </w:p>
    <w:p>
      <w:pPr>
        <w:spacing w:before="0" w:after="80"/>
      </w:pPr>
      <w:r>
        <w:rPr>
          <w:i/>
          <w:sz w:val="20"/>
        </w:rPr>
        <w:t>EN: Offspring chemical control of adult reproductive transitions in a social insect</w:t>
      </w:r>
    </w:p>
    <w:p>
      <w:pPr>
        <w:spacing w:before="0" w:after="120"/>
      </w:pPr>
      <w:r>
        <w:rPr>
          <w:b/>
        </w:rPr>
        <w:t xml:space="preserve">Source: </w:t>
      </w:r>
      <w:r>
        <w:t>Proceedings of the National Academy of Sciences: Keyword search for query</w:t>
      </w:r>
      <w:r>
        <w:t xml:space="preserve">    </w:t>
      </w:r>
      <w:r>
        <w:rPr>
          <w:b/>
        </w:rPr>
        <w:t xml:space="preserve">Pub date: </w:t>
      </w:r>
      <w:r>
        <w:t>2026-04-08 07:00:00+00:00</w:t>
      </w:r>
      <w:r>
        <w:t xml:space="preserve">    </w:t>
      </w:r>
      <w:r>
        <w:rPr>
          <w:b/>
        </w:rPr>
        <w:t xml:space="preserve">DOI: </w:t>
      </w:r>
      <w:hyperlink r:id="rId793">
        <w:r>
          <w:rPr>
            <w:color w:val="1155CC"/>
            <w:u w:val="single"/>
          </w:rPr>
          <w:t>10.1073/pnas.2526776123</w:t>
        </w:r>
      </w:hyperlink>
    </w:p>
    <w:p>
      <w:pPr>
        <w:spacing w:before="0" w:after="120"/>
      </w:pPr>
      <w:r>
        <w:rPr>
          <w:b/>
        </w:rPr>
        <w:t xml:space="preserve">Notes: </w:t>
      </w:r>
      <w:r>
        <w:t>abstract_source=crossref</w:t>
      </w:r>
    </w:p>
    <w:p>
      <w:pPr>
        <w:spacing w:before="0" w:after="80" w:lineRule="auto" w:line="276"/>
      </w:pPr>
      <w:r>
        <w:rPr>
          <w:b/>
        </w:rPr>
        <w:t xml:space="preserve">摘要（ZH）: </w:t>
      </w:r>
      <w:r>
        <w:t>父母的照料增强了后代的生存和成长，但通常需要权衡，即照料者暂时抑制自己的繁殖以投资于现有的幼体。在脊椎动物中，这些父母的繁殖周期由后代衍生的信号控制，这些信号减少或抑制父母的生育能力。虽然许多昆虫表现出强制性的父母照料，但在高级真社会性类群之外，后代信号在调节成年繁殖中的作用仍未解决，在这些类群中，繁殖周期大多已丧失。在这里，我们研究了克隆袭击蚁Ooceraea biroi的繁殖周期，其中全能的雌性在照料幼虫和产卵之间交替。通过定制的行为测试，我们表明幼虫抑制成年繁殖。</w:t>
      </w:r>
    </w:p>
    <w:p>
      <w:pPr>
        <w:spacing w:before="0" w:after="200" w:lineRule="auto" w:line="276"/>
      </w:pPr>
      <w:r>
        <w:rPr>
          <w:b/>
        </w:rPr>
        <w:t xml:space="preserve">Abstract (EN): </w:t>
      </w:r>
      <w:r>
        <w:t>Parental care enhances offspring survival and growth but often entails a trade-off in which caregivers temporarily suppress their own reproduction to invest in existing young. In vertebrates, these parental reproductive cycles are controlled by offspring-derived cues that reduce or suppress parental fertility. While many insects display obligate parental care, the role of offspring cues in regulating adult reproduction remains unresolved outside advanced eusocial taxa, where reproductive cycles have largely been lost. Here, we investigate reproductive cycles in the clonal raider ant</w:t>
      </w:r>
      <w:r>
        <w:t xml:space="preserve"> </w:t>
      </w:r>
      <w:r>
        <w:t>Ooceraea biroi</w:t>
      </w:r>
      <w:r>
        <w:t xml:space="preserve"> </w:t>
      </w:r>
      <w:r>
        <w:t>, in which totipotent females alternate between caring for larvae and laying eggs. Using custom behavioral assays, we show that larvae inhibit adult reproduction without physical contact, implicating volatile cues. Chemical analyses identified a previously undescribed larva-specific compound, methyl 3-ethyl-2-hydroxy-4-methylpentanoate (MEHMP), which is absent from other developmental stages and ant species. Exposure to synthetic MEHMP recapitulated the inhibitory effect of larval volatiles, confirming its role as a pheromone that suppresses adult egg laying. Our findings demonstrate that ant larvae produce a pheromone that suppresses adult reproduction, providing a direct chemical link between offspring presence and parental reproductive suppression, and underscoring the central role of offspring signals in mediating parental reproductive investment in animals that care for their young.</w:t>
      </w:r>
    </w:p>
    <w:p>
      <w:pPr>
        <w:spacing w:before="120" w:after="120"/>
      </w:pPr>
      <w:r>
        <w:rPr>
          <w:sz w:val="18"/>
        </w:rPr>
        <w:t>——————————————————————————————————————————————————————————————————————</w:t>
      </w:r>
    </w:p>
    <w:p>
      <w:pPr>
        <w:spacing w:before="160" w:after="40" w:line="240" w:lineRule="auto"/>
      </w:pPr>
      <w:r>
        <w:rPr>
          <w:b/>
        </w:rPr>
        <w:t xml:space="preserve">[335] </w:t>
      </w:r>
      <w:hyperlink r:id="rId794">
        <w:r>
          <w:rPr>
            <w:color w:val="1155CC"/>
            <w:u w:val="single"/>
          </w:rPr>
          <w:t>通过金属-卤化儿茶酚配位在海鞘根固着器中进行纳米凝聚物生物粘附剂递送</w:t>
        </w:r>
      </w:hyperlink>
    </w:p>
    <w:p>
      <w:pPr>
        <w:spacing w:before="0" w:after="80"/>
      </w:pPr>
      <w:r>
        <w:rPr>
          <w:i/>
          <w:sz w:val="20"/>
        </w:rPr>
        <w:t>EN: Nanocondensate bioadhesive delivery via metal–halogenated catechol coordination in tunicate rhizoid holdfasts</w:t>
      </w:r>
    </w:p>
    <w:p>
      <w:pPr>
        <w:spacing w:before="0" w:after="120"/>
      </w:pPr>
      <w:r>
        <w:rPr>
          <w:b/>
        </w:rPr>
        <w:t xml:space="preserve">Source: </w:t>
      </w:r>
      <w:r>
        <w:t>Proceedings of the National Academy of Sciences: Keyword search for query</w:t>
      </w:r>
      <w:r>
        <w:t xml:space="preserve">    </w:t>
      </w:r>
      <w:r>
        <w:rPr>
          <w:b/>
        </w:rPr>
        <w:t xml:space="preserve">Pub date: </w:t>
      </w:r>
      <w:r>
        <w:t>2026-04-08 07:00:00+00:00</w:t>
      </w:r>
      <w:r>
        <w:t xml:space="preserve">    </w:t>
      </w:r>
      <w:r>
        <w:rPr>
          <w:b/>
        </w:rPr>
        <w:t xml:space="preserve">DOI: </w:t>
      </w:r>
      <w:hyperlink r:id="rId795">
        <w:r>
          <w:rPr>
            <w:color w:val="1155CC"/>
            <w:u w:val="single"/>
          </w:rPr>
          <w:t>10.1073/pnas.2526665123</w:t>
        </w:r>
      </w:hyperlink>
    </w:p>
    <w:p>
      <w:pPr>
        <w:spacing w:before="0" w:after="120"/>
      </w:pPr>
      <w:r>
        <w:rPr>
          <w:b/>
        </w:rPr>
        <w:t xml:space="preserve">Notes: </w:t>
      </w:r>
      <w:r>
        <w:t>abstract_source=crossref</w:t>
      </w:r>
    </w:p>
    <w:p>
      <w:pPr>
        <w:spacing w:before="0" w:after="80" w:lineRule="auto" w:line="276"/>
      </w:pPr>
      <w:r>
        <w:rPr>
          <w:b/>
        </w:rPr>
        <w:t xml:space="preserve">摘要（ZH）: </w:t>
      </w:r>
      <w:r>
        <w:t>海鞘Halocynthia roretzi的根状固着器提供了强大的水下粘附力。然而，其粘附力背后的生物加工和生化成分仍然在很大程度上未知。在这里，我们识别出一种基于纳米凝聚体的运输系统，其中含有卤化3,4-二羟基苯丙氨酸（DOPA）的肽与铁、铬和钒等金属离子协调，在致密颗粒细胞内形成稳定的纳米凝聚体。这些纳米凝聚体被分泌到细胞外基质中，并迅速整合到角质层中，在那里蛋白质通过氧化交联形成粘附界面，并在固化时释放金属。这个过程建立了一种以前未被认识的固态粘附机制。</w:t>
      </w:r>
    </w:p>
    <w:p>
      <w:pPr>
        <w:spacing w:before="0" w:after="200" w:lineRule="auto" w:line="276"/>
      </w:pPr>
      <w:r>
        <w:rPr>
          <w:b/>
        </w:rPr>
        <w:t xml:space="preserve">Abstract (EN): </w:t>
      </w:r>
      <w:r>
        <w:t>The root-like holdfast of the tunicate</w:t>
      </w:r>
      <w:r>
        <w:t xml:space="preserve"> </w:t>
      </w:r>
      <w:r>
        <w:t>Halocynthia roretzi</w:t>
      </w:r>
      <w:r>
        <w:t xml:space="preserve"> </w:t>
      </w:r>
      <w:r>
        <w:t>provides strong underwater adhesion. However, the biological processing and biochemical composition underlying its adhesive remain largely unknown. Here, we identify a nanocondensate-based transport system in which halogenated 3,4-dihydroxyphenylalanine (DOPA)-containing peptides coordinate with metal ions such as iron, chromium, and vanadium to form stable nanocondensates within dense-granular cells. These nanocondensates are secreted into the extracellular matrix and rapidly incorporated into the cuticular layer, where the proteins cross-link oxidatively to form the adhesive interface, releasing the metals upon solidification. This process establishes a previously unrecognized solid-state adhesive delivery mechanism regulated by coordination chemistry between metal ions and halogenated catechols. Indeed, while other systems (e.g., mussels) use DOPA-containing proteins to transport metal ions during glue formation, the current system is distinctive in that metal coordination is transient and used ostensibly to deliver the adhesive protein cargo—findings relevant for design of next-generation underwater glues.</w:t>
      </w:r>
    </w:p>
    <w:p>
      <w:pPr>
        <w:spacing w:before="120" w:after="120"/>
      </w:pPr>
      <w:r>
        <w:rPr>
          <w:sz w:val="18"/>
        </w:rPr>
        <w:t>——————————————————————————————————————————————————————————————————————</w:t>
      </w:r>
    </w:p>
    <w:p>
      <w:pPr>
        <w:spacing w:before="160" w:after="40" w:line="240" w:lineRule="auto"/>
      </w:pPr>
      <w:r>
        <w:rPr>
          <w:b/>
        </w:rPr>
        <w:t xml:space="preserve">[336] </w:t>
      </w:r>
      <w:hyperlink r:id="rId796">
        <w:r>
          <w:rPr>
            <w:color w:val="1155CC"/>
            <w:u w:val="single"/>
          </w:rPr>
          <w:t>先前集合数据的选择性重用改善了北美最新的气温预报</w:t>
        </w:r>
      </w:hyperlink>
    </w:p>
    <w:p>
      <w:pPr>
        <w:spacing w:before="0" w:after="80"/>
      </w:pPr>
      <w:r>
        <w:rPr>
          <w:i/>
          <w:sz w:val="20"/>
        </w:rPr>
        <w:t>EN: Selective reuse of prior ensemble data improves the latest air temperature forecast over North America</w:t>
      </w:r>
    </w:p>
    <w:p>
      <w:pPr>
        <w:spacing w:before="0" w:after="120"/>
      </w:pPr>
      <w:r>
        <w:rPr>
          <w:b/>
        </w:rPr>
        <w:t xml:space="preserve">Source: </w:t>
      </w:r>
      <w:r>
        <w:t>Proceedings of the National Academy of Sciences: Keyword search for query</w:t>
      </w:r>
      <w:r>
        <w:t xml:space="preserve">    </w:t>
      </w:r>
      <w:r>
        <w:rPr>
          <w:b/>
        </w:rPr>
        <w:t xml:space="preserve">Pub date: </w:t>
      </w:r>
      <w:r>
        <w:t>2026-04-08 07:00:00+00:00</w:t>
      </w:r>
      <w:r>
        <w:t xml:space="preserve">    </w:t>
      </w:r>
      <w:r>
        <w:rPr>
          <w:b/>
        </w:rPr>
        <w:t xml:space="preserve">DOI: </w:t>
      </w:r>
      <w:hyperlink r:id="rId797">
        <w:r>
          <w:rPr>
            <w:color w:val="1155CC"/>
            <w:u w:val="single"/>
          </w:rPr>
          <w:t>10.1073/pnas.2524516123</w:t>
        </w:r>
      </w:hyperlink>
    </w:p>
    <w:p>
      <w:pPr>
        <w:spacing w:before="0" w:after="120"/>
      </w:pPr>
      <w:r>
        <w:rPr>
          <w:b/>
        </w:rPr>
        <w:t xml:space="preserve">Notes: </w:t>
      </w:r>
      <w:r>
        <w:t>abstract_source=crossref</w:t>
      </w:r>
    </w:p>
    <w:p>
      <w:pPr>
        <w:spacing w:before="0" w:after="80" w:lineRule="auto" w:line="276"/>
      </w:pPr>
      <w:r>
        <w:rPr>
          <w:b/>
        </w:rPr>
        <w:t xml:space="preserve">摘要（ZH）: </w:t>
      </w:r>
      <w:r>
        <w:t>准确的次季节到季节（S2S）天气预报对于管理社会风险至关重要，但提高预报技能仍然具有挑战性。集合预报可以减轻大气混沌，但受到计算成本和较长预报时间精度下降的限制。之前尝试结合先前的集合预报对最新预报的准确性几乎没有改善，因为早期初始化的成员往往会降低预报质量。在这里，我们介绍了一种简单而强大的后处理方法，滞后集合模拟子选择（LEAS），它有选择地选择最能预测最近条件的先前集合成员。使用北美四个州的每日最高2米气温的历史预报。</w:t>
      </w:r>
    </w:p>
    <w:p>
      <w:pPr>
        <w:spacing w:before="0" w:after="200" w:lineRule="auto" w:line="276"/>
      </w:pPr>
      <w:r>
        <w:rPr>
          <w:b/>
        </w:rPr>
        <w:t xml:space="preserve">Abstract (EN): </w:t>
      </w:r>
      <w:r>
        <w:t>Accurate subseasonal to seasonal (S2S) weather forecasts are critical for managing risks to society, yet improving forecast skill remains challenging. Ensemble forecasting mitigates atmospheric chaos but is limited by computational cost and by declining accuracy at longer lead times. Previous attempts to incorporate previous ensemble forecasts have yielded little improvement in the accuracy of the latest forecast because members from earlier initializations tend to degrade forecast quality. Here, we introduce a simple yet powerful postprocessing approach, lagged ensemble analog subselection (LEAS), which selectively chooses previous ensemble members that best predicted the most recent conditions. Using hindcasts of daily maximum 2-m air temperature over North America from four state-of-the-art S2S weather forecast models, we show that LEAS enhances both deterministic and probabilistic skill across multiple weeks, including for extreme heat events. The method reduces systematic bias as well as variance error, outperforming conventional lagged ensembles without requiring additional simulations or changes to model initialization. The improvement arises from filtering out poorly performing members and effectively emulating enhanced initialization of both atmospheric and land–surface states. LEAS combines principles of analog forecasting with lagged ensembles, extending their impact from short-term to multiweek predictions. Its simplicity and generality suggest broad applicability, not only to machine-learning–based weather forecasting but also to other predictive systems that rely on repeated initialization, such as hydrological, climate, and Earth system models. By extracting more value from existing forecast data, LEAS advances toward the upper limit of forecast skill achievable within current model frameworks while avoiding added computational burden.</w:t>
      </w:r>
    </w:p>
    <w:p>
      <w:pPr>
        <w:spacing w:before="120" w:after="120"/>
      </w:pPr>
      <w:r>
        <w:rPr>
          <w:sz w:val="18"/>
        </w:rPr>
        <w:t>——————————————————————————————————————————————————————————————————————</w:t>
      </w:r>
    </w:p>
    <w:p>
      <w:pPr>
        <w:spacing w:before="160" w:after="40" w:line="240" w:lineRule="auto"/>
      </w:pPr>
      <w:r>
        <w:rPr>
          <w:b/>
        </w:rPr>
        <w:t xml:space="preserve">[337] </w:t>
      </w:r>
      <w:hyperlink r:id="rId798">
        <w:r>
          <w:rPr>
            <w:color w:val="1155CC"/>
            <w:u w:val="single"/>
          </w:rPr>
          <w:t>C-C趋化因子受体4的结构基础通过正构和变构拮抗剂进行调节</w:t>
        </w:r>
      </w:hyperlink>
    </w:p>
    <w:p>
      <w:pPr>
        <w:spacing w:before="0" w:after="80"/>
      </w:pPr>
      <w:r>
        <w:rPr>
          <w:i/>
          <w:sz w:val="20"/>
        </w:rPr>
        <w:t>EN: Structure basis for C-C chemokine receptor 4 modulation by orthosteric and allosteric antagonists</w:t>
      </w:r>
    </w:p>
    <w:p>
      <w:pPr>
        <w:spacing w:before="0" w:after="120"/>
      </w:pPr>
      <w:r>
        <w:rPr>
          <w:b/>
        </w:rPr>
        <w:t xml:space="preserve">Source: </w:t>
      </w:r>
      <w:r>
        <w:t>Proceedings of the National Academy of Sciences: Keyword search for query</w:t>
      </w:r>
      <w:r>
        <w:t xml:space="preserve">    </w:t>
      </w:r>
      <w:r>
        <w:rPr>
          <w:b/>
        </w:rPr>
        <w:t xml:space="preserve">Pub date: </w:t>
      </w:r>
      <w:r>
        <w:t>2026-04-08 07:00:00+00:00</w:t>
      </w:r>
      <w:r>
        <w:t xml:space="preserve">    </w:t>
      </w:r>
      <w:r>
        <w:rPr>
          <w:b/>
        </w:rPr>
        <w:t xml:space="preserve">DOI: </w:t>
      </w:r>
      <w:hyperlink r:id="rId799">
        <w:r>
          <w:rPr>
            <w:color w:val="1155CC"/>
            <w:u w:val="single"/>
          </w:rPr>
          <w:t>10.1073/pnas.2520079123</w:t>
        </w:r>
      </w:hyperlink>
    </w:p>
    <w:p>
      <w:pPr>
        <w:spacing w:before="0" w:after="120"/>
      </w:pPr>
      <w:r>
        <w:rPr>
          <w:b/>
        </w:rPr>
        <w:t xml:space="preserve">Notes: </w:t>
      </w:r>
      <w:r>
        <w:t>abstract_source=crossref</w:t>
      </w:r>
    </w:p>
    <w:p>
      <w:pPr>
        <w:spacing w:before="0" w:after="80" w:lineRule="auto" w:line="276"/>
      </w:pPr>
      <w:r>
        <w:rPr>
          <w:b/>
        </w:rPr>
        <w:t xml:space="preserve">摘要（ZH）: </w:t>
      </w:r>
      <w:r>
        <w:t>趋化因子系统由趋化因子及其受体网络组成，协调白细胞迁移，并在免疫监视和炎症中发挥核心作用。靶向该系统已成为癌症免疫治疗和免疫相关疾病治疗的有前景策略。C-C趋化因子受体4（CCR4），是趋化因子CCL17和CCL22的受体，是成人T细胞白血病/淋巴瘤、皮肤T细胞淋巴瘤及其他恶性肿瘤的临床验证治疗靶点；然而，CCR4抑制的分子机制仍然知之甚少。在此，我们报告了人类CCR4在其apo状态下及与四种抑制剂复合的五种冷冻电子显微镜结构。Tivumecirnon（FLX475）和Zelnecirnon（RPT193），两个临床阶段的抑制剂</w:t>
      </w:r>
    </w:p>
    <w:p>
      <w:pPr>
        <w:spacing w:before="0" w:after="200" w:lineRule="auto" w:line="276"/>
      </w:pPr>
      <w:r>
        <w:rPr>
          <w:b/>
        </w:rPr>
        <w:t xml:space="preserve">Abstract (EN): </w:t>
      </w:r>
      <w:r>
        <w:t>The chemokine system, comprising a network of chemokines and their receptors, orchestrates leukocyte migration and plays a central role in immune surveillance and inflammation. Targeting this system has emerged as a promising strategy in cancer immunotherapy and the treatment of immune-related disorders. C-C chemokine receptor 4 (CCR4), the receptor for chemokines CCL17 and CCL22, is a clinically validated therapeutic target for adult T cell leukemia/lymphoma, cutaneous T cell lymphoma, and other malignancies; however, the molecular mechanisms underlying CCR4 inhibition remain poorly understood. Here, we report five cryoelectron microscopy structures of human CCR4 in its apo state and in complex with four inhibitors. Tivumecirnon (FLX475) and Zelnecirnon (RPT193), two clinical-stage investigational drugs, bind to the orthosteric site of CCR4, blocking the chemokine recognition site 1. In contrast, AZD2098 and GSK2239633A occupy an allosteric site near the TM7–H8 turn, presumably interfering with G-protein coupling. Further analyses reveal that the therapeutic antibody mogamulizumab binds to the N-terminal region of CCR4 without competing with CCL17, suggesting that its antagonistic effect is mediated exclusively through antibody-dependent cellular cytotoxicity. Together, these structural insights elucidate distinct modes of CCR4 inhibition and provide a framework for the rational design of next-generation therapeutics targeting chemokine receptors.</w:t>
      </w:r>
    </w:p>
    <w:p>
      <w:pPr>
        <w:spacing w:before="120" w:after="120"/>
      </w:pPr>
      <w:r>
        <w:rPr>
          <w:sz w:val="18"/>
        </w:rPr>
        <w:t>——————————————————————————————————————————————————————————————————————</w:t>
      </w:r>
    </w:p>
    <w:p>
      <w:pPr>
        <w:spacing w:before="160" w:after="40" w:line="240" w:lineRule="auto"/>
      </w:pPr>
      <w:r>
        <w:rPr>
          <w:b/>
        </w:rPr>
        <w:t xml:space="preserve">[338] </w:t>
      </w:r>
      <w:hyperlink r:id="rId800">
        <w:r>
          <w:rPr>
            <w:color w:val="1155CC"/>
            <w:u w:val="single"/>
          </w:rPr>
          <w:t>利用基因彩票估算教育回报</w:t>
        </w:r>
      </w:hyperlink>
    </w:p>
    <w:p>
      <w:pPr>
        <w:spacing w:before="0" w:after="80"/>
      </w:pPr>
      <w:r>
        <w:rPr>
          <w:i/>
          <w:sz w:val="20"/>
        </w:rPr>
        <w:t>EN: Estimating returns to education using the genetic lottery</w:t>
      </w:r>
    </w:p>
    <w:p>
      <w:pPr>
        <w:spacing w:before="0" w:after="120"/>
      </w:pPr>
      <w:r>
        <w:rPr>
          <w:b/>
        </w:rPr>
        <w:t xml:space="preserve">Source: </w:t>
      </w:r>
      <w:r>
        <w:t>Proceedings of the National Academy of Sciences: Keyword search for query</w:t>
      </w:r>
      <w:r>
        <w:t xml:space="preserve">    </w:t>
      </w:r>
      <w:r>
        <w:rPr>
          <w:b/>
        </w:rPr>
        <w:t xml:space="preserve">Pub date: </w:t>
      </w:r>
      <w:r>
        <w:t>2026-04-08 07:00:00+00:00</w:t>
      </w:r>
      <w:r>
        <w:t xml:space="preserve">    </w:t>
      </w:r>
      <w:r>
        <w:rPr>
          <w:b/>
        </w:rPr>
        <w:t xml:space="preserve">DOI: </w:t>
      </w:r>
      <w:hyperlink r:id="rId801">
        <w:r>
          <w:rPr>
            <w:color w:val="1155CC"/>
            <w:u w:val="single"/>
          </w:rPr>
          <w:t>10.1073/pnas.2537049123</w:t>
        </w:r>
      </w:hyperlink>
    </w:p>
    <w:p>
      <w:pPr>
        <w:spacing w:before="0" w:after="120"/>
      </w:pPr>
      <w:r>
        <w:rPr>
          <w:b/>
        </w:rPr>
        <w:t xml:space="preserve">Notes: </w:t>
      </w:r>
      <w:r>
        <w:t>abstract_source=crossref</w:t>
      </w:r>
    </w:p>
    <w:p>
      <w:pPr>
        <w:spacing w:before="0" w:after="80" w:lineRule="auto" w:line="276"/>
      </w:pPr>
      <w:r>
        <w:rPr>
          <w:b/>
        </w:rPr>
        <w:t xml:space="preserve">摘要（ZH）: </w:t>
      </w:r>
      <w:r>
        <w:t>更多的教育是否导致更高的终身收入？社会科学家长期以来一直试图确定教育的经济回报，因为它对个人生活机会和公共政策至关重要。先前的估计受到观察性研究中未观察到的混杂因素的限制，以及流行的准实验研究仅关注于特定年龄的教育增加。基因分型数据提供了一个机会，通过使用与教育相关的准随机分配的遗传变异作为工具变量（孟德尔随机化，MR），来解决未观察到的混杂因素，并估计任何年龄额外一年教育的回报。我们分析了挪威全面的人口登记数据，其中包括职业生涯收入数据和来自挪威母亲、父亲的基因分型数据</w:t>
      </w:r>
    </w:p>
    <w:p>
      <w:pPr>
        <w:spacing w:before="0" w:after="200" w:lineRule="auto" w:line="276"/>
      </w:pPr>
      <w:r>
        <w:rPr>
          <w:b/>
        </w:rPr>
        <w:t xml:space="preserve">Abstract (EN): </w:t>
      </w:r>
      <w:r>
        <w:t>Does more schooling cause higher lifetime earnings? Social scientists have long sought to determine the economic returns to schooling given its importance to individual life chances and public policy. Prior estimates are limited by unobserved confounding in observational studies and the focus of popular quasi-experimental studies on increases in schooling at only one particular age. Genotyped data offer an opportunity to address unobserved confounding and to estimate the returns to an additional year of schooling at any age by using quasi-randomly assigned genetic variants related to education as instrumental variables [Mendelian randomization (MR)]. We analyze comprehensive Norwegian population registries with career-long earnings data and genotyped data from the Norwegian Mother, Father and Child Cohort Study (MoBa). We employ three identification strategies for triangulation: ordinary least squares (OLS) with covariate-adjustment, sibling and twin fixed-effects models, and MR. Estimated returns to schooling are 8.0% in MR (N = 109,800) and 6.3% in sibling-MR (N = 18,666). Extensive sensitivity analyses suggest that MR results are robust even to large potential violations of MR assumptions, including pleiotropy. MR estimates somewhat higher returns than OLS for the full population (5.9%, N = 1,255,604) and fixed-effects models for siblings (5.3%, N = 966,976) or monozygotic twins (3.2%, N = 2,630). The estimated internal rate of return to schooling exceeds opportunity costs of education as proxied by the market interest rate. The lifetime returns to schooling are positive and substantial across all models.</w:t>
      </w:r>
    </w:p>
    <w:p>
      <w:pPr>
        <w:spacing w:before="120" w:after="120"/>
      </w:pPr>
      <w:r>
        <w:rPr>
          <w:sz w:val="18"/>
        </w:rPr>
        <w:t>——————————————————————————————————————————————————————————————————————</w:t>
      </w:r>
    </w:p>
    <w:p>
      <w:pPr>
        <w:spacing w:before="160" w:after="40" w:line="240" w:lineRule="auto"/>
      </w:pPr>
      <w:r>
        <w:rPr>
          <w:b/>
        </w:rPr>
        <w:t xml:space="preserve">[339] </w:t>
      </w:r>
      <w:hyperlink r:id="rId802">
        <w:r>
          <w:rPr>
            <w:color w:val="1155CC"/>
            <w:u w:val="single"/>
          </w:rPr>
          <w:t>使用大型语言模型重建人类代谢模型</w:t>
        </w:r>
      </w:hyperlink>
    </w:p>
    <w:p>
      <w:pPr>
        <w:spacing w:before="0" w:after="80"/>
      </w:pPr>
      <w:r>
        <w:rPr>
          <w:i/>
          <w:sz w:val="20"/>
        </w:rPr>
        <w:t>EN: Reconstruction of human metabolic models with large language models</w:t>
      </w:r>
    </w:p>
    <w:p>
      <w:pPr>
        <w:spacing w:before="0" w:after="120"/>
      </w:pPr>
      <w:r>
        <w:rPr>
          <w:b/>
        </w:rPr>
        <w:t xml:space="preserve">Source: </w:t>
      </w:r>
      <w:r>
        <w:t>Proceedings of the National Academy of Sciences: Keyword search for query</w:t>
      </w:r>
      <w:r>
        <w:t xml:space="preserve">    </w:t>
      </w:r>
      <w:r>
        <w:rPr>
          <w:b/>
        </w:rPr>
        <w:t xml:space="preserve">Pub date: </w:t>
      </w:r>
      <w:r>
        <w:t>2026-04-08 07:00:00+00:00</w:t>
      </w:r>
      <w:r>
        <w:t xml:space="preserve">    </w:t>
      </w:r>
      <w:r>
        <w:rPr>
          <w:b/>
        </w:rPr>
        <w:t xml:space="preserve">DOI: </w:t>
      </w:r>
      <w:hyperlink r:id="rId803">
        <w:r>
          <w:rPr>
            <w:color w:val="1155CC"/>
            <w:u w:val="single"/>
          </w:rPr>
          <w:t>10.1073/pnas.2516511123</w:t>
        </w:r>
      </w:hyperlink>
    </w:p>
    <w:p>
      <w:pPr>
        <w:spacing w:before="0" w:after="120"/>
      </w:pPr>
      <w:r>
        <w:rPr>
          <w:b/>
        </w:rPr>
        <w:t xml:space="preserve">Notes: </w:t>
      </w:r>
      <w:r>
        <w:t>abstract_source=crossref</w:t>
      </w:r>
    </w:p>
    <w:p>
      <w:pPr>
        <w:spacing w:before="0" w:after="80" w:lineRule="auto" w:line="276"/>
      </w:pPr>
      <w:r>
        <w:rPr>
          <w:b/>
        </w:rPr>
        <w:t xml:space="preserve">摘要（ZH）: </w:t>
      </w:r>
      <w:r>
        <w:t>基因组规模的代谢模型（GEMs）已成为理解人类代谢的基本工具。在此，我们介绍了Human2，一个具有增强精确性和生物学相关性的共识人类GEM，它利用大型语言模型（LLMs）和GitHub Action检查来简化自动化、高效和协作的策展。Human2支持重建针对性别和年龄特定人群的组织和器官特异性模型。通过整合转录组学、蛋白质组学和动力学数据，我们揭示了这些群体之间的不同代谢特征，例如花生四烯酸和白三烯代谢的显著差异。特定模型被整合到一个动态全身框架中，标志着一个酶约束的动态模型，模拟器官间代谢</w:t>
      </w:r>
    </w:p>
    <w:p>
      <w:pPr>
        <w:spacing w:before="0" w:after="200" w:lineRule="auto" w:line="276"/>
      </w:pPr>
      <w:r>
        <w:rPr>
          <w:b/>
        </w:rPr>
        <w:t xml:space="preserve">Abstract (EN): </w:t>
      </w:r>
      <w:r>
        <w:t>Genome-scale metabolic models (GEMs) have become essential tools for understanding human metabolism. Here, we introduce Human2, a consensus human GEM with enhanced precision and biological relevance, which leverages large language models (LLMs) and GitHub Action checks to streamline automated, efficient, and collaborative curation. Human2 supports the reconstruction of tissue- and organ-specific models tailored to sex- and age-specific human groups. By integrating transcriptomic, proteomic, and kinetic data, we reveal distinct metabolic features across these groups, such as significant differences in arachidonic acid and leukotriene metabolism. The specific models were integrated into a dynamic whole-body framework, marking an enzyme-constrained dynamic model that simulates interorgan metabolite exchanges under varying nutritional states, from feeding to fasting. Our work highlights the transformative role of LLMs in GEM reconstruction and introduces a whole-body dynamic simulation that integrates kinetic data, offering a powerful resource for multiscale human metabolism modeling.</w:t>
      </w:r>
    </w:p>
    <w:p>
      <w:pPr>
        <w:spacing w:before="120" w:after="120"/>
      </w:pPr>
      <w:r>
        <w:rPr>
          <w:sz w:val="18"/>
        </w:rPr>
        <w:t>——————————————————————————————————————————————————————————————————————</w:t>
      </w:r>
    </w:p>
    <w:p>
      <w:pPr>
        <w:spacing w:before="160" w:after="40" w:line="240" w:lineRule="auto"/>
      </w:pPr>
      <w:r>
        <w:rPr>
          <w:b/>
        </w:rPr>
        <w:t xml:space="preserve">[340] </w:t>
      </w:r>
      <w:hyperlink r:id="rId804">
        <w:r>
          <w:rPr>
            <w:color w:val="1155CC"/>
            <w:u w:val="single"/>
          </w:rPr>
          <w:t>通过调节载流子迁移和畴动态在(K,Na)NbO3基压电陶瓷中实现超低介电损耗和高去极化温度</w:t>
        </w:r>
      </w:hyperlink>
    </w:p>
    <w:p>
      <w:pPr>
        <w:spacing w:before="0" w:after="80"/>
      </w:pPr>
      <w:r>
        <w:rPr>
          <w:i/>
          <w:sz w:val="20"/>
        </w:rPr>
        <w:t>EN: Ultra‐Low Dielectric Loss and High Depolarization Temperature Achieved in (K,Na)NbO3‐Based Piezoceramics via Modulating Carrier Migration and Domain Dynamics</w:t>
      </w:r>
    </w:p>
    <w:p>
      <w:pPr>
        <w:spacing w:before="0" w:after="120"/>
      </w:pPr>
      <w:r>
        <w:rPr>
          <w:b/>
        </w:rPr>
        <w:t xml:space="preserve">Source: </w:t>
      </w:r>
      <w:r>
        <w:t>Wiley: Advanced Energy Materials: Table of Contents</w:t>
      </w:r>
      <w:r>
        <w:t xml:space="preserve">    </w:t>
      </w:r>
      <w:r>
        <w:rPr>
          <w:b/>
        </w:rPr>
        <w:t xml:space="preserve">Pub date: </w:t>
      </w:r>
      <w:r>
        <w:t>2026-04-08 07:43:11+00:00</w:t>
      </w:r>
      <w:r>
        <w:t xml:space="preserve">    </w:t>
      </w:r>
      <w:r>
        <w:rPr>
          <w:b/>
        </w:rPr>
        <w:t xml:space="preserve">DOI: </w:t>
      </w:r>
      <w:hyperlink r:id="rId805">
        <w:r>
          <w:rPr>
            <w:color w:val="1155CC"/>
            <w:u w:val="single"/>
          </w:rPr>
          <w:t>10.1002/aenm.70918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无铅压电陶瓷的操作效率和可靠性受到高介电损耗和不充分的热稳定性的严重限制。虽然在（K,Na）NbO</w:t>
      </w:r>
      <w:r>
        <w:rPr>
          <w:vertAlign w:val="subscript"/>
        </w:rPr>
        <w:t>3</w:t>
      </w:r>
      <w:r>
        <w:t>（KNN）基系统中压电性能有所提高，但仍面临一个重大挑战：有效地共同调节这两个特性，因为更高的压电性通常导致介电损耗增加和热稳定性恶化。本文提出了一种战略性解决方案，通过缺陷工程协同调节载流子迁移和畴动态。在0.3mol% CuO掺杂的KNN基压电陶瓷中，我们实现了前所未有的超低介电损耗0.3%，优越的压电系数。</w:t>
      </w:r>
    </w:p>
    <w:p>
      <w:pPr>
        <w:spacing w:before="0" w:after="200" w:lineRule="auto" w:line="276"/>
      </w:pPr>
      <w:r>
        <w:rPr>
          <w:b/>
        </w:rPr>
        <w:t xml:space="preserve">Abstract (EN): </w:t>
      </w:r>
      <w:r>
        <w:t>The operational efficiency and reliability of lead‐free piezoceramics are critically limited by high dielectric loss and inadequate thermal stability. While enhancements in piezoelectricity have been achieved in (K,Na)NbO</w:t>
      </w:r>
      <w:r>
        <w:rPr>
          <w:vertAlign w:val="subscript"/>
        </w:rPr>
        <w:t>3</w:t>
      </w:r>
      <w:r>
        <w:t>(KNN)‐based systems, a significant challenge remains: the effective co‐regulation of these two properties, as higher piezoelectricity often leads to increased dielectric loss and deteriorate thermal stability. This work presents a strategic solution which synergistically regulates carrier migration, and domain dynamics via defect engineering. In 0.3mol% CuO‐doped KNN‐based piezoceramics, we achieve an unprecedented ultra‐low dielectric loss of 0.3%, a superior piezoelectric coefficient (</w:t>
      </w:r>
      <w:r>
        <w:t xml:space="preserve"> </w:t>
      </w:r>
      <w:r>
        <w:t>d</w:t>
      </w:r>
      <w:r>
        <w:rPr>
          <w:vertAlign w:val="subscript"/>
        </w:rPr>
        <w:t>33</w:t>
      </w:r>
      <w:r>
        <w:t>) of 264 pC/N, high depolarization temperature (</w:t>
      </w:r>
      <w:r>
        <w:t xml:space="preserve"> </w:t>
      </w:r>
      <w:r>
        <w:t>T</w:t>
      </w:r>
      <w:r>
        <w:t xml:space="preserve"> </w:t>
      </w:r>
      <w:r>
        <w:t>d</w:t>
      </w:r>
      <w:r>
        <w:t xml:space="preserve"> </w:t>
      </w:r>
      <w:r>
        <w:t>) of 285°C, as well as excellent thermal‐aging and long‐term aging stability. Mechanistic studies reveal that the low loss originates from suppressed polarization switching and domain‐wall motion induced by oxygen vacancies, coupled with low ionic conductivity. While in situ heating transmission electron microscopy analysis shows that a stable hierarchical domain architecture underpins the superior piezoelectric thermal properties. This work establishes a new paradigm for designing lead‐free piezoceramics that simultaneously overcome the long‐standing challenges of dielectric loss and high depolarization temperature, paving the way for achieving highly efficient and reliable piezoelectric systems.</w:t>
      </w:r>
    </w:p>
    <w:p>
      <w:pPr>
        <w:spacing w:before="120" w:after="120"/>
      </w:pPr>
      <w:r>
        <w:rPr>
          <w:sz w:val="18"/>
        </w:rPr>
        <w:t>——————————————————————————————————————————————————————————————————————</w:t>
      </w:r>
    </w:p>
    <w:p>
      <w:pPr>
        <w:spacing w:before="160" w:after="40" w:line="240" w:lineRule="auto"/>
      </w:pPr>
      <w:r>
        <w:rPr>
          <w:b/>
        </w:rPr>
        <w:t xml:space="preserve">[341] </w:t>
      </w:r>
      <w:hyperlink r:id="rId806">
        <w:r>
          <w:rPr>
            <w:color w:val="1155CC"/>
            <w:u w:val="single"/>
          </w:rPr>
          <w:t>[ASAP] 具有融合环系统的优化黄酮光笼用于光激活化疗和G蛋白偶联受体光药理学</w:t>
        </w:r>
      </w:hyperlink>
    </w:p>
    <w:p>
      <w:pPr>
        <w:spacing w:before="0" w:after="80"/>
      </w:pPr>
      <w:r>
        <w:rPr>
          <w:i/>
          <w:sz w:val="20"/>
        </w:rPr>
        <w:t>EN: [ASAP] Optimized Xanthenium Photocages with Fused Ring Systems for Photoactivated Chemotherapy and G Protein-Coupled Receptor Photopharmacology</w:t>
      </w:r>
    </w:p>
    <w:p>
      <w:pPr>
        <w:spacing w:before="0" w:after="120"/>
      </w:pPr>
      <w:r>
        <w:rPr>
          <w:b/>
        </w:rPr>
        <w:t xml:space="preserve">Source: </w:t>
      </w:r>
      <w:r>
        <w:t>Journal of the American Chemical Society: Latest Articles (ACS Publications)</w:t>
      </w:r>
      <w:r>
        <w:t xml:space="preserve">    </w:t>
      </w:r>
      <w:r>
        <w:rPr>
          <w:b/>
        </w:rPr>
        <w:t xml:space="preserve">Pub date: </w:t>
      </w:r>
      <w:r>
        <w:t>2026-04-08 08:04:44+00:00</w:t>
      </w:r>
      <w:r>
        <w:t xml:space="preserve">    </w:t>
      </w:r>
      <w:r>
        <w:rPr>
          <w:b/>
        </w:rPr>
        <w:t xml:space="preserve">DOI: </w:t>
      </w:r>
      <w:hyperlink r:id="rId807">
        <w:r>
          <w:rPr>
            <w:color w:val="1155CC"/>
            <w:u w:val="single"/>
          </w:rPr>
          <w:t>10.1021/jacs.6c02825</w:t>
        </w:r>
      </w:hyperlink>
    </w:p>
    <w:p>
      <w:pPr>
        <w:spacing w:before="0" w:after="120"/>
      </w:pPr>
      <w:r>
        <w:rPr>
          <w:b/>
        </w:rPr>
        <w:t xml:space="preserve">Notes: </w:t>
      </w:r>
      <w:r>
        <w:t>abstract_source=pubmed</w:t>
      </w:r>
    </w:p>
    <w:p>
      <w:pPr>
        <w:spacing w:before="0" w:after="80" w:lineRule="auto" w:line="276"/>
      </w:pPr>
      <w:r>
        <w:rPr>
          <w:b/>
        </w:rPr>
        <w:t xml:space="preserve">摘要（ZH）: </w:t>
      </w:r>
      <w:r>
        <w:t>光笼是光响应的化学保护基团，能够控制释放生物活性分子。随着对越来越复杂系统中精确时空操控的需求不断增长，新型光笼骨架的开发仍然至关重要。本文展示了黄酮光笼的结构和电子特性如何决定其基态稳定性。基于合理设计，我们引入了以茚满辅色体为基础的下一代光笼，结果是超高效的、可由绿光到红光激活的光笼，X590和X600H。X590被应用于光控释放一种强效微管蛋白抑制剂，单甲基奥瑞他汀E（MMAE）和一种拓扑异构酶抑制剂（SN38），在600 nm以上的低光剂量下。</w:t>
      </w:r>
    </w:p>
    <w:p>
      <w:pPr>
        <w:spacing w:before="0" w:after="200" w:lineRule="auto" w:line="276"/>
      </w:pPr>
      <w:r>
        <w:rPr>
          <w:b/>
        </w:rPr>
        <w:t xml:space="preserve">Abstract (EN): </w:t>
      </w:r>
      <w:r>
        <w:t>Photocages are light-responsive chemical protecting groups that enable the controlled release of bioactive molecules. As the need for precise spatiotemporal manipulation in increasingly complex systems continues to grow, the development of novel photocage scaffolds remains essential. Herein, we show how the structural and electronic properties of xanthenium photocages determine their ground state stability. Based on rational design, we introduce their next generation built on the julolidine auxochrome, resulting in ultra efficient, green to red light activatable photocages, X590 and X600H. X590 was applied in the light-controlled delivery of a potent tubulin inhibitor, monomethyl auristatin E (MMAE) and a topoisomerase inhibitor (SN38) with low light doses above 600 nm. The light activatable prodrugs possess high photoindices both in 2D cell cultures and 3D tumor spheroids and show antitumor effects in the chorioallantoic membrane (CAM) assay in live chicken embryos. The versatility of this new scaffold was demonstrated using a caged agonist for the light activation of serotonin 2C G protein-coupled receptor. Overall, these photocages should find wide applications in photopharmacology and the detailed studies presented herein could contribute to the clinical translation of photoactivated chemotherapy.</w:t>
      </w:r>
    </w:p>
    <w:p>
      <w:pPr>
        <w:spacing w:before="120" w:after="120"/>
      </w:pPr>
      <w:r>
        <w:rPr>
          <w:sz w:val="18"/>
        </w:rPr>
        <w:t>——————————————————————————————————————————————————————————————————————</w:t>
      </w:r>
    </w:p>
    <w:p>
      <w:pPr>
        <w:spacing w:before="160" w:after="40" w:line="240" w:lineRule="auto"/>
      </w:pPr>
      <w:r>
        <w:rPr>
          <w:b/>
        </w:rPr>
        <w:t xml:space="preserve">[342] </w:t>
      </w:r>
      <w:hyperlink r:id="rId808">
        <w:r>
          <w:rPr>
            <w:color w:val="1155CC"/>
            <w:u w:val="single"/>
          </w:rPr>
          <w:t>稀土钙钛矿中的熵驱动自旋转变实现反馈吸附以增强酸性水氧化</w:t>
        </w:r>
      </w:hyperlink>
    </w:p>
    <w:p>
      <w:pPr>
        <w:spacing w:before="0" w:after="80"/>
      </w:pPr>
      <w:r>
        <w:rPr>
          <w:i/>
          <w:sz w:val="20"/>
        </w:rPr>
        <w:t>EN: Entropy‐Driven Spin Transition in Rare Earth Perovskites Enables Feedback Adsorption for Enhanced Acidic Water Oxidation</w:t>
      </w:r>
    </w:p>
    <w:p>
      <w:pPr>
        <w:spacing w:before="0" w:after="120"/>
      </w:pPr>
      <w:r>
        <w:rPr>
          <w:b/>
        </w:rPr>
        <w:t xml:space="preserve">Source: </w:t>
      </w:r>
      <w:r>
        <w:t>Wiley: Advanced Materials: Table of Contents</w:t>
      </w:r>
      <w:r>
        <w:t xml:space="preserve">    </w:t>
      </w:r>
      <w:r>
        <w:rPr>
          <w:b/>
        </w:rPr>
        <w:t xml:space="preserve">Pub date: </w:t>
      </w:r>
      <w:r>
        <w:t>2026-04-08 09:11:38+00:00</w:t>
      </w:r>
      <w:r>
        <w:t xml:space="preserve">    </w:t>
      </w:r>
      <w:r>
        <w:rPr>
          <w:b/>
        </w:rPr>
        <w:t xml:space="preserve">DOI: </w:t>
      </w:r>
      <w:hyperlink r:id="rId809">
        <w:r>
          <w:rPr>
            <w:color w:val="1155CC"/>
            <w:u w:val="single"/>
          </w:rPr>
          <w:t>10.1002/adma.73021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调节催化反应路径和位点反应行为以打破活性/稳定性权衡对酸性氧气析出反应（OER）提出了重大挑战。在此，提出了一种溶胶-凝胶法首次制备高熵稀土（HERE）钙钛矿氧化物 HERECoO3/RuO2（RE = La, Pr, Nd, Sm, Eu, Gd, Tb, Dy, Ho, Er, Tm, Yb, 和 Lu）用于pH通用的OER。(LaPrNdSmEu)CoO3/RuO2 在OER中实现了10 mA cm−2的电流密度，过电位仅为115 mV，并在0.1 A下稳定运行超过1000小时。</w:t>
      </w:r>
    </w:p>
    <w:p>
      <w:pPr>
        <w:spacing w:before="0" w:after="200" w:lineRule="auto" w:line="276"/>
      </w:pPr>
      <w:r>
        <w:rPr>
          <w:b/>
        </w:rPr>
        <w:t xml:space="preserve">Abstract (EN): </w:t>
      </w:r>
      <w:r>
        <w:t>Modulating catalytic reaction pathways and site reaction behaviors to break the activity/stability trade‐off poses significant challenges for the acid oxygen evolution reaction (OER). Herein, a sol‐gel method is proposed to prepare high entropy rare earth (HERE) perovskite oxides HERECoO</w:t>
      </w:r>
      <w:r>
        <w:rPr>
          <w:vertAlign w:val="subscript"/>
        </w:rPr>
        <w:t>3</w:t>
      </w:r>
      <w:r>
        <w:t>/RuO</w:t>
      </w:r>
      <w:r>
        <w:rPr>
          <w:vertAlign w:val="subscript"/>
        </w:rPr>
        <w:t>2</w:t>
      </w:r>
      <w:r>
        <w:t>(RE = La, Pr, Nd, Sm, Eu, Gd, Tb, Dy, Ho, Er, Tm, Yb, and Lu) for pH‐universal OER for the first time. (LaPrNdSmEu)CoO</w:t>
      </w:r>
      <w:r>
        <w:rPr>
          <w:vertAlign w:val="subscript"/>
        </w:rPr>
        <w:t>3</w:t>
      </w:r>
      <w:r>
        <w:t>/RuO</w:t>
      </w:r>
      <w:r>
        <w:rPr>
          <w:vertAlign w:val="subscript"/>
        </w:rPr>
        <w:t>2</w:t>
      </w:r>
      <w:r>
        <w:t>achieves a current density of 10 mA cm</w:t>
      </w:r>
      <w:r>
        <w:t xml:space="preserve"> </w:t>
      </w:r>
      <w:r>
        <w:t>−2</w:t>
      </w:r>
      <w:r>
        <w:t xml:space="preserve"> </w:t>
      </w:r>
      <w:r>
        <w:t>for OER with overpotentials of only 115 mV and operates stably over 1000 h at 0.1 A cm</w:t>
      </w:r>
      <w:r>
        <w:t xml:space="preserve"> </w:t>
      </w:r>
      <w:r>
        <w:t>−2</w:t>
      </w:r>
      <w:r>
        <w:t xml:space="preserve"> </w:t>
      </w:r>
      <w:r>
        <w:t>under the acidic condition. Experimental results indicate that the novel spin regulation‐lattice oxygen mechanism (SR‐LOM) induces a shift in the OER mechanism from the adsorption evolution mechanism (AEM) to LOM, and promotes the spin state transition of Co to optimize intermediate adsorption. Theoretical calculations have confirmed that the high entropy strategy has induced stronger interactions at the heterointerface, which not only accelerates the electron transfer but also promotes the electroactivity of the surface. Moreover, the lattice oxygen becomes more flexible in HERECO</w:t>
      </w:r>
      <w:r>
        <w:rPr>
          <w:vertAlign w:val="subscript"/>
        </w:rPr>
        <w:t>3</w:t>
      </w:r>
      <w:r>
        <w:t>/RuO</w:t>
      </w:r>
      <w:r>
        <w:rPr>
          <w:vertAlign w:val="subscript"/>
        </w:rPr>
        <w:t>2</w:t>
      </w:r>
      <w:r>
        <w:t>, enabling the LOM process to promote the superior OER with reduced energy barriers. Our findings provide a new way for the rational design of highly active RE‐based electrocatalysts.</w:t>
      </w:r>
    </w:p>
    <w:p>
      <w:pPr>
        <w:spacing w:before="120" w:after="120"/>
      </w:pPr>
      <w:r>
        <w:rPr>
          <w:sz w:val="18"/>
        </w:rPr>
        <w:t>——————————————————————————————————————————————————————————————————————</w:t>
      </w:r>
    </w:p>
    <w:p>
      <w:pPr>
        <w:spacing w:before="160" w:after="40" w:line="240" w:lineRule="auto"/>
      </w:pPr>
      <w:r>
        <w:rPr>
          <w:b/>
        </w:rPr>
        <w:t xml:space="preserve">[343] </w:t>
      </w:r>
      <w:hyperlink r:id="rId810">
        <w:r>
          <w:rPr>
            <w:color w:val="1155CC"/>
            <w:u w:val="single"/>
          </w:rPr>
          <w:t>电场驱动组装超薄和结晶iCOF膜用于高性能分子筛分</w:t>
        </w:r>
      </w:hyperlink>
    </w:p>
    <w:p>
      <w:pPr>
        <w:spacing w:before="0" w:after="80"/>
      </w:pPr>
      <w:r>
        <w:rPr>
          <w:i/>
          <w:sz w:val="20"/>
        </w:rPr>
        <w:t>EN: Electric‐Field‐Driven Assembly of Ultrathin and Crystalline iCOF Membranes for High‐Performance Molecular Sieving</w:t>
      </w:r>
    </w:p>
    <w:p>
      <w:pPr>
        <w:spacing w:before="0" w:after="120"/>
      </w:pPr>
      <w:r>
        <w:rPr>
          <w:b/>
        </w:rPr>
        <w:t xml:space="preserve">Source: </w:t>
      </w:r>
      <w:r>
        <w:t>Wiley: Angewandte Chemie International Edition: Table of Contents</w:t>
      </w:r>
      <w:r>
        <w:t xml:space="preserve">    </w:t>
      </w:r>
      <w:r>
        <w:rPr>
          <w:b/>
        </w:rPr>
        <w:t xml:space="preserve">Pub date: </w:t>
      </w:r>
      <w:r>
        <w:t>2026-04-08 09:11:43+00:00</w:t>
      </w:r>
      <w:r>
        <w:t xml:space="preserve">    </w:t>
      </w:r>
      <w:r>
        <w:rPr>
          <w:b/>
        </w:rPr>
        <w:t xml:space="preserve">DOI: </w:t>
      </w:r>
      <w:hyperlink r:id="rId811">
        <w:r>
          <w:rPr>
            <w:color w:val="1155CC"/>
            <w:u w:val="single"/>
          </w:rPr>
          <w:t>10.1002/anie.8585705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高性能离子共价有机框架（iCOF）膜的制造从根本上受到结构有序所需的缓慢结晶与无缺陷连续性所需的快速成膜之间的动力学冲突的限制。在此，我们引入了一种电场驱动组装（EFDA）策略，积极克服这一限制。通过在液-液界面上施加定向电场，我们创建了一个陡峭的场梯度，电泳泵送离子单体以对抗扩散障碍，实现快速且集中的界面富集。这种主动供应使得超薄（约45 nm）、连续且高度结晶的iCOF层能够快速（约4小时）生长——这一组合无与伦比。</w:t>
      </w:r>
    </w:p>
    <w:p>
      <w:pPr>
        <w:spacing w:before="0" w:after="200" w:lineRule="auto" w:line="276"/>
      </w:pPr>
      <w:r>
        <w:rPr>
          <w:b/>
        </w:rPr>
        <w:t xml:space="preserve">Abstract (EN): </w:t>
      </w:r>
      <w:r>
        <w:t>The fabrication of high‐performance ionic covalent organic framework (iCOF) membranes is fundamentally constrained by the kinetic conflict between the slow crystallization required for structural order and the rapid film formation needed for defect‐free continuity. Here, we introduce an electric‐field‐driven assembly (EFDA) strategy that actively overcomes this limitation. By applying a directional electric field across the liquid–liquid interface, we create a steep field gradient that electrophoretically pumps ionic monomers against diffusion barriers, achieving rapid and focused interfacial enrichment. This active supply enables the fast (∼4 h) growth of an ultrathin (∼45 nm), continuous, and highly crystalline iCOF layer—a combination unattainable by passive diffusion methods. The resultant membrane exhibits an exceptional water permeance of ∼70 L m</w:t>
      </w:r>
      <w:r>
        <w:t xml:space="preserve"> </w:t>
      </w:r>
      <w:r>
        <w:t>−2</w:t>
      </w:r>
      <w:r>
        <w:t xml:space="preserve"> </w:t>
      </w:r>
      <w:r>
        <w:t>·h</w:t>
      </w:r>
      <w:r>
        <w:t xml:space="preserve"> </w:t>
      </w:r>
      <w:r>
        <w:t>−1</w:t>
      </w:r>
      <w:r>
        <w:t xml:space="preserve"> </w:t>
      </w:r>
      <w:r>
        <w:t>·bar</w:t>
      </w:r>
      <w:r>
        <w:t xml:space="preserve"> </w:t>
      </w:r>
      <w:r>
        <w:t>−1</w:t>
      </w:r>
      <w:r>
        <w:t xml:space="preserve"> </w:t>
      </w:r>
      <w:r>
        <w:t>coupled with precise charge‐selective separation (&amp;gt;98% rejection of anionic dyes), outperforming most reported nanofiltration membranes. Demonstrated with various ionic monomers, the EFDA strategy presents a universal platform for the rational construction of advanced molecular sieving membranes.</w:t>
      </w:r>
    </w:p>
    <w:p>
      <w:pPr>
        <w:spacing w:before="120" w:after="120"/>
      </w:pPr>
      <w:r>
        <w:rPr>
          <w:sz w:val="18"/>
        </w:rPr>
        <w:t>——————————————————————————————————————————————————————————————————————</w:t>
      </w:r>
    </w:p>
    <w:p>
      <w:pPr>
        <w:spacing w:before="160" w:after="40" w:line="240" w:lineRule="auto"/>
      </w:pPr>
      <w:r>
        <w:rPr>
          <w:b/>
        </w:rPr>
        <w:t xml:space="preserve">[344] </w:t>
      </w:r>
      <w:hyperlink r:id="rId812">
        <w:r>
          <w:rPr>
            <w:color w:val="1155CC"/>
            <w:u w:val="single"/>
          </w:rPr>
          <w:t>直接芳基化缩聚：合成高性能聚合物半导体的新兴方案</w:t>
        </w:r>
      </w:hyperlink>
    </w:p>
    <w:p>
      <w:pPr>
        <w:spacing w:before="0" w:after="80"/>
      </w:pPr>
      <w:r>
        <w:rPr>
          <w:i/>
          <w:sz w:val="20"/>
        </w:rPr>
        <w:t>EN: Direct Arylation Polycondensations: Emerging Protocols for the Synthesis of High‐Performance Polymer Semiconductors</w:t>
      </w:r>
    </w:p>
    <w:p>
      <w:pPr>
        <w:spacing w:before="0" w:after="120"/>
      </w:pPr>
      <w:r>
        <w:rPr>
          <w:b/>
        </w:rPr>
        <w:t xml:space="preserve">Source: </w:t>
      </w:r>
      <w:r>
        <w:t>Wiley: Advanced Materials: Table of Contents</w:t>
      </w:r>
      <w:r>
        <w:t xml:space="preserve">    </w:t>
      </w:r>
      <w:r>
        <w:rPr>
          <w:b/>
        </w:rPr>
        <w:t xml:space="preserve">Pub date: </w:t>
      </w:r>
      <w:r>
        <w:t>2026-04-08 09:15:29+00:00</w:t>
      </w:r>
      <w:r>
        <w:t xml:space="preserve">    </w:t>
      </w:r>
      <w:r>
        <w:rPr>
          <w:b/>
        </w:rPr>
        <w:t xml:space="preserve">DOI: </w:t>
      </w:r>
      <w:hyperlink r:id="rId813">
        <w:r>
          <w:rPr>
            <w:color w:val="1155CC"/>
            <w:u w:val="single"/>
          </w:rPr>
          <w:t>10.1002/adma.73025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直接芳基化缩聚反应（DArP），包括C─Br和C─H单体的DArP以及C─H单体的氧化DArP，与传统的过渡金属催化缩聚反应相比，以其原子经济性和简单性为特征。在过去的十年中，DArP已成为合成用于有机薄膜晶体管（OTFTs）、有机太阳能电池（OSCs）、有机电化学晶体管（OECTs）等高性能聚合物半导体的有前途的方案。通过优化C─Br/C─H DArP的聚合条件，成功合成了几种现有的高分子量和低结构缺陷的高性能聚合物半导体，器件性能可与甚至超过共聚物相媲美。</w:t>
      </w:r>
    </w:p>
    <w:p>
      <w:pPr>
        <w:spacing w:before="0" w:after="200" w:lineRule="auto" w:line="276"/>
      </w:pPr>
      <w:r>
        <w:rPr>
          <w:b/>
        </w:rPr>
        <w:t xml:space="preserve">Abstract (EN): </w:t>
      </w:r>
      <w:r>
        <w:t>Direct arylation polycondensations (DArP), including the DArP of C─Br and C─H monomers and oxidative DArP of C─H monomer(s), are characterized by their atom economy and simplicity compared with conventional transition‐metal‐catalyzed polycondensations. In the past decade, DArP have emerged as promising protocols for synthesizing high‐performance polymer semiconductors used in organic thin‐film transistors (OTFTs), organic solar cells (OSCs), organic electrochemical transistors (OECTs), etc. Several existing high‐performance polymer semiconductors with high molecular weight and low structural defects have been successfully synthesized via optimizing the polymerization conditions of C─Br/C─H DArP, achieving device performances comparable to or even exceeding the counterparts obtained from conventional methods. Particularly, new C─H monomers, such as β‐halogenated thiophene derivatives and 5‐thiazoyl‐terminated aryls, have been designed with consideration of both the enhancement of C─H‐bond reactivity and semiconducting properties of the resulting polymers, enabling the synthesis of novel conjugated polymers with superior semiconducting properties via DArP as efficient as conventional protocols such as Stille and Suzuki polycondensations. In this article, we summarize the progress in high‐performance polymer semiconductors synthesized via DArP as mentioned above and discuss mechanistic insights underlying the improved polymerization outcomes.</w:t>
      </w:r>
    </w:p>
    <w:p>
      <w:pPr>
        <w:spacing w:before="120" w:after="120"/>
      </w:pPr>
      <w:r>
        <w:rPr>
          <w:sz w:val="18"/>
        </w:rPr>
        <w:t>——————————————————————————————————————————————————————————————————————</w:t>
      </w:r>
    </w:p>
    <w:p>
      <w:pPr>
        <w:spacing w:before="160" w:after="40" w:line="240" w:lineRule="auto"/>
      </w:pPr>
      <w:r>
        <w:rPr>
          <w:b/>
        </w:rPr>
        <w:t xml:space="preserve">[345] </w:t>
      </w:r>
      <w:hyperlink r:id="rId814">
        <w:r>
          <w:rPr>
            <w:color w:val="1155CC"/>
            <w:u w:val="single"/>
          </w:rPr>
          <w:t>稳定的基于蛋白质的G-四链体衍生超分子生物墨水作为可调节的ECM模拟结构，通过结合非共价和共价策略组装</w:t>
        </w:r>
      </w:hyperlink>
    </w:p>
    <w:p>
      <w:pPr>
        <w:spacing w:before="0" w:after="80"/>
      </w:pPr>
      <w:r>
        <w:rPr>
          <w:i/>
          <w:sz w:val="20"/>
        </w:rPr>
        <w:t>EN: Stable Protein‐Based G‐Quadruplex‐Derived Supramolecular Bioinks as Tunable ECM‐Mimetic Constructs Assembled by Combining Non‐Covalent and Covalent Strategies</w:t>
      </w:r>
    </w:p>
    <w:p>
      <w:pPr>
        <w:spacing w:before="0" w:after="120"/>
      </w:pPr>
      <w:r>
        <w:rPr>
          <w:b/>
        </w:rPr>
        <w:t xml:space="preserve">Source: </w:t>
      </w:r>
      <w:r>
        <w:t>Wiley: Advanced Materials: Table of Contents</w:t>
      </w:r>
      <w:r>
        <w:t xml:space="preserve">    </w:t>
      </w:r>
      <w:r>
        <w:rPr>
          <w:b/>
        </w:rPr>
        <w:t xml:space="preserve">Pub date: </w:t>
      </w:r>
      <w:r>
        <w:t>2026-04-08 09:16:48+00:00</w:t>
      </w:r>
      <w:r>
        <w:t xml:space="preserve">    </w:t>
      </w:r>
      <w:r>
        <w:rPr>
          <w:b/>
        </w:rPr>
        <w:t xml:space="preserve">DOI: </w:t>
      </w:r>
      <w:hyperlink r:id="rId815">
        <w:r>
          <w:rPr>
            <w:color w:val="1155CC"/>
            <w:u w:val="single"/>
          </w:rPr>
          <w:t>10.1002/adma.202521259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G-四链体水凝胶由于其动态超分子特性，在生物制造中具有巨大潜力，前提是克服其在生理条件下的固有不稳定性。在此，采用一种生物启发策略，协同结合超分子自组装（在大分子拥挤条件下）与浴内酶促共价交联，创造出稳定的、基于蛋白质的G-四链体衍生水凝胶。模拟拥挤的细胞内环境，添加Ficoll增强G-四链体的稳定性并调节流变行为，而转谷氨酰胺酶介导的交联加强网络，保持其结构完整性长时间。该组合方法产生了具有最佳粘度的可打印生物墨水。</w:t>
      </w:r>
    </w:p>
    <w:p>
      <w:pPr>
        <w:spacing w:before="0" w:after="200" w:lineRule="auto" w:line="276"/>
      </w:pPr>
      <w:r>
        <w:rPr>
          <w:b/>
        </w:rPr>
        <w:t xml:space="preserve">Abstract (EN): </w:t>
      </w:r>
      <w:r>
        <w:t>G‐quadruplex hydrogels hold great promise for biofabrication owing to their dynamic supramolecular nature, provided their inherent instability under physiological conditions is overcome. Here, a bioinspired strategy that synergistically combines supramolecular self‐assembly, under macromolecular crowding conditions, with in‐bath enzymatic covalent crosslinking was employed to create stable, protein‐based G‐quadruplex‐derived hydrogels. Mimicking the crowded intracellular milieu, the addition of Ficoll enhances G‐quadruplex stability and tunes the rheological behavior, while transglutaminase‐mediated crosslinking reinforces the network, preserving its structural integrity over extended periods. This combined approach yields printable bioinks with optimal viscosity, yield stress, and shear‐thinning properties, enabling the fabrication of complex, multilayered 3D constructs that support enhanced cell viability and proliferation within an extracellular matrix (ECM)‐mimetic fibrillar environment. Moreover, the modulation of the crosslinking density allows controlling cellular responses, offering a versatile platform for tailoring the biomechanical microenvironment. This study establishes a new class of hybrid G‐quadruplex hydrogel bioinks, exhibiting unprecedented stability under physiological conditions, biofunctionality, and off‐the‐shelf availability, unlocking their potential for advanced tissue engineering and regenerative medicine strategies.</w:t>
      </w:r>
    </w:p>
    <w:p>
      <w:pPr>
        <w:spacing w:before="120" w:after="120"/>
      </w:pPr>
      <w:r>
        <w:rPr>
          <w:sz w:val="18"/>
        </w:rPr>
        <w:t>——————————————————————————————————————————————————————————————————————</w:t>
      </w:r>
    </w:p>
    <w:p>
      <w:pPr>
        <w:spacing w:before="160" w:after="40" w:line="240" w:lineRule="auto"/>
      </w:pPr>
      <w:r>
        <w:rPr>
          <w:b/>
        </w:rPr>
        <w:t xml:space="preserve">[346] </w:t>
      </w:r>
      <w:hyperlink r:id="rId816">
        <w:r>
          <w:rPr>
            <w:color w:val="1155CC"/>
            <w:u w:val="single"/>
          </w:rPr>
          <w:t>稀土高熵氧化物中Ru位点的空间工程用于选择性氯电催化</w:t>
        </w:r>
      </w:hyperlink>
    </w:p>
    <w:p>
      <w:pPr>
        <w:spacing w:before="0" w:after="80"/>
      </w:pPr>
      <w:r>
        <w:rPr>
          <w:i/>
          <w:sz w:val="20"/>
        </w:rPr>
        <w:t>EN: Spatial Engineering of Ru Sites in Rare‐Earth High‐Entropy Oxides for Selective Chlorine Electrocatalysis</w:t>
      </w:r>
    </w:p>
    <w:p>
      <w:pPr>
        <w:spacing w:before="0" w:after="120"/>
      </w:pPr>
      <w:r>
        <w:rPr>
          <w:b/>
        </w:rPr>
        <w:t xml:space="preserve">Source: </w:t>
      </w:r>
      <w:r>
        <w:t>Wiley: Advanced Energy Materials: Table of Contents</w:t>
      </w:r>
      <w:r>
        <w:t xml:space="preserve">    </w:t>
      </w:r>
      <w:r>
        <w:rPr>
          <w:b/>
        </w:rPr>
        <w:t xml:space="preserve">Pub date: </w:t>
      </w:r>
      <w:r>
        <w:t>2026-04-08 09:20:02+00:00</w:t>
      </w:r>
      <w:r>
        <w:t xml:space="preserve">    </w:t>
      </w:r>
      <w:r>
        <w:rPr>
          <w:b/>
        </w:rPr>
        <w:t xml:space="preserve">DOI: </w:t>
      </w:r>
      <w:hyperlink r:id="rId817">
        <w:r>
          <w:rPr>
            <w:color w:val="1155CC"/>
            <w:u w:val="single"/>
          </w:rPr>
          <w:t>10.1002/aenm.70911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氯主要通过氯碱过程中的氯析出反应（CER）生产。然而，CER的较高平衡电位导致对Cl</w:t>
      </w:r>
      <w:r>
        <w:rPr>
          <w:vertAlign w:val="subscript"/>
        </w:rPr>
        <w:t>2</w:t>
      </w:r>
      <w:r>
        <w:t>的选择性较低，主要是因为水电解过程中竞争的氧析出反应（OER）。因此，开发对CER比OER更高效和选择性的电催化剂仍然是一个重大挑战。在此，我们提出了一种定制协议，用于制造具有可调晶界（GBs）的二维超薄高熵稀土氧化物（HE-REOs），作为锚定RuO</w:t>
      </w:r>
      <w:r>
        <w:rPr>
          <w:vertAlign w:val="subscript"/>
        </w:rPr>
        <w:t>2</w:t>
      </w:r>
      <w:r>
        <w:t>纳米岛的坚固支撑。集成的HE-REOs/RuO</w:t>
      </w:r>
      <w:r>
        <w:rPr>
          <w:vertAlign w:val="subscript"/>
        </w:rPr>
        <w:t>2</w:t>
      </w:r>
    </w:p>
    <w:p>
      <w:pPr>
        <w:spacing w:before="0" w:after="200" w:lineRule="auto" w:line="276"/>
      </w:pPr>
      <w:r>
        <w:rPr>
          <w:b/>
        </w:rPr>
        <w:t xml:space="preserve">Abstract (EN): </w:t>
      </w:r>
      <w:r>
        <w:t>Chlorine is primarily produced through the chlorine evolution reaction (CER) in the chlor‐alkali process. However, the higher equilibrium potential of CER leads to lower selectivity for Cl</w:t>
      </w:r>
      <w:r>
        <w:rPr>
          <w:vertAlign w:val="subscript"/>
        </w:rPr>
        <w:t>2</w:t>
      </w:r>
      <w:r>
        <w:t>, primarily because of the competing oxygen evolution reaction (OER) during water electrolysis. Therefore, developing highly efficient and selective electrocatalysts for CER over OER remains a significant challenge. Herein, we present a customized protocol to fabricate 2D, ultrathin high‐entropy rare earth oxides (HE‐REOs) with tunable grain boundaries (GBs), which serve as robust supports for anchoring RuO</w:t>
      </w:r>
      <w:r>
        <w:rPr>
          <w:vertAlign w:val="subscript"/>
        </w:rPr>
        <w:t>2</w:t>
      </w:r>
      <w:r>
        <w:t>nanoislands. The integrated HE‐REOs/RuO</w:t>
      </w:r>
      <w:r>
        <w:rPr>
          <w:vertAlign w:val="subscript"/>
        </w:rPr>
        <w:t>2</w:t>
      </w:r>
      <w:r>
        <w:t>heterostructure increases GB density through the multi‐metal entropy effect, optimizes the electronic structure of HE‐REOs, and establishes an intrinsic electron activation pathway that facilitates the delocalization of RE 4f electrons. The multiple sites in HE‐REOs result in excessive adsorption of OH species and inhibit oxygen evolution, while the unique selective oxygen preferential adsorption effect of the carrier enhances the efficient precipitation of Cl species from Ru sites. Notably, the optimal CeZrCoNiZnO/RuO</w:t>
      </w:r>
      <w:r>
        <w:rPr>
          <w:vertAlign w:val="subscript"/>
        </w:rPr>
        <w:t>2</w:t>
      </w:r>
      <w:r>
        <w:t>catalyst exhibits near‐100% selectivity for Cl</w:t>
      </w:r>
      <w:r>
        <w:rPr>
          <w:vertAlign w:val="subscript"/>
        </w:rPr>
        <w:t>2</w:t>
      </w:r>
      <w:r>
        <w:t>, a high mass activity of 38 850 A g</w:t>
      </w:r>
      <w:r>
        <w:t xml:space="preserve"> </w:t>
      </w:r>
      <w:r>
        <w:t>−1</w:t>
      </w:r>
      <w:r>
        <w:t xml:space="preserve"> </w:t>
      </w:r>
      <w:r>
        <w:t>Ru</w:t>
      </w:r>
      <w:r>
        <w:t xml:space="preserve"> </w:t>
      </w:r>
      <w:r>
        <w:t>, and exceptional durability exceeding 1000 h at 80°C. This work provides a promising strategy for optimizing the activity, selectivity, and stability of RE‐based catalysts through grain boundary engineering.</w:t>
      </w:r>
    </w:p>
    <w:p>
      <w:pPr>
        <w:spacing w:before="120" w:after="120"/>
      </w:pPr>
      <w:r>
        <w:rPr>
          <w:sz w:val="18"/>
        </w:rPr>
        <w:t>——————————————————————————————————————————————————————————————————————</w:t>
      </w:r>
    </w:p>
    <w:p>
      <w:pPr>
        <w:spacing w:before="160" w:after="40" w:line="240" w:lineRule="auto"/>
      </w:pPr>
      <w:r>
        <w:rPr>
          <w:b/>
        </w:rPr>
        <w:t xml:space="preserve">[347] </w:t>
      </w:r>
      <w:hyperlink r:id="rId818">
        <w:r>
          <w:rPr>
            <w:color w:val="1155CC"/>
            <w:u w:val="single"/>
          </w:rPr>
          <w:t>溶剂驱动的溶解-再生-迁移合成用于电催化半氢化的不对称碳纳米颗粒</w:t>
        </w:r>
      </w:hyperlink>
    </w:p>
    <w:p>
      <w:pPr>
        <w:spacing w:before="0" w:after="80"/>
      </w:pPr>
      <w:r>
        <w:rPr>
          <w:i/>
          <w:sz w:val="20"/>
        </w:rPr>
        <w:t>EN: Solvent‐Driven Dissolution‐Regrowth‐Migration Synthesis of Asymmetric Carbon Nanoparticles for Electrocatalytic Semihydrogenation</w:t>
      </w:r>
    </w:p>
    <w:p>
      <w:pPr>
        <w:spacing w:before="0" w:after="120"/>
      </w:pPr>
      <w:r>
        <w:rPr>
          <w:b/>
        </w:rPr>
        <w:t xml:space="preserve">Source: </w:t>
      </w:r>
      <w:r>
        <w:t>Wiley: Advanced Materials: Table of Contents</w:t>
      </w:r>
      <w:r>
        <w:t xml:space="preserve">    </w:t>
      </w:r>
      <w:r>
        <w:rPr>
          <w:b/>
        </w:rPr>
        <w:t xml:space="preserve">Pub date: </w:t>
      </w:r>
      <w:r>
        <w:t>2026-04-08 09:25:08+00:00</w:t>
      </w:r>
      <w:r>
        <w:t xml:space="preserve">    </w:t>
      </w:r>
      <w:r>
        <w:rPr>
          <w:b/>
        </w:rPr>
        <w:t xml:space="preserve">DOI: </w:t>
      </w:r>
      <w:hyperlink r:id="rId819">
        <w:r>
          <w:rPr>
            <w:color w:val="1155CC"/>
            <w:u w:val="single"/>
          </w:rPr>
          <w:t>10.1002/adma.72988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于其独特的物理化学性质和有前景的应用，非对称纳米结构材料备受关注。然而，具有精确控制形貌和高曲率界面的分级非对称结构的一步合成仍然具有挑战性。在此，我们提出了一种溶剂驱动的溶解-再生-迁移（SDM）策略，该策略引导酚醛树脂的生长并调节水-油界面，实现了一锅法制备由介孔纳米球“头”和高度弯曲的层状纳米片“尾”组成的非对称聚合物和碳纳米颗粒。该SDM过程将自下而上的自组装与自上而下的选择性蚀刻和再聚合相结合，实现了</w:t>
      </w:r>
    </w:p>
    <w:p>
      <w:pPr>
        <w:spacing w:before="0" w:after="200" w:lineRule="auto" w:line="276"/>
      </w:pPr>
      <w:r>
        <w:rPr>
          <w:b/>
        </w:rPr>
        <w:t xml:space="preserve">Abstract (EN): </w:t>
      </w:r>
      <w:r>
        <w:t>Asymmetric nanostructured materials are of significant interest due to their unique physicochemical properties and promising applications. However, the one‐step synthesis of hierarchical asymmetric architectures with precisely controlled morphology and high‐curvature interfaces remains challenging. Here, we propose a solvent‐driven dissolution‐regrowth‐migration (SDM) strategy that directs the growth of phenolic resin and regulates the water‐oil interface, enabling the one‐pot fabrication of asymmetric polymeric and carbon nanoparticles consisting of a mesoporous nanosphere “head” and highly curved lamellar nanosheet “tail”. This SDM process integrates bottom‐up self‐assembly with top‐down selective etching and repolymerization, achieving an “internal‐external synergy” that precisely tailors the surface migration process and asymmetric nanoarchitecture by simply tuning the ethanol content. The asymmetric carbon electrocatalyst, ACN‐PdCu, possesses a higher specific surface area, uniformly dispersed PdCu alloy phases, and an elevated Cu</w:t>
      </w:r>
      <w:r>
        <w:rPr>
          <w:vertAlign w:val="subscript"/>
        </w:rPr>
        <w:t>0</w:t>
      </w:r>
      <w:r>
        <w:t>/Cu</w:t>
      </w:r>
      <w:r>
        <w:t xml:space="preserve"> </w:t>
      </w:r>
      <w:r>
        <w:t>δ</w:t>
      </w:r>
      <w:r>
        <w:t xml:space="preserve"> </w:t>
      </w:r>
      <w:r>
        <w:t>+</w:t>
      </w:r>
      <w:r>
        <w:t xml:space="preserve"> </w:t>
      </w:r>
      <w:r>
        <w:t>ratio compared with conventional symmetric nanoparticles. Finite‐element simulations and theoretical calculations uncover that this asymmetric architecture enhances local mass diffusion, strengthens substrate adsorption and activation, as well as facilitates charge transfer, thereby improving overall catalytic performance toward the electrocatalytic semihydrogenation of 3‐butyne‐1‐ol, achieving &amp;gt;92% conversion and &amp;gt;98% selectivity to 3‐butene‐1‐ol, along with excellent cycling stability. The SDM strategy opens a new avenue for designing asymmetric architectures and advanced functional materials with enhanced catalytic activities.</w:t>
      </w:r>
    </w:p>
    <w:p>
      <w:pPr>
        <w:spacing w:before="120" w:after="120"/>
      </w:pPr>
      <w:r>
        <w:rPr>
          <w:sz w:val="18"/>
        </w:rPr>
        <w:t>——————————————————————————————————————————————————————————————————————</w:t>
      </w:r>
    </w:p>
    <w:p>
      <w:pPr>
        <w:spacing w:before="160" w:after="40" w:line="240" w:lineRule="auto"/>
      </w:pPr>
      <w:r>
        <w:rPr>
          <w:b/>
        </w:rPr>
        <w:t xml:space="preserve">[348] </w:t>
      </w:r>
      <w:hyperlink r:id="rId820">
        <w:r>
          <w:rPr>
            <w:color w:val="1155CC"/>
            <w:u w:val="single"/>
          </w:rPr>
          <w:t>[ASAP] 同共轭启用的Kagome能带在层解耦二维导电三苯基烯基金属有机框架中的表现</w:t>
        </w:r>
      </w:hyperlink>
    </w:p>
    <w:p>
      <w:pPr>
        <w:spacing w:before="0" w:after="80"/>
      </w:pPr>
      <w:r>
        <w:rPr>
          <w:i/>
          <w:sz w:val="20"/>
        </w:rPr>
        <w:t>EN: [ASAP] Homoconjugation-Enabled Kagome Bands in a Layer-Decoupled Two-Dimensional Conductive Triptycene-Based Metal–Organic Framework</w:t>
      </w:r>
    </w:p>
    <w:p>
      <w:pPr>
        <w:spacing w:before="0" w:after="120"/>
      </w:pPr>
      <w:r>
        <w:rPr>
          <w:b/>
        </w:rPr>
        <w:t xml:space="preserve">Source: </w:t>
      </w:r>
      <w:r>
        <w:t>Journal of the American Chemical Society: Latest Articles (ACS Publications)</w:t>
      </w:r>
      <w:r>
        <w:t xml:space="preserve">    </w:t>
      </w:r>
      <w:r>
        <w:rPr>
          <w:b/>
        </w:rPr>
        <w:t xml:space="preserve">Pub date: </w:t>
      </w:r>
      <w:r>
        <w:t>2026-04-08 09:29:12+00:00</w:t>
      </w:r>
      <w:r>
        <w:t xml:space="preserve">    </w:t>
      </w:r>
      <w:r>
        <w:rPr>
          <w:b/>
        </w:rPr>
        <w:t xml:space="preserve">DOI: </w:t>
      </w:r>
      <w:hyperlink r:id="rId821">
        <w:r>
          <w:rPr>
            <w:color w:val="1155CC"/>
            <w:u w:val="single"/>
          </w:rPr>
          <w:t>10.1021/jacs.6c00558</w:t>
        </w:r>
      </w:hyperlink>
    </w:p>
    <w:p>
      <w:pPr>
        <w:spacing w:before="0" w:after="120"/>
      </w:pPr>
      <w:r>
        <w:rPr>
          <w:b/>
        </w:rPr>
        <w:t xml:space="preserve">Notes: </w:t>
      </w:r>
      <w:r>
        <w:t>abstract_source=pubmed</w:t>
      </w:r>
    </w:p>
    <w:p>
      <w:pPr>
        <w:spacing w:before="0" w:after="80" w:lineRule="auto" w:line="276"/>
      </w:pPr>
      <w:r>
        <w:rPr>
          <w:b/>
        </w:rPr>
        <w:t xml:space="preserve">摘要（ZH）: </w:t>
      </w:r>
      <w:r>
        <w:t>二维（2D）导电金属有机框架（MOFs）作为多孔导体已被广泛研究，其中面内电子离域化源于π-d共轭，而额外的面外电荷传输通过层间π-π相互作用产生。然而，在大多数2D MOFs中，层间相互作用导致堆叠依赖的电子和传输特性，引入了显著的结构和电子变异性，模糊了固有的物理行为。在此，我们证明将三苯基核心引入Ni-六亚胺苯连接中，形成晶体2D框架Ni3(HITrip)2，其中层间π-π耦合被有效消除。因此，该材料在体内保持其固有的面内电子拓扑结构</w:t>
      </w:r>
    </w:p>
    <w:p>
      <w:pPr>
        <w:spacing w:before="0" w:after="200" w:lineRule="auto" w:line="276"/>
      </w:pPr>
      <w:r>
        <w:rPr>
          <w:b/>
        </w:rPr>
        <w:t xml:space="preserve">Abstract (EN): </w:t>
      </w:r>
      <w:r>
        <w:t>Two-dimensional (2D) conductive metal-organic frameworks (MOFs) have been widely investigated as porous conductors in which in-plane electronic delocalization arises from π-d conjugation, while additional out-of-plane charge transport emerges through interlayer π-π interactions. However, in most 2D MOFs, interlayer interactions lead to stacking-dependent electronic and transport properties, introducing substantial structural and electronic variability that obscures the intrinsic physical behavior. Here, we demonstrate that incorporating a triptycene-based core into Ni-hexaiminophenylene linkages yields crystalline 2D frameworks, Ni3(HITrip)2, in which interlayer π-π coupling is effectively eliminated. As a result, the material preserves its intrinsic in-plane electronic topology in the bulk, independent of the stacking arrangement. The material exhibits a high bulk electrical conductivity of 0.58 S cm-1 despite having a finite band gap, a large surface area, and a strongly anisotropic transport. Density functional theory calculations suggest that these properties arise from the preserved symmetry-protected Dirac cone trivial topology within the layer-stacked bulk structure, governed by radicals in the quartet-state linker. This study establishes a general design strategy in which linker geometry is leveraged to suppress interlayer coupling, enabling experimental realization of monolayer-like electronic structures in stacked 2D MOF and providing a robust experimental platform for low-dimensional 2D MOF electronics and kagome lattice-based topological studies.</w:t>
      </w:r>
    </w:p>
    <w:p>
      <w:pPr>
        <w:spacing w:before="120" w:after="120"/>
      </w:pPr>
      <w:r>
        <w:rPr>
          <w:sz w:val="18"/>
        </w:rPr>
        <w:t>——————————————————————————————————————————————————————————————————————</w:t>
      </w:r>
    </w:p>
    <w:p>
      <w:pPr>
        <w:spacing w:before="160" w:after="40" w:line="240" w:lineRule="auto"/>
      </w:pPr>
      <w:r>
        <w:rPr>
          <w:b/>
        </w:rPr>
        <w:t xml:space="preserve">[349] </w:t>
      </w:r>
      <w:hyperlink r:id="rId822">
        <w:r>
          <w:rPr>
            <w:color w:val="1155CC"/>
            <w:u w:val="single"/>
          </w:rPr>
          <w:t>用于传感器内颜色过滤和光谱逻辑的二维可重构光电二极管</w:t>
        </w:r>
      </w:hyperlink>
    </w:p>
    <w:p>
      <w:pPr>
        <w:spacing w:before="0" w:after="80"/>
      </w:pPr>
      <w:r>
        <w:rPr>
          <w:i/>
          <w:sz w:val="20"/>
        </w:rPr>
        <w:t>EN: Two‐Dimensional Reconfigurable Photodiode for In‐Sensor Color Filtering and Spectral Logic</w:t>
      </w:r>
    </w:p>
    <w:p>
      <w:pPr>
        <w:spacing w:before="0" w:after="120"/>
      </w:pPr>
      <w:r>
        <w:rPr>
          <w:b/>
        </w:rPr>
        <w:t xml:space="preserve">Source: </w:t>
      </w:r>
      <w:r>
        <w:t>Wiley: Advanced Materials: Table of Contents</w:t>
      </w:r>
      <w:r>
        <w:t xml:space="preserve">    </w:t>
      </w:r>
      <w:r>
        <w:rPr>
          <w:b/>
        </w:rPr>
        <w:t xml:space="preserve">Pub date: </w:t>
      </w:r>
      <w:r>
        <w:t>2026-04-08 09:30:09+00:00</w:t>
      </w:r>
      <w:r>
        <w:t xml:space="preserve">    </w:t>
      </w:r>
      <w:r>
        <w:rPr>
          <w:b/>
        </w:rPr>
        <w:t xml:space="preserve">DOI: </w:t>
      </w:r>
      <w:hyperlink r:id="rId823">
        <w:r>
          <w:rPr>
            <w:color w:val="1155CC"/>
            <w:u w:val="single"/>
          </w:rPr>
          <w:t>10.1002/adma.72975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波长选择性光电探测器对于高光谱成像、生物医学诊断和安全光通信等应用至关重要。传统的光电探测系统通常依赖于外部滤波器或后处理来解析光谱信息，这导致系统复杂性增加和数据传输开销增大。在此，我们报告了一种基于空间图案化掺杂二硒化钨（WSe</w:t>
      </w:r>
      <w:r>
        <w:rPr>
          <w:vertAlign w:val="subscript"/>
        </w:rPr>
        <w:t>2</w:t>
      </w:r>
      <w:r>
        <w:t>）的可重构光电二极管，其表现出两种运行时可切换的光电探测模式以及在可见光谱范围内的双向波长依赖性电导调制。在宽带光电探测模式下，该器件表现出快速响应和高线性动态范围。</w:t>
      </w:r>
    </w:p>
    <w:p>
      <w:pPr>
        <w:spacing w:before="0" w:after="200" w:lineRule="auto" w:line="276"/>
      </w:pPr>
      <w:r>
        <w:rPr>
          <w:b/>
        </w:rPr>
        <w:t xml:space="preserve">Abstract (EN): </w:t>
      </w:r>
      <w:r>
        <w:t>Wavelength‐selective photodetectors are essential for applications such as hyperspectral imaging, biomedical diagnostics, and secure optical communication. Conventional photodetection systems typically rely on external filters or post‐processing to resolve spectral information, leading to increased system complexity and data transfer overhead. Here, we report a reconfigurable photodiode based on spatially patterned doped tungsten diselenide (WSe</w:t>
      </w:r>
      <w:r>
        <w:rPr>
          <w:vertAlign w:val="subscript"/>
        </w:rPr>
        <w:t>2</w:t>
      </w:r>
      <w:r>
        <w:t>), which exhibits two runtime switchable photodetection modes and a bidirectional wavelength‐dependent conductance modulation across the visible spectrum. Under a broadband photodetection mode, the device exhibited a fast response and a high linear dynamic range of 72 dB. Meanwhile, under color‐filtering mode, the device enables nonvolatile and color‐selective detection spanning from 445 to 780 nm, to experimentally achieve the in‐sensor spectral processing, including color‐based logic operations and object trajectory recognition within the visible wavelength range. We further demonstrate its application in encrypted information identification using chromatically encoded digit patterns, where the device selectively decodes multicolor information via bias‐controlled readout. Simulation results confirm high classification accuracies of approximately 98.99% for red and 98.76% for green patterns using a standard convolutional neural network, highlighting the potential of this platform for hardware‐level spectral‐domain information processing with reduced system complexity.</w:t>
      </w:r>
    </w:p>
    <w:p>
      <w:pPr>
        <w:spacing w:before="120" w:after="120"/>
      </w:pPr>
      <w:r>
        <w:rPr>
          <w:sz w:val="18"/>
        </w:rPr>
        <w:t>——————————————————————————————————————————————————————————————————————</w:t>
      </w:r>
    </w:p>
    <w:p>
      <w:pPr>
        <w:spacing w:before="160" w:after="40" w:line="240" w:lineRule="auto"/>
      </w:pPr>
      <w:r>
        <w:rPr>
          <w:b/>
        </w:rPr>
        <w:t xml:space="preserve">[350] </w:t>
      </w:r>
      <w:hyperlink r:id="rId824">
        <w:r>
          <w:rPr>
            <w:color w:val="1155CC"/>
            <w:u w:val="single"/>
          </w:rPr>
          <w:t>电极“鸡尾酒效应”实现乙腈的C─C键选择性断裂用于芳基卤化物甲基化</w:t>
        </w:r>
      </w:hyperlink>
    </w:p>
    <w:p>
      <w:pPr>
        <w:spacing w:before="0" w:after="80"/>
      </w:pPr>
      <w:r>
        <w:rPr>
          <w:i/>
          <w:sz w:val="20"/>
        </w:rPr>
        <w:t>EN: Electrode “Cocktail Effect” Enables Charge Selective C─C Bond Cleavage of Acetonitrile for Aryl Halide Methylation</w:t>
      </w:r>
    </w:p>
    <w:p>
      <w:pPr>
        <w:spacing w:before="0" w:after="120"/>
      </w:pPr>
      <w:r>
        <w:rPr>
          <w:b/>
        </w:rPr>
        <w:t xml:space="preserve">Source: </w:t>
      </w:r>
      <w:r>
        <w:t>Wiley: Angewandte Chemie International Edition: Table of Contents</w:t>
      </w:r>
      <w:r>
        <w:t xml:space="preserve">    </w:t>
      </w:r>
      <w:r>
        <w:rPr>
          <w:b/>
        </w:rPr>
        <w:t xml:space="preserve">Pub date: </w:t>
      </w:r>
      <w:r>
        <w:t>2026-04-08 09:35:42+00:00</w:t>
      </w:r>
      <w:r>
        <w:t xml:space="preserve">    </w:t>
      </w:r>
      <w:r>
        <w:rPr>
          <w:b/>
        </w:rPr>
        <w:t xml:space="preserve">DOI: </w:t>
      </w:r>
      <w:hyperlink r:id="rId825">
        <w:r>
          <w:rPr>
            <w:color w:val="1155CC"/>
            <w:u w:val="single"/>
          </w:rPr>
          <w:t>10.1002/anie.5830573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芳香框架上引入一个甲基可以显著改变分子性质和生物活性。然而，由于选择性断裂C─C键和在没有有机金属催化剂的情况下稳定生成的甲基物种的困难，使用简单且廉价的乙腈进行可控芳香甲基化仍然具有挑战性。在此，我们报告了一种由不锈钢阴极实现的电极控制电化学甲基化策略，其中来自电荷差异化的Cr、Fe和Ni位点的协同作用产生的多金属“鸡尾酒效应”促进了乙腈极化、选择性C─C键断裂和表面吸附甲基自由基的稳定。芴被用作一个示例。</w:t>
      </w:r>
    </w:p>
    <w:p>
      <w:pPr>
        <w:spacing w:before="0" w:after="200" w:lineRule="auto" w:line="276"/>
      </w:pPr>
      <w:r>
        <w:rPr>
          <w:b/>
        </w:rPr>
        <w:t xml:space="preserve">Abstract (EN): </w:t>
      </w:r>
      <w:r>
        <w:t>The introduction of a single methyl group onto aromatic frameworks can profoundly alter molecular properties and biological activity. However, controllable aromatic methylation using simple and inexpensive acetonitrile remains challenging due to the difficulty of selectively cleaving the C─C bond and stabilizing the resulting methyl species without organometallic catalysts. Herein, we report an electrode‐controlled electrochemical methylation strategy enabled by a stainless steel cathode, in which a multi‐metallic “cocktail effect” arising from the cooperative interaction of charge‐differentiated Cr, Fe, and Ni sites promotes acetonitrile polarization, selective C─C bond cleavage, and stabilization of surface‐adsorbed methyl radicals. Fluorene is employed as a single electron transfer mediator to selectively activate aryl halides and generate aryl radicals, which subsequently attack the electrode‐stabilized methyl radicals to afford the methylated products. This cooperative electrode‐mediator system enables selective coupling of substrates with diverse properties and provides a general platform for controlled radical transformations.</w:t>
      </w:r>
    </w:p>
    <w:p>
      <w:pPr>
        <w:spacing w:before="120" w:after="120"/>
      </w:pPr>
      <w:r>
        <w:rPr>
          <w:sz w:val="18"/>
        </w:rPr>
        <w:t>——————————————————————————————————————————————————————————————————————</w:t>
      </w:r>
    </w:p>
    <w:p>
      <w:pPr>
        <w:spacing w:before="160" w:after="40" w:line="240" w:lineRule="auto"/>
      </w:pPr>
      <w:r>
        <w:rPr>
          <w:b/>
        </w:rPr>
        <w:t xml:space="preserve">[351] </w:t>
      </w:r>
      <w:hyperlink r:id="rId826">
        <w:r>
          <w:rPr>
            <w:color w:val="1155CC"/>
            <w:u w:val="single"/>
          </w:rPr>
          <w:t>具有编程拓扑手性特征的12交叉顶点融合双三角形[5]轮烷</w:t>
        </w:r>
      </w:hyperlink>
    </w:p>
    <w:p>
      <w:pPr>
        <w:spacing w:before="0" w:after="80"/>
      </w:pPr>
      <w:r>
        <w:rPr>
          <w:i/>
          <w:sz w:val="20"/>
        </w:rPr>
        <w:t>EN: A 12‐Crossing Vertex‐Fused Double‐Triangle [5]Catenane with Programmed Topological Handedness</w:t>
      </w:r>
    </w:p>
    <w:p>
      <w:pPr>
        <w:spacing w:before="0" w:after="120"/>
      </w:pPr>
      <w:r>
        <w:rPr>
          <w:b/>
        </w:rPr>
        <w:t xml:space="preserve">Source: </w:t>
      </w:r>
      <w:r>
        <w:t>Wiley: Angewandte Chemie International Edition: Table of Contents</w:t>
      </w:r>
      <w:r>
        <w:t xml:space="preserve">    </w:t>
      </w:r>
      <w:r>
        <w:rPr>
          <w:b/>
        </w:rPr>
        <w:t xml:space="preserve">Pub date: </w:t>
      </w:r>
      <w:r>
        <w:t>2026-04-08 09:36:42+00:00</w:t>
      </w:r>
      <w:r>
        <w:t xml:space="preserve">    </w:t>
      </w:r>
      <w:r>
        <w:rPr>
          <w:b/>
        </w:rPr>
        <w:t xml:space="preserve">DOI: </w:t>
      </w:r>
      <w:hyperlink r:id="rId827">
        <w:r>
          <w:rPr>
            <w:color w:val="1155CC"/>
            <w:u w:val="single"/>
          </w:rPr>
          <w:t>10.1002/anie.9559726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高交叉机械互锁分子因其密集的缠结可以编码不寻常的立体化学而具有吸引力，但可预测的手性仍然难以实现。我们展示了在配位驱动的自组装中多重互锁可以获得一个12交叉顶点融合双三角形[5]轮烷（Rh-2 R）。X射线晶体学揭示了一个复合的T(3,3)#T(3,3)拓扑结构，可以看作是两个Hopf链接衍生的T(3,3)单元共享一个中心四核环。Rh-2 R的拓扑手性追踪了Hopf链接结构的共构机械螺旋性，并且相反。</w:t>
      </w:r>
    </w:p>
    <w:p>
      <w:pPr>
        <w:spacing w:before="0" w:after="200" w:lineRule="auto" w:line="276"/>
      </w:pPr>
      <w:r>
        <w:rPr>
          <w:b/>
        </w:rPr>
        <w:t xml:space="preserve">Abstract (EN): </w:t>
      </w:r>
      <w:r>
        <w:t>High‐crossing mechanically interlocked molecules are attractive because their dense entanglement can encode unusual stereochemistry, but predictable handedness remains difficult to achieve. Here we show that multiple interlocking in coordination‐driven self‐assembly gives access to a 12‐crossing vertex‐fused double‐triangle [5]catenane (</w:t>
      </w:r>
      <w:r>
        <w:t xml:space="preserve"> </w:t>
      </w:r>
      <w:r>
        <w:t>Rh‐2</w:t>
      </w:r>
      <w:r>
        <w:t xml:space="preserve"> </w:t>
      </w:r>
      <w:r>
        <w:t>R</w:t>
      </w:r>
      <w:r>
        <w:t xml:space="preserve"> </w:t>
      </w:r>
      <w:r>
        <w:t>). X‐ray crystallography reveals a composite T(3,3)#T(3,3) topology that can be viewed as two Hopf‐link‐derived T(3,3) units sharing a central tetranuclear ring. The topological handedness of</w:t>
      </w:r>
      <w:r>
        <w:t xml:space="preserve"> </w:t>
      </w:r>
      <w:r>
        <w:t>Rh‐2</w:t>
      </w:r>
      <w:r>
        <w:t xml:space="preserve"> </w:t>
      </w:r>
      <w:r>
        <w:t>R</w:t>
      </w:r>
      <w:r>
        <w:t xml:space="preserve"> </w:t>
      </w:r>
      <w:r>
        <w:t>tracks the coconformational mechanical helicity of the Hopf‐link motifs, and the opposite ligand enantiomer gives the mirror‐image product both in solution and in the solid state. The solvent composition or concentration shifts the balance between</w:t>
      </w:r>
      <w:r>
        <w:t xml:space="preserve"> </w:t>
      </w:r>
      <w:r>
        <w:t>Rh‐2</w:t>
      </w:r>
      <w:r>
        <w:t xml:space="preserve"> </w:t>
      </w:r>
      <w:r>
        <w:t>R</w:t>
      </w:r>
      <w:r>
        <w:t xml:space="preserve"> </w:t>
      </w:r>
      <w:r>
        <w:t>and a less entangled Hopf‐linked state (</w:t>
      </w:r>
      <w:r>
        <w:t xml:space="preserve"> </w:t>
      </w:r>
      <w:r>
        <w:t>Rh‑2′</w:t>
      </w:r>
      <w:r>
        <w:t xml:space="preserve"> </w:t>
      </w:r>
      <w:r>
        <w:t>R</w:t>
      </w:r>
      <w:r>
        <w:t xml:space="preserve"> </w:t>
      </w:r>
      <w:r>
        <w:t>), whereas increased ligand steric demand suppresses multiple interlocking. These results reveal that Hopf links can serve as modular stereochemical directors for building and modulating complex topologically chiral links.</w:t>
      </w:r>
    </w:p>
    <w:p>
      <w:pPr>
        <w:spacing w:before="120" w:after="120"/>
      </w:pPr>
      <w:r>
        <w:rPr>
          <w:sz w:val="18"/>
        </w:rPr>
        <w:t>——————————————————————————————————————————————————————————————————————</w:t>
      </w:r>
    </w:p>
    <w:p>
      <w:pPr>
        <w:spacing w:before="160" w:after="40" w:line="240" w:lineRule="auto"/>
      </w:pPr>
      <w:r>
        <w:rPr>
          <w:b/>
        </w:rPr>
        <w:t xml:space="preserve">[352] </w:t>
      </w:r>
      <w:hyperlink r:id="rId828">
        <w:r>
          <w:rPr>
            <w:color w:val="1155CC"/>
            <w:u w:val="single"/>
          </w:rPr>
          <w:t>用于室温铁电性的柔性多孔配位聚合物中的供体-受体堆积</w:t>
        </w:r>
      </w:hyperlink>
    </w:p>
    <w:p>
      <w:pPr>
        <w:spacing w:before="0" w:after="80"/>
      </w:pPr>
      <w:r>
        <w:rPr>
          <w:i/>
          <w:sz w:val="20"/>
        </w:rPr>
        <w:t>EN: Donor‐Acceptor Stacks in Flexible Porous Coordination Polymers Toward Room‐Temperature Ferroelectricity</w:t>
      </w:r>
    </w:p>
    <w:p>
      <w:pPr>
        <w:spacing w:before="0" w:after="120"/>
      </w:pPr>
      <w:r>
        <w:rPr>
          <w:b/>
        </w:rPr>
        <w:t xml:space="preserve">Source: </w:t>
      </w:r>
      <w:r>
        <w:t>Wiley: Angewandte Chemie International Edition: Table of Contents</w:t>
      </w:r>
      <w:r>
        <w:t xml:space="preserve">    </w:t>
      </w:r>
      <w:r>
        <w:rPr>
          <w:b/>
        </w:rPr>
        <w:t xml:space="preserve">Pub date: </w:t>
      </w:r>
      <w:r>
        <w:t>2026-04-08 09:42:16+00:00</w:t>
      </w:r>
      <w:r>
        <w:t xml:space="preserve">    </w:t>
      </w:r>
      <w:r>
        <w:rPr>
          <w:b/>
        </w:rPr>
        <w:t xml:space="preserve">DOI: </w:t>
      </w:r>
      <w:hyperlink r:id="rId829">
        <w:r>
          <w:rPr>
            <w:color w:val="1155CC"/>
            <w:u w:val="single"/>
          </w:rPr>
          <w:t>10.1002/anie.3779576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铁电性由于其在信息存储技术中的巨大潜力和广泛的应用而长期以来一直是科学研究的热点。金属有机框架（MOFs）或多孔配位聚合物（PCPs）凭借其结构可调性和动态主客体化学，提供了一个强大的平台来设计下一代铁电材料。然而，铁电MOFs/PCPs的进展受到其固有的弱极化的限制，限制了在室温下实现非平凡的可切换铁电性的可能性。我们解决了这一限制，报告了一系列具有混合供体-受体（D-A）堆叠的柔性PCPs，旨在实现室温铁电性。</w:t>
      </w:r>
    </w:p>
    <w:p>
      <w:pPr>
        <w:spacing w:before="0" w:after="200" w:lineRule="auto" w:line="276"/>
      </w:pPr>
      <w:r>
        <w:rPr>
          <w:b/>
        </w:rPr>
        <w:t xml:space="preserve">Abstract (EN): </w:t>
      </w:r>
      <w:r>
        <w:t>Ferroelectricity has long been of great scientific interest due to its tremendous potential for information storage technologies and wide‐ranging applications. Metal‐organic frameworks (MOFs) or porous coordination polymers (PCPs), with their structural tunability and dynamic host‐guest chemistry, offer a powerful platform for engineering next‐generation ferroelectrics. However, progress in ferroelectric MOFs/PCPs has been limited by their intrinsically weak polarization, restricting the realization of non‐trivial switchable ferroelectricity feasible at room temperature. We address this limitation, reporting a series of flexible PCPs with mixed donor‐acceptor (D‐A) stacks designed to achieve room‐temperature ferroelectricity</w:t>
      </w:r>
      <w:r>
        <w:t xml:space="preserve"> </w:t>
      </w:r>
      <w:r>
        <w:t>via</w:t>
      </w:r>
      <w:r>
        <w:t xml:space="preserve"> </w:t>
      </w:r>
      <w:r>
        <w:t>strong charge‐transfer interactions. The 3D Zn‐based PCP, {[Zn(</w:t>
      </w:r>
      <w:r>
        <w:t xml:space="preserve"> </w:t>
      </w:r>
      <w:r>
        <w:t>o</w:t>
      </w:r>
      <w:r>
        <w:t xml:space="preserve"> </w:t>
      </w:r>
      <w:r>
        <w:t>‐phen)(2,6‐ndc)]·DMF}</w:t>
      </w:r>
      <w:r>
        <w:t xml:space="preserve"> </w:t>
      </w:r>
      <w:r>
        <w:t>n</w:t>
      </w:r>
      <w:r>
        <w:t xml:space="preserve"> </w:t>
      </w:r>
      <w:r>
        <w:t>, having a supramolecular dynamic nano‐space for D‐A stacking, exhibits intrinsic flexibility that endows structural adaptation to the guest molecules of varying shape, size, and chemical nature. The encapsulation of electron‐rich aromatic amine guests like</w:t>
      </w:r>
      <w:r>
        <w:t xml:space="preserve"> </w:t>
      </w:r>
      <w:r>
        <w:t>N</w:t>
      </w:r>
      <w:r>
        <w:t xml:space="preserve"> </w:t>
      </w:r>
      <w:r>
        <w:t>,</w:t>
      </w:r>
      <w:r>
        <w:t xml:space="preserve"> </w:t>
      </w:r>
      <w:r>
        <w:t>N</w:t>
      </w:r>
      <w:r>
        <w:t xml:space="preserve"> </w:t>
      </w:r>
      <w:r>
        <w:t>′‐dimethyl aniline and</w:t>
      </w:r>
      <w:r>
        <w:t xml:space="preserve"> </w:t>
      </w:r>
      <w:r>
        <w:t>N</w:t>
      </w:r>
      <w:r>
        <w:t xml:space="preserve"> </w:t>
      </w:r>
      <w:r>
        <w:t>,</w:t>
      </w:r>
      <w:r>
        <w:t xml:space="preserve"> </w:t>
      </w:r>
      <w:r>
        <w:t>N</w:t>
      </w:r>
      <w:r>
        <w:t xml:space="preserve"> </w:t>
      </w:r>
      <w:r>
        <w:t>′‐dimethyl‐</w:t>
      </w:r>
      <w:r>
        <w:t xml:space="preserve"> </w:t>
      </w:r>
      <w:r>
        <w:t>p</w:t>
      </w:r>
      <w:r>
        <w:t xml:space="preserve"> </w:t>
      </w:r>
      <w:r>
        <w:t>‐toluidine results in the formation of extended D‐A stacks with acceptor motifs of the framework along a particular crystallographic axis. Peierls‐like distortion of these 1D extended D‐A stacks gives rise to spontaneous polarization, ultimately resulting in room‐temperature ferroelectricity. We furthermore show that the ferroelectric features of the PCP are closely related to the packing and geometry of the guest molecules incorporated.</w:t>
      </w:r>
    </w:p>
    <w:p>
      <w:pPr>
        <w:spacing w:before="120" w:after="120"/>
      </w:pPr>
      <w:r>
        <w:rPr>
          <w:sz w:val="18"/>
        </w:rPr>
        <w:t>——————————————————————————————————————————————————————————————————————</w:t>
      </w:r>
    </w:p>
    <w:p>
      <w:pPr>
        <w:spacing w:before="160" w:after="40" w:line="240" w:lineRule="auto"/>
      </w:pPr>
      <w:r>
        <w:rPr>
          <w:b/>
        </w:rPr>
        <w:t xml:space="preserve">[353] </w:t>
      </w:r>
      <w:hyperlink r:id="rId830">
        <w:r>
          <w:rPr>
            <w:color w:val="1155CC"/>
            <w:u w:val="single"/>
          </w:rPr>
          <w:t>通过无手性梯度超表面增强的太赫兹本征模指纹圆二色光谱解析手性生物分子混合物</w:t>
        </w:r>
      </w:hyperlink>
    </w:p>
    <w:p>
      <w:pPr>
        <w:spacing w:before="0" w:after="80"/>
      </w:pPr>
      <w:r>
        <w:rPr>
          <w:i/>
          <w:sz w:val="20"/>
        </w:rPr>
        <w:t>EN: Resolving Chiral Biomolecule Mixtures via Terahertz Eigenmode‐Fingerprint Circular Dichroism Spectroscopy Empowered by Achiral Gradient Metasurfaces</w:t>
      </w:r>
    </w:p>
    <w:p>
      <w:pPr>
        <w:spacing w:before="0" w:after="120"/>
      </w:pPr>
      <w:r>
        <w:rPr>
          <w:b/>
        </w:rPr>
        <w:t xml:space="preserve">Source: </w:t>
      </w:r>
      <w:r>
        <w:t>Wiley: Advanced Materials: Table of Contents</w:t>
      </w:r>
      <w:r>
        <w:t xml:space="preserve">    </w:t>
      </w:r>
      <w:r>
        <w:rPr>
          <w:b/>
        </w:rPr>
        <w:t xml:space="preserve">Pub date: </w:t>
      </w:r>
      <w:r>
        <w:t>2026-04-08 09:50:48+00:00</w:t>
      </w:r>
      <w:r>
        <w:t xml:space="preserve">    </w:t>
      </w:r>
      <w:r>
        <w:rPr>
          <w:b/>
        </w:rPr>
        <w:t xml:space="preserve">DOI: </w:t>
      </w:r>
      <w:hyperlink r:id="rId831">
        <w:r>
          <w:rPr>
            <w:color w:val="1155CC"/>
            <w:u w:val="single"/>
          </w:rPr>
          <w:t>10.1002/adma.73026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太赫兹（THz）光谱是一种无标记和非侵入性的工具，用于解析生物分子的特征信息，已在物理学和生物化学中引起广泛关注。然而，传统的THz时域光谱（THz‐TDS）系统受限于线性偏振，忽视了对食品和制药行业进行生物医学分析至关重要的分析物手性信息。在此，我们在非手性梯度超表面（AGM）平台上开发了一种称为THz本征模指纹手性光谱（TEFCS）的技术，能够明确解析异质手性生物分子混合物（成分、手性和比例）。THz手性声子信号可以在光谱上共同</w:t>
      </w:r>
    </w:p>
    <w:p>
      <w:pPr>
        <w:spacing w:before="0" w:after="200" w:lineRule="auto" w:line="276"/>
      </w:pPr>
      <w:r>
        <w:rPr>
          <w:b/>
        </w:rPr>
        <w:t xml:space="preserve">Abstract (EN): </w:t>
      </w:r>
      <w:r>
        <w:t>Terahertz (THz) spectroscopy, a label‐free and noninvasive tool that is used to resolve the characteristic information of biomolecules, has attracted extensive attention in both physics and biochemistry. However, the traditional THz time‐domain spectroscopy (THz‐TDS) systems are constrained by linear polarization, disregarding the analyte chirality information that is vital for conducting biomedical analyses in the food and pharmaceutical industries. Here, we develop a technique called THz eigenmode‐fingerprint chiroptical spectroscopy (TEFCS) on an achiral gradient metasurface (AGM) platform, enabling the unambiguous resolution of heterogeneous chiral biomolecule mixtures (constituents, chiralities, and ratios). The THz chiral phonon signals can be spectrally consistent and significantly enhanced due to the optimized spectral overlap between the broadband AGM resonances and the biomolecule chiral phonons, resulting in augmented eigen circular dichroism (CD) spectra. The enhanced photon‒phonon coupling scheme in the AGM‒biomolecule system is understood via the anisotropic coupled oscillator theory and gives rise to a substantial sensitivity improvement. These findings provide new insights into integrated bioanalyses and pharmaceutical applications.</w:t>
      </w:r>
    </w:p>
    <w:p>
      <w:pPr>
        <w:spacing w:before="120" w:after="120"/>
      </w:pPr>
      <w:r>
        <w:rPr>
          <w:sz w:val="18"/>
        </w:rPr>
        <w:t>——————————————————————————————————————————————————————————————————————</w:t>
      </w:r>
    </w:p>
    <w:p>
      <w:pPr>
        <w:spacing w:before="160" w:after="40" w:line="240" w:lineRule="auto"/>
      </w:pPr>
      <w:r>
        <w:rPr>
          <w:b/>
        </w:rPr>
        <w:t xml:space="preserve">[354] </w:t>
      </w:r>
      <w:hyperlink r:id="rId832">
        <w:r>
          <w:rPr>
            <w:color w:val="1155CC"/>
            <w:u w:val="single"/>
          </w:rPr>
          <w:t>分子束外延生长的超薄Cr2Ge2Te6薄膜在Si基板上的铁磁性直至单层极限</w:t>
        </w:r>
      </w:hyperlink>
    </w:p>
    <w:p>
      <w:pPr>
        <w:spacing w:before="0" w:after="80"/>
      </w:pPr>
      <w:r>
        <w:rPr>
          <w:i/>
          <w:sz w:val="20"/>
        </w:rPr>
        <w:t>EN: Ferromagnetism of Molecular Beam Epitaxy‐grown Ultra‐thin Cr2Ge2Te6 Films Down to the Monolayer Limit on Si Substrates</w:t>
      </w:r>
    </w:p>
    <w:p>
      <w:pPr>
        <w:spacing w:before="0" w:after="120"/>
      </w:pPr>
      <w:r>
        <w:rPr>
          <w:b/>
        </w:rPr>
        <w:t xml:space="preserve">Source: </w:t>
      </w:r>
      <w:r>
        <w:t>Wiley: Advanced Materials: Table of Contents</w:t>
      </w:r>
      <w:r>
        <w:t xml:space="preserve">    </w:t>
      </w:r>
      <w:r>
        <w:rPr>
          <w:b/>
        </w:rPr>
        <w:t xml:space="preserve">Pub date: </w:t>
      </w:r>
      <w:r>
        <w:t>2026-04-08 09:51:49+00:00</w:t>
      </w:r>
      <w:r>
        <w:t xml:space="preserve">    </w:t>
      </w:r>
      <w:r>
        <w:rPr>
          <w:b/>
        </w:rPr>
        <w:t xml:space="preserve">DOI: </w:t>
      </w:r>
      <w:hyperlink r:id="rId833">
        <w:r>
          <w:rPr>
            <w:color w:val="1155CC"/>
            <w:u w:val="single"/>
          </w:rPr>
          <w:t>10.1002/adma.72994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Cr</w:t>
      </w:r>
      <w:r>
        <w:rPr>
          <w:vertAlign w:val="subscript"/>
        </w:rPr>
        <w:t>2</w:t>
      </w:r>
      <w:r>
        <w:t>Ge</w:t>
      </w:r>
      <w:r>
        <w:rPr>
          <w:vertAlign w:val="subscript"/>
        </w:rPr>
        <w:t>2</w:t>
      </w:r>
      <w:r>
        <w:t>Te</w:t>
      </w:r>
      <w:r>
        <w:rPr>
          <w:vertAlign w:val="subscript"/>
        </w:rPr>
        <w:t>6</w:t>
      </w:r>
      <w:r>
        <w:t>，一种典型的范德华（vdW）铁磁半导体，由于其在高性能自旋电子学中的潜在应用而引起了极大的兴趣。然而，由于单层Cr</w:t>
      </w:r>
      <w:r>
        <w:rPr>
          <w:vertAlign w:val="subscript"/>
        </w:rPr>
        <w:t>2</w:t>
      </w:r>
      <w:r>
        <w:t>Ge</w:t>
      </w:r>
      <w:r>
        <w:rPr>
          <w:vertAlign w:val="subscript"/>
        </w:rPr>
        <w:t>2</w:t>
      </w:r>
      <w:r>
        <w:t>Te</w:t>
      </w:r>
      <w:r>
        <w:rPr>
          <w:vertAlign w:val="subscript"/>
        </w:rPr>
        <w:t>6</w:t>
      </w:r>
      <w:r>
        <w:t>薄片样品脆弱且形状不规则，磁信号较弱，其磁基态仍然难以捉摸。在此，我们成功地生长了Cr</w:t>
      </w:r>
      <w:r>
        <w:rPr>
          <w:vertAlign w:val="subscript"/>
        </w:rPr>
        <w:t>2</w:t>
      </w:r>
      <w:r>
        <w:t>Ge</w:t>
      </w:r>
      <w:r>
        <w:rPr>
          <w:vertAlign w:val="subscript"/>
        </w:rPr>
        <w:t>2</w:t>
      </w:r>
      <w:r>
        <w:t>Te</w:t>
      </w:r>
      <w:r>
        <w:rPr>
          <w:vertAlign w:val="subscript"/>
        </w:rPr>
        <w:t>6</w:t>
      </w:r>
      <w:r>
        <w:t>薄膜</w:t>
      </w:r>
    </w:p>
    <w:p>
      <w:pPr>
        <w:spacing w:before="0" w:after="200" w:lineRule="auto" w:line="276"/>
      </w:pPr>
      <w:r>
        <w:rPr>
          <w:b/>
        </w:rPr>
        <w:t xml:space="preserve">Abstract (EN): </w:t>
      </w:r>
      <w:r>
        <w:t>Cr</w:t>
      </w:r>
      <w:r>
        <w:rPr>
          <w:vertAlign w:val="subscript"/>
        </w:rPr>
        <w:t>2</w:t>
      </w:r>
      <w:r>
        <w:t>Ge</w:t>
      </w:r>
      <w:r>
        <w:rPr>
          <w:vertAlign w:val="subscript"/>
        </w:rPr>
        <w:t>2</w:t>
      </w:r>
      <w:r>
        <w:t>Te</w:t>
      </w:r>
      <w:r>
        <w:rPr>
          <w:vertAlign w:val="subscript"/>
        </w:rPr>
        <w:t>6</w:t>
      </w:r>
      <w:r>
        <w:t>, a prototypical van der Waals (vdW) ferromagnetic semiconductor, has attracted significant interest for its potential applications in high‐performance spintronics. However, the magnetic ground state of monolayer Cr</w:t>
      </w:r>
      <w:r>
        <w:rPr>
          <w:vertAlign w:val="subscript"/>
        </w:rPr>
        <w:t>2</w:t>
      </w:r>
      <w:r>
        <w:t>Ge</w:t>
      </w:r>
      <w:r>
        <w:rPr>
          <w:vertAlign w:val="subscript"/>
        </w:rPr>
        <w:t>2</w:t>
      </w:r>
      <w:r>
        <w:t>Te</w:t>
      </w:r>
      <w:r>
        <w:rPr>
          <w:vertAlign w:val="subscript"/>
        </w:rPr>
        <w:t>6</w:t>
      </w:r>
      <w:r>
        <w:t>remains elusive due to fragile and irregularly shaped thin flake samples with weak magnetic signals. Here, we successfully grow Cr</w:t>
      </w:r>
      <w:r>
        <w:rPr>
          <w:vertAlign w:val="subscript"/>
        </w:rPr>
        <w:t>2</w:t>
      </w:r>
      <w:r>
        <w:t>Ge</w:t>
      </w:r>
      <w:r>
        <w:rPr>
          <w:vertAlign w:val="subscript"/>
        </w:rPr>
        <w:t>2</w:t>
      </w:r>
      <w:r>
        <w:t>Te</w:t>
      </w:r>
      <w:r>
        <w:rPr>
          <w:vertAlign w:val="subscript"/>
        </w:rPr>
        <w:t>6</w:t>
      </w:r>
      <w:r>
        <w:t>films down to one monolayer by molecular beam epitaxy. By exploiting a self‐limiting growth mode, we achieve uniform monolayer Cr</w:t>
      </w:r>
      <w:r>
        <w:rPr>
          <w:vertAlign w:val="subscript"/>
        </w:rPr>
        <w:t>2</w:t>
      </w:r>
      <w:r>
        <w:t>Ge</w:t>
      </w:r>
      <w:r>
        <w:rPr>
          <w:vertAlign w:val="subscript"/>
        </w:rPr>
        <w:t>2</w:t>
      </w:r>
      <w:r>
        <w:t>Te</w:t>
      </w:r>
      <w:r>
        <w:rPr>
          <w:vertAlign w:val="subscript"/>
        </w:rPr>
        <w:t>6</w:t>
      </w:r>
      <w:r>
        <w:t>films across entire millimeter‐scale Si substrates. Through a combination of superconducting quantum interference device magnetometry and anomalous Hall effect measurements, we establish that monolayer Cr</w:t>
      </w:r>
      <w:r>
        <w:rPr>
          <w:vertAlign w:val="subscript"/>
        </w:rPr>
        <w:t>2</w:t>
      </w:r>
      <w:r>
        <w:t>Ge</w:t>
      </w:r>
      <w:r>
        <w:rPr>
          <w:vertAlign w:val="subscript"/>
        </w:rPr>
        <w:t>2</w:t>
      </w:r>
      <w:r>
        <w:t>Te</w:t>
      </w:r>
      <w:r>
        <w:rPr>
          <w:vertAlign w:val="subscript"/>
        </w:rPr>
        <w:t>6</w:t>
      </w:r>
      <w:r>
        <w:t>exhibits intrinsic ferromagnetism with perpendicular magnetic anisotropy below 10 K, albeit with strong magnetic fluctuations characteristic of its 2D nature. Furthermore, a systematic thickness‐dependent study reveals that a crossover from this fluctuation‐dominated 2D magnetism turns into conventional long‐range ferromagnetic order as the film thickness increases. Our work not only definitively establishes the intrinsic ferromagnetic ground state of monolayer Cr</w:t>
      </w:r>
      <w:r>
        <w:rPr>
          <w:vertAlign w:val="subscript"/>
        </w:rPr>
        <w:t>2</w:t>
      </w:r>
      <w:r>
        <w:t>Ge</w:t>
      </w:r>
      <w:r>
        <w:rPr>
          <w:vertAlign w:val="subscript"/>
        </w:rPr>
        <w:t>2</w:t>
      </w:r>
      <w:r>
        <w:t>Te</w:t>
      </w:r>
      <w:r>
        <w:rPr>
          <w:vertAlign w:val="subscript"/>
        </w:rPr>
        <w:t>6</w:t>
      </w:r>
      <w:r>
        <w:t>, but also provides a scalable, silicon‐compatible route for preparing the 2D magnet for future spintronic or quantum devices.</w:t>
      </w:r>
    </w:p>
    <w:p>
      <w:pPr>
        <w:spacing w:before="120" w:after="120"/>
      </w:pPr>
      <w:r>
        <w:rPr>
          <w:sz w:val="18"/>
        </w:rPr>
        <w:t>——————————————————————————————————————————————————————————————————————</w:t>
      </w:r>
    </w:p>
    <w:p>
      <w:pPr>
        <w:spacing w:before="160" w:after="40" w:line="240" w:lineRule="auto"/>
      </w:pPr>
      <w:r>
        <w:rPr>
          <w:b/>
        </w:rPr>
        <w:t xml:space="preserve">[355] </w:t>
      </w:r>
      <w:hyperlink r:id="rId834">
        <w:r>
          <w:rPr>
            <w:color w:val="1155CC"/>
            <w:u w:val="single"/>
          </w:rPr>
          <w:t>[ASAP] 锚定在氮化硼纳米层中的不对称双原子Ru触发稳定干重整的机制转变</w:t>
        </w:r>
      </w:hyperlink>
    </w:p>
    <w:p>
      <w:pPr>
        <w:spacing w:before="0" w:after="80"/>
      </w:pPr>
      <w:r>
        <w:rPr>
          <w:i/>
          <w:sz w:val="20"/>
        </w:rPr>
        <w:t>EN: [ASAP] Asymmetric Dual-Atom Ru Anchored in Boron Nitride Nanolayer Triggers Mechanism Transition for Stable Dry Reforming</w:t>
      </w:r>
    </w:p>
    <w:p>
      <w:pPr>
        <w:spacing w:before="0" w:after="120"/>
      </w:pPr>
      <w:r>
        <w:rPr>
          <w:b/>
        </w:rPr>
        <w:t xml:space="preserve">Source: </w:t>
      </w:r>
      <w:r>
        <w:t>Journal of the American Chemical Society: Latest Articles (ACS Publications)</w:t>
      </w:r>
      <w:r>
        <w:t xml:space="preserve">    </w:t>
      </w:r>
      <w:r>
        <w:rPr>
          <w:b/>
        </w:rPr>
        <w:t xml:space="preserve">Pub date: </w:t>
      </w:r>
      <w:r>
        <w:t>2026-04-08 10:52:17+00:00</w:t>
      </w:r>
      <w:r>
        <w:t xml:space="preserve">    </w:t>
      </w:r>
      <w:r>
        <w:rPr>
          <w:b/>
        </w:rPr>
        <w:t xml:space="preserve">DOI: </w:t>
      </w:r>
      <w:hyperlink r:id="rId835">
        <w:r>
          <w:rPr>
            <w:color w:val="1155CC"/>
            <w:u w:val="single"/>
          </w:rPr>
          <w:t>10.1021/jacs.5c19260</w:t>
        </w:r>
      </w:hyperlink>
    </w:p>
    <w:p>
      <w:pPr>
        <w:spacing w:before="0" w:after="120"/>
      </w:pPr>
      <w:r>
        <w:rPr>
          <w:b/>
        </w:rPr>
        <w:t xml:space="preserve">Notes: </w:t>
      </w:r>
      <w:r>
        <w:t>abstract_source=pubmed</w:t>
      </w:r>
    </w:p>
    <w:p>
      <w:pPr>
        <w:spacing w:before="0" w:after="80" w:lineRule="auto" w:line="276"/>
      </w:pPr>
      <w:r>
        <w:rPr>
          <w:b/>
        </w:rPr>
        <w:t xml:space="preserve">摘要（ZH）: </w:t>
      </w:r>
      <w:r>
        <w:t>甲烷干重整是一种有前景的方法，可以减少温室气体排放并利用天然气生产增值产品。然而，该过程在低温下受到反应性有限和严重积炭的挑战。在此，我们报告了一种锚定在氮化硼纳米层中的双原子钌催化剂。Ru原子对的空间不同配位导致活性中心的不对称电荷分布。Ru二聚体的协同效应在650°C下实现了CH4和CO2的转化率分别为69%和76%，接近热力学平衡，同时在600°C下保持了1000小时的卓越稳定性，积炭可忽略不计。机制研究表明，缺电子的Ru位点通过增强的方式促进了CH4中的C-H断裂。</w:t>
      </w:r>
    </w:p>
    <w:p>
      <w:pPr>
        <w:spacing w:before="0" w:after="200" w:lineRule="auto" w:line="276"/>
      </w:pPr>
      <w:r>
        <w:rPr>
          <w:b/>
        </w:rPr>
        <w:t xml:space="preserve">Abstract (EN): </w:t>
      </w:r>
      <w:r>
        <w:t>Methane dry reforming represents a promising approach to reduce greenhouse gas emissions and to utilize natural gas for value-added products. However, this process is challenged by limited reactivity and severe coking at low temperatures. Here, we report a dual-atom ruthenium catalyst anchored in a boron nitride nanolayer. The spatially distinct coordination of the Ru atomic pair gives rise to the asymmetric charge distribution of the active center. The synergy effect of Ru dimer achieves the CH4 and CO2 conversions of 69% and 76% at 650 °C, respectively, which are near thermodynamic equilibrium, while maintaining an exceptional stability of 1000 h at 600 °C with negligible coking. Mechanism studies reveal that an electron-deficient Ru site facilitates the C-H cleavage in CH4 via an enhanced polarization effect, while another electron-rich Ru site promotes CO2 activation with a bidentate adsorption configuration. Furthermore, this unique dual-atom Ru structure enables a Langmuir-Hinshelwood pathway with a reduced barrier of the coupling reaction between CH4 and CO2 to form *CH2O intermediate and produce syngas rather than excessive C-C binding and coke deposition. This work provides a strategy for designing multifunctional catalysts to solve the seesaw issue of reactivity and stability for methane dry reforming.</w:t>
      </w:r>
    </w:p>
    <w:p>
      <w:pPr>
        <w:spacing w:before="120" w:after="120"/>
      </w:pPr>
      <w:r>
        <w:rPr>
          <w:sz w:val="18"/>
        </w:rPr>
        <w:t>——————————————————————————————————————————————————————————————————————</w:t>
      </w:r>
    </w:p>
    <w:p>
      <w:pPr>
        <w:spacing w:before="160" w:after="40" w:line="240" w:lineRule="auto"/>
      </w:pPr>
      <w:r>
        <w:rPr>
          <w:b/>
        </w:rPr>
        <w:t xml:space="preserve">[356] </w:t>
      </w:r>
      <w:hyperlink r:id="rId836">
        <w:r>
          <w:rPr>
            <w:color w:val="1155CC"/>
            <w:u w:val="single"/>
          </w:rPr>
          <w:t>[ASAP] 通过原子分散的Ru调节CoOx表面羟基以实现耐久的酸性氧析出</w:t>
        </w:r>
      </w:hyperlink>
    </w:p>
    <w:p>
      <w:pPr>
        <w:spacing w:before="0" w:after="80"/>
      </w:pPr>
      <w:r>
        <w:rPr>
          <w:i/>
          <w:sz w:val="20"/>
        </w:rPr>
        <w:t>EN: [ASAP] Regulating Surface Hydroxyl Groups in CoOx via Atomically Dispersed Ru for Durable Acidic Oxygen Evolution</w:t>
      </w:r>
    </w:p>
    <w:p>
      <w:pPr>
        <w:spacing w:before="0" w:after="120"/>
      </w:pPr>
      <w:r>
        <w:rPr>
          <w:b/>
        </w:rPr>
        <w:t xml:space="preserve">Source: </w:t>
      </w:r>
      <w:r>
        <w:t>Journal of the American Chemical Society: Latest Articles (ACS Publications)</w:t>
      </w:r>
      <w:r>
        <w:t xml:space="preserve">    </w:t>
      </w:r>
      <w:r>
        <w:rPr>
          <w:b/>
        </w:rPr>
        <w:t xml:space="preserve">Pub date: </w:t>
      </w:r>
      <w:r>
        <w:t>2026-04-08 12:33:35+00:00</w:t>
      </w:r>
      <w:r>
        <w:t xml:space="preserve">    </w:t>
      </w:r>
      <w:r>
        <w:rPr>
          <w:b/>
        </w:rPr>
        <w:t xml:space="preserve">DOI: </w:t>
      </w:r>
      <w:hyperlink r:id="rId837">
        <w:r>
          <w:rPr>
            <w:color w:val="1155CC"/>
            <w:u w:val="single"/>
          </w:rPr>
          <w:t>10.1021/jacs.6c01807</w:t>
        </w:r>
      </w:hyperlink>
    </w:p>
    <w:p>
      <w:pPr>
        <w:spacing w:before="0" w:after="120"/>
      </w:pPr>
      <w:r>
        <w:rPr>
          <w:b/>
        </w:rPr>
        <w:t xml:space="preserve">Notes: </w:t>
      </w:r>
      <w:r>
        <w:t>abstract_source=pubmed</w:t>
      </w:r>
    </w:p>
    <w:p>
      <w:pPr>
        <w:spacing w:before="0" w:after="80" w:lineRule="auto" w:line="276"/>
      </w:pPr>
      <w:r>
        <w:rPr>
          <w:b/>
        </w:rPr>
        <w:t xml:space="preserve">摘要（ZH）: </w:t>
      </w:r>
      <w:r>
        <w:t>原子分散催化剂显著提高了活性位点的利用率，将贵金属负载量降低了几个数量级。然而，它们在酸性氧析出反应（OER）中的催化性能通常受到载体的固有活性和耐酸腐蚀性的限制。在此，我们采用具有中等OER活性的CoOx作为载体，并锚定Ru位点（Ru/Co3O4）以增强其在酸性OER中的耐久性，实现了卓越的电化学性能。结合实验和理论分析表明，高温处理（≥450°C）产生的Ru物种有效调节了CoOx的价态和电子结构，导致Co位点上羟基（*OH）覆盖的调控。该过程有效缓解了表面</w:t>
      </w:r>
    </w:p>
    <w:p>
      <w:pPr>
        <w:spacing w:before="0" w:after="200" w:lineRule="auto" w:line="276"/>
      </w:pPr>
      <w:r>
        <w:rPr>
          <w:b/>
        </w:rPr>
        <w:t xml:space="preserve">Abstract (EN): </w:t>
      </w:r>
      <w:r>
        <w:t>Atomically dispersed catalysts significantly enhance active site utilization, reducing the precious metal loading by orders of magnitude. However, their catalytic performance in the acidic oxygen evolution reaction (OER) is often limited by the intrinsic activity and acid corrosion resistance of the support. Herein, we employ CoOx with moderate OER activity as the support and anchor Ru sites (Ru/Co3O4) to enhance its durability during acidic OER, achieving outstanding electrochemical performance. Combined experimental and theoretical analyses reveal that the resultant Ru species from high-temperature treatment (≥450 °C) effectively modulate the valence state and electronic structure of CoOx, leading to regulated hydroxyl (*OH) coverage on Co sites. This process effectively mitigates surface deactivation by reducing the *OH coverage, thus enhancing the durability of the Co-based support. Consequently, Ru/Co3O4 demonstrates great OER performance, achieving a low overpotential of 280 mV at 50 mA cm-2 and maintaining negligible potential loss over 1000 h at 50 mA cm-2 in acidic media. In a proton exchange membrane water electrolysis device, it also demonstrates stable operation for 450 h at 0.2 A cm-2 and 200 h at 0.5 A cm-2. These insights into the mechanism of the OER and structure-activity relationships are crucial for advancing low-noble-metal catalyst systems.</w:t>
      </w:r>
    </w:p>
    <w:p>
      <w:pPr>
        <w:spacing w:before="120" w:after="120"/>
      </w:pPr>
      <w:r>
        <w:rPr>
          <w:sz w:val="18"/>
        </w:rPr>
        <w:t>——————————————————————————————————————————————————————————————————————</w:t>
      </w:r>
    </w:p>
    <w:p>
      <w:pPr>
        <w:spacing w:before="160" w:after="40" w:line="240" w:lineRule="auto"/>
      </w:pPr>
      <w:r>
        <w:rPr>
          <w:b/>
        </w:rPr>
        <w:t xml:space="preserve">[357] </w:t>
      </w:r>
      <w:hyperlink r:id="rId838">
        <w:r>
          <w:rPr>
            <w:color w:val="1155CC"/>
            <w:u w:val="single"/>
          </w:rPr>
          <w:t>[ASAP] 对“万古霉素上意外的喹啉修饰作为改变抗菌谱和对抗多重耐药性有效策略”的更正</w:t>
        </w:r>
      </w:hyperlink>
    </w:p>
    <w:p>
      <w:pPr>
        <w:spacing w:before="0" w:after="80"/>
      </w:pPr>
      <w:r>
        <w:rPr>
          <w:i/>
          <w:sz w:val="20"/>
        </w:rPr>
        <w:t>EN: [ASAP] Correction to “Unanticipated Quinoline Modification on Vancomycin as an Effective Strategy to Alter the Antibacterial Profile and Combat Multidrug Resistance”</w:t>
      </w:r>
    </w:p>
    <w:p>
      <w:pPr>
        <w:spacing w:before="0" w:after="120"/>
      </w:pPr>
      <w:r>
        <w:rPr>
          <w:b/>
        </w:rPr>
        <w:t xml:space="preserve">Source: </w:t>
      </w:r>
      <w:r>
        <w:t>Journal of the American Chemical Society: Latest Articles (ACS Publications)</w:t>
      </w:r>
      <w:r>
        <w:t xml:space="preserve">    </w:t>
      </w:r>
      <w:r>
        <w:rPr>
          <w:b/>
        </w:rPr>
        <w:t xml:space="preserve">Pub date: </w:t>
      </w:r>
      <w:r>
        <w:t>2026-04-08 12:40:29+00:00</w:t>
      </w:r>
      <w:r>
        <w:t xml:space="preserve">    </w:t>
      </w:r>
      <w:r>
        <w:rPr>
          <w:b/>
        </w:rPr>
        <w:t xml:space="preserve">DOI: </w:t>
      </w:r>
      <w:hyperlink r:id="rId839">
        <w:r>
          <w:rPr>
            <w:color w:val="1155CC"/>
            <w:u w:val="single"/>
          </w:rPr>
          <w:t>10.1021/jacs.6c05018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[358] </w:t>
      </w:r>
      <w:hyperlink r:id="rId840">
        <w:r>
          <w:rPr>
            <w:color w:val="1155CC"/>
            <w:u w:val="single"/>
          </w:rPr>
          <w:t>[ASAP] 光开关性Latrunculin B的全合成实现肌动蛋白聚合和细胞迁移的可逆控制</w:t>
        </w:r>
      </w:hyperlink>
    </w:p>
    <w:p>
      <w:pPr>
        <w:spacing w:before="0" w:after="80"/>
      </w:pPr>
      <w:r>
        <w:rPr>
          <w:i/>
          <w:sz w:val="20"/>
        </w:rPr>
        <w:t>EN: [ASAP] Total Synthesis of Photoswitchable Latrunculin B Enables Reversible Control of Actin Polymerization and Cell Migration</w:t>
      </w:r>
    </w:p>
    <w:p>
      <w:pPr>
        <w:spacing w:before="0" w:after="120"/>
      </w:pPr>
      <w:r>
        <w:rPr>
          <w:b/>
        </w:rPr>
        <w:t xml:space="preserve">Source: </w:t>
      </w:r>
      <w:r>
        <w:t>Journal of the American Chemical Society: Latest Articles (ACS Publications)</w:t>
      </w:r>
      <w:r>
        <w:t xml:space="preserve">    </w:t>
      </w:r>
      <w:r>
        <w:rPr>
          <w:b/>
        </w:rPr>
        <w:t xml:space="preserve">Pub date: </w:t>
      </w:r>
      <w:r>
        <w:t>2026-04-08 12:53:42+00:00</w:t>
      </w:r>
      <w:r>
        <w:t xml:space="preserve">    </w:t>
      </w:r>
      <w:r>
        <w:rPr>
          <w:b/>
        </w:rPr>
        <w:t xml:space="preserve">DOI: </w:t>
      </w:r>
      <w:hyperlink r:id="rId841">
        <w:r>
          <w:rPr>
            <w:color w:val="1155CC"/>
            <w:u w:val="single"/>
          </w:rPr>
          <w:t>10.1021/jacs.5c17295</w:t>
        </w:r>
      </w:hyperlink>
    </w:p>
    <w:p>
      <w:pPr>
        <w:spacing w:before="0" w:after="120"/>
      </w:pPr>
      <w:r>
        <w:rPr>
          <w:b/>
        </w:rPr>
        <w:t xml:space="preserve">Notes: </w:t>
      </w:r>
      <w:r>
        <w:t>abstract_source=openalex</w:t>
      </w:r>
    </w:p>
    <w:p>
      <w:pPr>
        <w:spacing w:before="0" w:after="80" w:lineRule="auto" w:line="276"/>
      </w:pPr>
      <w:r>
        <w:rPr>
          <w:b/>
        </w:rPr>
        <w:t xml:space="preserve">摘要（ZH）: </w:t>
      </w:r>
      <w:r>
        <w:t>国际观众</w:t>
      </w:r>
    </w:p>
    <w:p>
      <w:pPr>
        <w:spacing w:before="0" w:after="200" w:lineRule="auto" w:line="276"/>
      </w:pPr>
      <w:r>
        <w:rPr>
          <w:b/>
        </w:rPr>
        <w:t xml:space="preserve">Abstract (EN): </w:t>
      </w:r>
      <w:r>
        <w:t>International audience</w:t>
      </w:r>
    </w:p>
    <w:p>
      <w:pPr>
        <w:spacing w:before="120" w:after="120"/>
      </w:pPr>
      <w:r>
        <w:rPr>
          <w:sz w:val="18"/>
        </w:rPr>
        <w:t>——————————————————————————————————————————————————————————————————————</w:t>
      </w:r>
    </w:p>
    <w:p>
      <w:pPr>
        <w:spacing w:before="160" w:after="40" w:line="240" w:lineRule="auto"/>
      </w:pPr>
      <w:r>
        <w:rPr>
          <w:b/>
        </w:rPr>
        <w:t xml:space="preserve">[359] </w:t>
      </w:r>
      <w:hyperlink r:id="rId842">
        <w:r>
          <w:rPr>
            <w:color w:val="1155CC"/>
            <w:u w:val="single"/>
          </w:rPr>
          <w:t>[ASAP] 自由基采样实现饱和N-杂环的环化</w:t>
        </w:r>
      </w:hyperlink>
    </w:p>
    <w:p>
      <w:pPr>
        <w:spacing w:before="0" w:after="80"/>
      </w:pPr>
      <w:r>
        <w:rPr>
          <w:i/>
          <w:sz w:val="20"/>
        </w:rPr>
        <w:t>EN: [ASAP] Radical Sampling Enabled Saturated N-Heterocycle Cyclization</w:t>
      </w:r>
    </w:p>
    <w:p>
      <w:pPr>
        <w:spacing w:before="0" w:after="120"/>
      </w:pPr>
      <w:r>
        <w:rPr>
          <w:b/>
        </w:rPr>
        <w:t xml:space="preserve">Source: </w:t>
      </w:r>
      <w:r>
        <w:t>Journal of the American Chemical Society: Latest Articles (ACS Publications)</w:t>
      </w:r>
      <w:r>
        <w:t xml:space="preserve">    </w:t>
      </w:r>
      <w:r>
        <w:rPr>
          <w:b/>
        </w:rPr>
        <w:t xml:space="preserve">Pub date: </w:t>
      </w:r>
      <w:r>
        <w:t>2026-04-08 12:58:22+00:00</w:t>
      </w:r>
      <w:r>
        <w:t xml:space="preserve">    </w:t>
      </w:r>
      <w:r>
        <w:rPr>
          <w:b/>
        </w:rPr>
        <w:t xml:space="preserve">DOI: </w:t>
      </w:r>
      <w:hyperlink r:id="rId843">
        <w:r>
          <w:rPr>
            <w:color w:val="1155CC"/>
            <w:u w:val="single"/>
          </w:rPr>
          <w:t>10.1021/jacs.6c01294</w:t>
        </w:r>
      </w:hyperlink>
    </w:p>
    <w:p>
      <w:pPr>
        <w:spacing w:before="0" w:after="120"/>
      </w:pPr>
      <w:r>
        <w:rPr>
          <w:b/>
        </w:rPr>
        <w:t xml:space="preserve">Notes: </w:t>
      </w:r>
      <w:r>
        <w:t>abstract_source=pubmed</w:t>
      </w:r>
    </w:p>
    <w:p>
      <w:pPr>
        <w:spacing w:before="0" w:after="80" w:lineRule="auto" w:line="276"/>
      </w:pPr>
      <w:r>
        <w:rPr>
          <w:b/>
        </w:rPr>
        <w:t xml:space="preserve">摘要（ZH）: </w:t>
      </w:r>
      <w:r>
        <w:t>含氮饱和杂环是许多小分子药物中的重要结构基元，开发快速获取这些骨架的方法仍然是非常理想的。一种模块化和简化的策略用于获取这些基元，涉及醛和胺的原位缩合，随后是自由基生成和环化以提供所需的杂环。目前该策略的应用在范围和效率上受到限制，需要预功能化有自由基前体的胺。通过使用本征C-H键作为自由基前体，将该方法扩展到未功能化的胺，将极大地扩展杂环的范围、模块化和快速性。然而，选择性C-H键活化以实现环化所需的选择性</w:t>
      </w:r>
    </w:p>
    <w:p>
      <w:pPr>
        <w:spacing w:before="0" w:after="200" w:lineRule="auto" w:line="276"/>
      </w:pPr>
      <w:r>
        <w:rPr>
          <w:b/>
        </w:rPr>
        <w:t xml:space="preserve">Abstract (EN): </w:t>
      </w:r>
      <w:r>
        <w:t>Nitrogen-containing saturated heterocycles are essential structural motifs in many small molecule drugs, and the development of methods to rapidly access these scaffolds remains highly desirable. A modular and streamlined strategy for accessing these motifs involves in situ condensation of an aldehyde and an amine, followed by radical generation and cyclization to afford the desired heterocycle. Current applications of this strategy are limited in scope and efficiency, requiring amines that are prefunctionalized with the radical progenitor. Expansion of this approach to unfunctionalized amines, by using native C-H bonds as radical precursors, would greatly expand the scope, modularity, and expediency toward heterocycles. However, the selective C-H bond activation required to effect cyclization is challenging. Radical sampling, characterized by net-reversible hydrogen atom transfer (HAT) processes, addresses this issue by deploying cyclization as the product-determining step. This strategy leverages kinetic differences among competing cyclization pathways to selectively quench undesired radical intermediates with slower rates of cyclization while allowing the rapidly cyclizing radical to form the target six-membered ring. Herein, we report a general cyclization strategy that constructs versatile saturated heterocycles directly from aldehydes and amines through a radical sampling mechanism.</w:t>
      </w:r>
    </w:p>
    <w:p>
      <w:pPr>
        <w:spacing w:before="120" w:after="120"/>
      </w:pPr>
      <w:r>
        <w:rPr>
          <w:sz w:val="18"/>
        </w:rPr>
        <w:t>——————————————————————————————————————————————————————————————————————</w:t>
      </w:r>
    </w:p>
    <w:p>
      <w:pPr>
        <w:spacing w:before="160" w:after="40" w:line="240" w:lineRule="auto"/>
      </w:pPr>
      <w:r>
        <w:rPr>
          <w:b/>
        </w:rPr>
        <w:t xml:space="preserve">[360] </w:t>
      </w:r>
      <w:hyperlink r:id="rId844">
        <w:r>
          <w:rPr>
            <w:color w:val="1155CC"/>
            <w:u w:val="single"/>
          </w:rPr>
          <w:t>[ASAP] 生物质去矿化：未来生物精炼厂的关键需求</w:t>
        </w:r>
      </w:hyperlink>
    </w:p>
    <w:p>
      <w:pPr>
        <w:spacing w:before="0" w:after="80"/>
      </w:pPr>
      <w:r>
        <w:rPr>
          <w:i/>
          <w:sz w:val="20"/>
        </w:rPr>
        <w:t>EN: [ASAP] Biomass Demineralization: A Critical Need for Future Biorefineries</w:t>
      </w:r>
    </w:p>
    <w:p>
      <w:pPr>
        <w:spacing w:before="0" w:after="120"/>
      </w:pPr>
      <w:r>
        <w:rPr>
          <w:b/>
        </w:rPr>
        <w:t xml:space="preserve">Source: </w:t>
      </w:r>
      <w:r>
        <w:t>Chemical Reviews: Latest Articles (ACS Publications)</w:t>
      </w:r>
      <w:r>
        <w:t xml:space="preserve">    </w:t>
      </w:r>
      <w:r>
        <w:rPr>
          <w:b/>
        </w:rPr>
        <w:t xml:space="preserve">Pub date: </w:t>
      </w:r>
      <w:r>
        <w:t>2026-04-08 14:31:57+00:00</w:t>
      </w:r>
      <w:r>
        <w:t xml:space="preserve">    </w:t>
      </w:r>
      <w:r>
        <w:rPr>
          <w:b/>
        </w:rPr>
        <w:t xml:space="preserve">DOI: </w:t>
      </w:r>
      <w:hyperlink r:id="rId845">
        <w:r>
          <w:rPr>
            <w:color w:val="1155CC"/>
            <w:u w:val="single"/>
          </w:rPr>
          <w:t>10.1021/acs.chemrev.5c00784</w:t>
        </w:r>
      </w:hyperlink>
    </w:p>
    <w:p>
      <w:pPr>
        <w:spacing w:before="0" w:after="120"/>
      </w:pPr>
      <w:r>
        <w:rPr>
          <w:b/>
        </w:rPr>
        <w:t xml:space="preserve">Notes: </w:t>
      </w:r>
      <w:r>
        <w:t>abstract_source=openalex</w:t>
      </w:r>
    </w:p>
    <w:p>
      <w:pPr>
        <w:spacing w:before="0" w:after="80" w:lineRule="auto" w:line="276"/>
      </w:pPr>
      <w:r>
        <w:rPr>
          <w:b/>
        </w:rPr>
        <w:t xml:space="preserve">摘要（ZH）: </w:t>
      </w:r>
      <w:r>
        <w:t>生物质含有多达14种作为植物生长和发育营养物质的必需元素，包括光合作用和酶功能。这些元素以不同的化学形式（例如矿物质）构成生物质的无机部分，并可能在热和生化生物质转化技术中引起操作问题。例如，在生物质气化和热解过程中，无机物可能导致结垢、焦油形成和腐蚀。在催化和生化过程中，无机物可能毒害催化剂、改变生化途径，并改变产物产量和选择性。本综述概述了生物质原料中的无机含量、无机物在植物生物化学中的关键作用、无机物在各种</w:t>
      </w:r>
    </w:p>
    <w:p>
      <w:pPr>
        <w:spacing w:before="0" w:after="200" w:lineRule="auto" w:line="276"/>
      </w:pPr>
      <w:r>
        <w:rPr>
          <w:b/>
        </w:rPr>
        <w:t xml:space="preserve">Abstract (EN): </w:t>
      </w:r>
      <w:r>
        <w:t>Biomass contains up to 14 essential elements that serve as nutrients for plant growth and development, including photosynthesis and enzyme functionalities. These elements in different chemical forms (e.g., minerals) constitute the inorganic fraction of biomass and can cause operational issues in thermal and biochemical biomass conversion technologies. In biomass gasification and pyrolysis processes, for instance, inorganics can cause fouling, tar formation, and corrosion. In catalytic and biochemical processes, inorganics can poison catalysts, alter biochemical pathways, and modify product yields and selectivity. This review provides an overview of the inorganic content in biomass feedstocks, the critical role inorganics play in plant biochemistry, the effect that inorganics have in various thermochemical and biochemical biomass conversion technologies, and different approaches to remove them from biomass. We provide recommendations for future research, focusing on developing technologies to effectively remove inorganics from biomass, using the inorganics to improve soil quality and for alternative applications, and designing biorefineries to convert demineralized biomass obtained from diverse sources.</w:t>
      </w:r>
    </w:p>
    <w:p>
      <w:pPr>
        <w:spacing w:before="120" w:after="120"/>
      </w:pPr>
      <w:r>
        <w:rPr>
          <w:sz w:val="18"/>
        </w:rPr>
        <w:t>——————————————————————————————————————————————————————————————————————</w:t>
      </w:r>
    </w:p>
    <w:p>
      <w:pPr>
        <w:spacing w:before="160" w:after="40" w:line="240" w:lineRule="auto"/>
      </w:pPr>
      <w:r>
        <w:rPr>
          <w:b/>
        </w:rPr>
        <w:t xml:space="preserve">[361] </w:t>
      </w:r>
      <w:hyperlink r:id="rId846">
        <w:r>
          <w:rPr>
            <w:color w:val="1155CC"/>
            <w:u w:val="single"/>
          </w:rPr>
          <w:t>[ASAP] 氧化掺杂的共轭瓶刷聚合物自组装成供体-受体纳米结构</w:t>
        </w:r>
      </w:hyperlink>
    </w:p>
    <w:p>
      <w:pPr>
        <w:spacing w:before="0" w:after="80"/>
      </w:pPr>
      <w:r>
        <w:rPr>
          <w:i/>
          <w:sz w:val="20"/>
        </w:rPr>
        <w:t>EN: [ASAP] Self-Assembly of Oxidatively Doped Conjugated Bottlebrush Polymers into Donor–Acceptor Nanostructures</w:t>
      </w:r>
    </w:p>
    <w:p>
      <w:pPr>
        <w:spacing w:before="0" w:after="120"/>
      </w:pPr>
      <w:r>
        <w:rPr>
          <w:b/>
        </w:rPr>
        <w:t xml:space="preserve">Source: </w:t>
      </w:r>
      <w:r>
        <w:t>Journal of the American Chemical Society: Latest Articles (ACS Publications)</w:t>
      </w:r>
      <w:r>
        <w:t xml:space="preserve">    </w:t>
      </w:r>
      <w:r>
        <w:rPr>
          <w:b/>
        </w:rPr>
        <w:t xml:space="preserve">Pub date: </w:t>
      </w:r>
      <w:r>
        <w:t>2026-04-08 15:42:42+00:00</w:t>
      </w:r>
      <w:r>
        <w:t xml:space="preserve">    </w:t>
      </w:r>
      <w:r>
        <w:rPr>
          <w:b/>
        </w:rPr>
        <w:t xml:space="preserve">DOI: </w:t>
      </w:r>
      <w:hyperlink r:id="rId847">
        <w:r>
          <w:rPr>
            <w:color w:val="1155CC"/>
            <w:u w:val="single"/>
          </w:rPr>
          <w:t>10.1021/jacs.5c18209</w:t>
        </w:r>
      </w:hyperlink>
    </w:p>
    <w:p>
      <w:pPr>
        <w:spacing w:before="0" w:after="120"/>
      </w:pPr>
      <w:r>
        <w:rPr>
          <w:b/>
        </w:rPr>
        <w:t xml:space="preserve">Notes: </w:t>
      </w:r>
      <w:r>
        <w:t>abstract_source=openalex</w:t>
      </w:r>
    </w:p>
    <w:p>
      <w:pPr>
        <w:spacing w:before="0" w:after="80" w:lineRule="auto" w:line="276"/>
      </w:pPr>
      <w:r>
        <w:rPr>
          <w:b/>
        </w:rPr>
        <w:t xml:space="preserve">摘要（ZH）: </w:t>
      </w:r>
      <w:r>
        <w:t>氧化还原掺杂是一种使共轭聚合物材料在光电器件中实际应用的过程。然而，它通过极化子形成诱导共轭聚合物沉淀，因此通常仅限于固态。在此，我们报告了核壳瓶刷聚合物，由聚降冰片烯主链与聚噻吩或聚硒吩核块和聚乙二醇壳块组成。瓶刷聚合物是具有低链缠结的密集接枝聚合物侧链的结构，由于其弹性性质而备受关注。我们发现瓶刷聚合物的共轭核块被大约6摩尔当量的F&lt;sub&gt;4&lt;/sub&gt;TCNQ（一种常见的氧化掺杂剂）很好地掺杂，同时由于</w:t>
      </w:r>
    </w:p>
    <w:p>
      <w:pPr>
        <w:spacing w:before="0" w:after="200" w:lineRule="auto" w:line="276"/>
      </w:pPr>
      <w:r>
        <w:rPr>
          <w:b/>
        </w:rPr>
        <w:t xml:space="preserve">Abstract (EN): </w:t>
      </w:r>
      <w:r>
        <w:t>Redox doping is a process which enables the practical application of conjugated polymer materials in optoelectronic devices. However, it induces conjugated polymer precipitation through polaron formation, so it is often limited to the solid state. Herein, we report core-shell bottlebrush polymers, comprising a polynorbornene backbone with either polythiophene or polyselenophene core blocks and poly(ethylene glycol) shell blocks. Bottlebrush polymers are architectures with densely grafted polymeric side chains with low chain entanglements that are of interest due to their elastomeric properties. We find that conjugated core blocks of the bottlebrush polymers are well doped by approximately 6 mol equiv of F&lt;sub&gt;4&lt;/sub&gt;TCNQ, a common oxidative dopant, while remaining colloidally stable due to PEG shell blocks. Furthermore, spectroelectrochemistry reveals that these bottlebrush architectures efficiently stabilize polarons upon oxidative doping relative to diblock copolymer analogues, as evidenced by the emergence of bipolaron bands 1.5-2× larger than the unoxidized absorption transitions. Conjugated polymer crystallization is known to improve parameters such as conductivity and exciton diffusion. Inducing crystallization of conjugated polymer core blocks in a selective solvent system while doping results in larger polaron signals by EPR and UV-visible-NIR spectroscopy, while retaining the colloidal stability of the core-shell bottlebrush polymers. Interestingly, the polythiophene-based bottlebrush polymers stack end-on-end into nanofibers with dopant concentration-dependent lengths, up to number-average (&lt;i&gt;L&lt;/i&gt;&lt;sub&gt;n&lt;/sub&gt;) lengths of 51 nm for 1 weight equivalent of F&lt;sub&gt;4&lt;/sub&gt;TCNQ relative to the core-shell bottlebrush. The longest observed nanofiber was 192 nm. Overall, we report a new class of donor-acceptor materials that combine colloidally stable redox doping of conjugated polymer core blocks with bottlebrush self-assembly promoted by the generation of charge transfer sites.</w:t>
      </w:r>
    </w:p>
    <w:p>
      <w:pPr>
        <w:spacing w:before="120" w:after="120"/>
      </w:pPr>
      <w:r>
        <w:rPr>
          <w:sz w:val="18"/>
        </w:rPr>
        <w:t>——————————————————————————————————————————————————————————————————————</w:t>
      </w:r>
    </w:p>
    <w:p>
      <w:pPr>
        <w:spacing w:before="160" w:after="40" w:line="240" w:lineRule="auto"/>
      </w:pPr>
      <w:r>
        <w:rPr>
          <w:b/>
        </w:rPr>
        <w:t xml:space="preserve">[362] </w:t>
      </w:r>
      <w:hyperlink r:id="rId848">
        <w:r>
          <w:rPr>
            <w:color w:val="1155CC"/>
            <w:u w:val="single"/>
          </w:rPr>
          <w:t>[ASAP] 对“由手性二磺酰亚胺催化的2-氨基-6-芳基吡啶的对映选择性碘化实际上通过布朗斯特碱催化进行：结合实验、计算和机器学习研究”的更正</w:t>
        </w:r>
      </w:hyperlink>
    </w:p>
    <w:p>
      <w:pPr>
        <w:spacing w:before="0" w:after="80"/>
      </w:pPr>
      <w:r>
        <w:rPr>
          <w:i/>
          <w:sz w:val="20"/>
        </w:rPr>
        <w:t>EN: [ASAP] Correction to “The Atroposelective Iodination of 2-Amino-6-arylpyridines Catalyzed by Chiral Disulfonimides Actually Proceeds via Brønsted Base Catalysis: A Combined Experimental, Computational, and Machine-Learning Study”</w:t>
      </w:r>
    </w:p>
    <w:p>
      <w:pPr>
        <w:spacing w:before="0" w:after="120"/>
      </w:pPr>
      <w:r>
        <w:rPr>
          <w:b/>
        </w:rPr>
        <w:t xml:space="preserve">Source: </w:t>
      </w:r>
      <w:r>
        <w:t>Journal of the American Chemical Society: Latest Articles (ACS Publications)</w:t>
      </w:r>
      <w:r>
        <w:t xml:space="preserve">    </w:t>
      </w:r>
      <w:r>
        <w:rPr>
          <w:b/>
        </w:rPr>
        <w:t xml:space="preserve">Pub date: </w:t>
      </w:r>
      <w:r>
        <w:t>2026-04-08 15:49:27+00:00</w:t>
      </w:r>
      <w:r>
        <w:t xml:space="preserve">    </w:t>
      </w:r>
      <w:r>
        <w:rPr>
          <w:b/>
        </w:rPr>
        <w:t xml:space="preserve">DOI: </w:t>
      </w:r>
      <w:hyperlink r:id="rId849">
        <w:r>
          <w:rPr>
            <w:color w:val="1155CC"/>
            <w:u w:val="single"/>
          </w:rPr>
          <w:t>10.1021/jacs.6c05160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[363] </w:t>
      </w:r>
      <w:hyperlink r:id="rId850">
        <w:r>
          <w:rPr>
            <w:color w:val="1155CC"/>
            <w:u w:val="single"/>
          </w:rPr>
          <w:t>[ASAP] 使用镍泡沫对硝基芳烃进行化学选择性还原为苯胺</w:t>
        </w:r>
      </w:hyperlink>
    </w:p>
    <w:p>
      <w:pPr>
        <w:spacing w:before="0" w:after="80"/>
      </w:pPr>
      <w:r>
        <w:rPr>
          <w:i/>
          <w:sz w:val="20"/>
        </w:rPr>
        <w:t>EN: [ASAP] Chemoselective Reduction of Nitroarenes to Anilines Using a Nickel Foam</w:t>
      </w:r>
    </w:p>
    <w:p>
      <w:pPr>
        <w:spacing w:before="0" w:after="120"/>
      </w:pPr>
      <w:r>
        <w:rPr>
          <w:b/>
        </w:rPr>
        <w:t xml:space="preserve">Source: </w:t>
      </w:r>
      <w:r>
        <w:t>Journal of the American Chemical Society: Latest Articles (ACS Publications)</w:t>
      </w:r>
      <w:r>
        <w:t xml:space="preserve">    </w:t>
      </w:r>
      <w:r>
        <w:rPr>
          <w:b/>
        </w:rPr>
        <w:t xml:space="preserve">Pub date: </w:t>
      </w:r>
      <w:r>
        <w:t>2026-04-08 16:11:02+00:00</w:t>
      </w:r>
      <w:r>
        <w:t xml:space="preserve">    </w:t>
      </w:r>
      <w:r>
        <w:rPr>
          <w:b/>
        </w:rPr>
        <w:t xml:space="preserve">DOI: </w:t>
      </w:r>
      <w:hyperlink r:id="rId851">
        <w:r>
          <w:rPr>
            <w:color w:val="1155CC"/>
            <w:u w:val="single"/>
          </w:rPr>
          <w:t>10.1021/jacs.5c19584</w:t>
        </w:r>
      </w:hyperlink>
    </w:p>
    <w:p>
      <w:pPr>
        <w:spacing w:before="0" w:after="120"/>
      </w:pPr>
      <w:r>
        <w:rPr>
          <w:b/>
        </w:rPr>
        <w:t xml:space="preserve">Notes: </w:t>
      </w:r>
      <w:r>
        <w:t>abstract_source=pubmed</w:t>
      </w:r>
    </w:p>
    <w:p>
      <w:pPr>
        <w:spacing w:before="0" w:after="80" w:lineRule="auto" w:line="276"/>
      </w:pPr>
      <w:r>
        <w:rPr>
          <w:b/>
        </w:rPr>
        <w:t xml:space="preserve">摘要（ZH）: </w:t>
      </w:r>
      <w:r>
        <w:t>硝基芳烃还原为苯胺是在室温下使用酸性乙醇中的泡沫镍实现的。该方法的一个显著特点是其卓越的化学选择性，能够在芳基卤化物、腈、烯烃、炔烃和羰基衍生物存在的情况下选择性还原硝基。该方法的选择性使其在制备高度功能化的芳香胺方面尤其强大，这些芳香胺是构建复杂目标物不可或缺的结构单元，如通过合成几种重要药物和天然产物所示。使用扫描电子显微镜（SEM）和X射线光电子能谱（XPS）对泡沫镍在原位活化前后的结构和表面化学分析显示其逐渐溶解和形成</w:t>
      </w:r>
    </w:p>
    <w:p>
      <w:pPr>
        <w:spacing w:before="0" w:after="200" w:lineRule="auto" w:line="276"/>
      </w:pPr>
      <w:r>
        <w:rPr>
          <w:b/>
        </w:rPr>
        <w:t xml:space="preserve">Abstract (EN): </w:t>
      </w:r>
      <w:r>
        <w:t>The reduction of nitroarenes to anilines is achieved using a nickel foam in acidic ethanol at room temperature. A defining feature of this protocol is its exceptional chemoselectivity, enabling the selective reduction of nitro groups in the presence of aryl halides, nitriles, alkenes, alkynes, and carbonyl derivatives. The selectivity of this method makes it especially powerful for preparing highly functionalized aromatic amines, indispensable motifs in the construction of complex targets, as exemplified by the synthesis of several important drugs and natural products. Structural and surface chemical analyses of the Ni foam before and after in situ activation, using scanning electron microscopy (SEM) and X-ray photoelectron spectroscopy (XPS), reveal its gradual dissolution and the formation of square-shaped pits. The metallic nickel surface formed during activation is required for the reduction.</w:t>
      </w:r>
    </w:p>
    <w:p>
      <w:pPr>
        <w:spacing w:before="120" w:after="120"/>
      </w:pPr>
      <w:r>
        <w:rPr>
          <w:sz w:val="18"/>
        </w:rPr>
        <w:t>——————————————————————————————————————————————————————————————————————</w:t>
      </w:r>
    </w:p>
    <w:p>
      <w:pPr>
        <w:spacing w:before="160" w:after="40" w:line="240" w:lineRule="auto"/>
      </w:pPr>
      <w:r>
        <w:rPr>
          <w:b/>
        </w:rPr>
        <w:t xml:space="preserve">[364] </w:t>
      </w:r>
      <w:hyperlink r:id="rId852">
        <w:r>
          <w:rPr>
            <w:color w:val="1155CC"/>
            <w:u w:val="single"/>
          </w:rPr>
          <w:t>追求硅基全固态电池中的高功率密度：对限制和前景的见解（Adv. Energy Mater. 14/2026）</w:t>
        </w:r>
      </w:hyperlink>
    </w:p>
    <w:p>
      <w:pPr>
        <w:spacing w:before="0" w:after="80"/>
      </w:pPr>
      <w:r>
        <w:rPr>
          <w:i/>
          <w:sz w:val="20"/>
        </w:rPr>
        <w:t>EN: The Pursuit for High Power Density in Silicon‐Based ASSBs: Insights Into Limitations and Perspectives (Adv. Energy Mater. 14/2026)</w:t>
      </w:r>
    </w:p>
    <w:p>
      <w:pPr>
        <w:spacing w:before="0" w:after="120"/>
      </w:pPr>
      <w:r>
        <w:rPr>
          <w:b/>
        </w:rPr>
        <w:t xml:space="preserve">Source: </w:t>
      </w:r>
      <w:r>
        <w:t>Wiley: Advanced Energy Materials: Table of Contents</w:t>
      </w:r>
      <w:r>
        <w:t xml:space="preserve">    </w:t>
      </w:r>
      <w:r>
        <w:rPr>
          <w:b/>
        </w:rPr>
        <w:t xml:space="preserve">Pub date: </w:t>
      </w:r>
      <w:r>
        <w:t>2026-04-08 16:27:23+00:00</w:t>
      </w:r>
      <w:r>
        <w:t xml:space="preserve">    </w:t>
      </w:r>
      <w:r>
        <w:rPr>
          <w:b/>
        </w:rPr>
        <w:t xml:space="preserve">DOI: </w:t>
      </w:r>
      <w:hyperlink r:id="rId853">
        <w:r>
          <w:rPr>
            <w:color w:val="1155CC"/>
            <w:u w:val="single"/>
          </w:rPr>
          <w:t>10.1002/aenm.70824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[365] </w:t>
      </w:r>
      <w:hyperlink r:id="rId854">
        <w:r>
          <w:rPr>
            <w:color w:val="1155CC"/>
            <w:u w:val="single"/>
          </w:rPr>
          <w:t>高性能和耐用质子陶瓷电化学电池的定量界面工程框架（Adv. Energy Mater. 14/2026）</w:t>
        </w:r>
      </w:hyperlink>
    </w:p>
    <w:p>
      <w:pPr>
        <w:spacing w:before="0" w:after="80"/>
      </w:pPr>
      <w:r>
        <w:rPr>
          <w:i/>
          <w:sz w:val="20"/>
        </w:rPr>
        <w:t>EN: Quantitative Interface Engineering Framework for High‐Performance and Durable Protonic Ceramic Electrochemical Cells (Adv. Energy Mater. 14/2026)</w:t>
      </w:r>
    </w:p>
    <w:p>
      <w:pPr>
        <w:spacing w:before="0" w:after="120"/>
      </w:pPr>
      <w:r>
        <w:rPr>
          <w:b/>
        </w:rPr>
        <w:t xml:space="preserve">Source: </w:t>
      </w:r>
      <w:r>
        <w:t>Wiley: Advanced Energy Materials: Table of Contents</w:t>
      </w:r>
      <w:r>
        <w:t xml:space="preserve">    </w:t>
      </w:r>
      <w:r>
        <w:rPr>
          <w:b/>
        </w:rPr>
        <w:t xml:space="preserve">Pub date: </w:t>
      </w:r>
      <w:r>
        <w:t>2026-04-08 16:27:23+00:00</w:t>
      </w:r>
      <w:r>
        <w:t xml:space="preserve">    </w:t>
      </w:r>
      <w:r>
        <w:rPr>
          <w:b/>
        </w:rPr>
        <w:t xml:space="preserve">DOI: </w:t>
      </w:r>
      <w:hyperlink r:id="rId855">
        <w:r>
          <w:rPr>
            <w:color w:val="1155CC"/>
            <w:u w:val="single"/>
          </w:rPr>
          <w:t>10.1002/aenm.70809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[366] </w:t>
      </w:r>
      <w:hyperlink r:id="rId856">
        <w:r>
          <w:rPr>
            <w:color w:val="1155CC"/>
            <w:u w:val="single"/>
          </w:rPr>
          <w:t>[ASAP] 通过μMap光邻近标记法测定α-突触核蛋白的相互作用</w:t>
        </w:r>
      </w:hyperlink>
    </w:p>
    <w:p>
      <w:pPr>
        <w:spacing w:before="0" w:after="80"/>
      </w:pPr>
      <w:r>
        <w:rPr>
          <w:i/>
          <w:sz w:val="20"/>
        </w:rPr>
        <w:t>EN: [ASAP] Determination of α-Synuclein Protein Interactions by μMap Photoproximity Labeling</w:t>
      </w:r>
    </w:p>
    <w:p>
      <w:pPr>
        <w:spacing w:before="0" w:after="120"/>
      </w:pPr>
      <w:r>
        <w:rPr>
          <w:b/>
        </w:rPr>
        <w:t xml:space="preserve">Source: </w:t>
      </w:r>
      <w:r>
        <w:t>Journal of the American Chemical Society: Latest Articles (ACS Publications)</w:t>
      </w:r>
      <w:r>
        <w:t xml:space="preserve">    </w:t>
      </w:r>
      <w:r>
        <w:rPr>
          <w:b/>
        </w:rPr>
        <w:t xml:space="preserve">Pub date: </w:t>
      </w:r>
      <w:r>
        <w:t>2026-04-08 17:25:49+00:00</w:t>
      </w:r>
      <w:r>
        <w:t xml:space="preserve">    </w:t>
      </w:r>
      <w:r>
        <w:rPr>
          <w:b/>
        </w:rPr>
        <w:t xml:space="preserve">DOI: </w:t>
      </w:r>
      <w:hyperlink r:id="rId857">
        <w:r>
          <w:rPr>
            <w:color w:val="1155CC"/>
            <w:u w:val="single"/>
          </w:rPr>
          <w:t>10.1021/jacs.5c16598</w:t>
        </w:r>
      </w:hyperlink>
    </w:p>
    <w:p>
      <w:pPr>
        <w:spacing w:before="0" w:after="120"/>
      </w:pPr>
      <w:r>
        <w:rPr>
          <w:b/>
        </w:rPr>
        <w:t xml:space="preserve">Notes: </w:t>
      </w:r>
      <w:r>
        <w:t>abstract_source=openalex</w:t>
      </w:r>
    </w:p>
    <w:p>
      <w:pPr>
        <w:spacing w:before="0" w:after="80" w:lineRule="auto" w:line="276"/>
      </w:pPr>
      <w:r>
        <w:rPr>
          <w:b/>
        </w:rPr>
        <w:t xml:space="preserve">摘要（ZH）: </w:t>
      </w:r>
      <w:r>
        <w:t>天然无序蛋白α-突触核蛋白（αS）的纤维状聚集体是帕金森病和相关神经退行性疾病（称为突触核蛋白病）的标志。在此，我们使用微图（μMap）光邻近标记法来确定小鼠脑裂解液中αS单体和纤维的相互作用组，以更好地理解突触核蛋白病的健康功能丧失和毒性功能获得的方面。合成并表征了几种αS变体，显示通过Cys-马来酰亚胺连接的Ir催化剂的小尺寸（1 kDa）对αS的干扰最小，具有狭窄的标记半径，使人能够识别αS不同区域之间的相互作用组差异。单体和纤维的相互作用组相互比较，并与之前的</w:t>
      </w:r>
    </w:p>
    <w:p>
      <w:pPr>
        <w:spacing w:before="0" w:after="200" w:lineRule="auto" w:line="276"/>
      </w:pPr>
      <w:r>
        <w:rPr>
          <w:b/>
        </w:rPr>
        <w:t xml:space="preserve">Abstract (EN): </w:t>
      </w:r>
      <w:r>
        <w:t>Fibrillar aggregates of the natively disordered protein α-synuclein (αS) are hallmarks of Parkinson's disease and related neurodegenerative disorders termed synucleinopathies. Here, we used micromap (μMap) photo-proximity labeling to determine the interactomes of αS monomers and fibrils in mouse brain lysate to better understand both the loss of healthy function and gain of toxic function aspects of synucleinopathies. Several αS variants were synthesized and characterized, showing that the small size (1 kDa) of the Ir catalyst attached through a Cys-maleimide linkage makes it minimally-perturbing to αS, with a narrow labeling radius that allows one to identify interactome differences between different regions of αS. Monomer and fibril interactomes were compared to each other and to previous proximity labeling data sets for validation and several examples of further investigations are demonstrated, including Western blotting, super-resolution microscopy, and μMap in primary neurons.</w:t>
      </w:r>
    </w:p>
    <w:p>
      <w:pPr>
        <w:spacing w:before="120" w:after="120"/>
      </w:pPr>
      <w:r>
        <w:rPr>
          <w:sz w:val="18"/>
        </w:rPr>
        <w:t>——————————————————————————————————————————————————————————————————————</w:t>
      </w:r>
    </w:p>
    <w:p>
      <w:pPr>
        <w:spacing w:before="160" w:after="40" w:line="240" w:lineRule="auto"/>
      </w:pPr>
      <w:r>
        <w:rPr>
          <w:b/>
        </w:rPr>
        <w:t xml:space="preserve">[367] </w:t>
      </w:r>
      <w:hyperlink r:id="rId858">
        <w:r>
          <w:rPr>
            <w:color w:val="1155CC"/>
            <w:u w:val="single"/>
          </w:rPr>
          <w:t>[ASAP] 铬(0)配合物外配位球的能量存储增强了光物理和光化学性质</w:t>
        </w:r>
      </w:hyperlink>
    </w:p>
    <w:p>
      <w:pPr>
        <w:spacing w:before="0" w:after="80"/>
      </w:pPr>
      <w:r>
        <w:rPr>
          <w:i/>
          <w:sz w:val="20"/>
        </w:rPr>
        <w:t>EN: [ASAP] Energy Storage in the Outer Coordination Sphere of a Chromium(0) Complex Enhances Photophysical and Photochemical Properties</w:t>
      </w:r>
    </w:p>
    <w:p>
      <w:pPr>
        <w:spacing w:before="0" w:after="120"/>
      </w:pPr>
      <w:r>
        <w:rPr>
          <w:b/>
        </w:rPr>
        <w:t xml:space="preserve">Source: </w:t>
      </w:r>
      <w:r>
        <w:t>Journal of the American Chemical Society: Latest Articles (ACS Publications)</w:t>
      </w:r>
      <w:r>
        <w:t xml:space="preserve">    </w:t>
      </w:r>
      <w:r>
        <w:rPr>
          <w:b/>
        </w:rPr>
        <w:t xml:space="preserve">Pub date: </w:t>
      </w:r>
      <w:r>
        <w:t>2026-04-08 17:26:54+00:00</w:t>
      </w:r>
      <w:r>
        <w:t xml:space="preserve">    </w:t>
      </w:r>
      <w:r>
        <w:rPr>
          <w:b/>
        </w:rPr>
        <w:t xml:space="preserve">DOI: </w:t>
      </w:r>
      <w:hyperlink r:id="rId859">
        <w:r>
          <w:rPr>
            <w:color w:val="1155CC"/>
            <w:u w:val="single"/>
          </w:rPr>
          <w:t>10.1021/jacs.5c23284</w:t>
        </w:r>
      </w:hyperlink>
    </w:p>
    <w:p>
      <w:pPr>
        <w:spacing w:before="0" w:after="120"/>
      </w:pPr>
      <w:r>
        <w:rPr>
          <w:b/>
        </w:rPr>
        <w:t xml:space="preserve">Notes: </w:t>
      </w:r>
      <w:r>
        <w:t>abstract_source=pubmed</w:t>
      </w:r>
    </w:p>
    <w:p>
      <w:pPr>
        <w:spacing w:before="0" w:after="80" w:lineRule="auto" w:line="276"/>
      </w:pPr>
      <w:r>
        <w:rPr>
          <w:b/>
        </w:rPr>
        <w:t xml:space="preserve">摘要（ZH）: </w:t>
      </w:r>
      <w:r>
        <w:t>发光的3d6过渡金属配合物很少见，因为它们的激发态通常在100 fs到1 ns的时间尺度上经历非辐射失活。这使得开发常用的4d6（RuII）和5d6（IrIII）发光体和光催化剂的一排过渡金属类似物变得复杂。在此，我们报告了一种Cr0配合物，其在室温下溶液中表现出三重态金属-配体电荷转移（3MLCT）发光，寿命为12 μs。这比以前用FeII基配合物实现的长4个数量级，是迄今为止观察到的任何3d6金属配合物中最长的发光寿命。通过共价连接12个9-苯基蒽单元作为能量储存器实现了这一进展</w:t>
      </w:r>
    </w:p>
    <w:p>
      <w:pPr>
        <w:spacing w:before="0" w:after="200" w:lineRule="auto" w:line="276"/>
      </w:pPr>
      <w:r>
        <w:rPr>
          <w:b/>
        </w:rPr>
        <w:t xml:space="preserve">Abstract (EN): </w:t>
      </w:r>
      <w:r>
        <w:t>Luminescent 3d6 transition-metal complexes are rare because their excited states typically undergo nonradiative deactivation on time scales ranging from 100 fs to 1 ns. This complicates the development of first-row transition metal analogues of the commonly used 4d6 (RuII) and 5d6 (IrIII) luminophores and photocatalysts. Here, we report a Cr0 complex that exhibits triplet metal-to-ligand charge transfer (3MLCT) luminescence with a lifetime of 12 μs in solution at room temperature. This is 4 orders of magnitude longer than what has been previously achieved with FeII-based complexes, making it the longest luminescence lifetime observed in any 3d6 metal complex to date. This advance was made possible through the covalent attachment of 12 9-phenylanthracene units that serve as energy reservoirs in the second coordination sphere around a luminescent di(triisocyanide) Cr0 core. This molecular design retains the strong photoreducing power of the Cr0 core; however, the extended lifetime enables thermodynamically uphill elementary reaction steps, which are usually too slow to compete with the excited-state deactivation of 3d6 metal complexes. Transient absorption spectroscopy directly observes the photoinduced elementary reaction steps, and long-term irradiation experiments illustrate the advantages of our molecular design in a proof-of-principle reaction driven by red light. Overall, this work contributes to expanding the photophysical and photochemical performance limits of first-row transition metal complexes and opens new perspectives for applications in luminescence and photocatalysis.</w:t>
      </w:r>
    </w:p>
    <w:p>
      <w:pPr>
        <w:spacing w:before="120" w:after="120"/>
      </w:pPr>
      <w:r>
        <w:rPr>
          <w:sz w:val="18"/>
        </w:rPr>
        <w:t>——————————————————————————————————————————————————————————————————————</w:t>
      </w:r>
    </w:p>
    <w:p>
      <w:pPr>
        <w:spacing w:before="160" w:after="40" w:line="240" w:lineRule="auto"/>
      </w:pPr>
      <w:r>
        <w:rPr>
          <w:b/>
        </w:rPr>
        <w:t xml:space="preserve">[368] </w:t>
      </w:r>
      <w:hyperlink r:id="rId860">
        <w:r>
          <w:rPr>
            <w:color w:val="1155CC"/>
            <w:u w:val="single"/>
          </w:rPr>
          <w:t>[ASAP] 通过调节螺旋手性柱[5]芳烃的手性转移来化学控制超分子共聚合</w:t>
        </w:r>
      </w:hyperlink>
    </w:p>
    <w:p>
      <w:pPr>
        <w:spacing w:before="0" w:after="80"/>
      </w:pPr>
      <w:r>
        <w:rPr>
          <w:i/>
          <w:sz w:val="20"/>
        </w:rPr>
        <w:t>EN: [ASAP] Chemical Control of Supramolecular Copolymerization by Modulating the Chirality Transfer of Helical-Chiral Pillar[5]arenes</w:t>
      </w:r>
    </w:p>
    <w:p>
      <w:pPr>
        <w:spacing w:before="0" w:after="120"/>
      </w:pPr>
      <w:r>
        <w:rPr>
          <w:b/>
        </w:rPr>
        <w:t xml:space="preserve">Source: </w:t>
      </w:r>
      <w:r>
        <w:t>Journal of the American Chemical Society: Latest Articles (ACS Publications)</w:t>
      </w:r>
      <w:r>
        <w:t xml:space="preserve">    </w:t>
      </w:r>
      <w:r>
        <w:rPr>
          <w:b/>
        </w:rPr>
        <w:t xml:space="preserve">Pub date: </w:t>
      </w:r>
      <w:r>
        <w:t>2026-04-08 17:28:57+00:00</w:t>
      </w:r>
      <w:r>
        <w:t xml:space="preserve">    </w:t>
      </w:r>
      <w:r>
        <w:rPr>
          <w:b/>
        </w:rPr>
        <w:t xml:space="preserve">DOI: </w:t>
      </w:r>
      <w:hyperlink r:id="rId861">
        <w:r>
          <w:rPr>
            <w:color w:val="1155CC"/>
            <w:u w:val="single"/>
          </w:rPr>
          <w:t>10.1021/jacs.5c23106</w:t>
        </w:r>
      </w:hyperlink>
    </w:p>
    <w:p>
      <w:pPr>
        <w:spacing w:before="0" w:after="120"/>
      </w:pPr>
      <w:r>
        <w:rPr>
          <w:b/>
        </w:rPr>
        <w:t xml:space="preserve">Notes: </w:t>
      </w:r>
      <w:r>
        <w:t>abstract_source=pubmed</w:t>
      </w:r>
    </w:p>
    <w:p>
      <w:pPr>
        <w:spacing w:before="0" w:after="80" w:lineRule="auto" w:line="276"/>
      </w:pPr>
      <w:r>
        <w:rPr>
          <w:b/>
        </w:rPr>
        <w:t xml:space="preserve">摘要（ZH）: </w:t>
      </w:r>
      <w:r>
        <w:t>控制超分子聚合对于获取多样的超分子结构至关重要。在此，我们报告了一种通过螺旋匹配促进的手性转移策略来控制从碱性到酸性pillar[5]arene (P5A)单体的超分子聚合。我们的策略利用了这样一个事实：带有笨重叔胺取代基的碱性P5A单体由于其静态螺旋性而作为手性诱导剂，而带有短链脂肪族羧酸基团的酸性P5A单体则表现出动态螺旋性，在P和M构象之间相互转换。当我们将碱性P5A（静态M-螺旋性）与酸性P5A（动态P-和M-螺旋性）混合时，我们获得了一种动力学上有利的亚稳态无定形聚集体。该聚集体通过多重螺旋匹配形成。</w:t>
      </w:r>
    </w:p>
    <w:p>
      <w:pPr>
        <w:spacing w:before="0" w:after="200" w:lineRule="auto" w:line="276"/>
      </w:pPr>
      <w:r>
        <w:rPr>
          <w:b/>
        </w:rPr>
        <w:t xml:space="preserve">Abstract (EN): </w:t>
      </w:r>
      <w:r>
        <w:t>Controlling supramolecular polymerization is essential to accessing diverse supramolecular structures. Here, we report a distinct strategy to control supramolecular polymerization through helical-sense-matching-promoted chiral transfer from basic to acidic pillar[5]arene (P5A) monomers. Our strategy uses the fact that a basic P5A monomer bearing bulky tertiary amine substituents acts as a chiral inducer because of its static helicity, whereas an acidic P5A monomer with short aliphatic carboxylic acid groups exhibits dynamic helicity with interconversion between P and M conformers. When we mixed basic P5A (static M-helicity) with acidic P5A (dynamic P- and M-helicity), we obtained a kinetically favored metastable amorphous aggregate. This aggregate formed through multiple helical-sense-matched and -mismatched ion-pairing interactions between the basic and acidic P5A monomers. Subsequently, time-dependent supramolecular polymerization gradually occurred, which transformed the amorphous aggregates into thermodynamically stable nanowires. This process was driven by helical-sense matching, which involved the conversion of the helicity of acidic P5A from P to M and then connection between the M-helical basic and acidic P5A monomers. The polymerization can be accelerated by acidic or basic additives and suppressed by the addition of guest molecules. Because of the multiple helical-sense-matched ion-pairing interactions, the resulting supramolecular copolymer exhibited exceptional stability in polar solvents, at high temperatures, and in harsh environments.</w:t>
      </w:r>
    </w:p>
    <w:p>
      <w:pPr>
        <w:spacing w:before="120" w:after="120"/>
      </w:pPr>
      <w:r>
        <w:rPr>
          <w:sz w:val="18"/>
        </w:rPr>
        <w:t>——————————————————————————————————————————————————————————————————————</w:t>
      </w:r>
    </w:p>
    <w:p>
      <w:pPr>
        <w:spacing w:before="160" w:after="40" w:line="240" w:lineRule="auto"/>
      </w:pPr>
      <w:r>
        <w:rPr>
          <w:b/>
        </w:rPr>
        <w:t xml:space="preserve">[369] </w:t>
      </w:r>
      <w:hyperlink r:id="rId862">
        <w:r>
          <w:rPr>
            <w:color w:val="1155CC"/>
            <w:u w:val="single"/>
          </w:rPr>
          <w:t>[ASAP] 飞秒到秒时间分辨光谱为多功能锰光催化剂[Mn2(CO)10]的生命周期提供了无与伦比的见解</w:t>
        </w:r>
      </w:hyperlink>
    </w:p>
    <w:p>
      <w:pPr>
        <w:spacing w:before="0" w:after="80"/>
      </w:pPr>
      <w:r>
        <w:rPr>
          <w:i/>
          <w:sz w:val="20"/>
        </w:rPr>
        <w:t>EN: [ASAP] Femtosecond-to-Second Time-Resolved Spectroscopy Brings Unparalleled Insight Into the Life Cycle of the Versatile Manganese Photocatalyst [Mn2(CO)10]</w:t>
      </w:r>
    </w:p>
    <w:p>
      <w:pPr>
        <w:spacing w:before="0" w:after="120"/>
      </w:pPr>
      <w:r>
        <w:rPr>
          <w:b/>
        </w:rPr>
        <w:t xml:space="preserve">Source: </w:t>
      </w:r>
      <w:r>
        <w:t>Journal of the American Chemical Society: Latest Articles (ACS Publications)</w:t>
      </w:r>
      <w:r>
        <w:t xml:space="preserve">    </w:t>
      </w:r>
      <w:r>
        <w:rPr>
          <w:b/>
        </w:rPr>
        <w:t xml:space="preserve">Pub date: </w:t>
      </w:r>
      <w:r>
        <w:t>2026-04-08 17:40:01+00:00</w:t>
      </w:r>
      <w:r>
        <w:t xml:space="preserve">    </w:t>
      </w:r>
      <w:r>
        <w:rPr>
          <w:b/>
        </w:rPr>
        <w:t xml:space="preserve">DOI: </w:t>
      </w:r>
      <w:hyperlink r:id="rId863">
        <w:r>
          <w:rPr>
            <w:color w:val="1155CC"/>
            <w:u w:val="single"/>
          </w:rPr>
          <w:t>10.1021/jacs.5c16761</w:t>
        </w:r>
      </w:hyperlink>
    </w:p>
    <w:p>
      <w:pPr>
        <w:spacing w:before="0" w:after="120"/>
      </w:pPr>
      <w:r>
        <w:rPr>
          <w:b/>
        </w:rPr>
        <w:t xml:space="preserve">Notes: </w:t>
      </w:r>
      <w:r>
        <w:t>abstract_source=pubmed</w:t>
      </w:r>
    </w:p>
    <w:p>
      <w:pPr>
        <w:spacing w:before="0" w:after="80" w:lineRule="auto" w:line="276"/>
      </w:pPr>
      <w:r>
        <w:rPr>
          <w:b/>
        </w:rPr>
        <w:t xml:space="preserve">摘要（ZH）: </w:t>
      </w:r>
      <w:r>
        <w:t>可见光激活的自由基光引发剂在复杂分子结构的高效构建和先进聚合材料的精确合成中起着关键作用。其功能的核心在于形成驱动选择性均裂键断裂的活性自由基物种，但由于关键中间体的短暂性，阐明这些过程的基本机制是出了名的困难。在这项研究中，时间分辨红外（TRIR）光谱提供了一个强大的窗口，可以观察到多功能光催化剂[Mn2(CO)10]的完整反应谱，包括观察到的[Mn(O2)(CO)5]，这是一个长寿命（毫秒级）的活性17电子复合物[Mn(CO)5]的储库。我们提供了前所未有的结构和机制见解。</w:t>
      </w:r>
    </w:p>
    <w:p>
      <w:pPr>
        <w:spacing w:before="0" w:after="200" w:lineRule="auto" w:line="276"/>
      </w:pPr>
      <w:r>
        <w:rPr>
          <w:b/>
        </w:rPr>
        <w:t xml:space="preserve">Abstract (EN): </w:t>
      </w:r>
      <w:r>
        <w:t>Visible-light-activated radical photoinitiators are pivotal in the efficient construction of complex molecular architectures and the precision synthesis of advanced polymeric materials. At the heart of their function lies the formation of reactive radical species that drive selective homolytic bond cleavage, but elucidating the fundamental mechanisms of these processes is notoriously difficult due to the fleeting nature of key intermediates. In this study, time-resolved infrared (TRIR) spectroscopy provides a powerful window into the complete reaction profile of the versatile photocatalyst [Mn2(CO)10], including the observation of [Mn(O2)(CO)5], which is a long-lived (ms) reservoir of the reactive 17-electron complex [Mn(CO)5]. We give unprecedented structural and mechanistic insights concerning the formation of [Mn(CO)5] in electronically and vibrationally excited states (fs-ps), its quenching by O2 (ns), regeneration of the ground-state catalyst, and C-I bond activation (ms). New avenues for the rational design of next-generation metal-metal photocatalysts are provided, as [Mn(O2)(CO)5] significantly extends the catalyst longevity.</w:t>
      </w:r>
    </w:p>
    <w:p>
      <w:pPr>
        <w:spacing w:before="120" w:after="120"/>
      </w:pPr>
      <w:r>
        <w:rPr>
          <w:sz w:val="18"/>
        </w:rPr>
        <w:t>——————————————————————————————————————————————————————————————————————</w:t>
      </w:r>
    </w:p>
    <w:p>
      <w:pPr>
        <w:spacing w:before="160" w:after="40" w:line="240" w:lineRule="auto"/>
      </w:pPr>
      <w:r>
        <w:rPr>
          <w:b/>
        </w:rPr>
        <w:t xml:space="preserve">[370] </w:t>
      </w:r>
      <w:hyperlink r:id="rId864">
        <w:r>
          <w:rPr>
            <w:color w:val="1155CC"/>
            <w:u w:val="single"/>
          </w:rPr>
          <w:t>[ASAP] 稀土配合物中肼光开关的金属依赖光解</w:t>
        </w:r>
      </w:hyperlink>
    </w:p>
    <w:p>
      <w:pPr>
        <w:spacing w:before="0" w:after="80"/>
      </w:pPr>
      <w:r>
        <w:rPr>
          <w:i/>
          <w:sz w:val="20"/>
        </w:rPr>
        <w:t>EN: [ASAP] Metal-Dependent Photodissociation of Hydrazone Photoswitches from Rare-Earth Complexes</w:t>
      </w:r>
    </w:p>
    <w:p>
      <w:pPr>
        <w:spacing w:before="0" w:after="120"/>
      </w:pPr>
      <w:r>
        <w:rPr>
          <w:b/>
        </w:rPr>
        <w:t xml:space="preserve">Source: </w:t>
      </w:r>
      <w:r>
        <w:t>Journal of the American Chemical Society: Latest Articles (ACS Publications)</w:t>
      </w:r>
      <w:r>
        <w:t xml:space="preserve">    </w:t>
      </w:r>
      <w:r>
        <w:rPr>
          <w:b/>
        </w:rPr>
        <w:t xml:space="preserve">Pub date: </w:t>
      </w:r>
      <w:r>
        <w:t>2026-04-08 17:41:00+00:00</w:t>
      </w:r>
      <w:r>
        <w:t xml:space="preserve">    </w:t>
      </w:r>
      <w:r>
        <w:rPr>
          <w:b/>
        </w:rPr>
        <w:t xml:space="preserve">DOI: </w:t>
      </w:r>
      <w:hyperlink r:id="rId865">
        <w:r>
          <w:rPr>
            <w:color w:val="1155CC"/>
            <w:u w:val="single"/>
          </w:rPr>
          <w:t>10.1021/jacs.6c03443</w:t>
        </w:r>
      </w:hyperlink>
    </w:p>
    <w:p>
      <w:pPr>
        <w:spacing w:before="0" w:after="120"/>
      </w:pPr>
      <w:r>
        <w:rPr>
          <w:b/>
        </w:rPr>
        <w:t xml:space="preserve">Notes: </w:t>
      </w:r>
      <w:r>
        <w:t>abstract_source=pubmed</w:t>
      </w:r>
    </w:p>
    <w:p>
      <w:pPr>
        <w:spacing w:before="0" w:after="80" w:lineRule="auto" w:line="276"/>
      </w:pPr>
      <w:r>
        <w:rPr>
          <w:b/>
        </w:rPr>
        <w:t xml:space="preserve">摘要（ZH）: </w:t>
      </w:r>
      <w:r>
        <w:t>稀土元素的分离过程通常依赖于元素系列中离子半径的微小减少。基于稀土元素（REs）独特光学性质的分离过程仍然探索较少，尽管光化学方法可能提供一种可行的替代方案。精确选择光开关酰腙配体的合成前体导致了一个系统，该系统在商业LED灯照射下可以定量地异构化（E-to-Z）。光开关与REIII硝酸盐（RE = La-Lu，除Pm和Y）配位后，保留了在溶液中观察到的光开关特性。生成的Z-异构体与REIII离子的较低结合亲和力导致在照射（光解离）下复合物的解离，并释放出RE-n。</w:t>
      </w:r>
    </w:p>
    <w:p>
      <w:pPr>
        <w:spacing w:before="0" w:after="200" w:lineRule="auto" w:line="276"/>
      </w:pPr>
      <w:r>
        <w:rPr>
          <w:b/>
        </w:rPr>
        <w:t xml:space="preserve">Abstract (EN): </w:t>
      </w:r>
      <w:r>
        <w:t>Rare-earth element separation processes often rely on a small decrease in ionic radii along the series of elements. Separation processes based on the distinct optical properties of REs remain less explored, although photochemical methods may offer a viable alternative. Accurate selection of the synthetic precursors of a photoswitchable acylhydrazonic ligand led to a system that could quantitatively isomerize (E-to-Z) upon irradiation with commercial LED lights. Coordination of the photoswitch with REIII nitrates (RE = La-Lu except Pm and Y) resulted in the retention of the photoswitching properties observed in solution. The lower binding affinity of the generated Z-isomer with REIII ions yielded the dissociation of the complexes upon irradiation (photodissociation) with the release of RE-nitrates in solution. The rate of the reaction was found to be dependent on the optical properties of the REIII ions, with nonemissive complexes (no 4f excited states) dissociating faster than emissive ones (having accessible 4f excited states). A thorough solid-state characterization of the complexes was performed by using crystallographic and photochemical methods. Ultimately, the accessibility of the 4f excited states of the metals following light irradiation and excitation of the ligand led to a decrease in the rate of the reaction due to quenching of the ligand excited state. These results demonstrate that the direct modulation of the metal coordination environment, combined with the metal-dependent reaction rate, could provide a strategy for the development of RE-separation processes based on differences in their optical properties.</w:t>
      </w:r>
    </w:p>
    <w:p>
      <w:pPr>
        <w:spacing w:before="120" w:after="120"/>
      </w:pPr>
      <w:r>
        <w:rPr>
          <w:sz w:val="18"/>
        </w:rPr>
        <w:t>——————————————————————————————————————————————————————————————————————</w:t>
      </w:r>
    </w:p>
    <w:p>
      <w:pPr>
        <w:spacing w:before="160" w:after="40" w:line="240" w:lineRule="auto"/>
      </w:pPr>
      <w:r>
        <w:rPr>
          <w:b/>
        </w:rPr>
        <w:t xml:space="preserve">[371] </w:t>
      </w:r>
      <w:hyperlink r:id="rId866">
        <w:r>
          <w:rPr>
            <w:color w:val="1155CC"/>
            <w:u w:val="single"/>
          </w:rPr>
          <w:t>[ASAP] 使用计算建模和理性设计的膦对抗体中工程化半胱氨酸残基的化学选择性还原的机制洞察</w:t>
        </w:r>
      </w:hyperlink>
    </w:p>
    <w:p>
      <w:pPr>
        <w:spacing w:before="0" w:after="80"/>
      </w:pPr>
      <w:r>
        <w:rPr>
          <w:i/>
          <w:sz w:val="20"/>
        </w:rPr>
        <w:t>EN: [ASAP] Mechanistic Insights into Chemoselective Reduction of Engineered Cysteine Residues in Antibodies Using Computational Modeling and Rationally Designed Phosphines</w:t>
      </w:r>
    </w:p>
    <w:p>
      <w:pPr>
        <w:spacing w:before="0" w:after="120"/>
      </w:pPr>
      <w:r>
        <w:rPr>
          <w:b/>
        </w:rPr>
        <w:t xml:space="preserve">Source: </w:t>
      </w:r>
      <w:r>
        <w:t>Journal of the American Chemical Society: Latest Articles (ACS Publications)</w:t>
      </w:r>
      <w:r>
        <w:t xml:space="preserve">    </w:t>
      </w:r>
      <w:r>
        <w:rPr>
          <w:b/>
        </w:rPr>
        <w:t xml:space="preserve">Pub date: </w:t>
      </w:r>
      <w:r>
        <w:t>2026-04-08 17:41:03+00:00</w:t>
      </w:r>
      <w:r>
        <w:t xml:space="preserve">    </w:t>
      </w:r>
      <w:r>
        <w:rPr>
          <w:b/>
        </w:rPr>
        <w:t xml:space="preserve">DOI: </w:t>
      </w:r>
      <w:hyperlink r:id="rId867">
        <w:r>
          <w:rPr>
            <w:color w:val="1155CC"/>
            <w:u w:val="single"/>
          </w:rPr>
          <w:t>10.1021/jacs.5c16773</w:t>
        </w:r>
      </w:hyperlink>
    </w:p>
    <w:p>
      <w:pPr>
        <w:spacing w:before="0" w:after="120"/>
      </w:pPr>
      <w:r>
        <w:rPr>
          <w:b/>
        </w:rPr>
        <w:t xml:space="preserve">Notes: </w:t>
      </w:r>
      <w:r>
        <w:t>abstract_source=pubmed</w:t>
      </w:r>
    </w:p>
    <w:p>
      <w:pPr>
        <w:spacing w:before="0" w:after="80" w:lineRule="auto" w:line="276"/>
      </w:pPr>
      <w:r>
        <w:rPr>
          <w:b/>
        </w:rPr>
        <w:t xml:space="preserve">摘要（ZH）: </w:t>
      </w:r>
      <w:r>
        <w:t>特异性抗体-药物偶联物（ADCs）相较于传统ADCs提供了更好的稳定性、效力和毒性。然而，利用膦基还原剂对工程化半胱氨酸残基进行化学选择性还原的过程仍未完全理解且难以普遍化。在此，我们结合实验筛选和计算建模来阐明选择性还原的机制，并为化学选择性膦还原剂的全新设计推导出原则。我们提出了一个由膦对抗体表面每个二硫化物位点的可达性和内在反应性（由TS1活化能垒捕获）指导的双因素计算框架，以解释选择性与非选择性行为。该框架成功地解释了</w:t>
      </w:r>
    </w:p>
    <w:p>
      <w:pPr>
        <w:spacing w:before="0" w:after="200" w:lineRule="auto" w:line="276"/>
      </w:pPr>
      <w:r>
        <w:rPr>
          <w:b/>
        </w:rPr>
        <w:t xml:space="preserve">Abstract (EN): </w:t>
      </w:r>
      <w:r>
        <w:t>Site-specific antibody-drug conjugates (ADCs) offer improved stability, efficacy, and toxicity relative to conventional ADCs. However, the chemoselective reduction of engineered cysteine residues employing phosphine-based reductants remains incompletely understood and difficult to generalize. Here, we integrate experimental screening with computational modeling to elucidate the mechanism of selective reduction and to derive principles for de novo design of chemoselective phosphine reductants. We propose a two-factor computational framework guided by phosphine accessibility to each disulfide site on the antibody surface and intrinsic reactivity, captured by the TS1 activation barrier, to explain selective versus nonselective behavior. This framework successfully rationalizes the activity of phosphine reductants toward engineered cysteine residues across two distinct engineered cysteine sites on the IgG1 backbone (S375C in the Fc and S168C in the Fab). Guided by these structure-function insights, we developed new reagents with improved chemoselectivity. Finally, by exploiting site- and reagent-dependent differences in accessibility and reactivity, we demonstrated the feasibility of a sequential strategy to prepare homogeneous dual-payload ADCs without complex linkers or additional antibody engineering. These findings provide broadly applicable guidance for phosphine selection and design to achieve chemoselective, site-specific conjugation.</w:t>
      </w:r>
    </w:p>
    <w:p>
      <w:pPr>
        <w:spacing w:before="120" w:after="120"/>
      </w:pPr>
      <w:r>
        <w:rPr>
          <w:sz w:val="18"/>
        </w:rPr>
        <w:t>——————————————————————————————————————————————————————————————————————</w:t>
      </w:r>
    </w:p>
    <w:p>
      <w:pPr>
        <w:spacing w:before="160" w:after="40" w:line="240" w:lineRule="auto"/>
      </w:pPr>
      <w:r>
        <w:rPr>
          <w:b/>
        </w:rPr>
        <w:t xml:space="preserve">[372] </w:t>
      </w:r>
      <w:hyperlink r:id="rId868">
        <w:r>
          <w:rPr>
            <w:color w:val="1155CC"/>
            <w:u w:val="single"/>
          </w:rPr>
          <w:t>[ASAP] 化学和材料科学中的反应性机器学习原子间势</w:t>
        </w:r>
      </w:hyperlink>
    </w:p>
    <w:p>
      <w:pPr>
        <w:spacing w:before="0" w:after="80"/>
      </w:pPr>
      <w:r>
        <w:rPr>
          <w:i/>
          <w:sz w:val="20"/>
        </w:rPr>
        <w:t>EN: [ASAP] Reactive Machine Learning Interatomic Potentials for Chemistry and Materials Science</w:t>
      </w:r>
    </w:p>
    <w:p>
      <w:pPr>
        <w:spacing w:before="0" w:after="120"/>
      </w:pPr>
      <w:r>
        <w:rPr>
          <w:b/>
        </w:rPr>
        <w:t xml:space="preserve">Source: </w:t>
      </w:r>
      <w:r>
        <w:t>Chemical Reviews: Latest Articles (ACS Publications)</w:t>
      </w:r>
      <w:r>
        <w:t xml:space="preserve">    </w:t>
      </w:r>
      <w:r>
        <w:rPr>
          <w:b/>
        </w:rPr>
        <w:t xml:space="preserve">Pub date: </w:t>
      </w:r>
      <w:r>
        <w:t>2026-04-08 19:16:18+00:00</w:t>
      </w:r>
      <w:r>
        <w:t xml:space="preserve">    </w:t>
      </w:r>
      <w:r>
        <w:rPr>
          <w:b/>
        </w:rPr>
        <w:t xml:space="preserve">DOI: </w:t>
      </w:r>
      <w:hyperlink r:id="rId869">
        <w:r>
          <w:rPr>
            <w:color w:val="1155CC"/>
            <w:u w:val="single"/>
          </w:rPr>
          <w:t>10.1021/acs.chemrev.5c00728</w:t>
        </w:r>
      </w:hyperlink>
    </w:p>
    <w:p>
      <w:pPr>
        <w:spacing w:before="0" w:after="120"/>
      </w:pPr>
      <w:r>
        <w:rPr>
          <w:b/>
        </w:rPr>
        <w:t xml:space="preserve">Notes: </w:t>
      </w:r>
      <w:r>
        <w:t>abstract_source=pubmed</w:t>
      </w:r>
    </w:p>
    <w:p>
      <w:pPr>
        <w:spacing w:before="0" w:after="80" w:lineRule="auto" w:line="276"/>
      </w:pPr>
      <w:r>
        <w:rPr>
          <w:b/>
        </w:rPr>
        <w:t xml:space="preserve">摘要（ZH）: </w:t>
      </w:r>
      <w:r>
        <w:t>在人工智能（AI）时代，机器学习原子间势（MLIPs）革新了材料科学与工程，使得在各种化学系统中进行大规模且精确的原子建模成为可能。这些势的性能依赖于两个关键组成部分：定义原子相互作用数学表示的模型架构和提供基础知识的训练数据集。为了审视近期的进展并为未来发展指明方向，本综述对反应性MLIPs进行了全面分析，重点关注这两个支柱。我们首先探讨了模型架构的演变，从基于描述符的模型到最先进的等变图神经网络，批判性地评估了基本</w:t>
      </w:r>
    </w:p>
    <w:p>
      <w:pPr>
        <w:spacing w:before="0" w:after="200" w:lineRule="auto" w:line="276"/>
      </w:pPr>
      <w:r>
        <w:rPr>
          <w:b/>
        </w:rPr>
        <w:t xml:space="preserve">Abstract (EN): </w:t>
      </w:r>
      <w:r>
        <w:t>In the era of artificial intelligence (AI), machine learning interatomic potentials (MLIPs) have revolutionized materials science and engineering, enabling large-scale and accurate atomistic modeling in various chemical systems. The performance of these potentials hinges on two key components: the model architecture, which defines the mathematical representation of atomic interactions, and the training data set, which supplies foundational knowledge. To scrutinize recent advances and chart the course for future development, this review presents a comprehensive analysis of reactive MLIPs, focusing on these two pillars. We first explore the evolution of model architectures, from descriptor-based models to state-of-the-art equivariant graph neural networks, critically assessing the essential requisites for achieving both physical accuracy and computational efficiency. Concurrently, we examine the sophisticated data acquisition strategies required to capture the complexities of chemical reactions, with a particular focus on uncertainty-driven active learning for sampling high-energy transition states and reaction pathways. Finally, beyond reviewing current methodologies, we provide an outlook on domain-specific challenges and discuss emerging opportunities in next-generation technologies, such as generative AI and cognitive autonomous agents. We believe this review will serve as a valuable guideline for practitioners in selecting and constructing MLIPs tailored for the study of chemical reactivity.</w:t>
      </w:r>
    </w:p>
    <w:p>
      <w:pPr>
        <w:spacing w:before="120" w:after="120"/>
      </w:pPr>
      <w:r>
        <w:rPr>
          <w:sz w:val="18"/>
        </w:rPr>
        <w:t>——————————————————————————————————————————————————————————————————————</w:t>
      </w:r>
    </w:p>
    <w:p>
      <w:pPr>
        <w:spacing w:before="160" w:after="40" w:line="240" w:lineRule="auto"/>
      </w:pPr>
      <w:r>
        <w:rPr>
          <w:b/>
        </w:rPr>
        <w:t xml:space="preserve">[373] </w:t>
      </w:r>
      <w:hyperlink r:id="rId870">
        <w:r>
          <w:rPr>
            <w:color w:val="1155CC"/>
            <w:u w:val="single"/>
          </w:rPr>
          <w:t>[ASAP] 通过动态分子识别进行内部编辑</w:t>
        </w:r>
      </w:hyperlink>
    </w:p>
    <w:p>
      <w:pPr>
        <w:spacing w:before="0" w:after="80"/>
      </w:pPr>
      <w:r>
        <w:rPr>
          <w:i/>
          <w:sz w:val="20"/>
        </w:rPr>
        <w:t>EN: [ASAP] Interior Editing via Dynamic Molecular Recognition</w:t>
      </w:r>
    </w:p>
    <w:p>
      <w:pPr>
        <w:spacing w:before="0" w:after="120"/>
      </w:pPr>
      <w:r>
        <w:rPr>
          <w:b/>
        </w:rPr>
        <w:t xml:space="preserve">Source: </w:t>
      </w:r>
      <w:r>
        <w:t>Journal of the American Chemical Society: Latest Articles (ACS Publications)</w:t>
      </w:r>
      <w:r>
        <w:t xml:space="preserve">    </w:t>
      </w:r>
      <w:r>
        <w:rPr>
          <w:b/>
        </w:rPr>
        <w:t xml:space="preserve">Pub date: </w:t>
      </w:r>
      <w:r>
        <w:t>2026-04-08 19:50:01+00:00</w:t>
      </w:r>
      <w:r>
        <w:t xml:space="preserve">    </w:t>
      </w:r>
      <w:r>
        <w:rPr>
          <w:b/>
        </w:rPr>
        <w:t xml:space="preserve">DOI: </w:t>
      </w:r>
      <w:hyperlink r:id="rId871">
        <w:r>
          <w:rPr>
            <w:color w:val="1155CC"/>
            <w:u w:val="single"/>
          </w:rPr>
          <w:t>10.1021/jacs.6c00524</w:t>
        </w:r>
      </w:hyperlink>
    </w:p>
    <w:p>
      <w:pPr>
        <w:spacing w:before="0" w:after="120"/>
      </w:pPr>
      <w:r>
        <w:rPr>
          <w:b/>
        </w:rPr>
        <w:t xml:space="preserve">Notes: </w:t>
      </w:r>
      <w:r>
        <w:t>abstract_source=pubmed</w:t>
      </w:r>
    </w:p>
    <w:p>
      <w:pPr>
        <w:spacing w:before="0" w:after="80" w:lineRule="auto" w:line="276"/>
      </w:pPr>
      <w:r>
        <w:rPr>
          <w:b/>
        </w:rPr>
        <w:t xml:space="preserve">摘要（ZH）: </w:t>
      </w:r>
      <w:r>
        <w:t>设计分子容器内部空间的能力对于实现其在分子识别、运输和催化中的选择性精确控制至关重要。尽管合成化学和材料科学领域的研究已历经数十年，但分子容器内部化学键的选择性编辑仍然是一个艰巨的挑战，限制了我们模拟生物受体纳米限域环境的能力。在此，我们描述了一种通过动态分子识别在纳米限域空间中激活内部化学键的新催化范式。奎宁啶是一种能够可逆结合α-环糊精腔体的催化剂，发现其在单电子氧化时能选择性地从其一个内C-H键中抽取氢原子，导致双羟基</w:t>
      </w:r>
    </w:p>
    <w:p>
      <w:pPr>
        <w:spacing w:before="0" w:after="200" w:lineRule="auto" w:line="276"/>
      </w:pPr>
      <w:r>
        <w:rPr>
          <w:b/>
        </w:rPr>
        <w:t xml:space="preserve">Abstract (EN): </w:t>
      </w:r>
      <w:r>
        <w:t>The ability to engineer the interior space of molecular containers is crucial for realizing precise control over their selectivities in molecular recognition, transport, and catalysis. Despite decades of research in synthetic chemistry and materials sciences, the selective editing of chemical bonds inside molecular containers remains a formidable challenge, limiting our capacity to mimic the nanoconfined environments of bioreceptors. Here, we describe a new catalytic paradigm for activating interior chemical bonds in nanoconfined space via dynamic molecular recognition. Quinuclidine, a catalyst that can reversibly bind the cavity of α-cyclodextrin, was found to abstract hydrogen atoms selectively from one of its endo C-H bonds upon single-electron oxidation, causing the geminal hydroxyl group to flip to the interior face of the macrocycle. The endo-hydroxylated α-cyclodextrin was able to separate chiral compounds that could not be resolved by its natural counterpart in gas chromatography owing to its desymmetrized cavity and polar recognition site.</w:t>
      </w:r>
    </w:p>
    <w:p>
      <w:pPr>
        <w:spacing w:before="120" w:after="120"/>
      </w:pPr>
      <w:r>
        <w:rPr>
          <w:sz w:val="18"/>
        </w:rPr>
        <w:t>——————————————————————————————————————————————————————————————————————</w:t>
      </w:r>
    </w:p>
    <w:p>
      <w:pPr>
        <w:spacing w:before="160" w:after="40" w:line="240" w:lineRule="auto"/>
      </w:pPr>
      <w:r>
        <w:rPr>
          <w:b/>
        </w:rPr>
        <w:t xml:space="preserve">[374] </w:t>
      </w:r>
      <w:hyperlink r:id="rId872">
        <w:r>
          <w:rPr>
            <w:color w:val="1155CC"/>
            <w:u w:val="single"/>
          </w:rPr>
          <w:t>[ASAP] 使用静电纺微/纳米纤维制造组织结构和类器官</w:t>
        </w:r>
      </w:hyperlink>
    </w:p>
    <w:p>
      <w:pPr>
        <w:spacing w:before="0" w:after="80"/>
      </w:pPr>
      <w:r>
        <w:rPr>
          <w:i/>
          <w:sz w:val="20"/>
        </w:rPr>
        <w:t>EN: [ASAP] Fabrication of Tissue Constructs and Organoids Using Electrospun Micro/Nanofibers</w:t>
      </w:r>
    </w:p>
    <w:p>
      <w:pPr>
        <w:spacing w:before="0" w:after="120"/>
      </w:pPr>
      <w:r>
        <w:rPr>
          <w:b/>
        </w:rPr>
        <w:t xml:space="preserve">Source: </w:t>
      </w:r>
      <w:r>
        <w:t>Chemical Reviews: Latest Articles (ACS Publications)</w:t>
      </w:r>
      <w:r>
        <w:t xml:space="preserve">    </w:t>
      </w:r>
      <w:r>
        <w:rPr>
          <w:b/>
        </w:rPr>
        <w:t xml:space="preserve">Pub date: </w:t>
      </w:r>
      <w:r>
        <w:t>2026-04-08 19:52:25+00:00</w:t>
      </w:r>
      <w:r>
        <w:t xml:space="preserve">    </w:t>
      </w:r>
      <w:r>
        <w:rPr>
          <w:b/>
        </w:rPr>
        <w:t xml:space="preserve">DOI: </w:t>
      </w:r>
      <w:hyperlink r:id="rId873">
        <w:r>
          <w:rPr>
            <w:color w:val="1155CC"/>
            <w:u w:val="single"/>
          </w:rPr>
          <w:t>10.1021/acs.chemrev.5c01140</w:t>
        </w:r>
      </w:hyperlink>
    </w:p>
    <w:p>
      <w:pPr>
        <w:spacing w:before="0" w:after="120"/>
      </w:pPr>
      <w:r>
        <w:rPr>
          <w:b/>
        </w:rPr>
        <w:t xml:space="preserve">Notes: </w:t>
      </w:r>
      <w:r>
        <w:t>abstract_source=pubmed</w:t>
      </w:r>
    </w:p>
    <w:p>
      <w:pPr>
        <w:spacing w:before="0" w:after="80" w:lineRule="auto" w:line="276"/>
      </w:pPr>
      <w:r>
        <w:rPr>
          <w:b/>
        </w:rPr>
        <w:t xml:space="preserve">摘要（ZH）: </w:t>
      </w:r>
      <w:r>
        <w:t>组织构建和类器官制造的最新进展大大拓宽了再生医学的视野。静电纺丝纤维提供了一类简单而多功能的平台，用于制造这些构建体，因为它们可以替代细胞外基质的纤维成分，并重现天然组织或器官的层次结构。本文全面概述了静电纺丝在微/纳米纤维构建体合理制造中的最新发展，以及其在再生医学中变革潜力的探索。我们首先简要介绍静电纺丝的能力，然后讨论最近的创新，重点是静电纺丝技术的多样性</w:t>
      </w:r>
    </w:p>
    <w:p>
      <w:pPr>
        <w:spacing w:before="0" w:after="200" w:lineRule="auto" w:line="276"/>
      </w:pPr>
      <w:r>
        <w:rPr>
          <w:b/>
        </w:rPr>
        <w:t xml:space="preserve">Abstract (EN): </w:t>
      </w:r>
      <w:r>
        <w:t>Recent progress in the fabrication of tissue constructs and organoids has substantially broadened the horizon of regenerative medicine. Electrospun fibers offer a class of simple and versatile platforms for fabricating these constructs, as they can substitute the fibrous component of the extracellular matrix and recapitulate the hierarchical architecture of a native tissue or organ. This article provides a comprehensive overview of the latest developments in electrospinning for the rational fabrication of micro/nanofibrous constructs, as well as an exploration of their transformative potential in regenerative medicine. We begin with a brief introduction to the capabilities of electrospinning and then discuss recent innovations, with a focus on the diversity of electrospinning techniques as well as the resultant structural variations ranging from individual fibers to three-dimensional architecture of fiber assemblies. We further highlight the recent advances in applying electrospun fibers and their constructs to biomedical engineering, including their capacities in developing tissue constructs and organoids, as well as their promise for the repair or regeneration of hard, soft, and interface tissues. Finally, we provide some outlooks, with a focus on the enduring challenges and potential solutions.</w:t>
      </w:r>
    </w:p>
    <w:p>
      <w:pPr>
        <w:spacing w:before="120" w:after="120"/>
      </w:pPr>
      <w:r>
        <w:rPr>
          <w:sz w:val="18"/>
        </w:rPr>
        <w:t>——————————————————————————————————————————————————————————————————————</w:t>
      </w:r>
    </w:p>
    <w:p>
      <w:pPr>
        <w:spacing w:before="160" w:after="40" w:line="240" w:lineRule="auto"/>
      </w:pPr>
      <w:r>
        <w:rPr>
          <w:b/>
        </w:rPr>
        <w:t xml:space="preserve">[375] </w:t>
      </w:r>
      <w:hyperlink r:id="rId874">
        <w:r>
          <w:rPr>
            <w:color w:val="1155CC"/>
            <w:u w:val="single"/>
          </w:rPr>
          <w:t>原位聚合的两性离子弹性体用于高效稳定的钙钛矿太阳能电池</w:t>
        </w:r>
      </w:hyperlink>
    </w:p>
    <w:p>
      <w:pPr>
        <w:spacing w:before="0" w:after="80"/>
      </w:pPr>
      <w:r>
        <w:rPr>
          <w:i/>
          <w:sz w:val="20"/>
        </w:rPr>
        <w:t>EN: In-situ polymerized zwitterionic elastomers for efficient and stable perovskite solar cells</w:t>
      </w:r>
    </w:p>
    <w:p>
      <w:pPr>
        <w:spacing w:before="0" w:after="120"/>
      </w:pPr>
      <w:r>
        <w:rPr>
          <w:b/>
        </w:rPr>
        <w:t xml:space="preserve">Source: </w:t>
      </w:r>
      <w:r>
        <w:t>RSC - Energy Environ. Sci. latest articles</w:t>
      </w:r>
      <w:r>
        <w:t xml:space="preserve">    </w:t>
      </w:r>
      <w:r>
        <w:rPr>
          <w:b/>
        </w:rPr>
        <w:t xml:space="preserve">Pub date: </w:t>
      </w:r>
      <w:r>
        <w:t>2026-04-08 23:00:00+00:00</w:t>
      </w:r>
    </w:p>
    <w:p>
      <w:pPr>
        <w:spacing w:before="0" w:after="120"/>
      </w:pPr>
      <w:r>
        <w:rPr>
          <w:b/>
        </w:rPr>
        <w:t xml:space="preserve">Notes: </w:t>
      </w:r>
      <w:r>
        <w:t>abstract_source=rsc_html</w:t>
      </w:r>
    </w:p>
    <w:p>
      <w:pPr>
        <w:spacing w:before="0" w:after="80" w:lineRule="auto" w:line="276"/>
      </w:pPr>
      <w:r>
        <w:rPr>
          <w:b/>
        </w:rPr>
        <w:t xml:space="preserve">摘要（ZH）: </w:t>
      </w:r>
      <w:r>
        <w:t>在保持高效率的同时确保持久运行仍然是钙钛矿太阳能电池的主要挑战，主要是由于缺陷介导的复合、移动离子和累积的晶格应力。在此，我们通过引入一种双性离子化合物作为多功能添加剂，同时实现了钙钛矿太阳能电池效率和稳定性的显著提高，该添加剂同时调节结晶、钝化缺陷、限制离子迁移并缓解钙钛矿层内的残余应力。添加剂的多功能性得益于其独特的分子状态演变。它最初作为具有有效配位能力的小分子，指导高质量钙钛矿的形成并钝化陷阱态。在薄膜</w:t>
      </w:r>
    </w:p>
    <w:p>
      <w:pPr>
        <w:spacing w:before="0" w:after="200" w:lineRule="auto" w:line="276"/>
      </w:pPr>
      <w:r>
        <w:rPr>
          <w:b/>
        </w:rPr>
        <w:t xml:space="preserve">Abstract (EN): </w:t>
      </w:r>
      <w:r>
        <w:t>Ensuring durable operation while maintaining high efficiency remains a major challenge for perovskite solar cells, mainly due to defect-mediated recombination, mobile ions, and accumulated lattice stress. Here, we simultaneously achieve significant improvements in both the efficiency and stability of perovskite solar cells though introducing a zwitterionic compound as a multifunctional additive that concurrently modulates crystallization, passivates defects, limits ion migration, and relaxes residual stress within the perovskite layer. The multifunctionality of the additive enabled by its distinct molecular-state evolution. It initially acts as a small molecule with effective coordination capability, guiding the formation of high-quality perovskite and passivating trap states. During film formation, it undergoes in situ polymerization, forming a zwitterionic elastomer network at grain boundaries that constrains ionic movement and releases residual stress. This integrated approach leads to perovskite films with improved crystallization quality and reduced non-radiative loss pathways. Devices produced using this strategy exhibit a power conversion efficiency (PCE) of 27.09% (26.69% certified) as well as excellent operational and thermal cycling stability, highlighting the effectiveness of this synergistic strategy in advancing perovskite photovoltaic performance and stability.</w:t>
      </w:r>
    </w:p>
    <w:p>
      <w:pPr>
        <w:spacing w:before="120" w:after="120"/>
      </w:pPr>
      <w:r>
        <w:rPr>
          <w:sz w:val="18"/>
        </w:rPr>
        <w:t>——————————————————————————————————————————————————————————————————————</w:t>
      </w:r>
    </w:p>
    <w:p>
      <w:pPr>
        <w:spacing w:before="160" w:after="40" w:line="240" w:lineRule="auto"/>
      </w:pPr>
      <w:r>
        <w:rPr>
          <w:b/>
        </w:rPr>
        <w:t xml:space="preserve">[376] </w:t>
      </w:r>
      <w:hyperlink r:id="rId875">
        <w:r>
          <w:rPr>
            <w:color w:val="1155CC"/>
            <w:u w:val="single"/>
          </w:rPr>
          <w:t>你的鼻子中含有大量长寿命免疫细胞</w:t>
        </w:r>
      </w:hyperlink>
    </w:p>
    <w:p>
      <w:pPr>
        <w:spacing w:before="0" w:after="80"/>
      </w:pPr>
      <w:r>
        <w:rPr>
          <w:i/>
          <w:sz w:val="20"/>
        </w:rPr>
        <w:t>EN: Your nose contains multitudes — of long-lived immune cells</w:t>
      </w:r>
    </w:p>
    <w:p>
      <w:pPr>
        <w:spacing w:before="0" w:after="120"/>
      </w:pPr>
      <w:r>
        <w:rPr>
          <w:b/>
        </w:rPr>
        <w:t xml:space="preserve">Source: </w:t>
      </w:r>
      <w:r>
        <w:t>Nature</w:t>
      </w:r>
      <w:r>
        <w:t xml:space="preserve">    </w:t>
      </w:r>
      <w:r>
        <w:rPr>
          <w:b/>
        </w:rPr>
        <w:t xml:space="preserve">Pub date: </w:t>
      </w:r>
      <w:r>
        <w:t>2026-04-09 00:00:00+00:00</w:t>
      </w:r>
      <w:r>
        <w:t xml:space="preserve">    </w:t>
      </w:r>
      <w:r>
        <w:rPr>
          <w:b/>
        </w:rPr>
        <w:t xml:space="preserve">DOI: </w:t>
      </w:r>
      <w:hyperlink r:id="rId876">
        <w:r>
          <w:rPr>
            <w:color w:val="1155CC"/>
            <w:u w:val="single"/>
          </w:rPr>
          <w:t>10.1038/d41586-026-01111-9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[377] </w:t>
      </w:r>
      <w:hyperlink r:id="rId877">
        <w:r>
          <w:rPr>
            <w:color w:val="1155CC"/>
            <w:u w:val="single"/>
          </w:rPr>
          <w:t>学术不端行为是否应被记录？美国提议的数据库引发争议</w:t>
        </w:r>
      </w:hyperlink>
    </w:p>
    <w:p>
      <w:pPr>
        <w:spacing w:before="0" w:after="80"/>
      </w:pPr>
      <w:r>
        <w:rPr>
          <w:i/>
          <w:sz w:val="20"/>
        </w:rPr>
        <w:t>EN: Should academic misconduct be catalogued? Proposed US database sparks debate</w:t>
      </w:r>
    </w:p>
    <w:p>
      <w:pPr>
        <w:spacing w:before="0" w:after="120"/>
      </w:pPr>
      <w:r>
        <w:rPr>
          <w:b/>
        </w:rPr>
        <w:t xml:space="preserve">Source: </w:t>
      </w:r>
      <w:r>
        <w:t>Nature</w:t>
      </w:r>
      <w:r>
        <w:t xml:space="preserve">    </w:t>
      </w:r>
      <w:r>
        <w:rPr>
          <w:b/>
        </w:rPr>
        <w:t xml:space="preserve">Pub date: </w:t>
      </w:r>
      <w:r>
        <w:t>2026-04-09 00:00:00+00:00</w:t>
      </w:r>
      <w:r>
        <w:t xml:space="preserve">    </w:t>
      </w:r>
      <w:r>
        <w:rPr>
          <w:b/>
        </w:rPr>
        <w:t xml:space="preserve">DOI: </w:t>
      </w:r>
      <w:hyperlink r:id="rId878">
        <w:r>
          <w:rPr>
            <w:color w:val="1155CC"/>
            <w:u w:val="single"/>
          </w:rPr>
          <w:t>10.1038/d41586-026-01147-x</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[378] </w:t>
      </w:r>
      <w:hyperlink r:id="rId879">
        <w:r>
          <w:rPr>
            <w:color w:val="1155CC"/>
            <w:u w:val="single"/>
          </w:rPr>
          <w:t>电动汽车可以为电网提供支持</w:t>
        </w:r>
      </w:hyperlink>
    </w:p>
    <w:p>
      <w:pPr>
        <w:spacing w:before="0" w:after="80"/>
      </w:pPr>
      <w:r>
        <w:rPr>
          <w:i/>
          <w:sz w:val="20"/>
        </w:rPr>
        <w:t>EN: Electric vehicles can ride to the grid’s rescue</w:t>
      </w:r>
    </w:p>
    <w:p>
      <w:pPr>
        <w:spacing w:before="0" w:after="120"/>
      </w:pPr>
      <w:r>
        <w:rPr>
          <w:b/>
        </w:rPr>
        <w:t xml:space="preserve">Source: </w:t>
      </w:r>
      <w:r>
        <w:t>Nature</w:t>
      </w:r>
      <w:r>
        <w:t xml:space="preserve">    </w:t>
      </w:r>
      <w:r>
        <w:rPr>
          <w:b/>
        </w:rPr>
        <w:t xml:space="preserve">Pub date: </w:t>
      </w:r>
      <w:r>
        <w:t>2026-04-09 00:00:00+00:00</w:t>
      </w:r>
      <w:r>
        <w:t xml:space="preserve">    </w:t>
      </w:r>
      <w:r>
        <w:rPr>
          <w:b/>
        </w:rPr>
        <w:t xml:space="preserve">DOI: </w:t>
      </w:r>
      <w:hyperlink r:id="rId880">
        <w:r>
          <w:rPr>
            <w:color w:val="1155CC"/>
            <w:u w:val="single"/>
          </w:rPr>
          <w:t>10.1038/d41586-026-01110-w</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[379] </w:t>
      </w:r>
      <w:hyperlink r:id="rId881">
        <w:r>
          <w:rPr>
            <w:color w:val="1155CC"/>
            <w:u w:val="single"/>
          </w:rPr>
          <w:t>扭转：细菌可以在不接触的情况下旋转“冰球”</w:t>
        </w:r>
      </w:hyperlink>
    </w:p>
    <w:p>
      <w:pPr>
        <w:spacing w:before="0" w:after="80"/>
      </w:pPr>
      <w:r>
        <w:rPr>
          <w:i/>
          <w:sz w:val="20"/>
        </w:rPr>
        <w:t>EN: Do the twist: bacteria can spin ‘pucks’ without touching them</w:t>
      </w:r>
    </w:p>
    <w:p>
      <w:pPr>
        <w:spacing w:before="0" w:after="120"/>
      </w:pPr>
      <w:r>
        <w:rPr>
          <w:b/>
        </w:rPr>
        <w:t xml:space="preserve">Source: </w:t>
      </w:r>
      <w:r>
        <w:t>Nature</w:t>
      </w:r>
      <w:r>
        <w:t xml:space="preserve">    </w:t>
      </w:r>
      <w:r>
        <w:rPr>
          <w:b/>
        </w:rPr>
        <w:t xml:space="preserve">Pub date: </w:t>
      </w:r>
      <w:r>
        <w:t>2026-04-09 00:00:00+00:00</w:t>
      </w:r>
      <w:r>
        <w:t xml:space="preserve">    </w:t>
      </w:r>
      <w:r>
        <w:rPr>
          <w:b/>
        </w:rPr>
        <w:t xml:space="preserve">DOI: </w:t>
      </w:r>
      <w:hyperlink r:id="rId882">
        <w:r>
          <w:rPr>
            <w:color w:val="1155CC"/>
            <w:u w:val="single"/>
          </w:rPr>
          <w:t>10.1038/d41586-026-01112-8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[380] </w:t>
      </w:r>
      <w:hyperlink r:id="rId883">
        <w:r>
          <w:rPr>
            <w:color w:val="1155CC"/>
            <w:u w:val="single"/>
          </w:rPr>
          <w:t>芳基铋试剂的两亲交叉偶联</w:t>
        </w:r>
      </w:hyperlink>
    </w:p>
    <w:p>
      <w:pPr>
        <w:spacing w:before="0" w:after="80"/>
      </w:pPr>
      <w:r>
        <w:rPr>
          <w:i/>
          <w:sz w:val="20"/>
        </w:rPr>
        <w:t>EN: Ambiphilic cross-coupling with aryl-bismuth reagents</w:t>
      </w:r>
    </w:p>
    <w:p>
      <w:pPr>
        <w:spacing w:before="0" w:after="120"/>
      </w:pPr>
      <w:r>
        <w:rPr>
          <w:b/>
        </w:rPr>
        <w:t xml:space="preserve">Source: </w:t>
      </w:r>
      <w:r>
        <w:t>Nature</w:t>
      </w:r>
      <w:r>
        <w:t xml:space="preserve">    </w:t>
      </w:r>
      <w:r>
        <w:rPr>
          <w:b/>
        </w:rPr>
        <w:t xml:space="preserve">Pub date: </w:t>
      </w:r>
      <w:r>
        <w:t>2026-04-09 00:00:00+00:00</w:t>
      </w:r>
      <w:r>
        <w:t xml:space="preserve">    </w:t>
      </w:r>
      <w:r>
        <w:rPr>
          <w:b/>
        </w:rPr>
        <w:t xml:space="preserve">DOI: </w:t>
      </w:r>
      <w:hyperlink r:id="rId884">
        <w:r>
          <w:rPr>
            <w:color w:val="1155CC"/>
            <w:u w:val="single"/>
          </w:rPr>
          <w:t>10.1038/s41586-026-10486-8</w:t>
        </w:r>
      </w:hyperlink>
    </w:p>
    <w:p>
      <w:pPr>
        <w:spacing w:before="0" w:after="120"/>
      </w:pPr>
      <w:r>
        <w:rPr>
          <w:b/>
        </w:rPr>
        <w:t xml:space="preserve">Notes: </w:t>
      </w:r>
      <w:r>
        <w:t>abstract_source=nature_html</w:t>
      </w:r>
    </w:p>
    <w:p>
      <w:pPr>
        <w:spacing w:before="0" w:after="80" w:lineRule="auto" w:line="276"/>
      </w:pPr>
      <w:r>
        <w:rPr>
          <w:b/>
        </w:rPr>
        <w:t xml:space="preserve">摘要（ZH）: </w:t>
      </w:r>
      <w:r>
        <w:t>交叉偶联反应传统上允许在过渡金属催化下，芳基亲核试剂和芳基电亲试剂之间形成Ar-Ar键。迄今为止已知的众多偶联反应的高选择性依赖于亲核试剂和电亲试剂的定制组合，这种组合是通过亲核试剂和电亲试剂之间的机制区别实现的，它们经历了根本不同的催化步骤。在此，我们报告了两性芳基铋试剂，它们可以在过渡金属催化的交叉偶联中表现为亲核试剂或电亲试剂，从根本上打破了这种反应性的二分法。它们的两性反应性源于它们能够与过渡金属进行氧化加成和转金属化过程</w:t>
      </w:r>
    </w:p>
    <w:p>
      <w:pPr>
        <w:spacing w:before="0" w:after="200" w:lineRule="auto" w:line="276"/>
      </w:pPr>
      <w:r>
        <w:rPr>
          <w:b/>
        </w:rPr>
        <w:t xml:space="preserve">Abstract (EN): </w:t>
      </w:r>
      <w:r>
        <w:t>Cross-coupling reactions traditionally permit the formation of Ar-Ar bonds between an aryl nucleophile and an aryl electrophile under transition metal catalysis1,2. The high selectivity of the myriad of couplings known to date relies on a tailored combination of nucleophilic and electrophilic coupling partners, enabled by the mechanistic distinction between nucleophiles and electrophiles, which undergo fundamentally different catalytic steps.3 Here, we report ambiphilic aryl-bismuth reagents that can behave as either nucleophiles or electrophiles in transition metal-catalysed cross-couplings, fundamentally breaking from this dichotomy in reactivity. Their ambiphilic reactivity arises from their ability to engage in both oxidative addition and transmetalation processes with transition metal complexes, as demonstrated by stoichiometric and mechanistic studies. By demonstrating that a single aryl reagent can engage in both canonical elementary steps, this work challenges the long-standing assumption that intrinsic bond polarity rigidly dictates mechanistic role in cross-coupling chemistry.</w:t>
      </w:r>
    </w:p>
    <w:p>
      <w:pPr>
        <w:spacing w:before="120" w:after="120"/>
      </w:pPr>
      <w:r>
        <w:rPr>
          <w:sz w:val="18"/>
        </w:rPr>
        <w:t>——————————————————————————————————————————————————————————————————————</w:t>
      </w:r>
    </w:p>
    <w:p>
      <w:pPr>
        <w:spacing w:before="160" w:after="40" w:line="240" w:lineRule="auto"/>
      </w:pPr>
      <w:r>
        <w:rPr>
          <w:b/>
        </w:rPr>
        <w:t xml:space="preserve">[381] </w:t>
      </w:r>
      <w:hyperlink r:id="rId885">
        <w:r>
          <w:rPr>
            <w:color w:val="1155CC"/>
            <w:u w:val="single"/>
          </w:rPr>
          <w:t>当你移居国外时如何在科学领域蓬勃发展</w:t>
        </w:r>
      </w:hyperlink>
    </w:p>
    <w:p>
      <w:pPr>
        <w:spacing w:before="0" w:after="80"/>
      </w:pPr>
      <w:r>
        <w:rPr>
          <w:i/>
          <w:sz w:val="20"/>
        </w:rPr>
        <w:t>EN: How to thrive in science when you move abroad</w:t>
      </w:r>
    </w:p>
    <w:p>
      <w:pPr>
        <w:spacing w:before="0" w:after="120"/>
      </w:pPr>
      <w:r>
        <w:rPr>
          <w:b/>
        </w:rPr>
        <w:t xml:space="preserve">Source: </w:t>
      </w:r>
      <w:r>
        <w:t>Nature</w:t>
      </w:r>
      <w:r>
        <w:t xml:space="preserve">    </w:t>
      </w:r>
      <w:r>
        <w:rPr>
          <w:b/>
        </w:rPr>
        <w:t xml:space="preserve">Pub date: </w:t>
      </w:r>
      <w:r>
        <w:t>2026-04-09 00:00:00+00:00</w:t>
      </w:r>
      <w:r>
        <w:t xml:space="preserve">    </w:t>
      </w:r>
      <w:r>
        <w:rPr>
          <w:b/>
        </w:rPr>
        <w:t xml:space="preserve">DOI: </w:t>
      </w:r>
      <w:hyperlink r:id="rId886">
        <w:r>
          <w:rPr>
            <w:color w:val="1155CC"/>
            <w:u w:val="single"/>
          </w:rPr>
          <w:t>10.1038/d41586-026-00550-8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[382] </w:t>
      </w:r>
      <w:hyperlink r:id="rId887">
        <w:r>
          <w:rPr>
            <w:color w:val="1155CC"/>
            <w:u w:val="single"/>
          </w:rPr>
          <w:t>我与阿尔忒弥斯二号的科学家们一起经历了月球飞越。这是我所看到的</w:t>
        </w:r>
      </w:hyperlink>
    </w:p>
    <w:p>
      <w:pPr>
        <w:spacing w:before="0" w:after="80"/>
      </w:pPr>
      <w:r>
        <w:rPr>
          <w:i/>
          <w:sz w:val="20"/>
        </w:rPr>
        <w:t>EN: I was with Artemis II’s scientists during the Moon fly-by. Here’s what I saw</w:t>
      </w:r>
    </w:p>
    <w:p>
      <w:pPr>
        <w:spacing w:before="0" w:after="120"/>
      </w:pPr>
      <w:r>
        <w:rPr>
          <w:b/>
        </w:rPr>
        <w:t xml:space="preserve">Source: </w:t>
      </w:r>
      <w:r>
        <w:t>Nature</w:t>
      </w:r>
      <w:r>
        <w:t xml:space="preserve">    </w:t>
      </w:r>
      <w:r>
        <w:rPr>
          <w:b/>
        </w:rPr>
        <w:t xml:space="preserve">Pub date: </w:t>
      </w:r>
      <w:r>
        <w:t>2026-04-09 00:00:00+00:00</w:t>
      </w:r>
      <w:r>
        <w:t xml:space="preserve">    </w:t>
      </w:r>
      <w:r>
        <w:rPr>
          <w:b/>
        </w:rPr>
        <w:t xml:space="preserve">DOI: </w:t>
      </w:r>
      <w:hyperlink r:id="rId888">
        <w:r>
          <w:rPr>
            <w:color w:val="1155CC"/>
            <w:u w:val="single"/>
          </w:rPr>
          <w:t>10.1038/d41586-026-01138-y</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[383] </w:t>
      </w:r>
      <w:hyperlink r:id="rId889">
        <w:r>
          <w:rPr>
            <w:color w:val="1155CC"/>
            <w:u w:val="single"/>
          </w:rPr>
          <w:t>用于HVAC系统的便携式模型预测控制服务，采用语义感知架构</w:t>
        </w:r>
      </w:hyperlink>
    </w:p>
    <w:p>
      <w:pPr>
        <w:spacing w:before="0" w:after="80"/>
      </w:pPr>
      <w:r>
        <w:rPr>
          <w:i/>
          <w:sz w:val="20"/>
        </w:rPr>
        <w:t>EN: Portable model predictive control service for HVAC systems using semantics-aware architecture</w:t>
      </w:r>
    </w:p>
    <w:p>
      <w:pPr>
        <w:spacing w:before="0" w:after="120"/>
      </w:pPr>
      <w:r>
        <w:rPr>
          <w:b/>
        </w:rPr>
        <w:t xml:space="preserve">Source: </w:t>
      </w:r>
      <w:r>
        <w:t>ScienceDirect Publication: Applied Energy</w:t>
      </w:r>
      <w:r>
        <w:t xml:space="preserve">    </w:t>
      </w:r>
      <w:r>
        <w:rPr>
          <w:b/>
        </w:rPr>
        <w:t xml:space="preserve">Pub date: </w:t>
      </w:r>
      <w:r>
        <w:t>2026-04-09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[384] </w:t>
      </w:r>
      <w:hyperlink r:id="rId890">
        <w:r>
          <w:rPr>
            <w:color w:val="1155CC"/>
            <w:u w:val="single"/>
          </w:rPr>
          <w:t>近化学计量电催化C–N偶联的金属缺陷对</w:t>
        </w:r>
      </w:hyperlink>
    </w:p>
    <w:p>
      <w:pPr>
        <w:spacing w:before="0" w:after="80"/>
      </w:pPr>
      <w:r>
        <w:rPr>
          <w:i/>
          <w:sz w:val="20"/>
        </w:rPr>
        <w:t>EN: Metal-defect pairs for near-stoichiometric electrocatalytic C–N coupling</w:t>
      </w:r>
    </w:p>
    <w:p>
      <w:pPr>
        <w:spacing w:before="0" w:after="120"/>
      </w:pPr>
      <w:r>
        <w:rPr>
          <w:b/>
        </w:rPr>
        <w:t xml:space="preserve">Source: </w:t>
      </w:r>
      <w:r>
        <w:t>National Science Review Advance Access</w:t>
      </w:r>
      <w:r>
        <w:t xml:space="preserve">    </w:t>
      </w:r>
      <w:r>
        <w:rPr>
          <w:b/>
        </w:rPr>
        <w:t xml:space="preserve">Pub date: </w:t>
      </w:r>
      <w:r>
        <w:t>2026-04-09 00:00:00+00:00</w:t>
      </w:r>
      <w:r>
        <w:t xml:space="preserve">    </w:t>
      </w:r>
      <w:r>
        <w:rPr>
          <w:b/>
        </w:rPr>
        <w:t xml:space="preserve">DOI: </w:t>
      </w:r>
      <w:hyperlink r:id="rId891">
        <w:r>
          <w:rPr>
            <w:color w:val="1155CC"/>
            <w:u w:val="single"/>
          </w:rPr>
          <w:t>10.1093/nsr/nwag206</w:t>
        </w:r>
      </w:hyperlink>
    </w:p>
    <w:p>
      <w:pPr>
        <w:spacing w:before="0" w:after="120"/>
      </w:pPr>
      <w:r>
        <w:rPr>
          <w:b/>
        </w:rPr>
        <w:t xml:space="preserve">Notes: </w:t>
      </w:r>
      <w:r>
        <w:t>abstract_source=rss_oup</w:t>
      </w:r>
    </w:p>
    <w:p>
      <w:pPr>
        <w:spacing w:before="0" w:after="80" w:lineRule="auto" w:line="276"/>
      </w:pPr>
      <w:r>
        <w:rPr>
          <w:b/>
        </w:rPr>
        <w:t xml:space="preserve">摘要（ZH）: </w:t>
      </w:r>
      <w:r>
        <w:t>双位点催化剂（GSCs）是实现水相电化学还原交叉偶联反应（ERCR）在接近化学计量产率下的潜在候选者。然而，问题在于缺乏具有少量单一位点的GSCs的合成路线。在此，我们报告了一种缺陷伴随策略，用于合成含有金属缺陷催化对（M-D GSCs）的GSCs，其中Fe-D GSCs可以实现从高浓度（0.5 M）的亚硝酸盐（NO2−）和环己酮（CYC）电化学合成环己酮肟（CHO），接近化学计量产率（法拉第效率或产率C/N：91.3%）。多种在/外</w:t>
      </w:r>
    </w:p>
    <w:p>
      <w:pPr>
        <w:spacing w:before="0" w:after="200" w:lineRule="auto" w:line="276"/>
      </w:pPr>
      <w:r>
        <w:rPr>
          <w:b/>
        </w:rPr>
        <w:t xml:space="preserve">Abstract (EN): </w:t>
      </w:r>
      <w:r>
        <w:t>Geminal-site catalysts (GSCs) are prospective candidates to fulfill the goal of aqueous electrochemical reductive cross-coupling reactions (ERCR) at near-stoichiometric yields. Nevertheless, the problem lies in lacking the synthetic route of GSCs with few single sites. Here we report a defect-accompanying strategy for synthesizing GSCs containing metal-defect catalytic pairs (M-D GSCs), and thereinto, Fe-D GSCs can realize the electrochemical synthesis of cyclohexanone oximes (CHO) from high concentrations (0.5 M) of nitrites (NO2−) and cyclohexanone (CYC) at near-stoichiometric yields (the Faradic efficiency or yieldC/N: 91.3%). Multiple in/ex-situ</w:t>
      </w:r>
    </w:p>
    <w:p>
      <w:pPr>
        <w:spacing w:before="120" w:after="120"/>
      </w:pPr>
      <w:r>
        <w:rPr>
          <w:sz w:val="18"/>
        </w:rPr>
        <w:t>——————————————————————————————————————————————————————————————————————</w:t>
      </w:r>
    </w:p>
    <w:p>
      <w:pPr>
        <w:spacing w:before="160" w:after="40" w:line="240" w:lineRule="auto"/>
      </w:pPr>
      <w:r>
        <w:rPr>
          <w:b/>
        </w:rPr>
        <w:t xml:space="preserve">[385] </w:t>
      </w:r>
      <w:hyperlink r:id="rId892">
        <w:r>
          <w:rPr>
            <w:color w:val="1155CC"/>
            <w:u w:val="single"/>
          </w:rPr>
          <w:t>多环芳烃中π电子重组以实现BT.2020标准的窄带红色发射器</w:t>
        </w:r>
      </w:hyperlink>
    </w:p>
    <w:p>
      <w:pPr>
        <w:spacing w:before="0" w:after="80"/>
      </w:pPr>
      <w:r>
        <w:rPr>
          <w:i/>
          <w:sz w:val="20"/>
        </w:rPr>
        <w:t>EN: π-Electron reorganization in polycyclic aromatic hydrocarbons towards BT.2020-compliant narrowband red emitters</w:t>
      </w:r>
    </w:p>
    <w:p>
      <w:pPr>
        <w:spacing w:before="0" w:after="120"/>
      </w:pPr>
      <w:r>
        <w:rPr>
          <w:b/>
        </w:rPr>
        <w:t xml:space="preserve">Source: </w:t>
      </w:r>
      <w:r>
        <w:t>National Science Review Advance Access</w:t>
      </w:r>
      <w:r>
        <w:t xml:space="preserve">    </w:t>
      </w:r>
      <w:r>
        <w:rPr>
          <w:b/>
        </w:rPr>
        <w:t xml:space="preserve">Pub date: </w:t>
      </w:r>
      <w:r>
        <w:t>2026-04-09 00:00:00+00:00</w:t>
      </w:r>
      <w:r>
        <w:t xml:space="preserve">    </w:t>
      </w:r>
      <w:r>
        <w:rPr>
          <w:b/>
        </w:rPr>
        <w:t xml:space="preserve">DOI: </w:t>
      </w:r>
      <w:hyperlink r:id="rId893">
        <w:r>
          <w:rPr>
            <w:color w:val="1155CC"/>
            <w:u w:val="single"/>
          </w:rPr>
          <w:t>10.1093/nsr/nwag219</w:t>
        </w:r>
      </w:hyperlink>
    </w:p>
    <w:p>
      <w:pPr>
        <w:spacing w:before="0" w:after="120"/>
      </w:pPr>
      <w:r>
        <w:rPr>
          <w:b/>
        </w:rPr>
        <w:t xml:space="preserve">Notes: </w:t>
      </w:r>
      <w:r>
        <w:t>abstract_source=rss_oup</w:t>
      </w:r>
    </w:p>
    <w:p>
      <w:pPr>
        <w:spacing w:before="0" w:after="80" w:lineRule="auto" w:line="276"/>
      </w:pPr>
      <w:r>
        <w:rPr>
          <w:b/>
        </w:rPr>
        <w:t xml:space="preserve">摘要（ZH）: </w:t>
      </w:r>
      <w:r>
        <w:t>窄带红色发射一直是有机发光二极管（OLEDs）的长期目标，但使用多环芳烃（PAHs）实现这一目标极其困难。在此，我们引入了一种通用的分子设计范式，通过骨架重构利用π电子重组。这种拓扑工程将芳香性局部化为离散段，内在地抑制了振动耦合，产生了极窄的发射带宽。以卵形烯为模型系统，我们创造了一系列基于PAH的荧光体，覆盖从黄色到深红色（559−670 nm），具有18−24 nm的极窄半高宽（FWHM）值。当集成到敏化OLEDs中时，这些发射体提供了创纪录的设备性能。</w:t>
      </w:r>
    </w:p>
    <w:p>
      <w:pPr>
        <w:spacing w:before="0" w:after="200" w:lineRule="auto" w:line="276"/>
      </w:pPr>
      <w:r>
        <w:rPr>
          <w:b/>
        </w:rPr>
        <w:t xml:space="preserve">Abstract (EN): </w:t>
      </w:r>
      <w:r>
        <w:t>Narrowband red emission remains a long-sought target for organic light-emitting diodes (OLEDs), but has proven exceptionally difficult to realize using polycyclic aromatic hydrocarbons (PAHs). Herein, we introduce a general molecular design paradigm that harnesses π-electron reorganization through skeletal reconstruction in PAHs. This topological engineering localizes aromaticity into discrete segments, intrinsically suppressing vibronic coupling and yielding exceptionally narrowband emission. Using ovalene as a model system, we created a family of PAH-based fluorophores spanning yellow to deep red (559−670 nm) with exceptionally narrow full-width at half-maximum (FWHM) values of 18−24 nm. When integrated into sensitized OLEDs, these emitters deliver record-setting device performance. A representative compound produces sharp red emission at 639 nm with a FWHM of only 28 nm/ 0.085 eV, Commission Internationale de l’Éclairage (CIE) coordinates of [0.704, 0.294] that precisely match the BT.2020 red standard ([0.708, 0.292]), and an external quantum efficiency exceeding 24%—the highest reported value for traditional red fluorescent systems. To our knowledge, this constitutes the first demonstration of a BT.2020-compliant red emitter with FWHM below 30 nm.</w:t>
      </w:r>
    </w:p>
    <w:p>
      <w:pPr>
        <w:spacing w:before="120" w:after="120"/>
      </w:pPr>
      <w:r>
        <w:rPr>
          <w:sz w:val="18"/>
        </w:rPr>
        <w:t>——————————————————————————————————————————————————————————————————————</w:t>
      </w:r>
    </w:p>
    <w:p>
      <w:pPr>
        <w:spacing w:before="160" w:after="40" w:line="240" w:lineRule="auto"/>
      </w:pPr>
      <w:r>
        <w:rPr>
          <w:b/>
        </w:rPr>
        <w:t xml:space="preserve">[386] </w:t>
      </w:r>
      <w:hyperlink r:id="rId894">
        <w:r>
          <w:rPr>
            <w:color w:val="1155CC"/>
            <w:u w:val="single"/>
          </w:rPr>
          <w:t>通过超声空化合成超级生物安全过氧化氢溶液</w:t>
        </w:r>
      </w:hyperlink>
    </w:p>
    <w:p>
      <w:pPr>
        <w:spacing w:before="0" w:after="80"/>
      </w:pPr>
      <w:r>
        <w:rPr>
          <w:i/>
          <w:sz w:val="20"/>
        </w:rPr>
        <w:t>EN: Synthesis of super biosafety hydrogen peroxide solution by ultrasonic cavitation</w:t>
      </w:r>
    </w:p>
    <w:p>
      <w:pPr>
        <w:spacing w:before="0" w:after="120"/>
      </w:pPr>
      <w:r>
        <w:rPr>
          <w:b/>
        </w:rPr>
        <w:t xml:space="preserve">Source: </w:t>
      </w:r>
      <w:r>
        <w:t>National Science Review Advance Access</w:t>
      </w:r>
      <w:r>
        <w:t xml:space="preserve">    </w:t>
      </w:r>
      <w:r>
        <w:rPr>
          <w:b/>
        </w:rPr>
        <w:t xml:space="preserve">Pub date: </w:t>
      </w:r>
      <w:r>
        <w:t>2026-04-09 00:00:00+00:00</w:t>
      </w:r>
      <w:r>
        <w:t xml:space="preserve">    </w:t>
      </w:r>
      <w:r>
        <w:rPr>
          <w:b/>
        </w:rPr>
        <w:t xml:space="preserve">DOI: </w:t>
      </w:r>
      <w:hyperlink r:id="rId895">
        <w:r>
          <w:rPr>
            <w:color w:val="1155CC"/>
            <w:u w:val="single"/>
          </w:rPr>
          <w:t>10.1093/nsr/nwag218</w:t>
        </w:r>
      </w:hyperlink>
    </w:p>
    <w:p>
      <w:pPr>
        <w:spacing w:before="0" w:after="120"/>
      </w:pPr>
      <w:r>
        <w:rPr>
          <w:b/>
        </w:rPr>
        <w:t xml:space="preserve">Notes: </w:t>
      </w:r>
      <w:r>
        <w:t>abstract_source=rss_oup</w:t>
      </w:r>
    </w:p>
    <w:p>
      <w:pPr>
        <w:spacing w:before="0" w:after="80" w:lineRule="auto" w:line="276"/>
      </w:pPr>
      <w:r>
        <w:rPr>
          <w:b/>
        </w:rPr>
        <w:t xml:space="preserve">摘要（ZH）: </w:t>
      </w:r>
      <w:r>
        <w:t>过氧化氢（H2O2）是使用最广泛的医疗消毒产品。然而，目前通过工业蒽醌法合成的H2O2溶液中含有微量重金属离子和有毒有机副产物，对人类生命和健康构成潜在威胁。在本研究中，我们提出通过超声空化从饱和惰性气体的纯水中合成无任何杂质的超级生物安全H2O2溶液。通过体外实验完全证实了超声空化合成的H2O2溶液（H2O2-U）的生物安全性高于商业H2O2（H2O2-C）。</w:t>
      </w:r>
    </w:p>
    <w:p>
      <w:pPr>
        <w:spacing w:before="0" w:after="200" w:lineRule="auto" w:line="276"/>
      </w:pPr>
      <w:r>
        <w:rPr>
          <w:b/>
        </w:rPr>
        <w:t xml:space="preserve">Abstract (EN): </w:t>
      </w:r>
      <w:r>
        <w:t>Hydrogen peroxide (H2O2) is the most widely used medical disinfectant product. However, the H2O2 solution synthesized by industrial anthraquinone method currently contains trace amounts of heavy metal ions and toxic organic by-products, which pose a potential threat to human life and health. In this study, we propose synthesis of super biosafety H2O2 solution without any impurity through ultrasonic cavitation from pure water saturating with inert gases. The biosafety of H2O2 solution synthesized by ultrasonic cavitation (H2O2-U) was fully confirmed to be higher than commercial H2O2 (H2O2-C) by in vitro</w:t>
      </w:r>
    </w:p>
    <w:p>
      <w:pPr>
        <w:spacing w:before="120" w:after="120"/>
      </w:pPr>
      <w:r>
        <w:rPr>
          <w:sz w:val="18"/>
        </w:rPr>
        <w:t>——————————————————————————————————————————————————————————————————————</w:t>
      </w:r>
    </w:p>
    <w:p>
      <w:pPr>
        <w:spacing w:before="160" w:after="40" w:line="240" w:lineRule="auto"/>
      </w:pPr>
      <w:r>
        <w:rPr>
          <w:b/>
        </w:rPr>
        <w:t xml:space="preserve">[387] </w:t>
      </w:r>
      <w:hyperlink r:id="rId896">
        <w:r>
          <w:rPr>
            <w:color w:val="1155CC"/>
            <w:u w:val="single"/>
          </w:rPr>
          <w:t>液体还是固体？Oobleck液滴兼而有之</w:t>
        </w:r>
      </w:hyperlink>
    </w:p>
    <w:p>
      <w:pPr>
        <w:spacing w:before="0" w:after="80"/>
      </w:pPr>
      <w:r>
        <w:rPr>
          <w:i/>
          <w:sz w:val="20"/>
        </w:rPr>
        <w:t>EN: Liquid or solid? Oobleck droplets are both</w:t>
      </w:r>
    </w:p>
    <w:p>
      <w:pPr>
        <w:spacing w:before="0" w:after="120"/>
      </w:pPr>
      <w:r>
        <w:rPr>
          <w:b/>
        </w:rPr>
        <w:t xml:space="preserve">Source: </w:t>
      </w:r>
      <w:r>
        <w:t>Nature</w:t>
      </w:r>
      <w:r>
        <w:t xml:space="preserve">    </w:t>
      </w:r>
      <w:r>
        <w:rPr>
          <w:b/>
        </w:rPr>
        <w:t xml:space="preserve">Pub date: </w:t>
      </w:r>
      <w:r>
        <w:t>2026-04-09 00:00:00+00:00</w:t>
      </w:r>
      <w:r>
        <w:t xml:space="preserve">    </w:t>
      </w:r>
      <w:r>
        <w:rPr>
          <w:b/>
        </w:rPr>
        <w:t xml:space="preserve">DOI: </w:t>
      </w:r>
      <w:hyperlink r:id="rId897">
        <w:r>
          <w:rPr>
            <w:color w:val="1155CC"/>
            <w:u w:val="single"/>
          </w:rPr>
          <w:t>10.1038/d41586-026-01109-3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[388] </w:t>
      </w:r>
      <w:hyperlink r:id="rId898">
        <w:r>
          <w:rPr>
            <w:color w:val="1155CC"/>
            <w:u w:val="single"/>
          </w:rPr>
          <w:t>近一半的交易野生动物携带致病病原体</w:t>
        </w:r>
      </w:hyperlink>
    </w:p>
    <w:p>
      <w:pPr>
        <w:spacing w:before="0" w:after="80"/>
      </w:pPr>
      <w:r>
        <w:rPr>
          <w:i/>
          <w:sz w:val="20"/>
        </w:rPr>
        <w:t>EN: Almost half of traded wildlife carry disease-causing pathogens</w:t>
      </w:r>
    </w:p>
    <w:p>
      <w:pPr>
        <w:spacing w:before="0" w:after="120"/>
      </w:pPr>
      <w:r>
        <w:rPr>
          <w:b/>
        </w:rPr>
        <w:t xml:space="preserve">Source: </w:t>
      </w:r>
      <w:r>
        <w:t>Nature</w:t>
      </w:r>
      <w:r>
        <w:t xml:space="preserve">    </w:t>
      </w:r>
      <w:r>
        <w:rPr>
          <w:b/>
        </w:rPr>
        <w:t xml:space="preserve">Pub date: </w:t>
      </w:r>
      <w:r>
        <w:t>2026-04-09 00:00:00+00:00</w:t>
      </w:r>
      <w:r>
        <w:t xml:space="preserve">    </w:t>
      </w:r>
      <w:r>
        <w:rPr>
          <w:b/>
        </w:rPr>
        <w:t xml:space="preserve">DOI: </w:t>
      </w:r>
      <w:hyperlink r:id="rId899">
        <w:r>
          <w:rPr>
            <w:color w:val="1155CC"/>
            <w:u w:val="single"/>
          </w:rPr>
          <w:t>10.1038/d41586-026-01121-7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[389] </w:t>
      </w:r>
      <w:hyperlink r:id="rId900">
        <w:r>
          <w:rPr>
            <w:color w:val="1155CC"/>
            <w:u w:val="single"/>
          </w:rPr>
          <w:t>雌性小鼠在单个DNA调整后长出睾丸</w:t>
        </w:r>
      </w:hyperlink>
    </w:p>
    <w:p>
      <w:pPr>
        <w:spacing w:before="0" w:after="80"/>
      </w:pPr>
      <w:r>
        <w:rPr>
          <w:i/>
          <w:sz w:val="20"/>
        </w:rPr>
        <w:t>EN: Female mice grow testes after this single DNA tweak</w:t>
      </w:r>
    </w:p>
    <w:p>
      <w:pPr>
        <w:spacing w:before="0" w:after="120"/>
      </w:pPr>
      <w:r>
        <w:rPr>
          <w:b/>
        </w:rPr>
        <w:t xml:space="preserve">Source: </w:t>
      </w:r>
      <w:r>
        <w:t>Nature</w:t>
      </w:r>
      <w:r>
        <w:t xml:space="preserve">    </w:t>
      </w:r>
      <w:r>
        <w:rPr>
          <w:b/>
        </w:rPr>
        <w:t xml:space="preserve">Pub date: </w:t>
      </w:r>
      <w:r>
        <w:t>2026-04-09 00:00:00+00:00</w:t>
      </w:r>
      <w:r>
        <w:t xml:space="preserve">    </w:t>
      </w:r>
      <w:r>
        <w:rPr>
          <w:b/>
        </w:rPr>
        <w:t xml:space="preserve">DOI: </w:t>
      </w:r>
      <w:hyperlink r:id="rId901">
        <w:r>
          <w:rPr>
            <w:color w:val="1155CC"/>
            <w:u w:val="single"/>
          </w:rPr>
          <w:t>10.1038/d41586-026-01120-8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[390] </w:t>
      </w:r>
      <w:hyperlink r:id="rId902">
        <w:r>
          <w:rPr>
            <w:color w:val="1155CC"/>
            <w:u w:val="single"/>
          </w:rPr>
          <w:t>作者更正：下一代集成光子FMCW LiDAR源的要求</w:t>
        </w:r>
      </w:hyperlink>
    </w:p>
    <w:p>
      <w:pPr>
        <w:spacing w:before="0" w:after="80"/>
      </w:pPr>
      <w:r>
        <w:rPr>
          <w:i/>
          <w:sz w:val="20"/>
        </w:rPr>
        <w:t>EN: Author Correction: Requirements for next-generation integrated photonic FMCW LiDAR sources</w:t>
      </w:r>
    </w:p>
    <w:p>
      <w:pPr>
        <w:spacing w:before="0" w:after="120"/>
      </w:pPr>
      <w:r>
        <w:rPr>
          <w:b/>
        </w:rPr>
        <w:t xml:space="preserve">Source: </w:t>
      </w:r>
      <w:r>
        <w:t>Nature Communications</w:t>
      </w:r>
      <w:r>
        <w:t xml:space="preserve">    </w:t>
      </w:r>
      <w:r>
        <w:rPr>
          <w:b/>
        </w:rPr>
        <w:t xml:space="preserve">Pub date: </w:t>
      </w:r>
      <w:r>
        <w:t>2026-04-09 00:00:00+00:00</w:t>
      </w:r>
      <w:r>
        <w:t xml:space="preserve">    </w:t>
      </w:r>
      <w:r>
        <w:rPr>
          <w:b/>
        </w:rPr>
        <w:t xml:space="preserve">DOI: </w:t>
      </w:r>
      <w:hyperlink r:id="rId903">
        <w:r>
          <w:rPr>
            <w:color w:val="1155CC"/>
            <w:u w:val="single"/>
          </w:rPr>
          <w:t>10.1038/s41467-026-71867-1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[391] </w:t>
      </w:r>
      <w:hyperlink r:id="rId904">
        <w:r>
          <w:rPr>
            <w:color w:val="1155CC"/>
            <w:u w:val="single"/>
          </w:rPr>
          <w:t>ChargeTrek：一种用于V2G系统中电动汽车充电的游戏化视觉学习框架</w:t>
        </w:r>
      </w:hyperlink>
    </w:p>
    <w:p>
      <w:pPr>
        <w:spacing w:before="0" w:after="80"/>
      </w:pPr>
      <w:r>
        <w:rPr>
          <w:i/>
          <w:sz w:val="20"/>
        </w:rPr>
        <w:t>EN: ChargeTrek: A gamified visual learning framework for EV charging in V2G systems</w:t>
      </w:r>
    </w:p>
    <w:p>
      <w:pPr>
        <w:spacing w:before="0" w:after="120"/>
      </w:pPr>
      <w:r>
        <w:rPr>
          <w:b/>
        </w:rPr>
        <w:t xml:space="preserve">Source: </w:t>
      </w:r>
      <w:r>
        <w:t>ScienceDirect Publication: Applied Energy</w:t>
      </w:r>
      <w:r>
        <w:t xml:space="preserve">    </w:t>
      </w:r>
      <w:r>
        <w:rPr>
          <w:b/>
        </w:rPr>
        <w:t xml:space="preserve">Pub date: </w:t>
      </w:r>
      <w:r>
        <w:t>2026-04-09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[392] </w:t>
      </w:r>
      <w:hyperlink r:id="rId905">
        <w:r>
          <w:rPr>
            <w:color w:val="1155CC"/>
            <w:u w:val="single"/>
          </w:rPr>
          <w:t>BRD4通过与CHD4合作指导肌纤维身份和代谢适应</w:t>
        </w:r>
      </w:hyperlink>
    </w:p>
    <w:p>
      <w:pPr>
        <w:spacing w:before="0" w:after="80"/>
      </w:pPr>
      <w:r>
        <w:rPr>
          <w:i/>
          <w:sz w:val="20"/>
        </w:rPr>
        <w:t>EN: BRD4 directs myofiber identity and metabolic adaptation through CHD4 cooperation</w:t>
      </w:r>
    </w:p>
    <w:p>
      <w:pPr>
        <w:spacing w:before="0" w:after="120"/>
      </w:pPr>
      <w:r>
        <w:rPr>
          <w:b/>
        </w:rPr>
        <w:t xml:space="preserve">Source: </w:t>
      </w:r>
      <w:r>
        <w:t>Nature Communications</w:t>
      </w:r>
      <w:r>
        <w:t xml:space="preserve">    </w:t>
      </w:r>
      <w:r>
        <w:rPr>
          <w:b/>
        </w:rPr>
        <w:t xml:space="preserve">Pub date: </w:t>
      </w:r>
      <w:r>
        <w:t>2026-04-09 00:00:00+00:00</w:t>
      </w:r>
      <w:r>
        <w:t xml:space="preserve">    </w:t>
      </w:r>
      <w:r>
        <w:rPr>
          <w:b/>
        </w:rPr>
        <w:t xml:space="preserve">DOI: </w:t>
      </w:r>
      <w:hyperlink r:id="rId906">
        <w:r>
          <w:rPr>
            <w:color w:val="1155CC"/>
            <w:u w:val="single"/>
          </w:rPr>
          <w:t>10.1038/s41467-026-71529-2</w:t>
        </w:r>
      </w:hyperlink>
    </w:p>
    <w:p>
      <w:pPr>
        <w:spacing w:before="0" w:after="120"/>
      </w:pPr>
      <w:r>
        <w:rPr>
          <w:b/>
        </w:rPr>
        <w:t xml:space="preserve">Notes: </w:t>
      </w:r>
      <w:r>
        <w:t>abstract_source=nature_html</w:t>
      </w:r>
    </w:p>
    <w:p>
      <w:pPr>
        <w:spacing w:before="0" w:after="80" w:lineRule="auto" w:line="276"/>
      </w:pPr>
      <w:r>
        <w:rPr>
          <w:b/>
        </w:rPr>
        <w:t xml:space="preserve">摘要（ZH）: </w:t>
      </w:r>
      <w:r>
        <w:t>骨骼肌纤维类型组成是全身代谢和健康的关键决定因素。然而，纤维类型特异性基因表达模式如何建立和维持以指定肌纤维身份仍不清楚。在此，我们展示了BRD4是肌肉纤维身份和代谢的重要调节因子。在人类中，BRD4表达与肌肉收缩特性相关，并且在肥胖个体中显著改变。在小鼠中，高脂饮食（HFD）喂养提高了BRD4蛋白水平，先于体重变化，而肌肉特异性Brd4缺失诱导慢氧化纤维转变，增强能量消耗，并保护免受饮食诱导的肥胖和胰岛素抵抗。机制上，BRD4与MEF2和CHD4合作调节快肌纤维基因表达。CHD4</w:t>
      </w:r>
    </w:p>
    <w:p>
      <w:pPr>
        <w:spacing w:before="0" w:after="200" w:lineRule="auto" w:line="276"/>
      </w:pPr>
      <w:r>
        <w:rPr>
          <w:b/>
        </w:rPr>
        <w:t xml:space="preserve">Abstract (EN): </w:t>
      </w:r>
      <w:r>
        <w:t>Skeletal muscle fiber-type composition is key determinant of systemic metabolism and health. However, how fiber-type-specific gene expression patterns are established and maintained to specify myofiber identity remains unclear. Here we show that BRD4 is a crucial regulator for muscle fiber identity and metabolism. In humans, BRD4 expression correlates with muscle contractile properties, and is notably altered in individuals with obesity. In mice, HFD feeding elevates BRD4 protein levels, preceding body weight changes, while muscle-specific Brd4 deletion induces a slow-oxidative fiber shift, enhances energy expenditure, and protects against diet-induced obesity and insulin resistance. Mechanistically, BRD4 cooperates with MEF2 and CHD4 to regulate fast-twitch myofiber gene expression. CHD4 deletion mirrors the metabolic benefits seen with BRD4 loss. Importantly, BRD4 inhibition with JQ1 replicates these effects in mice and human myotubes. These findings establish BRD4 axis as a critical determinant of myofiber identity and metabolism, offering a potential therapeutic strategy for metabolic disorders.</w:t>
      </w:r>
    </w:p>
    <w:p>
      <w:pPr>
        <w:spacing w:before="120" w:after="120"/>
      </w:pPr>
      <w:r>
        <w:rPr>
          <w:sz w:val="18"/>
        </w:rPr>
        <w:t>——————————————————————————————————————————————————————————————————————</w:t>
      </w:r>
    </w:p>
    <w:p>
      <w:pPr>
        <w:spacing w:before="160" w:after="40" w:line="240" w:lineRule="auto"/>
      </w:pPr>
      <w:r>
        <w:rPr>
          <w:b/>
        </w:rPr>
        <w:t xml:space="preserve">[393] </w:t>
      </w:r>
      <w:hyperlink r:id="rId907">
        <w:r>
          <w:rPr>
            <w:color w:val="1155CC"/>
            <w:u w:val="single"/>
          </w:rPr>
          <w:t>隔离不平等：住房改造补贴在解决捷克能源贫困中的局限性</w:t>
        </w:r>
      </w:hyperlink>
    </w:p>
    <w:p>
      <w:pPr>
        <w:spacing w:before="0" w:after="80"/>
      </w:pPr>
      <w:r>
        <w:rPr>
          <w:i/>
          <w:sz w:val="20"/>
        </w:rPr>
        <w:t>EN: Insulating inequality: Limits of housing retrofit subsidies in tackling energy poverty in Czechia</w:t>
      </w:r>
    </w:p>
    <w:p>
      <w:pPr>
        <w:spacing w:before="0" w:after="120"/>
      </w:pPr>
      <w:r>
        <w:rPr>
          <w:b/>
        </w:rPr>
        <w:t xml:space="preserve">Source: </w:t>
      </w:r>
      <w:r>
        <w:t>ScienceDirect Publication: Energy Policy</w:t>
      </w:r>
      <w:r>
        <w:t xml:space="preserve">    </w:t>
      </w:r>
      <w:r>
        <w:rPr>
          <w:b/>
        </w:rPr>
        <w:t xml:space="preserve">Pub date: </w:t>
      </w:r>
      <w:r>
        <w:t>2026-04-09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[394] </w:t>
      </w:r>
      <w:hyperlink r:id="rId908">
        <w:r>
          <w:rPr>
            <w:color w:val="1155CC"/>
            <w:u w:val="single"/>
          </w:rPr>
          <w:t>加利福尼亚、俄勒冈和华盛顿近海能源开发的社区利益协议偏好：基于选择的联合实验的见解</w:t>
        </w:r>
      </w:hyperlink>
    </w:p>
    <w:p>
      <w:pPr>
        <w:spacing w:before="0" w:after="80"/>
      </w:pPr>
      <w:r>
        <w:rPr>
          <w:i/>
          <w:sz w:val="20"/>
        </w:rPr>
        <w:t>EN: Community benefit agreement preferences for energy development offshore California, Oregon, and Washington: Insights from a choice-based conjoint experiment</w:t>
      </w:r>
    </w:p>
    <w:p>
      <w:pPr>
        <w:spacing w:before="0" w:after="120"/>
      </w:pPr>
      <w:r>
        <w:rPr>
          <w:b/>
        </w:rPr>
        <w:t xml:space="preserve">Source: </w:t>
      </w:r>
      <w:r>
        <w:t>ScienceDirect Publication: Energy Policy</w:t>
      </w:r>
      <w:r>
        <w:t xml:space="preserve">    </w:t>
      </w:r>
      <w:r>
        <w:rPr>
          <w:b/>
        </w:rPr>
        <w:t xml:space="preserve">Pub date: </w:t>
      </w:r>
      <w:r>
        <w:t>2026-04-09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[395] </w:t>
      </w:r>
      <w:hyperlink r:id="rId909">
        <w:r>
          <w:rPr>
            <w:color w:val="1155CC"/>
            <w:u w:val="single"/>
          </w:rPr>
          <w:t>女性政治赋权与电力负担能力：空间分析</w:t>
        </w:r>
      </w:hyperlink>
    </w:p>
    <w:p>
      <w:pPr>
        <w:spacing w:before="0" w:after="80"/>
      </w:pPr>
      <w:r>
        <w:rPr>
          <w:i/>
          <w:sz w:val="20"/>
        </w:rPr>
        <w:t>EN: Women's political empowerment and electricity affordability: A spatial analysis</w:t>
      </w:r>
    </w:p>
    <w:p>
      <w:pPr>
        <w:spacing w:before="0" w:after="120"/>
      </w:pPr>
      <w:r>
        <w:rPr>
          <w:b/>
        </w:rPr>
        <w:t xml:space="preserve">Source: </w:t>
      </w:r>
      <w:r>
        <w:t>ScienceDirect Publication: Energy Policy</w:t>
      </w:r>
      <w:r>
        <w:t xml:space="preserve">    </w:t>
      </w:r>
      <w:r>
        <w:rPr>
          <w:b/>
        </w:rPr>
        <w:t xml:space="preserve">Pub date: </w:t>
      </w:r>
      <w:r>
        <w:t>2026-04-09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[396] </w:t>
      </w:r>
      <w:hyperlink r:id="rId910">
        <w:r>
          <w:rPr>
            <w:color w:val="1155CC"/>
            <w:u w:val="single"/>
          </w:rPr>
          <w:t>能源贫困动态和地缘战略冲击：金融市场的调节</w:t>
        </w:r>
      </w:hyperlink>
    </w:p>
    <w:p>
      <w:pPr>
        <w:spacing w:before="0" w:after="80"/>
      </w:pPr>
      <w:r>
        <w:rPr>
          <w:i/>
          <w:sz w:val="20"/>
        </w:rPr>
        <w:t>EN: Energy poverty dynamics and geostrategic shocks: Moderation of financial markets</w:t>
      </w:r>
    </w:p>
    <w:p>
      <w:pPr>
        <w:spacing w:before="0" w:after="120"/>
      </w:pPr>
      <w:r>
        <w:rPr>
          <w:b/>
        </w:rPr>
        <w:t xml:space="preserve">Source: </w:t>
      </w:r>
      <w:r>
        <w:t>ScienceDirect Publication: Energy Policy</w:t>
      </w:r>
      <w:r>
        <w:t xml:space="preserve">    </w:t>
      </w:r>
      <w:r>
        <w:rPr>
          <w:b/>
        </w:rPr>
        <w:t xml:space="preserve">Pub date: </w:t>
      </w:r>
      <w:r>
        <w:t>2026-04-09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[397] </w:t>
      </w:r>
      <w:hyperlink r:id="rId911">
        <w:r>
          <w:rPr>
            <w:color w:val="1155CC"/>
            <w:u w:val="single"/>
          </w:rPr>
          <w:t>气候风险与企业环境责任：能源转型政策的证据</w:t>
        </w:r>
      </w:hyperlink>
    </w:p>
    <w:p>
      <w:pPr>
        <w:spacing w:before="0" w:after="80"/>
      </w:pPr>
      <w:r>
        <w:rPr>
          <w:i/>
          <w:sz w:val="20"/>
        </w:rPr>
        <w:t>EN: Climate risk and firm environmental accountability: Evidence for energy transition policy</w:t>
      </w:r>
    </w:p>
    <w:p>
      <w:pPr>
        <w:spacing w:before="0" w:after="120"/>
      </w:pPr>
      <w:r>
        <w:rPr>
          <w:b/>
        </w:rPr>
        <w:t xml:space="preserve">Source: </w:t>
      </w:r>
      <w:r>
        <w:t>ScienceDirect Publication: Energy Policy</w:t>
      </w:r>
      <w:r>
        <w:t xml:space="preserve">    </w:t>
      </w:r>
      <w:r>
        <w:rPr>
          <w:b/>
        </w:rPr>
        <w:t xml:space="preserve">Pub date: </w:t>
      </w:r>
      <w:r>
        <w:t>2026-04-09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[398] </w:t>
      </w:r>
      <w:hyperlink r:id="rId912">
        <w:r>
          <w:rPr>
            <w:color w:val="1155CC"/>
            <w:u w:val="single"/>
          </w:rPr>
          <w:t>砍伐树木以平衡预算：国际货币基金组织项目与森林砍伐增加有关</w:t>
        </w:r>
      </w:hyperlink>
    </w:p>
    <w:p>
      <w:pPr>
        <w:spacing w:before="0" w:after="80"/>
      </w:pPr>
      <w:r>
        <w:rPr>
          <w:i/>
          <w:sz w:val="20"/>
        </w:rPr>
        <w:t>EN: Cutting trees to balance budgets: International Monetary Fund programs are associated with increased deforestation</w:t>
      </w:r>
    </w:p>
    <w:p>
      <w:pPr>
        <w:spacing w:before="0" w:after="120"/>
      </w:pPr>
      <w:r>
        <w:rPr>
          <w:b/>
        </w:rPr>
        <w:t xml:space="preserve">Source: </w:t>
      </w:r>
      <w:r>
        <w:t>One Earth</w:t>
      </w:r>
      <w:r>
        <w:t xml:space="preserve">    </w:t>
      </w:r>
      <w:r>
        <w:rPr>
          <w:b/>
        </w:rPr>
        <w:t xml:space="preserve">Pub date: </w:t>
      </w:r>
      <w:r>
        <w:t>2026-04-09 00:00:00+00:00</w:t>
      </w:r>
      <w:r>
        <w:t xml:space="preserve">    </w:t>
      </w:r>
      <w:r>
        <w:rPr>
          <w:b/>
        </w:rPr>
        <w:t xml:space="preserve">DOI: </w:t>
      </w:r>
      <w:hyperlink r:id="rId913">
        <w:r>
          <w:rPr>
            <w:color w:val="1155CC"/>
            <w:u w:val="single"/>
          </w:rPr>
          <w:t>10.1016/j.oneear.2026.101676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[399] </w:t>
      </w:r>
      <w:hyperlink r:id="rId914">
        <w:r>
          <w:rPr>
            <w:color w:val="1155CC"/>
            <w:u w:val="single"/>
          </w:rPr>
          <w:t>液态金属形状记忆机器人</w:t>
        </w:r>
      </w:hyperlink>
    </w:p>
    <w:p>
      <w:pPr>
        <w:spacing w:before="0" w:after="80"/>
      </w:pPr>
      <w:r>
        <w:rPr>
          <w:i/>
          <w:sz w:val="20"/>
        </w:rPr>
        <w:t>EN: Liquid metal shape memory robot</w:t>
      </w:r>
    </w:p>
    <w:p>
      <w:pPr>
        <w:spacing w:before="0" w:after="120"/>
      </w:pPr>
      <w:r>
        <w:rPr>
          <w:b/>
        </w:rPr>
        <w:t xml:space="preserve">Source: </w:t>
      </w:r>
      <w:r>
        <w:t>Matter</w:t>
      </w:r>
      <w:r>
        <w:t xml:space="preserve">    </w:t>
      </w:r>
      <w:r>
        <w:rPr>
          <w:b/>
        </w:rPr>
        <w:t xml:space="preserve">Pub date: </w:t>
      </w:r>
      <w:r>
        <w:t>2026-04-09 00:00:00+00:00</w:t>
      </w:r>
      <w:r>
        <w:t xml:space="preserve">    </w:t>
      </w:r>
      <w:r>
        <w:rPr>
          <w:b/>
        </w:rPr>
        <w:t xml:space="preserve">DOI: </w:t>
      </w:r>
      <w:hyperlink r:id="rId915">
        <w:r>
          <w:rPr>
            <w:color w:val="1155CC"/>
            <w:u w:val="single"/>
          </w:rPr>
          <w:t>10.1016/j.matt.2026.102759</w:t>
        </w:r>
      </w:hyperlink>
    </w:p>
    <w:p>
      <w:pPr>
        <w:spacing w:before="0" w:after="120"/>
      </w:pPr>
      <w:r>
        <w:rPr>
          <w:b/>
        </w:rPr>
        <w:t xml:space="preserve">Notes: </w:t>
      </w:r>
      <w:r>
        <w:t>abstract_source=rss_cell</w:t>
      </w:r>
    </w:p>
    <w:p>
      <w:pPr>
        <w:spacing w:before="0" w:after="80" w:lineRule="auto" w:line="276"/>
      </w:pPr>
      <w:r>
        <w:rPr>
          <w:b/>
        </w:rPr>
        <w:t xml:space="preserve">摘要（ZH）: </w:t>
      </w:r>
      <w:r>
        <w:t>提出了一种具有内在智能的液态金属（LM）形状记忆机器人，从而实现可编程变形和自动可逆形状恢复。该机器人具有出色的变形能力、可靠的形状记忆功能和优异的高温耐受性，显示出在管道导航、地球物理勘探、核废料修复和灾害响应操作中的多场景应用潜力。</w:t>
      </w:r>
    </w:p>
    <w:p>
      <w:pPr>
        <w:spacing w:before="0" w:after="200" w:lineRule="auto" w:line="276"/>
      </w:pPr>
      <w:r>
        <w:rPr>
          <w:b/>
        </w:rPr>
        <w:t xml:space="preserve">Abstract (EN): </w:t>
      </w:r>
      <w:r>
        <w:t>A liquid metal (LM) shape memory robot with embodied intelligence is presented, thereby achieving programmable deformation and automatic reversible shape recovery. The robot possesses outstanding deformability, reliable shape memory functionality, and excellent high-temperature resistance, displaying multi-scenario application potential in pipeline navigation, geophysical exploration, nuclear waste remediation, and disaster response operations.</w:t>
      </w:r>
    </w:p>
    <w:p>
      <w:pPr>
        <w:spacing w:before="120" w:after="120"/>
      </w:pPr>
      <w:r>
        <w:rPr>
          <w:sz w:val="18"/>
        </w:rPr>
        <w:t>——————————————————————————————————————————————————————————————————————</w:t>
      </w:r>
    </w:p>
    <w:p>
      <w:pPr>
        <w:spacing w:before="160" w:after="40" w:line="240" w:lineRule="auto"/>
      </w:pPr>
      <w:r>
        <w:rPr>
          <w:b/>
        </w:rPr>
        <w:t xml:space="preserve">[400] </w:t>
      </w:r>
      <w:hyperlink r:id="rId916">
        <w:r>
          <w:rPr>
            <w:color w:val="1155CC"/>
            <w:u w:val="single"/>
          </w:rPr>
          <w:t>用于液体储备电池瞬态激活过程的多物理场建模和最佳微通道设计</w:t>
        </w:r>
      </w:hyperlink>
    </w:p>
    <w:p>
      <w:pPr>
        <w:spacing w:before="0" w:after="80"/>
      </w:pPr>
      <w:r>
        <w:rPr>
          <w:i/>
          <w:sz w:val="20"/>
        </w:rPr>
        <w:t>EN: Multiphysics field modeling and optimal microchannel design for transient activation processes of liquid reserve batteries</w:t>
      </w:r>
    </w:p>
    <w:p>
      <w:pPr>
        <w:spacing w:before="0" w:after="120"/>
      </w:pPr>
      <w:r>
        <w:rPr>
          <w:b/>
        </w:rPr>
        <w:t xml:space="preserve">Source: </w:t>
      </w:r>
      <w:r>
        <w:t>ScienceDirect Publication: Applied Energy</w:t>
      </w:r>
      <w:r>
        <w:t xml:space="preserve">    </w:t>
      </w:r>
      <w:r>
        <w:rPr>
          <w:b/>
        </w:rPr>
        <w:t xml:space="preserve">Pub date: </w:t>
      </w:r>
      <w:r>
        <w:t>2026-04-09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[401] </w:t>
      </w:r>
      <w:hyperlink r:id="rId917">
        <w:r>
          <w:rPr>
            <w:color w:val="1155CC"/>
            <w:u w:val="single"/>
          </w:rPr>
          <w:t>一名女性，三种自身免疫性疾病：CAR-T疗法征服超罕见疾病三重奏</w:t>
        </w:r>
      </w:hyperlink>
    </w:p>
    <w:p>
      <w:pPr>
        <w:spacing w:before="0" w:after="80"/>
      </w:pPr>
      <w:r>
        <w:rPr>
          <w:i/>
          <w:sz w:val="20"/>
        </w:rPr>
        <w:t>EN: One woman, three autoimmune diseases: CAR-T therapy vanquishes ultra-rare disease trio</w:t>
      </w:r>
    </w:p>
    <w:p>
      <w:pPr>
        <w:spacing w:before="0" w:after="120"/>
      </w:pPr>
      <w:r>
        <w:rPr>
          <w:b/>
        </w:rPr>
        <w:t xml:space="preserve">Source: </w:t>
      </w:r>
      <w:r>
        <w:t>Nature</w:t>
      </w:r>
      <w:r>
        <w:t xml:space="preserve">    </w:t>
      </w:r>
      <w:r>
        <w:rPr>
          <w:b/>
        </w:rPr>
        <w:t xml:space="preserve">Pub date: </w:t>
      </w:r>
      <w:r>
        <w:t>2026-04-09 00:00:00+00:00</w:t>
      </w:r>
      <w:r>
        <w:t xml:space="preserve">    </w:t>
      </w:r>
      <w:r>
        <w:rPr>
          <w:b/>
        </w:rPr>
        <w:t xml:space="preserve">DOI: </w:t>
      </w:r>
      <w:hyperlink r:id="rId918">
        <w:r>
          <w:rPr>
            <w:color w:val="1155CC"/>
            <w:u w:val="single"/>
          </w:rPr>
          <w:t>10.1038/d41586-026-01108-4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[402] </w:t>
      </w:r>
      <w:hyperlink r:id="rId919">
        <w:r>
          <w:rPr>
            <w:color w:val="1155CC"/>
            <w:u w:val="single"/>
          </w:rPr>
          <w:t>通过对称破缺策略多样化共价有机聚合物的单晶结构</w:t>
        </w:r>
      </w:hyperlink>
    </w:p>
    <w:p>
      <w:pPr>
        <w:spacing w:before="0" w:after="80"/>
      </w:pPr>
      <w:r>
        <w:rPr>
          <w:i/>
          <w:sz w:val="20"/>
        </w:rPr>
        <w:t>EN: Diversifying Single‐Crystal Structures of Covalent Organic Polymers Through a Symmetry‐Broken Strategy</w:t>
      </w:r>
    </w:p>
    <w:p>
      <w:pPr>
        <w:spacing w:before="0" w:after="120"/>
      </w:pPr>
      <w:r>
        <w:rPr>
          <w:b/>
        </w:rPr>
        <w:t xml:space="preserve">Source: </w:t>
      </w:r>
      <w:r>
        <w:t>Wiley: Angewandte Chemie International Edition: Table of Contents</w:t>
      </w:r>
      <w:r>
        <w:t xml:space="preserve">    </w:t>
      </w:r>
      <w:r>
        <w:rPr>
          <w:b/>
        </w:rPr>
        <w:t xml:space="preserve">Pub date: </w:t>
      </w:r>
      <w:r>
        <w:t>2026-04-09 04:19:44+00:00</w:t>
      </w:r>
      <w:r>
        <w:t xml:space="preserve">    </w:t>
      </w:r>
      <w:r>
        <w:rPr>
          <w:b/>
        </w:rPr>
        <w:t xml:space="preserve">DOI: </w:t>
      </w:r>
      <w:hyperlink r:id="rId920">
        <w:r>
          <w:rPr>
            <w:color w:val="1155CC"/>
            <w:u w:val="single"/>
          </w:rPr>
          <w:t>10.1002/anie.6579208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最近，通过配位 B←N 键生长共价有机聚合物 (COPs) 单晶已被证明是一种有前途的策略。尽管有这些进展，使用相同的结构基元构建多样化的 COP 结构以研究其性能变化仍然是一项重要但具有挑战性的任务。在本文中，我们介绍了一种旨在降低结构单元对称性以实现这一目标的策略。通过采用基于 3‐吡啶基的四硫富瓦烯基元（标记为 TTF‐(3‐py)4），我们构建了一系列共享相同基元的单晶 COP 结构，包括一维 (1D) 之字形链（CityU‐61）、一维纳米带（</w:t>
      </w:r>
    </w:p>
    <w:p>
      <w:pPr>
        <w:spacing w:before="0" w:after="200" w:lineRule="auto" w:line="276"/>
      </w:pPr>
      <w:r>
        <w:rPr>
          <w:b/>
        </w:rPr>
        <w:t xml:space="preserve">Abstract (EN): </w:t>
      </w:r>
      <w:r>
        <w:t>Recently, growing single crystals of covalent organic polymers (COPs) through dative B←N bonds has been proven to be a promising strategy. Despite these developments, constructing diverse COP structures using identical structural motifs to investigate the variations in their performance remains a significant but challenging task. In this paper, we introduce a strategy aimed at reducing the symmetry of structural units to achieve this target. By employing the 3‐pyridyl‐based tetrathiafulvalene motif (labeled as TTF‐(3‐py)</w:t>
      </w:r>
      <w:r>
        <w:rPr>
          <w:vertAlign w:val="subscript"/>
        </w:rPr>
        <w:t>4</w:t>
      </w:r>
      <w:r>
        <w:t>), a series of single‐crystal COP structures sharing the same motifs, including one‐dimensional (1D) zigzag chains (</w:t>
      </w:r>
      <w:r>
        <w:t xml:space="preserve"> </w:t>
      </w:r>
      <w:r>
        <w:t>CityU‐61</w:t>
      </w:r>
      <w:r>
        <w:t xml:space="preserve"> </w:t>
      </w:r>
      <w:r>
        <w:t>), 1D nanobelt (</w:t>
      </w:r>
      <w:r>
        <w:t xml:space="preserve"> </w:t>
      </w:r>
      <w:r>
        <w:t>CityU‐62</w:t>
      </w:r>
      <w:r>
        <w:t xml:space="preserve"> </w:t>
      </w:r>
      <w:r>
        <w:t>), and 2D layer (</w:t>
      </w:r>
      <w:r>
        <w:t xml:space="preserve"> </w:t>
      </w:r>
      <w:r>
        <w:t>CityU‐63</w:t>
      </w:r>
      <w:r>
        <w:t xml:space="preserve"> </w:t>
      </w:r>
      <w:r>
        <w:t>) structures, are constructed under different solvent conditions. The rotatability of the carbon‐carbon single bond, coupled with the deviation of nitrogen in pyridine from the symmetry axis, endows TTF‐(3‐py)</w:t>
      </w:r>
      <w:r>
        <w:rPr>
          <w:vertAlign w:val="subscript"/>
        </w:rPr>
        <w:t>4</w:t>
      </w:r>
      <w:r>
        <w:t>with a diverse range of configurations. These COP compounds exhibit excellent light absorption properties and redox activities, facilitating efficient photocatalytic synthesis of hydrogen peroxide (H</w:t>
      </w:r>
      <w:r>
        <w:rPr>
          <w:vertAlign w:val="subscript"/>
        </w:rPr>
        <w:t>2</w:t>
      </w:r>
      <w:r>
        <w:t>O</w:t>
      </w:r>
      <w:r>
        <w:rPr>
          <w:vertAlign w:val="subscript"/>
        </w:rPr>
        <w:t>2</w:t>
      </w:r>
      <w:r>
        <w:t>) from water and air. Notably,</w:t>
      </w:r>
      <w:r>
        <w:t xml:space="preserve"> </w:t>
      </w:r>
      <w:r>
        <w:t>CityU‐63</w:t>
      </w:r>
      <w:r>
        <w:t xml:space="preserve"> </w:t>
      </w:r>
      <w:r>
        <w:t>exhibits the highest catalytic activity, with an H</w:t>
      </w:r>
      <w:r>
        <w:rPr>
          <w:vertAlign w:val="subscript"/>
        </w:rPr>
        <w:t>2</w:t>
      </w:r>
      <w:r>
        <w:t>O</w:t>
      </w:r>
      <w:r>
        <w:rPr>
          <w:vertAlign w:val="subscript"/>
        </w:rPr>
        <w:t>2</w:t>
      </w:r>
      <w:r>
        <w:t>production rate of 10 488.9 µmol g</w:t>
      </w:r>
      <w:r>
        <w:t xml:space="preserve"> </w:t>
      </w:r>
      <w:r>
        <w:t>−1</w:t>
      </w:r>
      <w:r>
        <w:t xml:space="preserve"> </w:t>
      </w:r>
      <w:r>
        <w:t>h</w:t>
      </w:r>
      <w:r>
        <w:t xml:space="preserve"> </w:t>
      </w:r>
      <w:r>
        <w:t>−1</w:t>
      </w:r>
      <w:r>
        <w:t xml:space="preserve"> </w:t>
      </w:r>
      <w:r>
        <w:t>, positioning it among the most effective photocatalysts currently employed for H</w:t>
      </w:r>
      <w:r>
        <w:rPr>
          <w:vertAlign w:val="subscript"/>
        </w:rPr>
        <w:t>2</w:t>
      </w:r>
      <w:r>
        <w:t>O</w:t>
      </w:r>
      <w:r>
        <w:rPr>
          <w:vertAlign w:val="subscript"/>
        </w:rPr>
        <w:t>2</w:t>
      </w:r>
      <w:r>
        <w:t>photosynthesis.</w:t>
      </w:r>
    </w:p>
    <w:p>
      <w:pPr>
        <w:spacing w:before="120" w:after="120"/>
      </w:pPr>
      <w:r>
        <w:rPr>
          <w:sz w:val="18"/>
        </w:rPr>
        <w:t>——————————————————————————————————————————————————————————————————————</w:t>
      </w:r>
    </w:p>
    <w:p>
      <w:pPr>
        <w:spacing w:before="160" w:after="40" w:line="240" w:lineRule="auto"/>
      </w:pPr>
      <w:r>
        <w:rPr>
          <w:b/>
        </w:rPr>
        <w:t xml:space="preserve">[403] </w:t>
      </w:r>
      <w:hyperlink r:id="rId921">
        <w:r>
          <w:rPr>
            <w:color w:val="1155CC"/>
            <w:u w:val="single"/>
          </w:rPr>
          <w:t>自下而上的基于共聚物的人工细胞：将细胞特征整合到复杂的类生命系统中</w:t>
        </w:r>
      </w:hyperlink>
    </w:p>
    <w:p>
      <w:pPr>
        <w:spacing w:before="0" w:after="80"/>
      </w:pPr>
      <w:r>
        <w:rPr>
          <w:i/>
          <w:sz w:val="20"/>
        </w:rPr>
        <w:t>EN: Bottom‐Up Coacervate‐Based Artificial Cells: Integrating Cellular Hallmarks into Complex Life‐Like Systems</w:t>
      </w:r>
    </w:p>
    <w:p>
      <w:pPr>
        <w:spacing w:before="0" w:after="120"/>
      </w:pPr>
      <w:r>
        <w:rPr>
          <w:b/>
        </w:rPr>
        <w:t xml:space="preserve">Source: </w:t>
      </w:r>
      <w:r>
        <w:t>Wiley: Angewandte Chemie International Edition: Table of Contents</w:t>
      </w:r>
      <w:r>
        <w:t xml:space="preserve">    </w:t>
      </w:r>
      <w:r>
        <w:rPr>
          <w:b/>
        </w:rPr>
        <w:t xml:space="preserve">Pub date: </w:t>
      </w:r>
      <w:r>
        <w:t>2026-04-09 04:24:27+00:00</w:t>
      </w:r>
      <w:r>
        <w:t xml:space="preserve">    </w:t>
      </w:r>
      <w:r>
        <w:rPr>
          <w:b/>
        </w:rPr>
        <w:t xml:space="preserve">DOI: </w:t>
      </w:r>
      <w:hyperlink r:id="rId922">
        <w:r>
          <w:rPr>
            <w:color w:val="1155CC"/>
            <w:u w:val="single"/>
          </w:rPr>
          <w:t>10.1002/anie.202600002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活细胞是构成生命基础的极其复杂的实体。自下而上的人工细胞研究专注于使用合成和天然构建块在类生命的隔间中重建其基本功能和行为，这可以促进我们对基本生物过程的理解，并推动技术和生物医学应用。在这篇综述中，我们重点讨论了自下而上人工细胞研究的最新进展，特别强调了整合多种细胞标志的共聚物基人工细胞系统。我们阐明了通过有组织的隔间化增强结构模拟如何提供对功能的改进控制。然后，我们研究了如何将能量供应与元</w:t>
      </w:r>
    </w:p>
    <w:p>
      <w:pPr>
        <w:spacing w:before="0" w:after="200" w:lineRule="auto" w:line="276"/>
      </w:pPr>
      <w:r>
        <w:rPr>
          <w:b/>
        </w:rPr>
        <w:t xml:space="preserve">Abstract (EN): </w:t>
      </w:r>
      <w:r>
        <w:t>Living cells are remarkably sophisticated entities that form the basis of life. Bottom‐up artificial cell research focuses on reconstructing their essential functions and behaviors in life‐like compartments using synthetic and natural building blocks, which can advance our understanding of fundamental biological processes and drive technological and biomedical applications. In this review, we focus our discussion on recent developments in bottom‐up artificial cell research with a particular emphasis on coacervate‐based artificial cell systems that integrate multiple cellular hallmarks. We delineate how enhanced structural mimicry through organized compartmentalization affords improved control over function. We then examine how energy supply can be coupled to metabolic processes, growth, and adaptive responses in artificial cells. We also survey emerging systems that enable artificial cells to communicate with other artificial and living cells through responsive signaling and functional interactions. Finally, we present our vision on the opportunities and directions for artificial cell research moving forward.</w:t>
      </w:r>
    </w:p>
    <w:p>
      <w:pPr>
        <w:spacing w:before="120" w:after="120"/>
      </w:pPr>
      <w:r>
        <w:rPr>
          <w:sz w:val="18"/>
        </w:rPr>
        <w:t>——————————————————————————————————————————————————————————————————————</w:t>
      </w:r>
    </w:p>
    <w:p>
      <w:pPr>
        <w:spacing w:before="160" w:after="40" w:line="240" w:lineRule="auto"/>
      </w:pPr>
      <w:r>
        <w:rPr>
          <w:b/>
        </w:rPr>
        <w:t xml:space="preserve">[404] </w:t>
      </w:r>
      <w:hyperlink r:id="rId923">
        <w:r>
          <w:rPr>
            <w:color w:val="1155CC"/>
            <w:u w:val="single"/>
          </w:rPr>
          <w:t>声激活的人工钒酶系统用于高效和可再生的活性氧纳米生物催化疗法</w:t>
        </w:r>
      </w:hyperlink>
    </w:p>
    <w:p>
      <w:pPr>
        <w:spacing w:before="0" w:after="80"/>
      </w:pPr>
      <w:r>
        <w:rPr>
          <w:i/>
          <w:sz w:val="20"/>
        </w:rPr>
        <w:t>EN: Sono‐Activated Artificial Vanadium Enzyme System for Efficient and Renewable Reactive Oxygen Nanobiocatalytic Therapies</w:t>
      </w:r>
    </w:p>
    <w:p>
      <w:pPr>
        <w:spacing w:before="0" w:after="120"/>
      </w:pPr>
      <w:r>
        <w:rPr>
          <w:b/>
        </w:rPr>
        <w:t xml:space="preserve">Source: </w:t>
      </w:r>
      <w:r>
        <w:t>Wiley: Advanced Materials: Table of Contents</w:t>
      </w:r>
      <w:r>
        <w:t xml:space="preserve">    </w:t>
      </w:r>
      <w:r>
        <w:rPr>
          <w:b/>
        </w:rPr>
        <w:t xml:space="preserve">Pub date: </w:t>
      </w:r>
      <w:r>
        <w:t>2026-04-09 04:28:24+00:00</w:t>
      </w:r>
      <w:r>
        <w:t xml:space="preserve">    </w:t>
      </w:r>
      <w:r>
        <w:rPr>
          <w:b/>
        </w:rPr>
        <w:t xml:space="preserve">DOI: </w:t>
      </w:r>
      <w:hyperlink r:id="rId924">
        <w:r>
          <w:rPr>
            <w:color w:val="1155CC"/>
            <w:u w:val="single"/>
          </w:rPr>
          <w:t>10.1002/adma.73022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人工酶通过生物催化生成活性氧（ROS）提供了一种治疗多种疾病（包括病原体感染和恶性肿瘤）的有前途的策略。然而，缓慢的 ROS 生物催化效率和不稳定的活性位点阻碍了其潜在的临床转化。在此，受天然钒卤过氧化物酶和 NADPH 氧化酶基 ROS 催化系统的启发，我们报告了一种新设计的声激活人工钒酶 (Vx+‐SonoAE)，用于高效和可再生的 ROS 纳米生物催化疗法。通过模拟天然酶中的电子传输链和活性 VO4 中心，我们的创新生物</w:t>
      </w:r>
    </w:p>
    <w:p>
      <w:pPr>
        <w:spacing w:before="0" w:after="200" w:lineRule="auto" w:line="276"/>
      </w:pPr>
      <w:r>
        <w:rPr>
          <w:b/>
        </w:rPr>
        <w:t xml:space="preserve">Abstract (EN): </w:t>
      </w:r>
      <w:r>
        <w:t>Biocatalytic generation of reactive oxygen species (ROS) by artificial enzymes offers a promising strategy for treating diverse diseases, including pathogenic infections and malignancies. However, the sluggish ROS biocatalytic efficiency and unstable active sites have hindered their potential clinical translation. Here, inspired by natural vanadium haloperoxidases and NADPH oxidase‐based ROS‐catalytic systems, we report the de novo design of a sono‐activated artificial vanadium enzyme (V</w:t>
      </w:r>
      <w:r>
        <w:t xml:space="preserve"> </w:t>
      </w:r>
      <w:r>
        <w:t>x+</w:t>
      </w:r>
      <w:r>
        <w:t xml:space="preserve"> </w:t>
      </w:r>
      <w:r>
        <w:t>‐SonoAE) for efficient and renewable ROS nanobiocatalytic therapies. By mimicking the electron transport chains and active VO</w:t>
      </w:r>
      <w:r>
        <w:rPr>
          <w:vertAlign w:val="subscript"/>
        </w:rPr>
        <w:t>4</w:t>
      </w:r>
      <w:r>
        <w:t>centers in natural enzymes, our innovative bionic approach not only yields efficient, robust, and precise vanadium active sites on TiO</w:t>
      </w:r>
      <w:r>
        <w:rPr>
          <w:vertAlign w:val="subscript"/>
        </w:rPr>
        <w:t>2</w:t>
      </w:r>
      <w:r>
        <w:t>but also enables continuous regeneration of redox centers during ROS biocatalysis via efficient electron transfer from sono‐activated TiO</w:t>
      </w:r>
      <w:r>
        <w:rPr>
          <w:vertAlign w:val="subscript"/>
        </w:rPr>
        <w:t>2</w:t>
      </w:r>
      <w:r>
        <w:t>to the V</w:t>
      </w:r>
      <w:r>
        <w:t xml:space="preserve"> </w:t>
      </w:r>
      <w:r>
        <w:t>x+</w:t>
      </w:r>
      <w:r>
        <w:t xml:space="preserve"> </w:t>
      </w:r>
      <w:r>
        <w:t>site. Consequently, the V</w:t>
      </w:r>
      <w:r>
        <w:t xml:space="preserve"> </w:t>
      </w:r>
      <w:r>
        <w:t>x+</w:t>
      </w:r>
      <w:r>
        <w:t xml:space="preserve"> </w:t>
      </w:r>
      <w:r>
        <w:t>‐SonoAE achieves remarkable ROS‐catalytic performance with a superior turnover number (TON = 54 × 10</w:t>
      </w:r>
      <w:r>
        <w:t xml:space="preserve"> </w:t>
      </w:r>
      <w:r>
        <w:t>−3</w:t>
      </w:r>
      <w:r>
        <w:t xml:space="preserve"> </w:t>
      </w:r>
      <w:r>
        <w:t>s</w:t>
      </w:r>
      <w:r>
        <w:t xml:space="preserve"> </w:t>
      </w:r>
      <w:r>
        <w:t>−1</w:t>
      </w:r>
      <w:r>
        <w:t xml:space="preserve"> </w:t>
      </w:r>
      <w:r>
        <w:t>) that far surpasses the reported state‐of‐the‐art metal oxides‐based nanobiocatalysts. Moreover, this new artificial enzyme system demonstrates exceptional therapeutic efficiency in infection control and tumor regression with sustained and sono‐activated treatment properties. This work establishes a new paradigm for designing efficient and renewable nanobiocatalysts, combining fundamental insights from natural enzymatic systems with advanced materials engineering to create robust therapeutic platforms with long‐term efficacy.</w:t>
      </w:r>
    </w:p>
    <w:p>
      <w:pPr>
        <w:spacing w:before="120" w:after="120"/>
      </w:pPr>
      <w:r>
        <w:rPr>
          <w:sz w:val="18"/>
        </w:rPr>
        <w:t>——————————————————————————————————————————————————————————————————————</w:t>
      </w:r>
    </w:p>
    <w:p>
      <w:pPr>
        <w:spacing w:before="160" w:after="40" w:line="240" w:lineRule="auto"/>
      </w:pPr>
      <w:r>
        <w:rPr>
          <w:b/>
        </w:rPr>
        <w:t xml:space="preserve">[405] </w:t>
      </w:r>
      <w:hyperlink r:id="rId925">
        <w:r>
          <w:rPr>
            <w:color w:val="1155CC"/>
            <w:u w:val="single"/>
          </w:rPr>
          <w:t>生物可能性的范围扩大</w:t>
        </w:r>
      </w:hyperlink>
    </w:p>
    <w:p>
      <w:pPr>
        <w:spacing w:before="0" w:after="80"/>
      </w:pPr>
      <w:r>
        <w:rPr>
          <w:i/>
          <w:sz w:val="20"/>
        </w:rPr>
        <w:t>EN: The scope of biological possibility expands</w:t>
      </w:r>
    </w:p>
    <w:p>
      <w:pPr>
        <w:spacing w:before="0" w:after="120"/>
      </w:pPr>
      <w:r>
        <w:rPr>
          <w:b/>
        </w:rPr>
        <w:t xml:space="preserve">Source: </w:t>
      </w:r>
      <w:r>
        <w:t>AAAS: Science: Table of Contents</w:t>
      </w:r>
      <w:r>
        <w:t xml:space="preserve">    </w:t>
      </w:r>
      <w:r>
        <w:rPr>
          <w:b/>
        </w:rPr>
        <w:t xml:space="preserve">Pub date: </w:t>
      </w:r>
      <w:r>
        <w:t>2026-04-09 06:00:02+00:00</w:t>
      </w:r>
      <w:r>
        <w:t xml:space="preserve">    </w:t>
      </w:r>
      <w:r>
        <w:rPr>
          <w:b/>
        </w:rPr>
        <w:t xml:space="preserve">DOI: </w:t>
      </w:r>
      <w:hyperlink r:id="rId926">
        <w:r>
          <w:rPr>
            <w:color w:val="1155CC"/>
            <w:u w:val="single"/>
          </w:rPr>
          <w:t>10.1126/science.aee7892</w:t>
        </w:r>
      </w:hyperlink>
    </w:p>
    <w:p>
      <w:pPr>
        <w:spacing w:before="0" w:after="120"/>
      </w:pPr>
      <w:r>
        <w:rPr>
          <w:b/>
        </w:rPr>
        <w:t xml:space="preserve">Notes: </w:t>
      </w:r>
      <w:r>
        <w:t>abstract_source=crossref</w:t>
      </w:r>
    </w:p>
    <w:p>
      <w:pPr>
        <w:spacing w:before="0" w:after="80" w:lineRule="auto" w:line="276"/>
      </w:pPr>
      <w:r>
        <w:rPr>
          <w:b/>
        </w:rPr>
        <w:t xml:space="preserve">摘要（ZH）: </w:t>
      </w:r>
      <w:r>
        <w:t>合成生物学家展望未来，探讨“人工生物智能”的承诺与风险</w:t>
      </w:r>
    </w:p>
    <w:p>
      <w:pPr>
        <w:spacing w:before="0" w:after="200" w:lineRule="auto" w:line="276"/>
      </w:pPr>
      <w:r>
        <w:rPr>
          <w:b/>
        </w:rPr>
        <w:t xml:space="preserve">Abstract (EN): </w:t>
      </w:r>
      <w:r>
        <w:t>A synthetic biologist looks to the future, probing the promise and peril of “artificial biological intelligence”</w:t>
      </w:r>
    </w:p>
    <w:p>
      <w:pPr>
        <w:spacing w:before="120" w:after="120"/>
      </w:pPr>
      <w:r>
        <w:rPr>
          <w:sz w:val="18"/>
        </w:rPr>
        <w:t>——————————————————————————————————————————————————————————————————————</w:t>
      </w:r>
    </w:p>
    <w:p>
      <w:pPr>
        <w:spacing w:before="160" w:after="40" w:line="240" w:lineRule="auto"/>
      </w:pPr>
      <w:r>
        <w:rPr>
          <w:b/>
        </w:rPr>
        <w:t xml:space="preserve">[406] </w:t>
      </w:r>
      <w:hyperlink r:id="rId927">
        <w:r>
          <w:rPr>
            <w:color w:val="1155CC"/>
            <w:u w:val="single"/>
          </w:rPr>
          <w:t>地球与生命的微妙共舞</w:t>
        </w:r>
      </w:hyperlink>
    </w:p>
    <w:p>
      <w:pPr>
        <w:spacing w:before="0" w:after="80"/>
      </w:pPr>
      <w:r>
        <w:rPr>
          <w:i/>
          <w:sz w:val="20"/>
        </w:rPr>
        <w:t>EN: The delicate dance of Earth and life</w:t>
      </w:r>
    </w:p>
    <w:p>
      <w:pPr>
        <w:spacing w:before="0" w:after="120"/>
      </w:pPr>
      <w:r>
        <w:rPr>
          <w:b/>
        </w:rPr>
        <w:t xml:space="preserve">Source: </w:t>
      </w:r>
      <w:r>
        <w:t>AAAS: Science: Table of Contents</w:t>
      </w:r>
      <w:r>
        <w:t xml:space="preserve">    </w:t>
      </w:r>
      <w:r>
        <w:rPr>
          <w:b/>
        </w:rPr>
        <w:t xml:space="preserve">Pub date: </w:t>
      </w:r>
      <w:r>
        <w:t>2026-04-09 06:00:02+00:00</w:t>
      </w:r>
      <w:r>
        <w:t xml:space="preserve">    </w:t>
      </w:r>
      <w:r>
        <w:rPr>
          <w:b/>
        </w:rPr>
        <w:t xml:space="preserve">DOI: </w:t>
      </w:r>
      <w:hyperlink r:id="rId928">
        <w:r>
          <w:rPr>
            <w:color w:val="1155CC"/>
            <w:u w:val="single"/>
          </w:rPr>
          <w:t>10.1126/science.aef2907</w:t>
        </w:r>
      </w:hyperlink>
    </w:p>
    <w:p>
      <w:pPr>
        <w:spacing w:before="0" w:after="120"/>
      </w:pPr>
      <w:r>
        <w:rPr>
          <w:b/>
        </w:rPr>
        <w:t xml:space="preserve">Notes: </w:t>
      </w:r>
      <w:r>
        <w:t>abstract_source=crossref</w:t>
      </w:r>
    </w:p>
    <w:p>
      <w:pPr>
        <w:spacing w:before="0" w:after="80" w:lineRule="auto" w:line="276"/>
      </w:pPr>
      <w:r>
        <w:rPr>
          <w:b/>
        </w:rPr>
        <w:t xml:space="preserve">摘要（ZH）: </w:t>
      </w:r>
      <w:r>
        <w:t>我们存在的很大一部分归功于地球的稀有特征</w:t>
      </w:r>
    </w:p>
    <w:p>
      <w:pPr>
        <w:spacing w:before="0" w:after="200" w:lineRule="auto" w:line="276"/>
      </w:pPr>
      <w:r>
        <w:rPr>
          <w:b/>
        </w:rPr>
        <w:t xml:space="preserve">Abstract (EN): </w:t>
      </w:r>
      <w:r>
        <w:t>We owe much of our existence to our planet’s rare features</w:t>
      </w:r>
    </w:p>
    <w:p>
      <w:pPr>
        <w:spacing w:before="120" w:after="120"/>
      </w:pPr>
      <w:r>
        <w:rPr>
          <w:sz w:val="18"/>
        </w:rPr>
        <w:t>——————————————————————————————————————————————————————————————————————</w:t>
      </w:r>
    </w:p>
    <w:p>
      <w:pPr>
        <w:spacing w:before="160" w:after="40" w:line="240" w:lineRule="auto"/>
      </w:pPr>
      <w:r>
        <w:rPr>
          <w:b/>
        </w:rPr>
        <w:t xml:space="preserve">[407] </w:t>
      </w:r>
      <w:hyperlink r:id="rId929">
        <w:r>
          <w:rPr>
            <w:color w:val="1155CC"/>
            <w:u w:val="single"/>
          </w:rPr>
          <w:t>诊断投资与疾病负担</w:t>
        </w:r>
      </w:hyperlink>
    </w:p>
    <w:p>
      <w:pPr>
        <w:spacing w:before="0" w:after="80"/>
      </w:pPr>
      <w:r>
        <w:rPr>
          <w:i/>
          <w:sz w:val="20"/>
        </w:rPr>
        <w:t>EN: Diagnostics investments and disease burden</w:t>
      </w:r>
    </w:p>
    <w:p>
      <w:pPr>
        <w:spacing w:before="0" w:after="120"/>
      </w:pPr>
      <w:r>
        <w:rPr>
          <w:b/>
        </w:rPr>
        <w:t xml:space="preserve">Source: </w:t>
      </w:r>
      <w:r>
        <w:t>AAAS: Science: Table of Contents</w:t>
      </w:r>
      <w:r>
        <w:t xml:space="preserve">    </w:t>
      </w:r>
      <w:r>
        <w:rPr>
          <w:b/>
        </w:rPr>
        <w:t xml:space="preserve">Pub date: </w:t>
      </w:r>
      <w:r>
        <w:t>2026-04-09 06:00:02+00:00</w:t>
      </w:r>
      <w:r>
        <w:t xml:space="preserve">    </w:t>
      </w:r>
      <w:r>
        <w:rPr>
          <w:b/>
        </w:rPr>
        <w:t xml:space="preserve">DOI: </w:t>
      </w:r>
      <w:hyperlink r:id="rId930">
        <w:r>
          <w:rPr>
            <w:color w:val="1155CC"/>
            <w:u w:val="single"/>
          </w:rPr>
          <w:t>10.1126/science.aec0173</w:t>
        </w:r>
      </w:hyperlink>
    </w:p>
    <w:p>
      <w:pPr>
        <w:spacing w:before="0" w:after="120"/>
      </w:pPr>
      <w:r>
        <w:rPr>
          <w:b/>
        </w:rPr>
        <w:t xml:space="preserve">Notes: </w:t>
      </w:r>
      <w:r>
        <w:t>abstract_source=crossref</w:t>
      </w:r>
    </w:p>
    <w:p>
      <w:pPr>
        <w:spacing w:before="0" w:after="80" w:lineRule="auto" w:line="276"/>
      </w:pPr>
      <w:r>
        <w:rPr>
          <w:b/>
        </w:rPr>
        <w:t xml:space="preserve">摘要（ZH）: </w:t>
      </w:r>
      <w:r>
        <w:t>监管和支付政策可以促进对诊断的投资和创新</w:t>
      </w:r>
    </w:p>
    <w:p>
      <w:pPr>
        <w:spacing w:before="0" w:after="200" w:lineRule="auto" w:line="276"/>
      </w:pPr>
      <w:r>
        <w:rPr>
          <w:b/>
        </w:rPr>
        <w:t xml:space="preserve">Abstract (EN): </w:t>
      </w:r>
      <w:r>
        <w:t>Regulatory and payment policies could facilitate investment and innovation in diagnostics</w:t>
      </w:r>
    </w:p>
    <w:p>
      <w:pPr>
        <w:spacing w:before="120" w:after="120"/>
      </w:pPr>
      <w:r>
        <w:rPr>
          <w:sz w:val="18"/>
        </w:rPr>
        <w:t>——————————————————————————————————————————————————————————————————————</w:t>
      </w:r>
    </w:p>
    <w:p>
      <w:pPr>
        <w:spacing w:before="160" w:after="40" w:line="240" w:lineRule="auto"/>
      </w:pPr>
      <w:r>
        <w:rPr>
          <w:b/>
        </w:rPr>
        <w:t xml:space="preserve">[408] </w:t>
      </w:r>
      <w:hyperlink r:id="rId931">
        <w:r>
          <w:rPr>
            <w:color w:val="1155CC"/>
            <w:u w:val="single"/>
          </w:rPr>
          <w:t>对不当行为需要更多透明度</w:t>
        </w:r>
      </w:hyperlink>
    </w:p>
    <w:p>
      <w:pPr>
        <w:spacing w:before="0" w:after="80"/>
      </w:pPr>
      <w:r>
        <w:rPr>
          <w:i/>
          <w:sz w:val="20"/>
        </w:rPr>
        <w:t>EN: More transparency needed on misconduct</w:t>
      </w:r>
    </w:p>
    <w:p>
      <w:pPr>
        <w:spacing w:before="0" w:after="120"/>
      </w:pPr>
      <w:r>
        <w:rPr>
          <w:b/>
        </w:rPr>
        <w:t xml:space="preserve">Source: </w:t>
      </w:r>
      <w:r>
        <w:t>AAAS: Science: Table of Contents</w:t>
      </w:r>
      <w:r>
        <w:t xml:space="preserve">    </w:t>
      </w:r>
      <w:r>
        <w:rPr>
          <w:b/>
        </w:rPr>
        <w:t xml:space="preserve">Pub date: </w:t>
      </w:r>
      <w:r>
        <w:t>2026-04-09 06:00:02+00:00</w:t>
      </w:r>
      <w:r>
        <w:t xml:space="preserve">    </w:t>
      </w:r>
      <w:r>
        <w:rPr>
          <w:b/>
        </w:rPr>
        <w:t xml:space="preserve">DOI: </w:t>
      </w:r>
      <w:hyperlink r:id="rId932">
        <w:r>
          <w:rPr>
            <w:color w:val="1155CC"/>
            <w:u w:val="single"/>
          </w:rPr>
          <w:t>10.1126/science.aeh7187</w:t>
        </w:r>
      </w:hyperlink>
    </w:p>
    <w:p>
      <w:pPr>
        <w:spacing w:before="0" w:after="120"/>
      </w:pPr>
      <w:r>
        <w:rPr>
          <w:b/>
        </w:rPr>
        <w:t xml:space="preserve">Notes: </w:t>
      </w:r>
      <w:r>
        <w:t>abstract_source=crossref</w:t>
      </w:r>
    </w:p>
    <w:p>
      <w:pPr>
        <w:spacing w:before="0" w:after="80" w:lineRule="auto" w:line="276"/>
      </w:pPr>
      <w:r>
        <w:rPr>
          <w:b/>
        </w:rPr>
        <w:t xml:space="preserve">摘要（ZH）: </w:t>
      </w:r>
      <w:r>
        <w:t>不当行为的实例激起了公众对科学事业的不信任。在美国，减少科学中不当专业行为的努力包括加强机构问责制。然而，常常被忽视的时刻是学术机构因新聘员工被发现有不良历史而陷入不稳定局面的情况。违规的科学家可能在科学或专业不当行为调查期间或之后悄然从前雇主处辞职。不用说，候选人没有与潜在的新雇主分享这些信息。当新聘人员重复不良行为时，问题变得更加严重，无论是研究不当行为（捏造、篡改或剽窃）还是</w:t>
      </w:r>
    </w:p>
    <w:p>
      <w:pPr>
        <w:spacing w:before="0" w:after="200" w:lineRule="auto" w:line="276"/>
      </w:pPr>
      <w:r>
        <w:rPr>
          <w:b/>
        </w:rPr>
        <w:t xml:space="preserve">Abstract (EN): </w:t>
      </w:r>
      <w:r>
        <w:t>Instances of misconduct stoke public mistrust in the scientific enterprise. Efforts in the United States to decrease inappropriate professional behavior in science have included enhancing institutional accountability. Yet, the moments often missed are those in which academic institutions land in precarious situations because newly hired staff are discovered to have a checkered history. The offending scientist might have quietly resigned from a previous employer during or immediately after a scientific or professional misconduct investigation. Needless to say, the candidate did not share that information with a potential new employer. Things become even more problematic when the new hire repeats bad behaviors, whether it’s research misconduct (fabrication, falsification, or plagiarism) or actions that deviate from professional standards (sexual harassment, bullying, or racist behavior, for example). Creating more awareness of misconduct involving such individuals could go a long way toward rebuilding the scientific community’s credibility.</w:t>
      </w:r>
    </w:p>
    <w:p>
      <w:pPr>
        <w:spacing w:before="120" w:after="120"/>
      </w:pPr>
      <w:r>
        <w:rPr>
          <w:sz w:val="18"/>
        </w:rPr>
        <w:t>——————————————————————————————————————————————————————————————————————</w:t>
      </w:r>
    </w:p>
    <w:p>
      <w:pPr>
        <w:spacing w:before="160" w:after="40" w:line="240" w:lineRule="auto"/>
      </w:pPr>
      <w:r>
        <w:rPr>
          <w:b/>
        </w:rPr>
        <w:t xml:space="preserve">[409] </w:t>
      </w:r>
      <w:hyperlink r:id="rId933">
        <w:r>
          <w:rPr>
            <w:color w:val="1155CC"/>
            <w:u w:val="single"/>
          </w:rPr>
          <w:t>野生动物贸易推动了40年来动物到人类的病原体传播</w:t>
        </w:r>
      </w:hyperlink>
    </w:p>
    <w:p>
      <w:pPr>
        <w:spacing w:before="0" w:after="80"/>
      </w:pPr>
      <w:r>
        <w:rPr>
          <w:i/>
          <w:sz w:val="20"/>
        </w:rPr>
        <w:t>EN: Wildlife trade drives animal-to-human pathogen transmission over 40 years</w:t>
      </w:r>
    </w:p>
    <w:p>
      <w:pPr>
        <w:spacing w:before="0" w:after="120"/>
      </w:pPr>
      <w:r>
        <w:rPr>
          <w:b/>
        </w:rPr>
        <w:t xml:space="preserve">Source: </w:t>
      </w:r>
      <w:r>
        <w:t>AAAS: Science: Table of Contents</w:t>
      </w:r>
      <w:r>
        <w:t xml:space="preserve">    </w:t>
      </w:r>
      <w:r>
        <w:rPr>
          <w:b/>
        </w:rPr>
        <w:t xml:space="preserve">Pub date: </w:t>
      </w:r>
      <w:r>
        <w:t>2026-04-09 06:00:02+00:00</w:t>
      </w:r>
      <w:r>
        <w:t xml:space="preserve">    </w:t>
      </w:r>
      <w:r>
        <w:rPr>
          <w:b/>
        </w:rPr>
        <w:t xml:space="preserve">DOI: </w:t>
      </w:r>
      <w:hyperlink r:id="rId934">
        <w:r>
          <w:rPr>
            <w:color w:val="1155CC"/>
            <w:u w:val="single"/>
          </w:rPr>
          <w:t>10.1126/science.adw5518</w:t>
        </w:r>
      </w:hyperlink>
    </w:p>
    <w:p>
      <w:pPr>
        <w:spacing w:before="0" w:after="120"/>
      </w:pPr>
      <w:r>
        <w:rPr>
          <w:b/>
        </w:rPr>
        <w:t xml:space="preserve">Notes: </w:t>
      </w:r>
      <w:r>
        <w:t>abstract_source=crossref</w:t>
      </w:r>
    </w:p>
    <w:p>
      <w:pPr>
        <w:spacing w:before="0" w:after="80" w:lineRule="auto" w:line="276"/>
      </w:pPr>
      <w:r>
        <w:rPr>
          <w:b/>
        </w:rPr>
        <w:t xml:space="preserve">摘要（ZH）: </w:t>
      </w:r>
      <w:r>
        <w:t>野生动物贸易影响了四分之一的陆生脊椎动物，并为跨物种病原体传播创造了机会，但其在塑造动物-人类病原体交换中的确切作用仍不清楚。在我们对40年全球野生动物贸易数据的分析中，我们发现被交易的哺乳动物与人类共享病原体的可能性是未交易哺乳动物的1.5倍，并且非法和活体动物贸易进一步加剧了病原体共享。贸易时间可以预测野生动物物种所携带的人畜共患病原体的数量。平均而言，每种物种每交易10年就会与人类共享一个额外的病原体。</w:t>
      </w:r>
    </w:p>
    <w:p>
      <w:pPr>
        <w:spacing w:before="0" w:after="200" w:lineRule="auto" w:line="276"/>
      </w:pPr>
      <w:r>
        <w:rPr>
          <w:b/>
        </w:rPr>
        <w:t xml:space="preserve">Abstract (EN): </w:t>
      </w:r>
      <w:r>
        <w:t>The wildlife trade affects a quarter of terrestrial vertebrates and creates opportunities for cross-species pathogen transmission, but its precise role in shaping animal-human pathogen exchange remains unclear. In our analysis of 40 years of global wildlife trade data, we show that traded mammals are 1.5-fold as likely to share pathogens with humans as nontraded mammals, and that illegal and live-animal trade further exacerbate pathogen sharing. Time spent in trade predicts the number of zoonotic pathogens that a wildlife species hosts. On average, a species shares an additional pathogen with humans for every 10 years it is traded.</w:t>
      </w:r>
    </w:p>
    <w:p>
      <w:pPr>
        <w:spacing w:before="120" w:after="120"/>
      </w:pPr>
      <w:r>
        <w:rPr>
          <w:sz w:val="18"/>
        </w:rPr>
        <w:t>——————————————————————————————————————————————————————————————————————</w:t>
      </w:r>
    </w:p>
    <w:p>
      <w:pPr>
        <w:spacing w:before="160" w:after="40" w:line="240" w:lineRule="auto"/>
      </w:pPr>
      <w:r>
        <w:rPr>
          <w:b/>
        </w:rPr>
        <w:t xml:space="preserve">[410] </w:t>
      </w:r>
      <w:hyperlink r:id="rId935">
        <w:r>
          <w:rPr>
            <w:color w:val="1155CC"/>
            <w:u w:val="single"/>
          </w:rPr>
          <w:t>亚马逊基础设施构成生物安全风险</w:t>
        </w:r>
      </w:hyperlink>
    </w:p>
    <w:p>
      <w:pPr>
        <w:spacing w:before="0" w:after="80"/>
      </w:pPr>
      <w:r>
        <w:rPr>
          <w:i/>
          <w:sz w:val="20"/>
        </w:rPr>
        <w:t>EN: Amazon infrastructure poses biosecurity risks</w:t>
      </w:r>
    </w:p>
    <w:p>
      <w:pPr>
        <w:spacing w:before="0" w:after="120"/>
      </w:pPr>
      <w:r>
        <w:rPr>
          <w:b/>
        </w:rPr>
        <w:t xml:space="preserve">Source: </w:t>
      </w:r>
      <w:r>
        <w:t>AAAS: Science: Table of Contents</w:t>
      </w:r>
      <w:r>
        <w:t xml:space="preserve">    </w:t>
      </w:r>
      <w:r>
        <w:rPr>
          <w:b/>
        </w:rPr>
        <w:t xml:space="preserve">Pub date: </w:t>
      </w:r>
      <w:r>
        <w:t>2026-04-09 06:00:02+00:00</w:t>
      </w:r>
      <w:r>
        <w:t xml:space="preserve">    </w:t>
      </w:r>
      <w:r>
        <w:rPr>
          <w:b/>
        </w:rPr>
        <w:t xml:space="preserve">DOI: </w:t>
      </w:r>
      <w:hyperlink r:id="rId936">
        <w:r>
          <w:rPr>
            <w:color w:val="1155CC"/>
            <w:u w:val="single"/>
          </w:rPr>
          <w:t>10.1126/science.aeg1212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[411] </w:t>
      </w:r>
      <w:hyperlink r:id="rId937">
        <w:r>
          <w:rPr>
            <w:color w:val="1155CC"/>
            <w:u w:val="single"/>
          </w:rPr>
          <w:t>糟糕的人群</w:t>
        </w:r>
      </w:hyperlink>
    </w:p>
    <w:p>
      <w:pPr>
        <w:spacing w:before="0" w:after="80"/>
      </w:pPr>
      <w:r>
        <w:rPr>
          <w:i/>
          <w:sz w:val="20"/>
        </w:rPr>
        <w:t>EN: A bad crowd</w:t>
      </w:r>
    </w:p>
    <w:p>
      <w:pPr>
        <w:spacing w:before="0" w:after="120"/>
      </w:pPr>
      <w:r>
        <w:rPr>
          <w:b/>
        </w:rPr>
        <w:t xml:space="preserve">Source: </w:t>
      </w:r>
      <w:r>
        <w:t>AAAS: Science: Table of Contents</w:t>
      </w:r>
      <w:r>
        <w:t xml:space="preserve">    </w:t>
      </w:r>
      <w:r>
        <w:rPr>
          <w:b/>
        </w:rPr>
        <w:t xml:space="preserve">Pub date: </w:t>
      </w:r>
      <w:r>
        <w:t>2026-04-09 06:00:02+00:00</w:t>
      </w:r>
      <w:r>
        <w:t xml:space="preserve">    </w:t>
      </w:r>
      <w:r>
        <w:rPr>
          <w:b/>
        </w:rPr>
        <w:t xml:space="preserve">DOI: </w:t>
      </w:r>
      <w:hyperlink r:id="rId938">
        <w:r>
          <w:rPr>
            <w:color w:val="1155CC"/>
            <w:u w:val="single"/>
          </w:rPr>
          <w:t>10.1126/science.aeh8592</w:t>
        </w:r>
      </w:hyperlink>
    </w:p>
    <w:p>
      <w:pPr>
        <w:spacing w:before="0" w:after="120"/>
      </w:pPr>
      <w:r>
        <w:rPr>
          <w:b/>
        </w:rPr>
        <w:t xml:space="preserve">Notes: </w:t>
      </w:r>
      <w:r>
        <w:t>abstract_source=crossref</w:t>
      </w:r>
    </w:p>
    <w:p>
      <w:pPr>
        <w:spacing w:before="0" w:after="80" w:lineRule="auto" w:line="276"/>
      </w:pPr>
      <w:r>
        <w:rPr>
          <w:b/>
        </w:rPr>
        <w:t xml:space="preserve">摘要（ZH）: </w:t>
      </w:r>
      <w:r>
        <w:t>肿瘤细胞常与其他细胞成簇转移，为治疗提供了新的靶点</w:t>
      </w:r>
    </w:p>
    <w:p>
      <w:pPr>
        <w:spacing w:before="0" w:after="200" w:lineRule="auto" w:line="276"/>
      </w:pPr>
      <w:r>
        <w:rPr>
          <w:b/>
        </w:rPr>
        <w:t xml:space="preserve">Abstract (EN): </w:t>
      </w:r>
      <w:r>
        <w:t>Tumor cells often metastasize in clusters with other cells, offering novel targets for treatments</w:t>
      </w:r>
    </w:p>
    <w:p>
      <w:pPr>
        <w:spacing w:before="120" w:after="120"/>
      </w:pPr>
      <w:r>
        <w:rPr>
          <w:sz w:val="18"/>
        </w:rPr>
        <w:t>——————————————————————————————————————————————————————————————————————</w:t>
      </w:r>
    </w:p>
    <w:p>
      <w:pPr>
        <w:spacing w:before="160" w:after="40" w:line="240" w:lineRule="auto"/>
      </w:pPr>
      <w:r>
        <w:rPr>
          <w:b/>
        </w:rPr>
        <w:t xml:space="preserve">[412] </w:t>
      </w:r>
      <w:hyperlink r:id="rId939">
        <w:r>
          <w:rPr>
            <w:color w:val="1155CC"/>
            <w:u w:val="single"/>
          </w:rPr>
          <w:t>杀虫剂可能对肠道微生物群造成严重破坏</w:t>
        </w:r>
      </w:hyperlink>
    </w:p>
    <w:p>
      <w:pPr>
        <w:spacing w:before="0" w:after="80"/>
      </w:pPr>
      <w:r>
        <w:rPr>
          <w:i/>
          <w:sz w:val="20"/>
        </w:rPr>
        <w:t>EN: Pesticides may wreak havoc on the gut microbiome</w:t>
      </w:r>
    </w:p>
    <w:p>
      <w:pPr>
        <w:spacing w:before="0" w:after="120"/>
      </w:pPr>
      <w:r>
        <w:rPr>
          <w:b/>
        </w:rPr>
        <w:t xml:space="preserve">Source: </w:t>
      </w:r>
      <w:r>
        <w:t>AAAS: Science: Table of Contents</w:t>
      </w:r>
      <w:r>
        <w:t xml:space="preserve">    </w:t>
      </w:r>
      <w:r>
        <w:rPr>
          <w:b/>
        </w:rPr>
        <w:t xml:space="preserve">Pub date: </w:t>
      </w:r>
      <w:r>
        <w:t>2026-04-09 06:00:02+00:00</w:t>
      </w:r>
      <w:r>
        <w:t xml:space="preserve">    </w:t>
      </w:r>
      <w:r>
        <w:rPr>
          <w:b/>
        </w:rPr>
        <w:t xml:space="preserve">DOI: </w:t>
      </w:r>
      <w:hyperlink r:id="rId940">
        <w:r>
          <w:rPr>
            <w:color w:val="1155CC"/>
            <w:u w:val="single"/>
          </w:rPr>
          <w:t>10.1126/science.aeh8589</w:t>
        </w:r>
      </w:hyperlink>
    </w:p>
    <w:p>
      <w:pPr>
        <w:spacing w:before="0" w:after="120"/>
      </w:pPr>
      <w:r>
        <w:rPr>
          <w:b/>
        </w:rPr>
        <w:t xml:space="preserve">Notes: </w:t>
      </w:r>
      <w:r>
        <w:t>abstract_source=crossref</w:t>
      </w:r>
    </w:p>
    <w:p>
      <w:pPr>
        <w:spacing w:before="0" w:after="80" w:lineRule="auto" w:line="276"/>
      </w:pPr>
      <w:r>
        <w:rPr>
          <w:b/>
        </w:rPr>
        <w:t xml:space="preserve">摘要（ZH）: </w:t>
      </w:r>
      <w:r>
        <w:t>科学家表示，复杂的肠道生态系统的破坏可能导致糖尿病和其他健康问题</w:t>
      </w:r>
    </w:p>
    <w:p>
      <w:pPr>
        <w:spacing w:before="0" w:after="200" w:lineRule="auto" w:line="276"/>
      </w:pPr>
      <w:r>
        <w:rPr>
          <w:b/>
        </w:rPr>
        <w:t xml:space="preserve">Abstract (EN): </w:t>
      </w:r>
      <w:r>
        <w:t>Disruption of complex intestinal ecosystem could contribute to diabetes and other health issues, scientists say</w:t>
      </w:r>
    </w:p>
    <w:p>
      <w:pPr>
        <w:spacing w:before="120" w:after="120"/>
      </w:pPr>
      <w:r>
        <w:rPr>
          <w:sz w:val="18"/>
        </w:rPr>
        <w:t>——————————————————————————————————————————————————————————————————————</w:t>
      </w:r>
    </w:p>
    <w:p>
      <w:pPr>
        <w:spacing w:before="160" w:after="40" w:line="240" w:lineRule="auto"/>
      </w:pPr>
      <w:r>
        <w:rPr>
          <w:b/>
        </w:rPr>
        <w:t xml:space="preserve">[413] </w:t>
      </w:r>
      <w:hyperlink r:id="rId941">
        <w:r>
          <w:rPr>
            <w:color w:val="1155CC"/>
            <w:u w:val="single"/>
          </w:rPr>
          <w:t>项目发现，仅靠现金不足以让科学家发现错误</w:t>
        </w:r>
      </w:hyperlink>
    </w:p>
    <w:p>
      <w:pPr>
        <w:spacing w:before="0" w:after="80"/>
      </w:pPr>
      <w:r>
        <w:rPr>
          <w:i/>
          <w:sz w:val="20"/>
        </w:rPr>
        <w:t>EN: Cash isn’t enough to get scientists to spot errors, project finds</w:t>
      </w:r>
    </w:p>
    <w:p>
      <w:pPr>
        <w:spacing w:before="0" w:after="120"/>
      </w:pPr>
      <w:r>
        <w:rPr>
          <w:b/>
        </w:rPr>
        <w:t xml:space="preserve">Source: </w:t>
      </w:r>
      <w:r>
        <w:t>AAAS: Science: Table of Contents</w:t>
      </w:r>
      <w:r>
        <w:t xml:space="preserve">    </w:t>
      </w:r>
      <w:r>
        <w:rPr>
          <w:b/>
        </w:rPr>
        <w:t xml:space="preserve">Pub date: </w:t>
      </w:r>
      <w:r>
        <w:t>2026-04-09 06:00:02+00:00</w:t>
      </w:r>
      <w:r>
        <w:t xml:space="preserve">    </w:t>
      </w:r>
      <w:r>
        <w:rPr>
          <w:b/>
        </w:rPr>
        <w:t xml:space="preserve">DOI: </w:t>
      </w:r>
      <w:hyperlink r:id="rId942">
        <w:r>
          <w:rPr>
            <w:color w:val="1155CC"/>
            <w:u w:val="single"/>
          </w:rPr>
          <w:t>10.1126/science.aeh8588</w:t>
        </w:r>
      </w:hyperlink>
    </w:p>
    <w:p>
      <w:pPr>
        <w:spacing w:before="0" w:after="120"/>
      </w:pPr>
      <w:r>
        <w:rPr>
          <w:b/>
        </w:rPr>
        <w:t xml:space="preserve">Notes: </w:t>
      </w:r>
      <w:r>
        <w:t>abstract_source=crossref</w:t>
      </w:r>
    </w:p>
    <w:p>
      <w:pPr>
        <w:spacing w:before="0" w:after="80" w:lineRule="auto" w:line="276"/>
      </w:pPr>
      <w:r>
        <w:rPr>
          <w:b/>
        </w:rPr>
        <w:t xml:space="preserve">摘要（ZH）: </w:t>
      </w:r>
      <w:r>
        <w:t>现在，ERROR项目承诺提供额外的激励：一篇出版物</w:t>
      </w:r>
    </w:p>
    <w:p>
      <w:pPr>
        <w:spacing w:before="0" w:after="200" w:lineRule="auto" w:line="276"/>
      </w:pPr>
      <w:r>
        <w:rPr>
          <w:b/>
        </w:rPr>
        <w:t xml:space="preserve">Abstract (EN): </w:t>
      </w:r>
      <w:r>
        <w:t>Now the ERROR project is promising an additional incentive: a publication</w:t>
      </w:r>
    </w:p>
    <w:p>
      <w:pPr>
        <w:spacing w:before="120" w:after="120"/>
      </w:pPr>
      <w:r>
        <w:rPr>
          <w:sz w:val="18"/>
        </w:rPr>
        <w:t>——————————————————————————————————————————————————————————————————————</w:t>
      </w:r>
    </w:p>
    <w:p>
      <w:pPr>
        <w:spacing w:before="160" w:after="40" w:line="240" w:lineRule="auto"/>
      </w:pPr>
      <w:r>
        <w:rPr>
          <w:b/>
        </w:rPr>
        <w:t xml:space="preserve">[414] </w:t>
      </w:r>
      <w:hyperlink r:id="rId943">
        <w:r>
          <w:rPr>
            <w:color w:val="1155CC"/>
            <w:u w:val="single"/>
          </w:rPr>
          <w:t>随着攻击升级，伊朗的大学成为目标</w:t>
        </w:r>
      </w:hyperlink>
    </w:p>
    <w:p>
      <w:pPr>
        <w:spacing w:before="0" w:after="80"/>
      </w:pPr>
      <w:r>
        <w:rPr>
          <w:i/>
          <w:sz w:val="20"/>
        </w:rPr>
        <w:t>EN: As attacks escalate, Iran’s universities become targets</w:t>
      </w:r>
    </w:p>
    <w:p>
      <w:pPr>
        <w:spacing w:before="0" w:after="120"/>
      </w:pPr>
      <w:r>
        <w:rPr>
          <w:b/>
        </w:rPr>
        <w:t xml:space="preserve">Source: </w:t>
      </w:r>
      <w:r>
        <w:t>AAAS: Science: Table of Contents</w:t>
      </w:r>
      <w:r>
        <w:t xml:space="preserve">    </w:t>
      </w:r>
      <w:r>
        <w:rPr>
          <w:b/>
        </w:rPr>
        <w:t xml:space="preserve">Pub date: </w:t>
      </w:r>
      <w:r>
        <w:t>2026-04-09 06:00:02+00:00</w:t>
      </w:r>
      <w:r>
        <w:t xml:space="preserve">    </w:t>
      </w:r>
      <w:r>
        <w:rPr>
          <w:b/>
        </w:rPr>
        <w:t xml:space="preserve">DOI: </w:t>
      </w:r>
      <w:hyperlink r:id="rId944">
        <w:r>
          <w:rPr>
            <w:color w:val="1155CC"/>
            <w:u w:val="single"/>
          </w:rPr>
          <w:t>10.1126/science.aeh8587</w:t>
        </w:r>
      </w:hyperlink>
    </w:p>
    <w:p>
      <w:pPr>
        <w:spacing w:before="0" w:after="120"/>
      </w:pPr>
      <w:r>
        <w:rPr>
          <w:b/>
        </w:rPr>
        <w:t xml:space="preserve">Notes: </w:t>
      </w:r>
      <w:r>
        <w:t>abstract_source=crossref</w:t>
      </w:r>
    </w:p>
    <w:p>
      <w:pPr>
        <w:spacing w:before="0" w:after="80" w:lineRule="auto" w:line="276"/>
      </w:pPr>
      <w:r>
        <w:rPr>
          <w:b/>
        </w:rPr>
        <w:t xml:space="preserve">摘要（ZH）: </w:t>
      </w:r>
      <w:r>
        <w:t>空袭已经摧毁或损坏了各种学术和商业研究中心</w:t>
      </w:r>
    </w:p>
    <w:p>
      <w:pPr>
        <w:spacing w:before="0" w:after="200" w:lineRule="auto" w:line="276"/>
      </w:pPr>
      <w:r>
        <w:rPr>
          <w:b/>
        </w:rPr>
        <w:t xml:space="preserve">Abstract (EN): </w:t>
      </w:r>
      <w:r>
        <w:t>Air strikes have destroyed or damaged a wide range of academic and commercial research centers</w:t>
      </w:r>
    </w:p>
    <w:p>
      <w:pPr>
        <w:spacing w:before="120" w:after="120"/>
      </w:pPr>
      <w:r>
        <w:rPr>
          <w:sz w:val="18"/>
        </w:rPr>
        <w:t>——————————————————————————————————————————————————————————————————————</w:t>
      </w:r>
    </w:p>
    <w:p>
      <w:pPr>
        <w:spacing w:before="160" w:after="40" w:line="240" w:lineRule="auto"/>
      </w:pPr>
      <w:r>
        <w:rPr>
          <w:b/>
        </w:rPr>
        <w:t xml:space="preserve">[415] </w:t>
      </w:r>
      <w:hyperlink r:id="rId945">
        <w:r>
          <w:rPr>
            <w:color w:val="1155CC"/>
            <w:u w:val="single"/>
          </w:rPr>
          <w:t>特朗普重提大幅削减联邦研究经费的请求</w:t>
        </w:r>
      </w:hyperlink>
    </w:p>
    <w:p>
      <w:pPr>
        <w:spacing w:before="0" w:after="80"/>
      </w:pPr>
      <w:r>
        <w:rPr>
          <w:i/>
          <w:sz w:val="20"/>
        </w:rPr>
        <w:t>EN: Trump reprises requests for deep cuts to federal research spending</w:t>
      </w:r>
    </w:p>
    <w:p>
      <w:pPr>
        <w:spacing w:before="0" w:after="120"/>
      </w:pPr>
      <w:r>
        <w:rPr>
          <w:b/>
        </w:rPr>
        <w:t xml:space="preserve">Source: </w:t>
      </w:r>
      <w:r>
        <w:t>AAAS: Science: Table of Contents</w:t>
      </w:r>
      <w:r>
        <w:t xml:space="preserve">    </w:t>
      </w:r>
      <w:r>
        <w:rPr>
          <w:b/>
        </w:rPr>
        <w:t xml:space="preserve">Pub date: </w:t>
      </w:r>
      <w:r>
        <w:t>2026-04-09 06:00:02+00:00</w:t>
      </w:r>
      <w:r>
        <w:t xml:space="preserve">    </w:t>
      </w:r>
      <w:r>
        <w:rPr>
          <w:b/>
        </w:rPr>
        <w:t xml:space="preserve">DOI: </w:t>
      </w:r>
      <w:hyperlink r:id="rId946">
        <w:r>
          <w:rPr>
            <w:color w:val="1155CC"/>
            <w:u w:val="single"/>
          </w:rPr>
          <w:t>10.1126/science.aeh8586</w:t>
        </w:r>
      </w:hyperlink>
    </w:p>
    <w:p>
      <w:pPr>
        <w:spacing w:before="0" w:after="120"/>
      </w:pPr>
      <w:r>
        <w:rPr>
          <w:b/>
        </w:rPr>
        <w:t xml:space="preserve">Notes: </w:t>
      </w:r>
      <w:r>
        <w:t>abstract_source=crossref</w:t>
      </w:r>
    </w:p>
    <w:p>
      <w:pPr>
        <w:spacing w:before="0" w:after="80" w:lineRule="auto" w:line="276"/>
      </w:pPr>
      <w:r>
        <w:rPr>
          <w:b/>
        </w:rPr>
        <w:t xml:space="preserve">摘要（ZH）: </w:t>
      </w:r>
      <w:r>
        <w:t>科学倡导者现在在等待，看看国会是否会再次拒绝</w:t>
      </w:r>
    </w:p>
    <w:p>
      <w:pPr>
        <w:spacing w:before="0" w:after="200" w:lineRule="auto" w:line="276"/>
      </w:pPr>
      <w:r>
        <w:rPr>
          <w:b/>
        </w:rPr>
        <w:t xml:space="preserve">Abstract (EN): </w:t>
      </w:r>
      <w:r>
        <w:t>Science advocates now waiting to see whether Congress will once again refuse</w:t>
      </w:r>
    </w:p>
    <w:p>
      <w:pPr>
        <w:spacing w:before="120" w:after="120"/>
      </w:pPr>
      <w:r>
        <w:rPr>
          <w:sz w:val="18"/>
        </w:rPr>
        <w:t>——————————————————————————————————————————————————————————————————————</w:t>
      </w:r>
    </w:p>
    <w:p>
      <w:pPr>
        <w:spacing w:before="160" w:after="40" w:line="240" w:lineRule="auto"/>
      </w:pPr>
      <w:r>
        <w:rPr>
          <w:b/>
        </w:rPr>
        <w:t xml:space="preserve">[416] </w:t>
      </w:r>
      <w:hyperlink r:id="rId947">
        <w:r>
          <w:rPr>
            <w:color w:val="1155CC"/>
            <w:u w:val="single"/>
          </w:rPr>
          <w:t>人工智能可以‘记住’不该记住的数据。能否强迫它们忘记？</w:t>
        </w:r>
      </w:hyperlink>
    </w:p>
    <w:p>
      <w:pPr>
        <w:spacing w:before="0" w:after="80"/>
      </w:pPr>
      <w:r>
        <w:rPr>
          <w:i/>
          <w:sz w:val="20"/>
        </w:rPr>
        <w:t>EN: AIs can ‘memorize’ data they shouldn’t. Can they be forced to forget?</w:t>
      </w:r>
    </w:p>
    <w:p>
      <w:pPr>
        <w:spacing w:before="0" w:after="120"/>
      </w:pPr>
      <w:r>
        <w:rPr>
          <w:b/>
        </w:rPr>
        <w:t xml:space="preserve">Source: </w:t>
      </w:r>
      <w:r>
        <w:t>AAAS: Science: Table of Contents</w:t>
      </w:r>
      <w:r>
        <w:t xml:space="preserve">    </w:t>
      </w:r>
      <w:r>
        <w:rPr>
          <w:b/>
        </w:rPr>
        <w:t xml:space="preserve">Pub date: </w:t>
      </w:r>
      <w:r>
        <w:t>2026-04-09 06:00:02+00:00</w:t>
      </w:r>
      <w:r>
        <w:t xml:space="preserve">    </w:t>
      </w:r>
      <w:r>
        <w:rPr>
          <w:b/>
        </w:rPr>
        <w:t xml:space="preserve">DOI: </w:t>
      </w:r>
      <w:hyperlink r:id="rId948">
        <w:r>
          <w:rPr>
            <w:color w:val="1155CC"/>
            <w:u w:val="single"/>
          </w:rPr>
          <w:t>10.1126/science.aeh8591</w:t>
        </w:r>
      </w:hyperlink>
    </w:p>
    <w:p>
      <w:pPr>
        <w:spacing w:before="0" w:after="120"/>
      </w:pPr>
      <w:r>
        <w:rPr>
          <w:b/>
        </w:rPr>
        <w:t xml:space="preserve">Notes: </w:t>
      </w:r>
      <w:r>
        <w:t>abstract_source=crossref</w:t>
      </w:r>
    </w:p>
    <w:p>
      <w:pPr>
        <w:spacing w:before="0" w:after="80" w:lineRule="auto" w:line="276"/>
      </w:pPr>
      <w:r>
        <w:rPr>
          <w:b/>
        </w:rPr>
        <w:t xml:space="preserve">摘要（ZH）: </w:t>
      </w:r>
      <w:r>
        <w:t>新工具可能帮助研究人员探究模型如何“遗忘”敏感的训练材料</w:t>
      </w:r>
    </w:p>
    <w:p>
      <w:pPr>
        <w:spacing w:before="0" w:after="200" w:lineRule="auto" w:line="276"/>
      </w:pPr>
      <w:r>
        <w:rPr>
          <w:b/>
        </w:rPr>
        <w:t xml:space="preserve">Abstract (EN): </w:t>
      </w:r>
      <w:r>
        <w:t>New tool could help researchers probe how models “unlearn” sensitive training material</w:t>
      </w:r>
    </w:p>
    <w:p>
      <w:pPr>
        <w:spacing w:before="120" w:after="120"/>
      </w:pPr>
      <w:r>
        <w:rPr>
          <w:sz w:val="18"/>
        </w:rPr>
        <w:t>——————————————————————————————————————————————————————————————————————</w:t>
      </w:r>
    </w:p>
    <w:p>
      <w:pPr>
        <w:spacing w:before="160" w:after="40" w:line="240" w:lineRule="auto"/>
      </w:pPr>
      <w:r>
        <w:rPr>
          <w:b/>
        </w:rPr>
        <w:t xml:space="preserve">[417] </w:t>
      </w:r>
      <w:hyperlink r:id="rId949">
        <w:r>
          <w:rPr>
            <w:color w:val="1155CC"/>
            <w:u w:val="single"/>
          </w:rPr>
          <w:t>观察到Kardar-Parisi-Zhang在二维中的普适标度</w:t>
        </w:r>
      </w:hyperlink>
    </w:p>
    <w:p>
      <w:pPr>
        <w:spacing w:before="0" w:after="80"/>
      </w:pPr>
      <w:r>
        <w:rPr>
          <w:i/>
          <w:sz w:val="20"/>
        </w:rPr>
        <w:t>EN: Observation of Kardar-Parisi-Zhang universal scaling in two dimensions</w:t>
      </w:r>
    </w:p>
    <w:p>
      <w:pPr>
        <w:spacing w:before="0" w:after="120"/>
      </w:pPr>
      <w:r>
        <w:rPr>
          <w:b/>
        </w:rPr>
        <w:t xml:space="preserve">Source: </w:t>
      </w:r>
      <w:r>
        <w:t>AAAS: Science: Table of Contents</w:t>
      </w:r>
      <w:r>
        <w:t xml:space="preserve">    </w:t>
      </w:r>
      <w:r>
        <w:rPr>
          <w:b/>
        </w:rPr>
        <w:t xml:space="preserve">Pub date: </w:t>
      </w:r>
      <w:r>
        <w:t>2026-04-09 06:00:02+00:00</w:t>
      </w:r>
      <w:r>
        <w:t xml:space="preserve">    </w:t>
      </w:r>
      <w:r>
        <w:rPr>
          <w:b/>
        </w:rPr>
        <w:t xml:space="preserve">DOI: </w:t>
      </w:r>
      <w:hyperlink r:id="rId950">
        <w:r>
          <w:rPr>
            <w:color w:val="1155CC"/>
            <w:u w:val="single"/>
          </w:rPr>
          <w:t>10.1126/science.aeb4154</w:t>
        </w:r>
      </w:hyperlink>
    </w:p>
    <w:p>
      <w:pPr>
        <w:spacing w:before="0" w:after="120"/>
      </w:pPr>
      <w:r>
        <w:rPr>
          <w:b/>
        </w:rPr>
        <w:t xml:space="preserve">Notes: </w:t>
      </w:r>
      <w:r>
        <w:t>abstract_source=crossref</w:t>
      </w:r>
    </w:p>
    <w:p>
      <w:pPr>
        <w:spacing w:before="0" w:after="80" w:lineRule="auto" w:line="276"/>
      </w:pPr>
      <w:r>
        <w:rPr>
          <w:b/>
        </w:rPr>
        <w:t xml:space="preserve">摘要（ZH）: </w:t>
      </w:r>
      <w:r>
        <w:t>物质的平衡和非平衡状态可以表现出根本不同的行为。一个关键例子是二维空间维度（2D KPZ）中的Kardar-Parisi-Zhang普适类，其中微观偏离平衡导致宏观缩放定律，而没有平衡对应物。尽管在理论上进行了广泛研究，但2D KPZ缩放的实验证据仍然局限于界面生长。在此，我们报告了在二维激子-极化子凝聚体中观察到KPZ普适缩放——这些是固有打破平衡条件的光的量子流体。通过使用光谱学和Michelson干涉仪，我们探测了微观不同系统之间的相位相关性。我们的分析揭示了相关性动态和缩放指数的出色表现</w:t>
      </w:r>
    </w:p>
    <w:p>
      <w:pPr>
        <w:spacing w:before="0" w:after="200" w:lineRule="auto" w:line="276"/>
      </w:pPr>
      <w:r>
        <w:rPr>
          <w:b/>
        </w:rPr>
        <w:t xml:space="preserve">Abstract (EN): </w:t>
      </w:r>
      <w:r>
        <w:t>Equilibrium and nonequilibrium states of matter can exhibit fundamentally different behavior. A key example is the Kardar-Parisi-Zhang universality class in two spatial dimensions (2D KPZ), where microscopic deviations from equilibrium give rise to macroscopic scaling laws without equilibrium counterparts. Although extensively studied theoretically, experimental evidence of 2D KPZ scaling has remained limited to interface growth. Here, we report the observation of KPZ universal scaling in 2D exciton-polariton condensates—quantum fluids of light that inherently break equilibrium conditions. Using spectroscopy and Michelson interferometry, we probed the phase correlations across microscopically different systems. Our analysis revealed correlation dynamics and scaling exponents in excellent agreement with 2D KPZ predictions. These results establish exciton-polariton condensates as an experimental platform for exploring 2D nonequilibrium universality.</w:t>
      </w:r>
    </w:p>
    <w:p>
      <w:pPr>
        <w:spacing w:before="120" w:after="120"/>
      </w:pPr>
      <w:r>
        <w:rPr>
          <w:sz w:val="18"/>
        </w:rPr>
        <w:t>——————————————————————————————————————————————————————————————————————</w:t>
      </w:r>
    </w:p>
    <w:p>
      <w:pPr>
        <w:spacing w:before="160" w:after="40" w:line="240" w:lineRule="auto"/>
      </w:pPr>
      <w:r>
        <w:rPr>
          <w:b/>
        </w:rPr>
        <w:t xml:space="preserve">[418] </w:t>
      </w:r>
      <w:hyperlink r:id="rId951">
        <w:r>
          <w:rPr>
            <w:color w:val="1155CC"/>
            <w:u w:val="single"/>
          </w:rPr>
          <w:t>能源部的人工智能推动挤压了科学家</w:t>
        </w:r>
      </w:hyperlink>
    </w:p>
    <w:p>
      <w:pPr>
        <w:spacing w:before="0" w:after="80"/>
      </w:pPr>
      <w:r>
        <w:rPr>
          <w:i/>
          <w:sz w:val="20"/>
        </w:rPr>
        <w:t>EN: Department of Energy’s AI push squeezes scientists</w:t>
      </w:r>
    </w:p>
    <w:p>
      <w:pPr>
        <w:spacing w:before="0" w:after="120"/>
      </w:pPr>
      <w:r>
        <w:rPr>
          <w:b/>
        </w:rPr>
        <w:t xml:space="preserve">Source: </w:t>
      </w:r>
      <w:r>
        <w:t>AAAS: Science: Table of Contents</w:t>
      </w:r>
      <w:r>
        <w:t xml:space="preserve">    </w:t>
      </w:r>
      <w:r>
        <w:rPr>
          <w:b/>
        </w:rPr>
        <w:t xml:space="preserve">Pub date: </w:t>
      </w:r>
      <w:r>
        <w:t>2026-04-09 06:00:02+00:00</w:t>
      </w:r>
      <w:r>
        <w:t xml:space="preserve">    </w:t>
      </w:r>
      <w:r>
        <w:rPr>
          <w:b/>
        </w:rPr>
        <w:t xml:space="preserve">DOI: </w:t>
      </w:r>
      <w:hyperlink r:id="rId952">
        <w:r>
          <w:rPr>
            <w:color w:val="1155CC"/>
            <w:u w:val="single"/>
          </w:rPr>
          <w:t>10.1126/science.aeh8590</w:t>
        </w:r>
      </w:hyperlink>
    </w:p>
    <w:p>
      <w:pPr>
        <w:spacing w:before="0" w:after="120"/>
      </w:pPr>
      <w:r>
        <w:rPr>
          <w:b/>
        </w:rPr>
        <w:t xml:space="preserve">Notes: </w:t>
      </w:r>
      <w:r>
        <w:t>abstract_source=crossref</w:t>
      </w:r>
    </w:p>
    <w:p>
      <w:pPr>
        <w:spacing w:before="0" w:after="80" w:lineRule="auto" w:line="276"/>
      </w:pPr>
      <w:r>
        <w:rPr>
          <w:b/>
        </w:rPr>
        <w:t xml:space="preserve">摘要（ZH）: </w:t>
      </w:r>
      <w:r>
        <w:t>Genesis任务利用紧张的研究预算，并仅给科学家几周时间申请奖项</w:t>
      </w:r>
    </w:p>
    <w:p>
      <w:pPr>
        <w:spacing w:before="0" w:after="200" w:lineRule="auto" w:line="276"/>
      </w:pPr>
      <w:r>
        <w:rPr>
          <w:b/>
        </w:rPr>
        <w:t xml:space="preserve">Abstract (EN): </w:t>
      </w:r>
      <w:r>
        <w:t>Genesis Mission taps strained research budgets and gives scientists just weeks to apply for awards</w:t>
      </w:r>
    </w:p>
    <w:p>
      <w:pPr>
        <w:spacing w:before="120" w:after="120"/>
      </w:pPr>
      <w:r>
        <w:rPr>
          <w:sz w:val="18"/>
        </w:rPr>
        <w:t>——————————————————————————————————————————————————————————————————————</w:t>
      </w:r>
    </w:p>
    <w:p>
      <w:pPr>
        <w:spacing w:before="160" w:after="40" w:line="240" w:lineRule="auto"/>
      </w:pPr>
      <w:r>
        <w:rPr>
          <w:b/>
        </w:rPr>
        <w:t xml:space="preserve">[419] </w:t>
      </w:r>
      <w:hyperlink r:id="rId953">
        <w:r>
          <w:rPr>
            <w:color w:val="1155CC"/>
            <w:u w:val="single"/>
          </w:rPr>
          <w:t>我们幸存于COVID-19——我们准备好应对尼帕病毒了吗？</w:t>
        </w:r>
      </w:hyperlink>
    </w:p>
    <w:p>
      <w:pPr>
        <w:spacing w:before="0" w:after="80"/>
      </w:pPr>
      <w:r>
        <w:rPr>
          <w:i/>
          <w:sz w:val="20"/>
        </w:rPr>
        <w:t>EN: We survived COVID-19—Are we ready for Nipah?</w:t>
      </w:r>
    </w:p>
    <w:p>
      <w:pPr>
        <w:spacing w:before="0" w:after="120"/>
      </w:pPr>
      <w:r>
        <w:rPr>
          <w:b/>
        </w:rPr>
        <w:t xml:space="preserve">Source: </w:t>
      </w:r>
      <w:r>
        <w:t>AAAS: Science: Table of Contents</w:t>
      </w:r>
      <w:r>
        <w:t xml:space="preserve">    </w:t>
      </w:r>
      <w:r>
        <w:rPr>
          <w:b/>
        </w:rPr>
        <w:t xml:space="preserve">Pub date: </w:t>
      </w:r>
      <w:r>
        <w:t>2026-04-09 06:00:02+00:00</w:t>
      </w:r>
      <w:r>
        <w:t xml:space="preserve">    </w:t>
      </w:r>
      <w:r>
        <w:rPr>
          <w:b/>
        </w:rPr>
        <w:t xml:space="preserve">DOI: </w:t>
      </w:r>
      <w:hyperlink r:id="rId954">
        <w:r>
          <w:rPr>
            <w:color w:val="1155CC"/>
            <w:u w:val="single"/>
          </w:rPr>
          <w:t>10.1126/science.aeg0857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[420] </w:t>
      </w:r>
      <w:hyperlink r:id="rId955">
        <w:r>
          <w:rPr>
            <w:color w:val="1155CC"/>
            <w:u w:val="single"/>
          </w:rPr>
          <w:t>在其他期刊中</w:t>
        </w:r>
      </w:hyperlink>
    </w:p>
    <w:p>
      <w:pPr>
        <w:spacing w:before="0" w:after="80"/>
      </w:pPr>
      <w:r>
        <w:rPr>
          <w:i/>
          <w:sz w:val="20"/>
        </w:rPr>
        <w:t>EN: In Other Journals</w:t>
      </w:r>
    </w:p>
    <w:p>
      <w:pPr>
        <w:spacing w:before="0" w:after="120"/>
      </w:pPr>
      <w:r>
        <w:rPr>
          <w:b/>
        </w:rPr>
        <w:t xml:space="preserve">Source: </w:t>
      </w:r>
      <w:r>
        <w:t>AAAS: Science: Table of Contents</w:t>
      </w:r>
      <w:r>
        <w:t xml:space="preserve">    </w:t>
      </w:r>
      <w:r>
        <w:rPr>
          <w:b/>
        </w:rPr>
        <w:t xml:space="preserve">Pub date: </w:t>
      </w:r>
      <w:r>
        <w:t>2026-04-09 06:00:02+00:00</w:t>
      </w:r>
      <w:r>
        <w:t xml:space="preserve">    </w:t>
      </w:r>
      <w:r>
        <w:rPr>
          <w:b/>
        </w:rPr>
        <w:t xml:space="preserve">DOI: </w:t>
      </w:r>
      <w:hyperlink r:id="rId956">
        <w:r>
          <w:rPr>
            <w:color w:val="1155CC"/>
            <w:u w:val="single"/>
          </w:rPr>
          <w:t>10.1126/science.aeh8289</w:t>
        </w:r>
      </w:hyperlink>
    </w:p>
    <w:p>
      <w:pPr>
        <w:spacing w:before="0" w:after="120"/>
      </w:pPr>
      <w:r>
        <w:rPr>
          <w:b/>
        </w:rPr>
        <w:t xml:space="preserve">Notes: </w:t>
      </w:r>
      <w:r>
        <w:t>abstract_source=crossref</w:t>
      </w:r>
    </w:p>
    <w:p>
      <w:pPr>
        <w:spacing w:before="0" w:after="80" w:lineRule="auto" w:line="276"/>
      </w:pPr>
      <w:r>
        <w:rPr>
          <w:b/>
        </w:rPr>
        <w:t xml:space="preserve">摘要（ZH）: </w:t>
      </w:r>
      <w:r>
        <w:t>编辑从当前科学文献中精选的内容</w:t>
      </w:r>
    </w:p>
    <w:p>
      <w:pPr>
        <w:spacing w:before="0" w:after="200" w:lineRule="auto" w:line="276"/>
      </w:pPr>
      <w:r>
        <w:rPr>
          <w:b/>
        </w:rPr>
        <w:t xml:space="preserve">Abstract (EN): </w:t>
      </w:r>
      <w:r>
        <w:t>Editors’ selections from the current scientific literature</w:t>
      </w:r>
    </w:p>
    <w:p>
      <w:pPr>
        <w:spacing w:before="120" w:after="120"/>
      </w:pPr>
      <w:r>
        <w:rPr>
          <w:sz w:val="18"/>
        </w:rPr>
        <w:t>——————————————————————————————————————————————————————————————————————</w:t>
      </w:r>
    </w:p>
    <w:p>
      <w:pPr>
        <w:spacing w:before="160" w:after="40" w:line="240" w:lineRule="auto"/>
      </w:pPr>
      <w:r>
        <w:rPr>
          <w:b/>
        </w:rPr>
        <w:t xml:space="preserve">[421] </w:t>
      </w:r>
      <w:hyperlink r:id="rId957">
        <w:r>
          <w:rPr>
            <w:color w:val="1155CC"/>
            <w:u w:val="single"/>
          </w:rPr>
          <w:t>从特权的pybox支架中获得的模块化对映选择性光催化剂</w:t>
        </w:r>
      </w:hyperlink>
    </w:p>
    <w:p>
      <w:pPr>
        <w:spacing w:before="0" w:after="80"/>
      </w:pPr>
      <w:r>
        <w:rPr>
          <w:i/>
          <w:sz w:val="20"/>
        </w:rPr>
        <w:t>EN: Modular enantioselective photocatalysts from privileged pybox scaffolds</w:t>
      </w:r>
    </w:p>
    <w:p>
      <w:pPr>
        <w:spacing w:before="0" w:after="120"/>
      </w:pPr>
      <w:r>
        <w:rPr>
          <w:b/>
        </w:rPr>
        <w:t xml:space="preserve">Source: </w:t>
      </w:r>
      <w:r>
        <w:t>AAAS: Science: Table of Contents</w:t>
      </w:r>
      <w:r>
        <w:t xml:space="preserve">    </w:t>
      </w:r>
      <w:r>
        <w:rPr>
          <w:b/>
        </w:rPr>
        <w:t xml:space="preserve">Pub date: </w:t>
      </w:r>
      <w:r>
        <w:t>2026-04-09 06:00:02+00:00</w:t>
      </w:r>
      <w:r>
        <w:t xml:space="preserve">    </w:t>
      </w:r>
      <w:r>
        <w:rPr>
          <w:b/>
        </w:rPr>
        <w:t xml:space="preserve">DOI: </w:t>
      </w:r>
      <w:hyperlink r:id="rId958">
        <w:r>
          <w:rPr>
            <w:color w:val="1155CC"/>
            <w:u w:val="single"/>
          </w:rPr>
          <w:t>10.1126/science.aeb5832</w:t>
        </w:r>
      </w:hyperlink>
    </w:p>
    <w:p>
      <w:pPr>
        <w:spacing w:before="0" w:after="120"/>
      </w:pPr>
      <w:r>
        <w:rPr>
          <w:b/>
        </w:rPr>
        <w:t xml:space="preserve">Notes: </w:t>
      </w:r>
      <w:r>
        <w:t>abstract_source=crossref</w:t>
      </w:r>
    </w:p>
    <w:p>
      <w:pPr>
        <w:spacing w:before="0" w:after="80" w:lineRule="auto" w:line="276"/>
      </w:pPr>
      <w:r>
        <w:rPr>
          <w:b/>
        </w:rPr>
        <w:t xml:space="preserve">摘要（ZH）: </w:t>
      </w:r>
      <w:r>
        <w:t>现代有机合成依赖于手性催化剂的可用性来控制成键反应的立体化学。几类手性催化剂因其在不同反应机制下对多种转化反应的显著普遍性而被公认为“特权”结构。然而，高度对映选择性光催化剂结构的例子仍然稀缺。我们通过用电子供体咔唑单元修饰特权吡啶双(恶唑啉)配合物的结构，设计了一系列对映选择性光催化剂。手性配体可以通过从市售手性池材料出发的三步合成序列获得，并且可以合理地调整其电荷转移光化学以优化光催化。</w:t>
      </w:r>
    </w:p>
    <w:p>
      <w:pPr>
        <w:spacing w:before="0" w:after="200" w:lineRule="auto" w:line="276"/>
      </w:pPr>
      <w:r>
        <w:rPr>
          <w:b/>
        </w:rPr>
        <w:t xml:space="preserve">Abstract (EN): </w:t>
      </w:r>
      <w:r>
        <w:t>Modern organic synthesis relies upon the availability of chiral catalysts to control the stereochemistry of bond-forming reactions. Several families of chiral catalysts have become recognized as “privileged” structures because of their notable generality for diverse transformations with different reaction mechanisms. However, examples of highly enantioselective photocatalyst structures remain scarce. We have designed a family of enantioselective photocatalysts by modifying the structures of privileged pyridine bis(oxazoline) complexes with electron-donating carbazole units. The chiral ligands are accessible through a three-step synthetic sequence starting from commercially available chiral pool materials, and their charge-transfer photochemistry can be rationally tuned to optimize photocatalytic activity. We demonstrate the generality of these new chiral photocatalyst structures in a series of three model asymmetric reactions, which includes both photoredox and excited-state photoreactions.</w:t>
      </w:r>
    </w:p>
    <w:p>
      <w:pPr>
        <w:spacing w:before="120" w:after="120"/>
      </w:pPr>
      <w:r>
        <w:rPr>
          <w:sz w:val="18"/>
        </w:rPr>
        <w:t>——————————————————————————————————————————————————————————————————————</w:t>
      </w:r>
    </w:p>
    <w:p>
      <w:pPr>
        <w:spacing w:before="160" w:after="40" w:line="240" w:lineRule="auto"/>
      </w:pPr>
      <w:r>
        <w:rPr>
          <w:b/>
        </w:rPr>
        <w:t xml:space="preserve">[422] </w:t>
      </w:r>
      <w:hyperlink r:id="rId959">
        <w:r>
          <w:rPr>
            <w:color w:val="1155CC"/>
            <w:u w:val="single"/>
          </w:rPr>
          <w:t>氮中和的理由</w:t>
        </w:r>
      </w:hyperlink>
    </w:p>
    <w:p>
      <w:pPr>
        <w:spacing w:before="0" w:after="80"/>
      </w:pPr>
      <w:r>
        <w:rPr>
          <w:i/>
          <w:sz w:val="20"/>
        </w:rPr>
        <w:t>EN: The case for nitrogen neutrality</w:t>
      </w:r>
    </w:p>
    <w:p>
      <w:pPr>
        <w:spacing w:before="0" w:after="120"/>
      </w:pPr>
      <w:r>
        <w:rPr>
          <w:b/>
        </w:rPr>
        <w:t xml:space="preserve">Source: </w:t>
      </w:r>
      <w:r>
        <w:t>AAAS: Science: Table of Contents</w:t>
      </w:r>
      <w:r>
        <w:t xml:space="preserve">    </w:t>
      </w:r>
      <w:r>
        <w:rPr>
          <w:b/>
        </w:rPr>
        <w:t xml:space="preserve">Pub date: </w:t>
      </w:r>
      <w:r>
        <w:t>2026-04-09 06:00:02+00:00</w:t>
      </w:r>
      <w:r>
        <w:t xml:space="preserve">    </w:t>
      </w:r>
      <w:r>
        <w:rPr>
          <w:b/>
        </w:rPr>
        <w:t xml:space="preserve">DOI: </w:t>
      </w:r>
      <w:hyperlink r:id="rId960">
        <w:r>
          <w:rPr>
            <w:color w:val="1155CC"/>
            <w:u w:val="single"/>
          </w:rPr>
          <w:t>10.1126/science.aeg1724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[423] </w:t>
      </w:r>
      <w:hyperlink r:id="rId961">
        <w:r>
          <w:rPr>
            <w:color w:val="1155CC"/>
            <w:u w:val="single"/>
          </w:rPr>
          <w:t>黄石公园下方的岩浆管道</w:t>
        </w:r>
      </w:hyperlink>
    </w:p>
    <w:p>
      <w:pPr>
        <w:spacing w:before="0" w:after="80"/>
      </w:pPr>
      <w:r>
        <w:rPr>
          <w:i/>
          <w:sz w:val="20"/>
        </w:rPr>
        <w:t>EN: Magma plumbing beneath Yellowstone</w:t>
      </w:r>
    </w:p>
    <w:p>
      <w:pPr>
        <w:spacing w:before="0" w:after="120"/>
      </w:pPr>
      <w:r>
        <w:rPr>
          <w:b/>
        </w:rPr>
        <w:t xml:space="preserve">Source: </w:t>
      </w:r>
      <w:r>
        <w:t>AAAS: Science: Table of Contents</w:t>
      </w:r>
      <w:r>
        <w:t xml:space="preserve">    </w:t>
      </w:r>
      <w:r>
        <w:rPr>
          <w:b/>
        </w:rPr>
        <w:t xml:space="preserve">Pub date: </w:t>
      </w:r>
      <w:r>
        <w:t>2026-04-09 06:00:02+00:00</w:t>
      </w:r>
      <w:r>
        <w:t xml:space="preserve">    </w:t>
      </w:r>
      <w:r>
        <w:rPr>
          <w:b/>
        </w:rPr>
        <w:t xml:space="preserve">DOI: </w:t>
      </w:r>
      <w:hyperlink r:id="rId962">
        <w:r>
          <w:rPr>
            <w:color w:val="1155CC"/>
            <w:u w:val="single"/>
          </w:rPr>
          <w:t>10.1126/science.aeg3511</w:t>
        </w:r>
      </w:hyperlink>
    </w:p>
    <w:p>
      <w:pPr>
        <w:spacing w:before="0" w:after="120"/>
      </w:pPr>
      <w:r>
        <w:rPr>
          <w:b/>
        </w:rPr>
        <w:t xml:space="preserve">Notes: </w:t>
      </w:r>
      <w:r>
        <w:t>abstract_source=crossref</w:t>
      </w:r>
    </w:p>
    <w:p>
      <w:pPr>
        <w:spacing w:before="0" w:after="80" w:lineRule="auto" w:line="276"/>
      </w:pPr>
      <w:r>
        <w:rPr>
          <w:b/>
        </w:rPr>
        <w:t xml:space="preserve">摘要（ZH）: </w:t>
      </w:r>
      <w:r>
        <w:t>地球动力学建模有助于阐明黄石公园下方的岩浆形成和运动</w:t>
      </w:r>
    </w:p>
    <w:p>
      <w:pPr>
        <w:spacing w:before="0" w:after="200" w:lineRule="auto" w:line="276"/>
      </w:pPr>
      <w:r>
        <w:rPr>
          <w:b/>
        </w:rPr>
        <w:t xml:space="preserve">Abstract (EN): </w:t>
      </w:r>
      <w:r>
        <w:t>Geodynamic modeling helps to elucidate magma formation and movement below Yellowstone</w:t>
      </w:r>
    </w:p>
    <w:p>
      <w:pPr>
        <w:spacing w:before="120" w:after="120"/>
      </w:pPr>
      <w:r>
        <w:rPr>
          <w:sz w:val="18"/>
        </w:rPr>
        <w:t>——————————————————————————————————————————————————————————————————————</w:t>
      </w:r>
    </w:p>
    <w:p>
      <w:pPr>
        <w:spacing w:before="160" w:after="40" w:line="240" w:lineRule="auto"/>
      </w:pPr>
      <w:r>
        <w:rPr>
          <w:b/>
        </w:rPr>
        <w:t xml:space="preserve">[424] </w:t>
      </w:r>
      <w:hyperlink r:id="rId963">
        <w:r>
          <w:rPr>
            <w:color w:val="1155CC"/>
            <w:u w:val="single"/>
          </w:rPr>
          <w:t>半导体自旋的多体干涉</w:t>
        </w:r>
      </w:hyperlink>
    </w:p>
    <w:p>
      <w:pPr>
        <w:spacing w:before="0" w:after="80"/>
      </w:pPr>
      <w:r>
        <w:rPr>
          <w:i/>
          <w:sz w:val="20"/>
        </w:rPr>
        <w:t>EN: Many-body interferometry with semiconductor spins</w:t>
      </w:r>
    </w:p>
    <w:p>
      <w:pPr>
        <w:spacing w:before="0" w:after="120"/>
      </w:pPr>
      <w:r>
        <w:rPr>
          <w:b/>
        </w:rPr>
        <w:t xml:space="preserve">Source: </w:t>
      </w:r>
      <w:r>
        <w:t>AAAS: Science: Table of Contents</w:t>
      </w:r>
      <w:r>
        <w:t xml:space="preserve">    </w:t>
      </w:r>
      <w:r>
        <w:rPr>
          <w:b/>
        </w:rPr>
        <w:t xml:space="preserve">Pub date: </w:t>
      </w:r>
      <w:r>
        <w:t>2026-04-09 06:00:02+00:00</w:t>
      </w:r>
      <w:r>
        <w:t xml:space="preserve">    </w:t>
      </w:r>
      <w:r>
        <w:rPr>
          <w:b/>
        </w:rPr>
        <w:t xml:space="preserve">DOI: </w:t>
      </w:r>
      <w:hyperlink r:id="rId964">
        <w:r>
          <w:rPr>
            <w:color w:val="1155CC"/>
            <w:u w:val="single"/>
          </w:rPr>
          <w:t>10.1126/science.aed4177</w:t>
        </w:r>
      </w:hyperlink>
    </w:p>
    <w:p>
      <w:pPr>
        <w:spacing w:before="0" w:after="120"/>
      </w:pPr>
      <w:r>
        <w:rPr>
          <w:b/>
        </w:rPr>
        <w:t xml:space="preserve">Notes: </w:t>
      </w:r>
      <w:r>
        <w:t>abstract_source=crossref</w:t>
      </w:r>
    </w:p>
    <w:p>
      <w:pPr>
        <w:spacing w:before="0" w:after="80" w:lineRule="auto" w:line="276"/>
      </w:pPr>
      <w:r>
        <w:rPr>
          <w:b/>
        </w:rPr>
        <w:t xml:space="preserve">摘要（ZH）: </w:t>
      </w:r>
      <w:r>
        <w:t>量子模拟器能够研究经典硬件无法处理的多体现象。基于半导体量子点的器件中电子自旋态的操控承诺了精确的电控和可扩展性优势，但访问多体现象迄今受到纳米制造和多重相互作用同时控制的挑战限制。在这项研究中，我们使用一个2×4阵列的门定义锗量子点进行了多达八个相互作用自旋的光谱学研究。光谱学协议基于拉姆齐干涉和多体本征态到单自旋本征态的绝热映射，能够实现完整的能谱重建。当相互作用强度超过磁性无序时，我们观察到了特征。</w:t>
      </w:r>
    </w:p>
    <w:p>
      <w:pPr>
        <w:spacing w:before="0" w:after="200" w:lineRule="auto" w:line="276"/>
      </w:pPr>
      <w:r>
        <w:rPr>
          <w:b/>
        </w:rPr>
        <w:t xml:space="preserve">Abstract (EN): </w:t>
      </w:r>
      <w:r>
        <w:t>Quantum simulators enable studies of many-body phenomena, which are intractable with classical hardware. The manipulation of electronic spin states in devices based on semiconductor quantum dots promises precise electrical control and scalability advantages, but accessing many-body phenomena has so far been restricted by challenges in nanofabrication and simultaneous control of multiple interactions. In this study, we performed spectroscopy of up to eight interacting spins using a 2-×-4 array of gate-defined germanium quantum dots. The spectroscopy protocol is based on Ramsey interferometry and adiabatic mapping of many-body eigenstates to single-spin eigenstates, enabling complete energy spectrum reconstruction. As the interaction strength exceeds magnetic disorder, we observed signatures of the crossover from localization to a chaotic phase marking a step toward the observation of many-body phenomena in quantum dot systems.</w:t>
      </w:r>
    </w:p>
    <w:p>
      <w:pPr>
        <w:spacing w:before="120" w:after="120"/>
      </w:pPr>
      <w:r>
        <w:rPr>
          <w:sz w:val="18"/>
        </w:rPr>
        <w:t>——————————————————————————————————————————————————————————————————————</w:t>
      </w:r>
    </w:p>
    <w:p>
      <w:pPr>
        <w:spacing w:before="160" w:after="40" w:line="240" w:lineRule="auto"/>
      </w:pPr>
      <w:r>
        <w:rPr>
          <w:b/>
        </w:rPr>
        <w:t xml:space="preserve">[425] </w:t>
      </w:r>
      <w:hyperlink r:id="rId965">
        <w:r>
          <w:rPr>
            <w:color w:val="1155CC"/>
            <w:u w:val="single"/>
          </w:rPr>
          <w:t>形状各向异性决定活性杆的组织：集群、湍流、群聚和堵塞</w:t>
        </w:r>
      </w:hyperlink>
    </w:p>
    <w:p>
      <w:pPr>
        <w:spacing w:before="0" w:after="80"/>
      </w:pPr>
      <w:r>
        <w:rPr>
          <w:i/>
          <w:sz w:val="20"/>
        </w:rPr>
        <w:t>EN: Shape anisotropy governs organization of active rods: Swarming, turbulence, flocking, and jamming</w:t>
      </w:r>
    </w:p>
    <w:p>
      <w:pPr>
        <w:spacing w:before="0" w:after="120"/>
      </w:pPr>
      <w:r>
        <w:rPr>
          <w:b/>
        </w:rPr>
        <w:t xml:space="preserve">Source: </w:t>
      </w:r>
      <w:r>
        <w:t>AAAS: Science: Table of Contents</w:t>
      </w:r>
      <w:r>
        <w:t xml:space="preserve">    </w:t>
      </w:r>
      <w:r>
        <w:rPr>
          <w:b/>
        </w:rPr>
        <w:t xml:space="preserve">Pub date: </w:t>
      </w:r>
      <w:r>
        <w:t>2026-04-09 06:00:02+00:00</w:t>
      </w:r>
      <w:r>
        <w:t xml:space="preserve">    </w:t>
      </w:r>
      <w:r>
        <w:rPr>
          <w:b/>
        </w:rPr>
        <w:t xml:space="preserve">DOI: </w:t>
      </w:r>
      <w:hyperlink r:id="rId966">
        <w:r>
          <w:rPr>
            <w:color w:val="1155CC"/>
            <w:u w:val="single"/>
          </w:rPr>
          <w:t>10.1126/science.ady7618</w:t>
        </w:r>
      </w:hyperlink>
    </w:p>
    <w:p>
      <w:pPr>
        <w:spacing w:before="0" w:after="120"/>
      </w:pPr>
      <w:r>
        <w:rPr>
          <w:b/>
        </w:rPr>
        <w:t xml:space="preserve">Notes: </w:t>
      </w:r>
      <w:r>
        <w:t>abstract_source=crossref</w:t>
      </w:r>
    </w:p>
    <w:p>
      <w:pPr>
        <w:spacing w:before="0" w:after="80" w:lineRule="auto" w:line="276"/>
      </w:pPr>
      <w:r>
        <w:rPr>
          <w:b/>
        </w:rPr>
        <w:t xml:space="preserve">摘要（ZH）: </w:t>
      </w:r>
      <w:r>
        <w:t>单个构建块的形状各向异性在创造奇异结构和控制平衡系统中的相行为中起着至关重要的作用。我们展示了一项结合实验和模拟的研究，其中我们使用光驱动的自推进杆来研究何时以及如何形状诱导的对齐和空间及流体动力学相互作用支配自组织。改变杆的长宽比和面积分数使系统从活性布朗运动演变为集群、活性湍流、聚集、大型簇和堵塞。状态图总结了新兴行为，时空分析揭示了各状态间不同的巨数波动。这个最小模型为生物杆状微游动体的自组织提供了见解，使得解耦成为可能。</w:t>
      </w:r>
    </w:p>
    <w:p>
      <w:pPr>
        <w:spacing w:before="0" w:after="200" w:lineRule="auto" w:line="276"/>
      </w:pPr>
      <w:r>
        <w:rPr>
          <w:b/>
        </w:rPr>
        <w:t xml:space="preserve">Abstract (EN): </w:t>
      </w:r>
      <w:r>
        <w:t>Shape anisotropy of individual building blocks plays a crucial role in creating exotic structures and controlling phase behavior in equilibrium systems. We present a combined experimental and simulation study in which we used light-driven self-propelled rods to investigate when and how shape-induced alignment and steric and hydrodynamic interactions govern self-organization. Varying rod aspect ratio and area fraction causes the system to evolve from active Brownian motion to swarming, active turbulence, flocking, large clusters, and jamming. A state diagram summarizes emergent behaviors, and spatiotemporal analyses reveal distinct giant-number fluctuations across states. This minimal model offers insight into the self-organization of biological rodlike microswimmers, enabling the decoupling of physical from biological mechanisms. Our results provide design rules for programmable synthetic active materials and highlight parallels with bacterial swarms and other biological assemblies.</w:t>
      </w:r>
    </w:p>
    <w:p>
      <w:pPr>
        <w:spacing w:before="120" w:after="120"/>
      </w:pPr>
      <w:r>
        <w:rPr>
          <w:sz w:val="18"/>
        </w:rPr>
        <w:t>——————————————————————————————————————————————————————————————————————</w:t>
      </w:r>
    </w:p>
    <w:p>
      <w:pPr>
        <w:spacing w:before="160" w:after="40" w:line="240" w:lineRule="auto"/>
      </w:pPr>
      <w:r>
        <w:rPr>
          <w:b/>
        </w:rPr>
        <w:t xml:space="preserve">[426] </w:t>
      </w:r>
      <w:hyperlink r:id="rId967">
        <w:r>
          <w:rPr>
            <w:color w:val="1155CC"/>
            <w:u w:val="single"/>
          </w:rPr>
          <w:t>在科学期刊中</w:t>
        </w:r>
      </w:hyperlink>
    </w:p>
    <w:p>
      <w:pPr>
        <w:spacing w:before="0" w:after="80"/>
      </w:pPr>
      <w:r>
        <w:rPr>
          <w:i/>
          <w:sz w:val="20"/>
        </w:rPr>
        <w:t>EN: In Science Journals</w:t>
      </w:r>
    </w:p>
    <w:p>
      <w:pPr>
        <w:spacing w:before="0" w:after="120"/>
      </w:pPr>
      <w:r>
        <w:rPr>
          <w:b/>
        </w:rPr>
        <w:t xml:space="preserve">Source: </w:t>
      </w:r>
      <w:r>
        <w:t>AAAS: Science: Table of Contents</w:t>
      </w:r>
      <w:r>
        <w:t xml:space="preserve">    </w:t>
      </w:r>
      <w:r>
        <w:rPr>
          <w:b/>
        </w:rPr>
        <w:t xml:space="preserve">Pub date: </w:t>
      </w:r>
      <w:r>
        <w:t>2026-04-09 06:00:02+00:00</w:t>
      </w:r>
      <w:r>
        <w:t xml:space="preserve">    </w:t>
      </w:r>
      <w:r>
        <w:rPr>
          <w:b/>
        </w:rPr>
        <w:t xml:space="preserve">DOI: </w:t>
      </w:r>
      <w:hyperlink r:id="rId968">
        <w:r>
          <w:rPr>
            <w:color w:val="1155CC"/>
            <w:u w:val="single"/>
          </w:rPr>
          <w:t>10.1126/science.aeh8287</w:t>
        </w:r>
      </w:hyperlink>
    </w:p>
    <w:p>
      <w:pPr>
        <w:spacing w:before="0" w:after="120"/>
      </w:pPr>
      <w:r>
        <w:rPr>
          <w:b/>
        </w:rPr>
        <w:t xml:space="preserve">Notes: </w:t>
      </w:r>
      <w:r>
        <w:t>abstract_source=crossref</w:t>
      </w:r>
    </w:p>
    <w:p>
      <w:pPr>
        <w:spacing w:before="0" w:after="80" w:lineRule="auto" w:line="276"/>
      </w:pPr>
      <w:r>
        <w:rPr>
          <w:b/>
        </w:rPr>
        <w:t xml:space="preserve">摘要（ZH）: </w:t>
      </w:r>
      <w:r>
        <w:t>《科学》期刊家族的亮点</w:t>
      </w:r>
    </w:p>
    <w:p>
      <w:pPr>
        <w:spacing w:before="0" w:after="200" w:lineRule="auto" w:line="276"/>
      </w:pPr>
      <w:r>
        <w:rPr>
          <w:b/>
        </w:rPr>
        <w:t xml:space="preserve">Abstract (EN): </w:t>
      </w:r>
      <w:r>
        <w:t>Highlights from the</w:t>
      </w:r>
      <w:r>
        <w:t xml:space="preserve"> </w:t>
      </w:r>
      <w:r>
        <w:t>Science</w:t>
      </w:r>
      <w:r>
        <w:t xml:space="preserve"> </w:t>
      </w:r>
      <w:r>
        <w:t>family of journals</w:t>
      </w:r>
    </w:p>
    <w:p>
      <w:pPr>
        <w:spacing w:before="120" w:after="120"/>
      </w:pPr>
      <w:r>
        <w:rPr>
          <w:sz w:val="18"/>
        </w:rPr>
        <w:t>——————————————————————————————————————————————————————————————————————</w:t>
      </w:r>
    </w:p>
    <w:p>
      <w:pPr>
        <w:spacing w:before="160" w:after="40" w:line="240" w:lineRule="auto"/>
      </w:pPr>
      <w:r>
        <w:rPr>
          <w:b/>
        </w:rPr>
        <w:t xml:space="preserve">[427] </w:t>
      </w:r>
      <w:hyperlink r:id="rId969">
        <w:r>
          <w:rPr>
            <w:color w:val="1155CC"/>
            <w:u w:val="single"/>
          </w:rPr>
          <w:t>野生黑猩猩群体分裂后的致命冲突</w:t>
        </w:r>
      </w:hyperlink>
    </w:p>
    <w:p>
      <w:pPr>
        <w:spacing w:before="0" w:after="80"/>
      </w:pPr>
      <w:r>
        <w:rPr>
          <w:i/>
          <w:sz w:val="20"/>
        </w:rPr>
        <w:t>EN: Lethal conflict after group fission in wild chimpanzees</w:t>
      </w:r>
    </w:p>
    <w:p>
      <w:pPr>
        <w:spacing w:before="0" w:after="120"/>
      </w:pPr>
      <w:r>
        <w:rPr>
          <w:b/>
        </w:rPr>
        <w:t xml:space="preserve">Source: </w:t>
      </w:r>
      <w:r>
        <w:t>AAAS: Science: Table of Contents</w:t>
      </w:r>
      <w:r>
        <w:t xml:space="preserve">    </w:t>
      </w:r>
      <w:r>
        <w:rPr>
          <w:b/>
        </w:rPr>
        <w:t xml:space="preserve">Pub date: </w:t>
      </w:r>
      <w:r>
        <w:t>2026-04-09 06:00:02+00:00</w:t>
      </w:r>
      <w:r>
        <w:t xml:space="preserve">    </w:t>
      </w:r>
      <w:r>
        <w:rPr>
          <w:b/>
        </w:rPr>
        <w:t xml:space="preserve">DOI: </w:t>
      </w:r>
      <w:hyperlink r:id="rId970">
        <w:r>
          <w:rPr>
            <w:color w:val="1155CC"/>
            <w:u w:val="single"/>
          </w:rPr>
          <w:t>10.1126/science.adz4944</w:t>
        </w:r>
      </w:hyperlink>
    </w:p>
    <w:p>
      <w:pPr>
        <w:spacing w:before="0" w:after="120"/>
      </w:pPr>
      <w:r>
        <w:rPr>
          <w:b/>
        </w:rPr>
        <w:t xml:space="preserve">Notes: </w:t>
      </w:r>
      <w:r>
        <w:t>abstract_source=crossref</w:t>
      </w:r>
    </w:p>
    <w:p>
      <w:pPr>
        <w:spacing w:before="0" w:after="80" w:lineRule="auto" w:line="276"/>
      </w:pPr>
      <w:r>
        <w:rPr>
          <w:b/>
        </w:rPr>
        <w:t xml:space="preserve">摘要（ZH）: </w:t>
      </w:r>
      <w:r>
        <w:t>动物的领土冲突可以为人类战争的某些方面提供信息，但尚未观察到具有不断变化的群体身份的内战。我们报告了已知最大野生黑猩猩（</w:t>
      </w:r>
      <w:r>
        <w:t xml:space="preserve"> </w:t>
      </w:r>
      <w:r>
        <w:t>Pan troglodytes</w:t>
      </w:r>
      <w:r>
        <w:t xml:space="preserve"> </w:t>
      </w:r>
      <w:r>
        <w:t>）群体中的一次罕见的永久分裂。通过30年的行为观察和网络分析，我们描述了2015年从凝聚到两极分化的过渡，并在2018年出现了两个不同的群体。在接下来的7年中，一个群体的成员进行了24次攻击，杀死了至少7只成年雄性和17只婴儿。这些发现表明，在没有通常认为必要的文化标志的情况下，群体身份可以转变并升级为致命的敌对行为，这在我们最亲近的现存亲属中得到了体现。</w:t>
      </w:r>
    </w:p>
    <w:p>
      <w:pPr>
        <w:spacing w:before="0" w:after="200" w:lineRule="auto" w:line="276"/>
      </w:pPr>
      <w:r>
        <w:rPr>
          <w:b/>
        </w:rPr>
        <w:t xml:space="preserve">Abstract (EN): </w:t>
      </w:r>
      <w:r>
        <w:t>Territorial conflicts in animals can inform aspects of human warfare, but civil war, with its shifting group identities, has not been previously observed. We report a rare, permanent fission in the largest-known group of wild chimpanzees (</w:t>
      </w:r>
      <w:r>
        <w:t xml:space="preserve"> </w:t>
      </w:r>
      <w:r>
        <w:t>Pan troglodytes</w:t>
      </w:r>
      <w:r>
        <w:t xml:space="preserve"> </w:t>
      </w:r>
      <w:r>
        <w:t>). Using 30 years of behavioral observations and network analyses, we describe a transition from cohesion to polarization in 2015 and the emergence of two distinct groups by 2018. Over the next 7 years, members of one group made 24 attacks, killing at least seven mature males and 17 infants in the other group. These findings indicate that group identities can shift and escalate into lethal hostility in one of our closest living relatives in the absence of the cultural markers often thought necessary for human warfare.</w:t>
      </w:r>
    </w:p>
    <w:p>
      <w:pPr>
        <w:spacing w:before="120" w:after="120"/>
      </w:pPr>
      <w:r>
        <w:rPr>
          <w:sz w:val="18"/>
        </w:rPr>
        <w:t>——————————————————————————————————————————————————————————————————————</w:t>
      </w:r>
    </w:p>
    <w:p>
      <w:pPr>
        <w:spacing w:before="160" w:after="40" w:line="240" w:lineRule="auto"/>
      </w:pPr>
      <w:r>
        <w:rPr>
          <w:b/>
        </w:rPr>
        <w:t xml:space="preserve">[428] </w:t>
      </w:r>
      <w:hyperlink r:id="rId971">
        <w:r>
          <w:rPr>
            <w:color w:val="1155CC"/>
            <w:u w:val="single"/>
          </w:rPr>
          <w:t>能力介导的DNA摄取使霍乱弧菌的静态染色体整合子多样化</w:t>
        </w:r>
      </w:hyperlink>
    </w:p>
    <w:p>
      <w:pPr>
        <w:spacing w:before="0" w:after="80"/>
      </w:pPr>
      <w:r>
        <w:rPr>
          <w:i/>
          <w:sz w:val="20"/>
        </w:rPr>
        <w:t>EN: Competence-mediated DNA uptake diversifies Vibrio cholerae sedentary chromosomal integrons</w:t>
      </w:r>
    </w:p>
    <w:p>
      <w:pPr>
        <w:spacing w:before="0" w:after="120"/>
      </w:pPr>
      <w:r>
        <w:rPr>
          <w:b/>
        </w:rPr>
        <w:t xml:space="preserve">Source: </w:t>
      </w:r>
      <w:r>
        <w:t>AAAS: Science: Table of Contents</w:t>
      </w:r>
      <w:r>
        <w:t xml:space="preserve">    </w:t>
      </w:r>
      <w:r>
        <w:rPr>
          <w:b/>
        </w:rPr>
        <w:t xml:space="preserve">Pub date: </w:t>
      </w:r>
      <w:r>
        <w:t>2026-04-09 06:00:02+00:00</w:t>
      </w:r>
      <w:r>
        <w:t xml:space="preserve">    </w:t>
      </w:r>
      <w:r>
        <w:rPr>
          <w:b/>
        </w:rPr>
        <w:t xml:space="preserve">DOI: </w:t>
      </w:r>
      <w:hyperlink r:id="rId972">
        <w:r>
          <w:rPr>
            <w:color w:val="1155CC"/>
            <w:u w:val="single"/>
          </w:rPr>
          <w:t>10.1126/science.aed0645</w:t>
        </w:r>
      </w:hyperlink>
    </w:p>
    <w:p>
      <w:pPr>
        <w:spacing w:before="0" w:after="120"/>
      </w:pPr>
      <w:r>
        <w:rPr>
          <w:b/>
        </w:rPr>
        <w:t xml:space="preserve">Notes: </w:t>
      </w:r>
      <w:r>
        <w:t>abstract_source=crossref</w:t>
      </w:r>
    </w:p>
    <w:p>
      <w:pPr>
        <w:spacing w:before="0" w:after="80" w:lineRule="auto" w:line="276"/>
      </w:pPr>
      <w:r>
        <w:rPr>
          <w:b/>
        </w:rPr>
        <w:t xml:space="preserve">摘要（ZH）: </w:t>
      </w:r>
      <w:r>
        <w:t>细菌通常通过共享增强其防御能力的基因来在病毒攻击和环境压力下生存。霍乱病原体霍乱弧菌携带一个静止的染色体整合子（SCI），这是一个包含数百个大多无启动子的基因盒的遗传元素，其中约10%编码抗病毒系统。据信在压力下，基因盒会重新排列到有利的第一个阵列位置，然而大流行的霍乱弧菌中的SCI在超过60年中保持静止。在这项研究中，我们表明SCI的多样化通过与该属水生生活方式相关的水平转移有效地发生：来自裂解细胞的DNA被自然有能力的弧菌吸收并整合到第一个位置。</w:t>
      </w:r>
    </w:p>
    <w:p>
      <w:pPr>
        <w:spacing w:before="0" w:after="200" w:lineRule="auto" w:line="276"/>
      </w:pPr>
      <w:r>
        <w:rPr>
          <w:b/>
        </w:rPr>
        <w:t xml:space="preserve">Abstract (EN): </w:t>
      </w:r>
      <w:r>
        <w:t>Bacteria often survive viral attack and environmental stress by sharing genes that enhance their defenses. The cholera pathogen</w:t>
      </w:r>
      <w:r>
        <w:t xml:space="preserve"> </w:t>
      </w:r>
      <w:r>
        <w:t>Vibrio cholerae</w:t>
      </w:r>
      <w:r>
        <w:t xml:space="preserve"> </w:t>
      </w:r>
      <w:r>
        <w:t>carries a sedentary chromosomal integron (SCI), a genetic element containing hundreds of mostly promoterless gene cassettes, about 10% of which encode antiviral systems. Cassettes are thought to reshuffle under stress to the favorable first array position, yet the SCI in pandemic</w:t>
      </w:r>
      <w:r>
        <w:t xml:space="preserve"> </w:t>
      </w:r>
      <w:r>
        <w:t>V. cholerae</w:t>
      </w:r>
      <w:r>
        <w:t xml:space="preserve"> </w:t>
      </w:r>
      <w:r>
        <w:t>has remained static for more than 60 years. In this study, we show that SCI diversification efficiently occurs by horizontal transfer linked to the genus’s aquatic lifestyle: DNA released from lysed cells is taken up by naturally competent vibrios and integrated into the first position of the SCI array, the primary site of strong expression, where it confers resistance to phage and potentially other threats.</w:t>
      </w:r>
    </w:p>
    <w:p>
      <w:pPr>
        <w:spacing w:before="120" w:after="120"/>
      </w:pPr>
      <w:r>
        <w:rPr>
          <w:sz w:val="18"/>
        </w:rPr>
        <w:t>——————————————————————————————————————————————————————————————————————</w:t>
      </w:r>
    </w:p>
    <w:p>
      <w:pPr>
        <w:spacing w:before="160" w:after="40" w:line="240" w:lineRule="auto"/>
      </w:pPr>
      <w:r>
        <w:rPr>
          <w:b/>
        </w:rPr>
        <w:t xml:space="preserve">[429] </w:t>
      </w:r>
      <w:hyperlink r:id="rId973">
        <w:r>
          <w:rPr>
            <w:color w:val="1155CC"/>
            <w:u w:val="single"/>
          </w:rPr>
          <w:t>人工智能如何重新设计蛋白质工程</w:t>
        </w:r>
      </w:hyperlink>
    </w:p>
    <w:p>
      <w:pPr>
        <w:spacing w:before="0" w:after="80"/>
      </w:pPr>
      <w:r>
        <w:rPr>
          <w:i/>
          <w:sz w:val="20"/>
        </w:rPr>
        <w:t>EN: How artificial intelligence is reengineering protein engineering</w:t>
      </w:r>
    </w:p>
    <w:p>
      <w:pPr>
        <w:spacing w:before="0" w:after="120"/>
      </w:pPr>
      <w:r>
        <w:rPr>
          <w:b/>
        </w:rPr>
        <w:t xml:space="preserve">Source: </w:t>
      </w:r>
      <w:r>
        <w:t>AAAS: Science: Table of Contents</w:t>
      </w:r>
      <w:r>
        <w:t xml:space="preserve">    </w:t>
      </w:r>
      <w:r>
        <w:rPr>
          <w:b/>
        </w:rPr>
        <w:t xml:space="preserve">Pub date: </w:t>
      </w:r>
      <w:r>
        <w:t>2026-04-09 06:00:02+00:00</w:t>
      </w:r>
      <w:r>
        <w:t xml:space="preserve">    </w:t>
      </w:r>
      <w:r>
        <w:rPr>
          <w:b/>
        </w:rPr>
        <w:t xml:space="preserve">DOI: </w:t>
      </w:r>
      <w:hyperlink r:id="rId974">
        <w:r>
          <w:rPr>
            <w:color w:val="1155CC"/>
            <w:u w:val="single"/>
          </w:rPr>
          <w:t>10.1126/science.aec8444</w:t>
        </w:r>
      </w:hyperlink>
    </w:p>
    <w:p>
      <w:pPr>
        <w:spacing w:before="0" w:after="120"/>
      </w:pPr>
      <w:r>
        <w:rPr>
          <w:b/>
        </w:rPr>
        <w:t xml:space="preserve">Notes: </w:t>
      </w:r>
      <w:r>
        <w:t>abstract_source=crossref</w:t>
      </w:r>
    </w:p>
    <w:p>
      <w:pPr>
        <w:spacing w:before="0" w:after="80" w:lineRule="auto" w:line="276"/>
      </w:pPr>
      <w:r>
        <w:rPr>
          <w:b/>
        </w:rPr>
        <w:t xml:space="preserve">摘要（ZH）: </w:t>
      </w:r>
      <w:r>
        <w:t>在过去的几十年中，蛋白质工程已经发展成为一个独立的领域，由计算建模和高通量湿实验室实验推动，广泛应用于治疗、诊断、农业和制造业。近年来，人工智能（AI）进一步推动了蛋白质工程的发展，使得在高维序列空间中更有效地搜索具有所需特性的蛋白质。值得注意的基于AI的进展包括序列的生成建模、骨架结构和原子；定制此类模型的一般版本以设计具有特定特性的蛋白质；用于提取蛋白质表示和评分候选蛋白质序列的建模；以及开发用于文库设计的技术，包括合成感知方法。</w:t>
      </w:r>
    </w:p>
    <w:p>
      <w:pPr>
        <w:spacing w:before="0" w:after="200" w:lineRule="auto" w:line="276"/>
      </w:pPr>
      <w:r>
        <w:rPr>
          <w:b/>
        </w:rPr>
        <w:t xml:space="preserve">Abstract (EN): </w:t>
      </w:r>
      <w:r>
        <w:t>Over the past decades, protein engineering has matured into a field of its own, driven by computational modeling and high-throughput wet lab experiments, with broad application in therapeutics, diagnostics, agriculture, and manufacturing. In recent years, artificial intelligence (AI) has further propelled protein engineering by enabling more efficient search through high-dimensional sequence space for proteins with desired properties. Notable AI-based advances encompass generative modeling of sequences, backbone structure, and atoms; tailoring general versions of such models to design proteins with specific properties; modeling for extraction of protein representations and scoring candidate protein sequences; and developing techniques for library design, including synthesis-aware approaches. Herein we discuss these advances, emphasizing a unifying view through a statistical interpretation of modern AI approaches.</w:t>
      </w:r>
    </w:p>
    <w:p>
      <w:pPr>
        <w:spacing w:before="120" w:after="120"/>
      </w:pPr>
      <w:r>
        <w:rPr>
          <w:sz w:val="18"/>
        </w:rPr>
        <w:t>——————————————————————————————————————————————————————————————————————</w:t>
      </w:r>
    </w:p>
    <w:p>
      <w:pPr>
        <w:spacing w:before="160" w:after="40" w:line="240" w:lineRule="auto"/>
      </w:pPr>
      <w:r>
        <w:rPr>
          <w:b/>
        </w:rPr>
        <w:t xml:space="preserve">[430] </w:t>
      </w:r>
      <w:hyperlink r:id="rId975">
        <w:r>
          <w:rPr>
            <w:color w:val="1155CC"/>
            <w:u w:val="single"/>
          </w:rPr>
          <w:t>错误中的智慧</w:t>
        </w:r>
      </w:hyperlink>
    </w:p>
    <w:p>
      <w:pPr>
        <w:spacing w:before="0" w:after="80"/>
      </w:pPr>
      <w:r>
        <w:rPr>
          <w:i/>
          <w:sz w:val="20"/>
        </w:rPr>
        <w:t>EN: The wisdom in mistakes</w:t>
      </w:r>
    </w:p>
    <w:p>
      <w:pPr>
        <w:spacing w:before="0" w:after="120"/>
      </w:pPr>
      <w:r>
        <w:rPr>
          <w:b/>
        </w:rPr>
        <w:t xml:space="preserve">Source: </w:t>
      </w:r>
      <w:r>
        <w:t>AAAS: Science: Table of Contents</w:t>
      </w:r>
      <w:r>
        <w:t xml:space="preserve">    </w:t>
      </w:r>
      <w:r>
        <w:rPr>
          <w:b/>
        </w:rPr>
        <w:t xml:space="preserve">Pub date: </w:t>
      </w:r>
      <w:r>
        <w:t>2026-04-09 06:00:02+00:00</w:t>
      </w:r>
      <w:r>
        <w:t xml:space="preserve">    </w:t>
      </w:r>
      <w:r>
        <w:rPr>
          <w:b/>
        </w:rPr>
        <w:t xml:space="preserve">DOI: </w:t>
      </w:r>
      <w:hyperlink r:id="rId976">
        <w:r>
          <w:rPr>
            <w:color w:val="1155CC"/>
            <w:u w:val="single"/>
          </w:rPr>
          <w:t>10.1126/science.aeh8290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[431] </w:t>
      </w:r>
      <w:hyperlink r:id="rId977">
        <w:r>
          <w:rPr>
            <w:color w:val="1155CC"/>
            <w:u w:val="single"/>
          </w:rPr>
          <w:t>野生黑猩猩中的内战</w:t>
        </w:r>
      </w:hyperlink>
    </w:p>
    <w:p>
      <w:pPr>
        <w:spacing w:before="0" w:after="80"/>
      </w:pPr>
      <w:r>
        <w:rPr>
          <w:i/>
          <w:sz w:val="20"/>
        </w:rPr>
        <w:t>EN: Civil war among wild chimpanzees</w:t>
      </w:r>
    </w:p>
    <w:p>
      <w:pPr>
        <w:spacing w:before="0" w:after="120"/>
      </w:pPr>
      <w:r>
        <w:rPr>
          <w:b/>
        </w:rPr>
        <w:t xml:space="preserve">Source: </w:t>
      </w:r>
      <w:r>
        <w:t>AAAS: Science: Table of Contents</w:t>
      </w:r>
      <w:r>
        <w:t xml:space="preserve">    </w:t>
      </w:r>
      <w:r>
        <w:rPr>
          <w:b/>
        </w:rPr>
        <w:t xml:space="preserve">Pub date: </w:t>
      </w:r>
      <w:r>
        <w:t>2026-04-09 06:00:02+00:00</w:t>
      </w:r>
      <w:r>
        <w:t xml:space="preserve">    </w:t>
      </w:r>
      <w:r>
        <w:rPr>
          <w:b/>
        </w:rPr>
        <w:t xml:space="preserve">DOI: </w:t>
      </w:r>
      <w:hyperlink r:id="rId978">
        <w:r>
          <w:rPr>
            <w:color w:val="1155CC"/>
            <w:u w:val="single"/>
          </w:rPr>
          <w:t>10.1126/science.aeg6719</w:t>
        </w:r>
      </w:hyperlink>
    </w:p>
    <w:p>
      <w:pPr>
        <w:spacing w:before="0" w:after="120"/>
      </w:pPr>
      <w:r>
        <w:rPr>
          <w:b/>
        </w:rPr>
        <w:t xml:space="preserve">Notes: </w:t>
      </w:r>
      <w:r>
        <w:t>abstract_source=crossref</w:t>
      </w:r>
    </w:p>
    <w:p>
      <w:pPr>
        <w:spacing w:before="0" w:after="80" w:lineRule="auto" w:line="276"/>
      </w:pPr>
      <w:r>
        <w:rPr>
          <w:b/>
        </w:rPr>
        <w:t xml:space="preserve">摘要（ZH）: </w:t>
      </w:r>
      <w:r>
        <w:t>一群黑猩猩中的激烈分裂突显了战争与和平的进化根源。</w:t>
      </w:r>
    </w:p>
    <w:p>
      <w:pPr>
        <w:spacing w:before="0" w:after="200" w:lineRule="auto" w:line="276"/>
      </w:pPr>
      <w:r>
        <w:rPr>
          <w:b/>
        </w:rPr>
        <w:t xml:space="preserve">Abstract (EN): </w:t>
      </w:r>
      <w:r>
        <w:t>A violent split in a group of chimpanzees highlights the evolutionary roots of war and peace</w:t>
      </w:r>
    </w:p>
    <w:p>
      <w:pPr>
        <w:spacing w:before="120" w:after="120"/>
      </w:pPr>
      <w:r>
        <w:rPr>
          <w:sz w:val="18"/>
        </w:rPr>
        <w:t>——————————————————————————————————————————————————————————————————————</w:t>
      </w:r>
    </w:p>
    <w:p>
      <w:pPr>
        <w:spacing w:before="160" w:after="40" w:line="240" w:lineRule="auto"/>
      </w:pPr>
      <w:r>
        <w:rPr>
          <w:b/>
        </w:rPr>
        <w:t xml:space="preserve">[432] </w:t>
      </w:r>
      <w:hyperlink r:id="rId979">
        <w:r>
          <w:rPr>
            <w:color w:val="1155CC"/>
            <w:u w:val="single"/>
          </w:rPr>
          <w:t>随机波动的普遍法则</w:t>
        </w:r>
      </w:hyperlink>
    </w:p>
    <w:p>
      <w:pPr>
        <w:spacing w:before="0" w:after="80"/>
      </w:pPr>
      <w:r>
        <w:rPr>
          <w:i/>
          <w:sz w:val="20"/>
        </w:rPr>
        <w:t>EN: A universal law for random fluctuations</w:t>
      </w:r>
    </w:p>
    <w:p>
      <w:pPr>
        <w:spacing w:before="0" w:after="120"/>
      </w:pPr>
      <w:r>
        <w:rPr>
          <w:b/>
        </w:rPr>
        <w:t xml:space="preserve">Source: </w:t>
      </w:r>
      <w:r>
        <w:t>AAAS: Science: Table of Contents</w:t>
      </w:r>
      <w:r>
        <w:t xml:space="preserve">    </w:t>
      </w:r>
      <w:r>
        <w:rPr>
          <w:b/>
        </w:rPr>
        <w:t xml:space="preserve">Pub date: </w:t>
      </w:r>
      <w:r>
        <w:t>2026-04-09 06:00:02+00:00</w:t>
      </w:r>
      <w:r>
        <w:t xml:space="preserve">    </w:t>
      </w:r>
      <w:r>
        <w:rPr>
          <w:b/>
        </w:rPr>
        <w:t xml:space="preserve">DOI: </w:t>
      </w:r>
      <w:hyperlink r:id="rId980">
        <w:r>
          <w:rPr>
            <w:color w:val="1155CC"/>
            <w:u w:val="single"/>
          </w:rPr>
          <w:t>10.1126/science.aeg3150</w:t>
        </w:r>
      </w:hyperlink>
    </w:p>
    <w:p>
      <w:pPr>
        <w:spacing w:before="0" w:after="120"/>
      </w:pPr>
      <w:r>
        <w:rPr>
          <w:b/>
        </w:rPr>
        <w:t xml:space="preserve">Notes: </w:t>
      </w:r>
      <w:r>
        <w:t>abstract_source=crossref</w:t>
      </w:r>
    </w:p>
    <w:p>
      <w:pPr>
        <w:spacing w:before="0" w:after="80" w:lineRule="auto" w:line="276"/>
      </w:pPr>
      <w:r>
        <w:rPr>
          <w:b/>
        </w:rPr>
        <w:t xml:space="preserve">摘要（ZH）: </w:t>
      </w:r>
      <w:r>
        <w:t>二维准粒子阵列证实了非平衡系统的普适标度理论</w:t>
      </w:r>
    </w:p>
    <w:p>
      <w:pPr>
        <w:spacing w:before="0" w:after="200" w:lineRule="auto" w:line="276"/>
      </w:pPr>
      <w:r>
        <w:rPr>
          <w:b/>
        </w:rPr>
        <w:t xml:space="preserve">Abstract (EN): </w:t>
      </w:r>
      <w:r>
        <w:t>A two-dimensional array of quasiparticles confirms a universal scaling theory for nonequilibrium systems</w:t>
      </w:r>
    </w:p>
    <w:p>
      <w:pPr>
        <w:spacing w:before="120" w:after="120"/>
      </w:pPr>
      <w:r>
        <w:rPr>
          <w:sz w:val="18"/>
        </w:rPr>
        <w:t>——————————————————————————————————————————————————————————————————————</w:t>
      </w:r>
    </w:p>
    <w:p>
      <w:pPr>
        <w:spacing w:before="160" w:after="40" w:line="240" w:lineRule="auto"/>
      </w:pPr>
      <w:r>
        <w:rPr>
          <w:b/>
        </w:rPr>
        <w:t xml:space="preserve">[433] </w:t>
      </w:r>
      <w:hyperlink r:id="rId981">
        <w:r>
          <w:rPr>
            <w:color w:val="1155CC"/>
            <w:u w:val="single"/>
          </w:rPr>
          <w:t>白血病细胞的唾液酸屏障</w:t>
        </w:r>
      </w:hyperlink>
    </w:p>
    <w:p>
      <w:pPr>
        <w:spacing w:before="0" w:after="80"/>
      </w:pPr>
      <w:r>
        <w:rPr>
          <w:i/>
          <w:sz w:val="20"/>
        </w:rPr>
        <w:t>EN: The sialic shield of leukemia cells</w:t>
      </w:r>
    </w:p>
    <w:p>
      <w:pPr>
        <w:spacing w:before="0" w:after="120"/>
      </w:pPr>
      <w:r>
        <w:rPr>
          <w:b/>
        </w:rPr>
        <w:t xml:space="preserve">Source: </w:t>
      </w:r>
      <w:r>
        <w:t>AAAS: Science: Table of Contents</w:t>
      </w:r>
      <w:r>
        <w:t xml:space="preserve">    </w:t>
      </w:r>
      <w:r>
        <w:rPr>
          <w:b/>
        </w:rPr>
        <w:t xml:space="preserve">Pub date: </w:t>
      </w:r>
      <w:r>
        <w:t>2026-04-09 06:00:02+00:00</w:t>
      </w:r>
      <w:r>
        <w:t xml:space="preserve">    </w:t>
      </w:r>
      <w:r>
        <w:rPr>
          <w:b/>
        </w:rPr>
        <w:t xml:space="preserve">DOI: </w:t>
      </w:r>
      <w:hyperlink r:id="rId982">
        <w:r>
          <w:rPr>
            <w:color w:val="1155CC"/>
            <w:u w:val="single"/>
          </w:rPr>
          <w:t>10.1126/science.aeg6715</w:t>
        </w:r>
      </w:hyperlink>
    </w:p>
    <w:p>
      <w:pPr>
        <w:spacing w:before="0" w:after="120"/>
      </w:pPr>
      <w:r>
        <w:rPr>
          <w:b/>
        </w:rPr>
        <w:t xml:space="preserve">Notes: </w:t>
      </w:r>
      <w:r>
        <w:t>abstract_source=crossref</w:t>
      </w:r>
    </w:p>
    <w:p>
      <w:pPr>
        <w:spacing w:before="0" w:after="80" w:lineRule="auto" w:line="276"/>
      </w:pPr>
      <w:r>
        <w:rPr>
          <w:b/>
        </w:rPr>
        <w:t xml:space="preserve">摘要（ZH）: </w:t>
      </w:r>
      <w:r>
        <w:t>唾液酸化蛋白的外衣保护人类白血病细胞免遭破坏</w:t>
      </w:r>
    </w:p>
    <w:p>
      <w:pPr>
        <w:spacing w:before="0" w:after="200" w:lineRule="auto" w:line="276"/>
      </w:pPr>
      <w:r>
        <w:rPr>
          <w:b/>
        </w:rPr>
        <w:t xml:space="preserve">Abstract (EN): </w:t>
      </w:r>
      <w:r>
        <w:t>A coat of sialylated protein protects human leukemia cells from destruction</w:t>
      </w:r>
    </w:p>
    <w:p>
      <w:pPr>
        <w:spacing w:before="120" w:after="120"/>
      </w:pPr>
      <w:r>
        <w:rPr>
          <w:sz w:val="18"/>
        </w:rPr>
        <w:t>——————————————————————————————————————————————————————————————————————</w:t>
      </w:r>
    </w:p>
    <w:p>
      <w:pPr>
        <w:spacing w:before="160" w:after="40" w:line="240" w:lineRule="auto"/>
      </w:pPr>
      <w:r>
        <w:rPr>
          <w:b/>
        </w:rPr>
        <w:t xml:space="preserve">[434] </w:t>
      </w:r>
      <w:hyperlink r:id="rId983">
        <w:r>
          <w:rPr>
            <w:color w:val="1155CC"/>
            <w:u w:val="single"/>
          </w:rPr>
          <w:t>唤醒哺乳动物的潜在再生能力</w:t>
        </w:r>
      </w:hyperlink>
    </w:p>
    <w:p>
      <w:pPr>
        <w:spacing w:before="0" w:after="80"/>
      </w:pPr>
      <w:r>
        <w:rPr>
          <w:i/>
          <w:sz w:val="20"/>
        </w:rPr>
        <w:t>EN: Awakening latent regeneration in mammals</w:t>
      </w:r>
    </w:p>
    <w:p>
      <w:pPr>
        <w:spacing w:before="0" w:after="120"/>
      </w:pPr>
      <w:r>
        <w:rPr>
          <w:b/>
        </w:rPr>
        <w:t xml:space="preserve">Source: </w:t>
      </w:r>
      <w:r>
        <w:t>AAAS: Science: Table of Contents</w:t>
      </w:r>
      <w:r>
        <w:t xml:space="preserve">    </w:t>
      </w:r>
      <w:r>
        <w:rPr>
          <w:b/>
        </w:rPr>
        <w:t xml:space="preserve">Pub date: </w:t>
      </w:r>
      <w:r>
        <w:t>2026-04-09 06:00:02+00:00</w:t>
      </w:r>
      <w:r>
        <w:t xml:space="preserve">    </w:t>
      </w:r>
      <w:r>
        <w:rPr>
          <w:b/>
        </w:rPr>
        <w:t xml:space="preserve">DOI: </w:t>
      </w:r>
      <w:hyperlink r:id="rId984">
        <w:r>
          <w:rPr>
            <w:color w:val="1155CC"/>
            <w:u w:val="single"/>
          </w:rPr>
          <w:t>10.1126/science.aeg3859</w:t>
        </w:r>
      </w:hyperlink>
    </w:p>
    <w:p>
      <w:pPr>
        <w:spacing w:before="0" w:after="120"/>
      </w:pPr>
      <w:r>
        <w:rPr>
          <w:b/>
        </w:rPr>
        <w:t xml:space="preserve">Notes: </w:t>
      </w:r>
      <w:r>
        <w:t>abstract_source=crossref</w:t>
      </w:r>
    </w:p>
    <w:p>
      <w:pPr>
        <w:spacing w:before="0" w:after="80" w:lineRule="auto" w:line="276"/>
      </w:pPr>
      <w:r>
        <w:rPr>
          <w:b/>
        </w:rPr>
        <w:t xml:space="preserve">摘要（ZH）: </w:t>
      </w:r>
      <w:r>
        <w:t>外在因素可以创造一个鼓励恢复的局部组织环境</w:t>
      </w:r>
    </w:p>
    <w:p>
      <w:pPr>
        <w:spacing w:before="0" w:after="200" w:lineRule="auto" w:line="276"/>
      </w:pPr>
      <w:r>
        <w:rPr>
          <w:b/>
        </w:rPr>
        <w:t xml:space="preserve">Abstract (EN): </w:t>
      </w:r>
      <w:r>
        <w:t>Extrinsic factors can create a local tissue environment that encourages restoration</w:t>
      </w:r>
    </w:p>
    <w:p>
      <w:pPr>
        <w:spacing w:before="120" w:after="120"/>
      </w:pPr>
      <w:r>
        <w:rPr>
          <w:sz w:val="18"/>
        </w:rPr>
        <w:t>——————————————————————————————————————————————————————————————————————</w:t>
      </w:r>
    </w:p>
    <w:p>
      <w:pPr>
        <w:spacing w:before="160" w:after="40" w:line="240" w:lineRule="auto"/>
      </w:pPr>
      <w:r>
        <w:rPr>
          <w:b/>
        </w:rPr>
        <w:t xml:space="preserve">[435] </w:t>
      </w:r>
      <w:hyperlink r:id="rId985">
        <w:r>
          <w:rPr>
            <w:color w:val="1155CC"/>
            <w:u w:val="single"/>
          </w:rPr>
          <w:t>人类腹侧颞叶皮层中感知和想象物体的共享编码</w:t>
        </w:r>
      </w:hyperlink>
    </w:p>
    <w:p>
      <w:pPr>
        <w:spacing w:before="0" w:after="80"/>
      </w:pPr>
      <w:r>
        <w:rPr>
          <w:i/>
          <w:sz w:val="20"/>
        </w:rPr>
        <w:t>EN: A shared code for perceiving and imagining objects in human ventral temporal cortex</w:t>
      </w:r>
    </w:p>
    <w:p>
      <w:pPr>
        <w:spacing w:before="0" w:after="120"/>
      </w:pPr>
      <w:r>
        <w:rPr>
          <w:b/>
        </w:rPr>
        <w:t xml:space="preserve">Source: </w:t>
      </w:r>
      <w:r>
        <w:t>AAAS: Science: Table of Contents</w:t>
      </w:r>
      <w:r>
        <w:t xml:space="preserve">    </w:t>
      </w:r>
      <w:r>
        <w:rPr>
          <w:b/>
        </w:rPr>
        <w:t xml:space="preserve">Pub date: </w:t>
      </w:r>
      <w:r>
        <w:t>2026-04-09 06:00:02+00:00</w:t>
      </w:r>
      <w:r>
        <w:t xml:space="preserve">    </w:t>
      </w:r>
      <w:r>
        <w:rPr>
          <w:b/>
        </w:rPr>
        <w:t xml:space="preserve">DOI: </w:t>
      </w:r>
      <w:hyperlink r:id="rId986">
        <w:r>
          <w:rPr>
            <w:color w:val="1155CC"/>
            <w:u w:val="single"/>
          </w:rPr>
          <w:t>10.1126/science.adt8343</w:t>
        </w:r>
      </w:hyperlink>
    </w:p>
    <w:p>
      <w:pPr>
        <w:spacing w:before="0" w:after="120"/>
      </w:pPr>
      <w:r>
        <w:rPr>
          <w:b/>
        </w:rPr>
        <w:t xml:space="preserve">Notes: </w:t>
      </w:r>
      <w:r>
        <w:t>abstract_source=crossref</w:t>
      </w:r>
    </w:p>
    <w:p>
      <w:pPr>
        <w:spacing w:before="0" w:after="80" w:lineRule="auto" w:line="276"/>
      </w:pPr>
      <w:r>
        <w:rPr>
          <w:b/>
        </w:rPr>
        <w:t xml:space="preserve">摘要（ZH）: </w:t>
      </w:r>
      <w:r>
        <w:t>心理意象使我们能够记住过去的经历并想象新的经历。动物研究为视觉感知机制提供了丰富的见解，但视觉意象的神经机制仍然知之甚少。我们确定在人类腹侧颞叶皮层（VTC）中，大约80%的视觉响应单个神经元使用分布轴代码来表示物体。我们使用该代码重建物体并生成最大效能的合成刺激。然后，我们记录了受试者想象特定物体时相同神经群体的反应；大约40%的轴调谐VTC神经元重现了视觉代码。我们的研究结果表明，视觉意象是通过感知中涉及的相同神经元的再激活来支持的，提供了单个神经元的证据。</w:t>
      </w:r>
    </w:p>
    <w:p>
      <w:pPr>
        <w:spacing w:before="0" w:after="200" w:lineRule="auto" w:line="276"/>
      </w:pPr>
      <w:r>
        <w:rPr>
          <w:b/>
        </w:rPr>
        <w:t xml:space="preserve">Abstract (EN): </w:t>
      </w:r>
      <w:r>
        <w:t>Mental imagery allows us to remember previous experiences and imagine new ones. Animal studies have yielded rich insight into mechanisms for visual perception, but the neural mechanisms for visual imagery remain poorly understood. We determined that approximately 80% of visually responsive single neurons in the human ventral temporal cortex (VTC) use a distributed axis code to represent objects. We used that code to reconstruct objects and generate maximally effective synthetic stimuli. We then recorded responses from the same neural population while subjects imagined specific objects; about 40% of axis-tuned VTC neurons recapitulated the visual code. Our findings reveal that visual imagery is supported by reactivation of the same neurons involved in perception, providing single-neuron evidence for the existence of a generative model in human VTC.</w:t>
      </w:r>
    </w:p>
    <w:p>
      <w:pPr>
        <w:spacing w:before="120" w:after="120"/>
      </w:pPr>
      <w:r>
        <w:rPr>
          <w:sz w:val="18"/>
        </w:rPr>
        <w:t>——————————————————————————————————————————————————————————————————————</w:t>
      </w:r>
    </w:p>
    <w:p>
      <w:pPr>
        <w:spacing w:before="160" w:after="40" w:line="240" w:lineRule="auto"/>
      </w:pPr>
      <w:r>
        <w:rPr>
          <w:b/>
        </w:rPr>
        <w:t xml:space="preserve">[436] </w:t>
      </w:r>
      <w:hyperlink r:id="rId987">
        <w:r>
          <w:rPr>
            <w:color w:val="1155CC"/>
            <w:u w:val="single"/>
          </w:rPr>
          <w:t>间歇性河岸崩塌驱动的冲积河宽度变化</w:t>
        </w:r>
      </w:hyperlink>
    </w:p>
    <w:p>
      <w:pPr>
        <w:spacing w:before="0" w:after="80"/>
      </w:pPr>
      <w:r>
        <w:rPr>
          <w:i/>
          <w:sz w:val="20"/>
        </w:rPr>
        <w:t>EN: Variability in alluvial river width driven by intermittent bank collapse</w:t>
      </w:r>
    </w:p>
    <w:p>
      <w:pPr>
        <w:spacing w:before="0" w:after="120"/>
      </w:pPr>
      <w:r>
        <w:rPr>
          <w:b/>
        </w:rPr>
        <w:t xml:space="preserve">Source: </w:t>
      </w:r>
      <w:r>
        <w:t>Proceedings of the National Academy of Sciences: Keyword search for query</w:t>
      </w:r>
      <w:r>
        <w:t xml:space="preserve">    </w:t>
      </w:r>
      <w:r>
        <w:rPr>
          <w:b/>
        </w:rPr>
        <w:t xml:space="preserve">Pub date: </w:t>
      </w:r>
      <w:r>
        <w:t>2026-04-09 07:00:00+00:00</w:t>
      </w:r>
      <w:r>
        <w:t xml:space="preserve">    </w:t>
      </w:r>
      <w:r>
        <w:rPr>
          <w:b/>
        </w:rPr>
        <w:t xml:space="preserve">DOI: </w:t>
      </w:r>
      <w:hyperlink r:id="rId988">
        <w:r>
          <w:rPr>
            <w:color w:val="1155CC"/>
            <w:u w:val="single"/>
          </w:rPr>
          <w:t>10.1073/pnas.2525442123</w:t>
        </w:r>
      </w:hyperlink>
    </w:p>
    <w:p>
      <w:pPr>
        <w:spacing w:before="0" w:after="120"/>
      </w:pPr>
      <w:r>
        <w:rPr>
          <w:b/>
        </w:rPr>
        <w:t xml:space="preserve">Notes: </w:t>
      </w:r>
      <w:r>
        <w:t>abstract_source=crossref</w:t>
      </w:r>
    </w:p>
    <w:p>
      <w:pPr>
        <w:spacing w:before="0" w:after="80" w:lineRule="auto" w:line="276"/>
      </w:pPr>
      <w:r>
        <w:rPr>
          <w:b/>
        </w:rPr>
        <w:t xml:space="preserve">摘要（ZH）: </w:t>
      </w:r>
      <w:r>
        <w:t>冲积河流长期以来一直由水力几何理论描述，该理论将平衡河道尺寸与流量联系起来。然而，自然河流本质上是动态的，平面形态随时间演变，宽度围绕平衡状态波动。尽管数据集越来越精细，但河流宽度变化的机制仍然知之甚少。在此，我们使用高分辨率卫星图像分析全球分布的冲积河流集，以检查宽度变化的空间模式。当以平均河道宽度归一化时，我们识别出三种特征波长的宽度变化，每种波长与不同的地貌特征相关联：曲流弯道、中河道沙洲和与间歇性河岸崩塌相关的局部河岸切割。傅里叶</w:t>
      </w:r>
    </w:p>
    <w:p>
      <w:pPr>
        <w:spacing w:before="0" w:after="200" w:lineRule="auto" w:line="276"/>
      </w:pPr>
      <w:r>
        <w:rPr>
          <w:b/>
        </w:rPr>
        <w:t xml:space="preserve">Abstract (EN): </w:t>
      </w:r>
      <w:r>
        <w:t>Alluvial rivers have long been described by hydraulic geometry theory, which links equilibrium channel dimensions to flow discharge. Yet natural rivers are inherently dynamic, with planforms evolving over time and widths fluctuating around an equilibrium state. Despite increasingly refined datasets, the mechanisms underlying river width variability remain poorly understood. Here, we analyze a globally distributed set of alluvial rivers using high-resolution satellite imagery to examine spatial patterns of width variability. When normalized by mean channel width, we identify three characteristic wavelengths of width variability, each associated with a distinct geomorphic feature: meander bends, mid-channel bars, and localized bank-line incisions linked to intermittent bank collapse. Fourier analysis reveals a strong inverse relation between intermittent collapse-driven width variability and bend-average curvature, suggesting that intermittent bank collapse plays a prominent geomorphic role in mildly curved rivers. Numerical modeling further demonstrates that intermittent bank collapse affects the overall river morphodynamics, accelerating lateral migration and enhancing floodplain reworking. By illustrating intermittent bank collapse as a significant mechanism of river width adjustment, our findings refine classical fluvial geomorphology theory and hold implications for river restoration and organic carbon flux estimation in a warming era.</w:t>
      </w:r>
    </w:p>
    <w:p>
      <w:pPr>
        <w:spacing w:before="120" w:after="120"/>
      </w:pPr>
      <w:r>
        <w:rPr>
          <w:sz w:val="18"/>
        </w:rPr>
        <w:t>——————————————————————————————————————————————————————————————————————</w:t>
      </w:r>
    </w:p>
    <w:p>
      <w:pPr>
        <w:spacing w:before="160" w:after="40" w:line="240" w:lineRule="auto"/>
      </w:pPr>
      <w:r>
        <w:rPr>
          <w:b/>
        </w:rPr>
        <w:t xml:space="preserve">[437] </w:t>
      </w:r>
      <w:hyperlink r:id="rId989">
        <w:r>
          <w:rPr>
            <w:color w:val="1155CC"/>
            <w:u w:val="single"/>
          </w:rPr>
          <w:t>微生物生态系统中的新兴可预测性</w:t>
        </w:r>
      </w:hyperlink>
    </w:p>
    <w:p>
      <w:pPr>
        <w:spacing w:before="0" w:after="80"/>
      </w:pPr>
      <w:r>
        <w:rPr>
          <w:i/>
          <w:sz w:val="20"/>
        </w:rPr>
        <w:t>EN: Emergent predictability in microbial ecosystems</w:t>
      </w:r>
    </w:p>
    <w:p>
      <w:pPr>
        <w:spacing w:before="0" w:after="120"/>
      </w:pPr>
      <w:r>
        <w:rPr>
          <w:b/>
        </w:rPr>
        <w:t xml:space="preserve">Source: </w:t>
      </w:r>
      <w:r>
        <w:t>AAAS: Science: Table of Contents</w:t>
      </w:r>
      <w:r>
        <w:t xml:space="preserve">    </w:t>
      </w:r>
      <w:r>
        <w:rPr>
          <w:b/>
        </w:rPr>
        <w:t xml:space="preserve">Pub date: </w:t>
      </w:r>
      <w:r>
        <w:t>2026-04-09 07:00:00+00:00</w:t>
      </w:r>
      <w:r>
        <w:t xml:space="preserve">    </w:t>
      </w:r>
      <w:r>
        <w:rPr>
          <w:b/>
        </w:rPr>
        <w:t xml:space="preserve">DOI: </w:t>
      </w:r>
      <w:hyperlink r:id="rId990">
        <w:r>
          <w:rPr>
            <w:color w:val="1155CC"/>
            <w:u w:val="single"/>
          </w:rPr>
          <w:t>10.1126/science.adr1440</w:t>
        </w:r>
      </w:hyperlink>
    </w:p>
    <w:p>
      <w:pPr>
        <w:spacing w:before="0" w:after="120"/>
      </w:pPr>
      <w:r>
        <w:rPr>
          <w:b/>
        </w:rPr>
        <w:t xml:space="preserve">Notes: </w:t>
      </w:r>
      <w:r>
        <w:t>abstract_source=crossref</w:t>
      </w:r>
    </w:p>
    <w:p>
      <w:pPr>
        <w:spacing w:before="0" w:after="80" w:lineRule="auto" w:line="276"/>
      </w:pPr>
      <w:r>
        <w:rPr>
          <w:b/>
        </w:rPr>
        <w:t xml:space="preserve">摘要（ZH）: </w:t>
      </w:r>
      <w:r>
        <w:t>微生物生态学的一个长期假设是，尽管社区复杂性存在，简单模式可能会持续存在，甚至因为复杂性而出现。然而，“涌现的简单性”这一概念仍然部分直观。在此，我们基于将个体微生物菌株分组为更广泛类别的粗化描述的预测能力定义了微生物生态系统的涌现可预测性。我们使用两个已发表的数据集来展示，对于物种更丰富的社区，粗化描述变得更具预测性。这种行为不能简单地通过大社区中的平均效应来解释。相反，我们的分析表明，当生理或环境反馈沿着社区变异的某些轴线抵消这些平均效应时，涌现的可预测性就会出现。</w:t>
      </w:r>
    </w:p>
    <w:p>
      <w:pPr>
        <w:spacing w:before="0" w:after="200" w:lineRule="auto" w:line="276"/>
      </w:pPr>
      <w:r>
        <w:rPr>
          <w:b/>
        </w:rPr>
        <w:t xml:space="preserve">Abstract (EN): </w:t>
      </w:r>
      <w:r>
        <w:t>A long-standing hypothesis of microbial ecology is that simple patterns might persist despite community complexity or even emerge because of it. However, the concept of “emergent simplicity” remains partly intuitive. Here, we defined emergent predictability of microbial ecosystems based on the predictive power of coarsened descriptions that group individual microbial strains into broader classes. We used two published datasets to show that coarse descriptions became more predictive for more species-rich communities. This behavior was not explained by simple averaging effects in large communities. To the contrary, our analysis indicates that emergent predictability arises when physiological or environmental feedback counteracts these averaging effects along certain axes of community variation, allowing these axes to become more informative as diversity increases.</w:t>
      </w:r>
    </w:p>
    <w:p>
      <w:pPr>
        <w:spacing w:before="120" w:after="120"/>
      </w:pPr>
      <w:r>
        <w:rPr>
          <w:sz w:val="18"/>
        </w:rPr>
        <w:t>——————————————————————————————————————————————————————————————————————</w:t>
      </w:r>
    </w:p>
    <w:p>
      <w:pPr>
        <w:spacing w:before="160" w:after="40" w:line="240" w:lineRule="auto"/>
      </w:pPr>
      <w:r>
        <w:rPr>
          <w:b/>
        </w:rPr>
        <w:t xml:space="preserve">[438] </w:t>
      </w:r>
      <w:hyperlink r:id="rId991">
        <w:r>
          <w:rPr>
            <w:color w:val="1155CC"/>
            <w:u w:val="single"/>
          </w:rPr>
          <w:t>物种特异性氧感应调控脊椎动物肢体再生的启动</w:t>
        </w:r>
      </w:hyperlink>
    </w:p>
    <w:p>
      <w:pPr>
        <w:spacing w:before="0" w:after="80"/>
      </w:pPr>
      <w:r>
        <w:rPr>
          <w:i/>
          <w:sz w:val="20"/>
        </w:rPr>
        <w:t>EN: Species-specific oxygen sensing governs the initiation of vertebrate limb regeneration</w:t>
      </w:r>
    </w:p>
    <w:p>
      <w:pPr>
        <w:spacing w:before="0" w:after="120"/>
      </w:pPr>
      <w:r>
        <w:rPr>
          <w:b/>
        </w:rPr>
        <w:t xml:space="preserve">Source: </w:t>
      </w:r>
      <w:r>
        <w:t>AAAS: Science: Table of Contents</w:t>
      </w:r>
      <w:r>
        <w:t xml:space="preserve">    </w:t>
      </w:r>
      <w:r>
        <w:rPr>
          <w:b/>
        </w:rPr>
        <w:t xml:space="preserve">Pub date: </w:t>
      </w:r>
      <w:r>
        <w:t>2026-04-09 07:00:00+00:00</w:t>
      </w:r>
      <w:r>
        <w:t xml:space="preserve">    </w:t>
      </w:r>
      <w:r>
        <w:rPr>
          <w:b/>
        </w:rPr>
        <w:t xml:space="preserve">DOI: </w:t>
      </w:r>
      <w:hyperlink r:id="rId992">
        <w:r>
          <w:rPr>
            <w:color w:val="1155CC"/>
            <w:u w:val="single"/>
          </w:rPr>
          <w:t>10.1126/science.adw8526</w:t>
        </w:r>
      </w:hyperlink>
    </w:p>
    <w:p>
      <w:pPr>
        <w:spacing w:before="0" w:after="120"/>
      </w:pPr>
      <w:r>
        <w:rPr>
          <w:b/>
        </w:rPr>
        <w:t xml:space="preserve">Notes: </w:t>
      </w:r>
      <w:r>
        <w:t>abstract_source=crossref</w:t>
      </w:r>
    </w:p>
    <w:p>
      <w:pPr>
        <w:spacing w:before="0" w:after="80" w:lineRule="auto" w:line="276"/>
      </w:pPr>
      <w:r>
        <w:rPr>
          <w:b/>
        </w:rPr>
        <w:t xml:space="preserve">摘要（ZH）: </w:t>
      </w:r>
      <w:r>
        <w:t>哺乳动物为何不能像两栖动物那样再生肢体，这在生物学中是一个长期存在的谜题。为了揭示其潜在的差异，我们比较了小鼠（Mus musculus）胚胎和非洲爪蟾（Xenopus laevis）蝌蚪肢体的截肢反应。降低环境氧气或稳定氧敏感的缺氧诱导因子1A（HIF1A）可诱导小鼠肢体快速愈合。这一反应伴随着细胞力学、代谢和组蛋白景观的改变，这些改变为再生细胞状态做好了准备。相反，非洲爪蟾蝌蚪肢体即使在高氧水平下也保留了这些特征。其降低的氧感知能力与减少的H</w:t>
      </w:r>
    </w:p>
    <w:p>
      <w:pPr>
        <w:spacing w:before="0" w:after="200" w:lineRule="auto" w:line="276"/>
      </w:pPr>
      <w:r>
        <w:rPr>
          <w:b/>
        </w:rPr>
        <w:t xml:space="preserve">Abstract (EN): </w:t>
      </w:r>
      <w:r>
        <w:t>Why mammals cannot regenerate limbs like amphibians do presents a long-standing puzzle in biology. To uncover the underlying differences, we compared amputation responses of embryonic mouse (</w:t>
      </w:r>
      <w:r>
        <w:t xml:space="preserve"> </w:t>
      </w:r>
      <w:r>
        <w:t>Mus musculus</w:t>
      </w:r>
      <w:r>
        <w:t xml:space="preserve"> </w:t>
      </w:r>
      <w:r>
        <w:t>) and</w:t>
      </w:r>
      <w:r>
        <w:t xml:space="preserve"> </w:t>
      </w:r>
      <w:r>
        <w:t>Xenopus laevis</w:t>
      </w:r>
      <w:r>
        <w:t xml:space="preserve"> </w:t>
      </w:r>
      <w:r>
        <w:t>tadpole limbs. Lowering environmental oxygen or stabilizing the oxygen-sensitive hypoxia-inducible factor 1A (HIF1A) induced rapid wound healing in mouse limbs. This response was accompanied by altered cellular mechanics, metabolism, and a histone landscape that primed regenerative cell states. Conversely,</w:t>
      </w:r>
      <w:r>
        <w:t xml:space="preserve"> </w:t>
      </w:r>
      <w:r>
        <w:t>Xenopus</w:t>
      </w:r>
      <w:r>
        <w:t xml:space="preserve"> </w:t>
      </w:r>
      <w:r>
        <w:t>tadpole limbs retained these features even under high oxygen levels. Their reduced oxygen-sensing capacity was associated with decreased HIF1A-regulating gene expression. Our results thus identify species-specific oxygen-sensing capacity as a fundamental, targetable mechanism that can unlock latent regenerative programs in mammals.</w:t>
      </w:r>
    </w:p>
    <w:p>
      <w:pPr>
        <w:spacing w:before="120" w:after="120"/>
      </w:pPr>
      <w:r>
        <w:rPr>
          <w:sz w:val="18"/>
        </w:rPr>
        <w:t>——————————————————————————————————————————————————————————————————————</w:t>
      </w:r>
    </w:p>
    <w:p>
      <w:pPr>
        <w:spacing w:before="160" w:after="40" w:line="240" w:lineRule="auto"/>
      </w:pPr>
      <w:r>
        <w:rPr>
          <w:b/>
        </w:rPr>
        <w:t xml:space="preserve">[439] </w:t>
      </w:r>
      <w:hyperlink r:id="rId993">
        <w:r>
          <w:rPr>
            <w:color w:val="1155CC"/>
            <w:u w:val="single"/>
          </w:rPr>
          <w:t>黄石公园跨岩石圈岩浆输送系统的构造起源</w:t>
        </w:r>
      </w:hyperlink>
    </w:p>
    <w:p>
      <w:pPr>
        <w:spacing w:before="0" w:after="80"/>
      </w:pPr>
      <w:r>
        <w:rPr>
          <w:i/>
          <w:sz w:val="20"/>
        </w:rPr>
        <w:t>EN: Tectonic origin of Yellowstone’s translithospheric magma plumbing system</w:t>
      </w:r>
    </w:p>
    <w:p>
      <w:pPr>
        <w:spacing w:before="0" w:after="120"/>
      </w:pPr>
      <w:r>
        <w:rPr>
          <w:b/>
        </w:rPr>
        <w:t xml:space="preserve">Source: </w:t>
      </w:r>
      <w:r>
        <w:t>AAAS: Science: Table of Contents</w:t>
      </w:r>
      <w:r>
        <w:t xml:space="preserve">    </w:t>
      </w:r>
      <w:r>
        <w:rPr>
          <w:b/>
        </w:rPr>
        <w:t xml:space="preserve">Pub date: </w:t>
      </w:r>
      <w:r>
        <w:t>2026-04-09 07:00:00+00:00</w:t>
      </w:r>
      <w:r>
        <w:t xml:space="preserve">    </w:t>
      </w:r>
      <w:r>
        <w:rPr>
          <w:b/>
        </w:rPr>
        <w:t xml:space="preserve">DOI: </w:t>
      </w:r>
      <w:hyperlink r:id="rId994">
        <w:r>
          <w:rPr>
            <w:color w:val="1155CC"/>
            <w:u w:val="single"/>
          </w:rPr>
          <w:t>10.1126/science.ady2027</w:t>
        </w:r>
      </w:hyperlink>
    </w:p>
    <w:p>
      <w:pPr>
        <w:spacing w:before="0" w:after="120"/>
      </w:pPr>
      <w:r>
        <w:rPr>
          <w:b/>
        </w:rPr>
        <w:t xml:space="preserve">Notes: </w:t>
      </w:r>
      <w:r>
        <w:t>abstract_source=crossref</w:t>
      </w:r>
    </w:p>
    <w:p>
      <w:pPr>
        <w:spacing w:before="0" w:after="80" w:lineRule="auto" w:line="276"/>
      </w:pPr>
      <w:r>
        <w:rPr>
          <w:b/>
        </w:rPr>
        <w:t xml:space="preserve">摘要（ZH）: </w:t>
      </w:r>
      <w:r>
        <w:t>黄石公园因其由软流圈熔体补充的地壳岩浆储库而广为人知。然而，原始熔体如何穿过刚性的岩石圈并演变为双峰火山作用仍不清楚。通过利用多学科观察和数据导向的地球动力学建模方法，我们证明了黄石地区的岩浆生成和迁移主要受岩石圈构造控制，地幔柱的贡献可以忽略不计。在黄石公园下方，我们的模型预测了一个向西南倾斜的伸展区，由岩石圈体力和基底牵引共同塑造。这个倾斜的跨岩石圈变形区类似于地球物理成像的岩浆管道系统，证实了构造伸展在利用软流圈中的关键作用。</w:t>
      </w:r>
    </w:p>
    <w:p>
      <w:pPr>
        <w:spacing w:before="0" w:after="200" w:lineRule="auto" w:line="276"/>
      </w:pPr>
      <w:r>
        <w:rPr>
          <w:b/>
        </w:rPr>
        <w:t xml:space="preserve">Abstract (EN): </w:t>
      </w:r>
      <w:r>
        <w:t>Yellowstone is widely recognized for its crustal magma reservoirs replenished by asthenospheric melts. However, how primary melts traverse the rigid lithosphere and evolve into bimodal volcanism remains unclear. By leveraging multidisciplinary observations and a data-oriented geodynamic modeling approach, we demonstrate that magma generation and migration in the Yellowstone region are primarily governed by lithospheric tectonics, with negligible contribution from the mantle plume. Below Yellowstone, our model predicts a southwest-dipping extension zone, shaped jointly by the lithospheric body force and basal traction. This tilted translithospheric deforming zone resembles the geophysically imaged magma plumbing system, confirming the key role of tectonic extension in tapping asthenospheric melts to shallow depths. Furthermore, we suggest that the translithospheric magma plumbing system facilitates complex magmatic processes, ultimately driving surface bimodal volcanism.</w:t>
      </w:r>
    </w:p>
    <w:p>
      <w:pPr>
        <w:spacing w:before="120" w:after="120"/>
      </w:pPr>
      <w:r>
        <w:rPr>
          <w:sz w:val="18"/>
        </w:rPr>
        <w:t>——————————————————————————————————————————————————————————————————————</w:t>
      </w:r>
    </w:p>
    <w:p>
      <w:pPr>
        <w:spacing w:before="160" w:after="40" w:line="240" w:lineRule="auto"/>
      </w:pPr>
      <w:r>
        <w:rPr>
          <w:b/>
        </w:rPr>
        <w:t xml:space="preserve">[440] </w:t>
      </w:r>
      <w:hyperlink r:id="rId995">
        <w:r>
          <w:rPr>
            <w:color w:val="1155CC"/>
            <w:u w:val="single"/>
          </w:rPr>
          <w:t>木蟑螂和白蚁的营养专化和社会进化</w:t>
        </w:r>
      </w:hyperlink>
    </w:p>
    <w:p>
      <w:pPr>
        <w:spacing w:before="0" w:after="80"/>
      </w:pPr>
      <w:r>
        <w:rPr>
          <w:i/>
          <w:sz w:val="20"/>
        </w:rPr>
        <w:t>EN: Nutritional specialization and social evolution in woodroaches and termites</w:t>
      </w:r>
    </w:p>
    <w:p>
      <w:pPr>
        <w:spacing w:before="0" w:after="120"/>
      </w:pPr>
      <w:r>
        <w:rPr>
          <w:b/>
        </w:rPr>
        <w:t xml:space="preserve">Source: </w:t>
      </w:r>
      <w:r>
        <w:t>AAAS: Science: Table of Contents</w:t>
      </w:r>
      <w:r>
        <w:t xml:space="preserve">    </w:t>
      </w:r>
      <w:r>
        <w:rPr>
          <w:b/>
        </w:rPr>
        <w:t xml:space="preserve">Pub date: </w:t>
      </w:r>
      <w:r>
        <w:t>2026-04-09 07:00:00+00:00</w:t>
      </w:r>
      <w:r>
        <w:t xml:space="preserve">    </w:t>
      </w:r>
      <w:r>
        <w:rPr>
          <w:b/>
        </w:rPr>
        <w:t xml:space="preserve">DOI: </w:t>
      </w:r>
      <w:hyperlink r:id="rId996">
        <w:r>
          <w:rPr>
            <w:color w:val="1155CC"/>
            <w:u w:val="single"/>
          </w:rPr>
          <w:t>10.1126/science.adt2178</w:t>
        </w:r>
      </w:hyperlink>
    </w:p>
    <w:p>
      <w:pPr>
        <w:spacing w:before="0" w:after="120"/>
      </w:pPr>
      <w:r>
        <w:rPr>
          <w:b/>
        </w:rPr>
        <w:t xml:space="preserve">Notes: </w:t>
      </w:r>
      <w:r>
        <w:t>abstract_source=crossref</w:t>
      </w:r>
    </w:p>
    <w:p>
      <w:pPr>
        <w:spacing w:before="0" w:after="80" w:lineRule="auto" w:line="276"/>
      </w:pPr>
      <w:r>
        <w:rPr>
          <w:b/>
        </w:rPr>
        <w:t xml:space="preserve">摘要（ZH）: </w:t>
      </w:r>
      <w:r>
        <w:t>木蟑螂的双亲照料和白蚁的兄弟利他主义从营养专一化于营养缺乏的枯木的孤独蟑螂祖先中演化而来，但伴随的基因组变化仍不清楚。我们测序了八种新的蜚蠊目物种，显示出逐步收缩的基因组。木蟑螂的育幼受到氧化磷酸化和过氧化物酶体基因失活的限制，与缓慢的幼体生长一致。白蚁失去了介导精子运动的关键基因，证实了生殖分工需要一夫一妻制的群体建立。它们还从基本的营养敏感性幼虫激素、胰岛素、表皮生长因子受体（EGFR）和Decapentaplegic（Dpp）信号通路中借用了许多基因。因此，大多数幼虫发育</w:t>
      </w:r>
    </w:p>
    <w:p>
      <w:pPr>
        <w:spacing w:before="0" w:after="200" w:lineRule="auto" w:line="276"/>
      </w:pPr>
      <w:r>
        <w:rPr>
          <w:b/>
        </w:rPr>
        <w:t xml:space="preserve">Abstract (EN): </w:t>
      </w:r>
      <w:r>
        <w:t>Woodroach biparental care and termite sibling altruism evolved from solitary cockroach ancestors after nutritional specialization on nutrient-deficient deadwood, but the accompanying genomic changes remained unclear. We sequenced eight new species of the order Blattodea, showing stepwise contracted genomes. Woodroach brood rearing remained constrained by deactivated oxidative phosphorylation and peroxisome genes, consistent with slow immature growth. Termites lost key genes that mediate sperm motility, corroborating that reproductive division of labor required monogamous colony founding. They also co-opted many genes from fundamental nutrition-sensitive juvenile hormone, insulin, epidermal growth factor receptor (EGFR), and Decapentaplegic (Dpp) signaling pathways. Thus, most larvae develop as workers by means of high energy metabolism early on, whereas reproductive nymphs highly express energy metabolism genes late in development. These pathways are consistent with obligate dependence on provisioning by specialized workers and feedback loops that allow large homeostatic colonies to evolve.</w:t>
      </w:r>
    </w:p>
    <w:p>
      <w:pPr>
        <w:spacing w:before="120" w:after="120"/>
      </w:pPr>
      <w:r>
        <w:rPr>
          <w:sz w:val="18"/>
        </w:rPr>
        <w:t>——————————————————————————————————————————————————————————————————————</w:t>
      </w:r>
    </w:p>
    <w:p>
      <w:pPr>
        <w:spacing w:before="160" w:after="40" w:line="240" w:lineRule="auto"/>
      </w:pPr>
      <w:r>
        <w:rPr>
          <w:b/>
        </w:rPr>
        <w:t xml:space="preserve">[441] </w:t>
      </w:r>
      <w:hyperlink r:id="rId997">
        <w:r>
          <w:rPr>
            <w:color w:val="1155CC"/>
            <w:u w:val="single"/>
          </w:rPr>
          <w:t>综合实验识别惩罚如何影响公共物品博弈中的福利</w:t>
        </w:r>
      </w:hyperlink>
    </w:p>
    <w:p>
      <w:pPr>
        <w:spacing w:before="0" w:after="80"/>
      </w:pPr>
      <w:r>
        <w:rPr>
          <w:i/>
          <w:sz w:val="20"/>
        </w:rPr>
        <w:t>EN: Integrative experiments identify how punishment affects welfare in public goods games</w:t>
      </w:r>
    </w:p>
    <w:p>
      <w:pPr>
        <w:spacing w:before="0" w:after="120"/>
      </w:pPr>
      <w:r>
        <w:rPr>
          <w:b/>
        </w:rPr>
        <w:t xml:space="preserve">Source: </w:t>
      </w:r>
      <w:r>
        <w:t>AAAS: Science: Table of Contents</w:t>
      </w:r>
      <w:r>
        <w:t xml:space="preserve">    </w:t>
      </w:r>
      <w:r>
        <w:rPr>
          <w:b/>
        </w:rPr>
        <w:t xml:space="preserve">Pub date: </w:t>
      </w:r>
      <w:r>
        <w:t>2026-04-09 07:00:00+00:00</w:t>
      </w:r>
      <w:r>
        <w:t xml:space="preserve">    </w:t>
      </w:r>
      <w:r>
        <w:rPr>
          <w:b/>
        </w:rPr>
        <w:t xml:space="preserve">DOI: </w:t>
      </w:r>
      <w:hyperlink r:id="rId998">
        <w:r>
          <w:rPr>
            <w:color w:val="1155CC"/>
            <w:u w:val="single"/>
          </w:rPr>
          <w:t>10.1126/science.aeb5280</w:t>
        </w:r>
      </w:hyperlink>
    </w:p>
    <w:p>
      <w:pPr>
        <w:spacing w:before="0" w:after="120"/>
      </w:pPr>
      <w:r>
        <w:rPr>
          <w:b/>
        </w:rPr>
        <w:t xml:space="preserve">Notes: </w:t>
      </w:r>
      <w:r>
        <w:t>abstract_source=crossref</w:t>
      </w:r>
    </w:p>
    <w:p>
      <w:pPr>
        <w:spacing w:before="0" w:after="80" w:lineRule="auto" w:line="276"/>
      </w:pPr>
      <w:r>
        <w:rPr>
          <w:b/>
        </w:rPr>
        <w:t xml:space="preserve">摘要（ZH）: </w:t>
      </w:r>
      <w:r>
        <w:t>尽管经过数十年的研究，惩罚促进合作的条件仍不明确。通过一个整合实验，在360个实验条件下（来自7100名参与者的147,618个决策）改变公共物品游戏的14个设计参数，我们揭示了惩罚效果的显著异质性：其对福利的影响根据游戏参数的不同，从43%的改善到44%的减少不等。为了描述这些模式，我们开发了模型，在预测新实验中的惩罚效果方面优于人类预测者。沟通被认为是最重要的因素，其次是贡献框架（选择退出与选择加入）、贡献类型（可变与全有或全无）、游戏长度和结果可见性，尽管这些因素</w:t>
      </w:r>
    </w:p>
    <w:p>
      <w:pPr>
        <w:spacing w:before="0" w:after="200" w:lineRule="auto" w:line="276"/>
      </w:pPr>
      <w:r>
        <w:rPr>
          <w:b/>
        </w:rPr>
        <w:t xml:space="preserve">Abstract (EN): </w:t>
      </w:r>
      <w:r>
        <w:t>Despite decades of research, the conditions under which punishment promotes cooperation remain unclear. Through an integrative experiment varying 14 design parameters of public goods games across 360 experimental conditions (147,618 decisions from 7100 participants), we reveal substantial heterogeneity in punishment effectiveness: Its impact on welfare ranges from 43% improvement to 44% reduction depending on the game parameters. To characterize these patterns, we developed models that outperformed human forecasters in predicting punishment effectiveness in new experiments. Communication emerges as the most important factor, followed by contribution framing (opt out versus opt in), contribution type (variable versus all-or-nothing), game length, and outcome visibility, though these factors often interact. The results reframe the debate from whether punishment works to when it does, demonstrating how integrative experiments enable discovery of generalizable patterns in social phenomena.</w:t>
      </w:r>
    </w:p>
    <w:p>
      <w:pPr>
        <w:spacing w:before="120" w:after="120"/>
      </w:pPr>
      <w:r>
        <w:rPr>
          <w:sz w:val="18"/>
        </w:rPr>
        <w:t>——————————————————————————————————————————————————————————————————————</w:t>
      </w:r>
    </w:p>
    <w:p>
      <w:pPr>
        <w:spacing w:before="160" w:after="40" w:line="240" w:lineRule="auto"/>
      </w:pPr>
      <w:r>
        <w:rPr>
          <w:b/>
        </w:rPr>
        <w:t xml:space="preserve">[442] </w:t>
      </w:r>
      <w:hyperlink r:id="rId999">
        <w:r>
          <w:rPr>
            <w:color w:val="1155CC"/>
            <w:u w:val="single"/>
          </w:rPr>
          <w:t>跨动态线粒体网络结构的扩散传播</w:t>
        </w:r>
      </w:hyperlink>
    </w:p>
    <w:p>
      <w:pPr>
        <w:spacing w:before="0" w:after="80"/>
      </w:pPr>
      <w:r>
        <w:rPr>
          <w:i/>
          <w:sz w:val="20"/>
        </w:rPr>
        <w:t>EN: Diffusive spreading across dynamic mitochondrial network architectures</w:t>
      </w:r>
    </w:p>
    <w:p>
      <w:pPr>
        <w:spacing w:before="0" w:after="120"/>
      </w:pPr>
      <w:r>
        <w:rPr>
          <w:b/>
        </w:rPr>
        <w:t xml:space="preserve">Source: </w:t>
      </w:r>
      <w:r>
        <w:t>Proceedings of the National Academy of Sciences: Keyword search for query</w:t>
      </w:r>
      <w:r>
        <w:t xml:space="preserve">    </w:t>
      </w:r>
      <w:r>
        <w:rPr>
          <w:b/>
        </w:rPr>
        <w:t xml:space="preserve">Pub date: </w:t>
      </w:r>
      <w:r>
        <w:t>2026-04-09 07:00:00+00:00</w:t>
      </w:r>
      <w:r>
        <w:t xml:space="preserve">    </w:t>
      </w:r>
      <w:r>
        <w:rPr>
          <w:b/>
        </w:rPr>
        <w:t xml:space="preserve">DOI: </w:t>
      </w:r>
      <w:hyperlink r:id="rId1000">
        <w:r>
          <w:rPr>
            <w:color w:val="1155CC"/>
            <w:u w:val="single"/>
          </w:rPr>
          <w:t>10.1073/pnas.2523913123</w:t>
        </w:r>
      </w:hyperlink>
    </w:p>
    <w:p>
      <w:pPr>
        <w:spacing w:before="0" w:after="120"/>
      </w:pPr>
      <w:r>
        <w:rPr>
          <w:b/>
        </w:rPr>
        <w:t xml:space="preserve">Notes: </w:t>
      </w:r>
      <w:r>
        <w:t>abstract_source=crossref</w:t>
      </w:r>
    </w:p>
    <w:p>
      <w:pPr>
        <w:spacing w:before="0" w:after="80" w:lineRule="auto" w:line="276"/>
      </w:pPr>
      <w:r>
        <w:rPr>
          <w:b/>
        </w:rPr>
        <w:t xml:space="preserve">摘要（ZH）: </w:t>
      </w:r>
      <w:r>
        <w:t>在真核细胞中，线粒体形成的网络从高度融合的互联结构到个体细胞器的碎片化群体，这些细胞器经历短暂的相互作用。这些结构可以被描述为物理单元的时间网络，其动态拓扑由线粒体通过细胞内空间的融合、分裂和运动决定。线粒体群体的异质性由蛋白质、脂质、离子和RNA在这些网络中的扩散运输和单元间交换所控制。我们提出了一个统一的框架，用于描述在跨越广泛连接范围的空间嵌入单元的时间网络中物质的扩散。具体来说，我们考虑用局部生产但全球</w:t>
      </w:r>
    </w:p>
    <w:p>
      <w:pPr>
        <w:spacing w:before="0" w:after="200" w:lineRule="auto" w:line="276"/>
      </w:pPr>
      <w:r>
        <w:rPr>
          <w:b/>
        </w:rPr>
        <w:t xml:space="preserve">Abstract (EN): </w:t>
      </w:r>
      <w:r>
        <w:t>In eukaryotic cells, mitochondria form networks that range from highly fused interconnected structures to fragmented populations of individual organelles that undergo transient interactions. These structures can be described as temporal networks of physical units, whose dynamic topology is determined by fusion, fission, and motion of the mitochondria through intracellular space. The heterogeneity of the mitochondrial population is governed by diffusive transport and interunit exchange of proteins, lipids, ions, and RNA within these networks. We present a unifying framework for the dispersion of material within temporal networks of spatially embedded units that span across a broad connectivity range. Specifically, we consider filling of the networks with a locally produced but globally consumed material, demonstrating that the steady-state content is determined by the balance of timescales for spatial encounter between clusters, local fusion, fission, and diffusive transport within a cluster. As the connectivity increases, filling behavior transitions from three-dimensional spread through a “social network” limited by cluster interactions to low-dimensional transport through a largely stationary “physical network” limited by material diffusivity. We extract parameters for mitochondrial networks in three human cell lines, demonstrating that different cells can access both the social and the physical network regimes. These results provide a quantitative basis for predicting the homogenization of biomolecules through a mitochondrial population. Our framework unifies a variety of temporal network structures into an overarching theory for transport through populations of interacting and interconnected units.</w:t>
      </w:r>
    </w:p>
    <w:p>
      <w:pPr>
        <w:spacing w:before="120" w:after="120"/>
      </w:pPr>
      <w:r>
        <w:rPr>
          <w:sz w:val="18"/>
        </w:rPr>
        <w:t>——————————————————————————————————————————————————————————————————————</w:t>
      </w:r>
    </w:p>
    <w:p>
      <w:pPr>
        <w:spacing w:before="160" w:after="40" w:line="240" w:lineRule="auto"/>
      </w:pPr>
      <w:r>
        <w:rPr>
          <w:b/>
        </w:rPr>
        <w:t xml:space="preserve">[443] </w:t>
      </w:r>
      <w:hyperlink r:id="rId1001">
        <w:r>
          <w:rPr>
            <w:color w:val="1155CC"/>
            <w:u w:val="single"/>
          </w:rPr>
          <w:t>当前工具是否足以应对海洋生物多样性危机？</w:t>
        </w:r>
      </w:hyperlink>
    </w:p>
    <w:p>
      <w:pPr>
        <w:spacing w:before="0" w:after="80"/>
      </w:pPr>
      <w:r>
        <w:rPr>
          <w:i/>
          <w:sz w:val="20"/>
        </w:rPr>
        <w:t>EN: Are current tools enough to tackle the ocean biodiversity crisis?</w:t>
      </w:r>
    </w:p>
    <w:p>
      <w:pPr>
        <w:spacing w:before="0" w:after="120"/>
      </w:pPr>
      <w:r>
        <w:rPr>
          <w:b/>
        </w:rPr>
        <w:t xml:space="preserve">Source: </w:t>
      </w:r>
      <w:r>
        <w:t>AAAS: Science: Table of Contents</w:t>
      </w:r>
      <w:r>
        <w:t xml:space="preserve">    </w:t>
      </w:r>
      <w:r>
        <w:rPr>
          <w:b/>
        </w:rPr>
        <w:t xml:space="preserve">Pub date: </w:t>
      </w:r>
      <w:r>
        <w:t>2026-04-09 07:00:00+00:00</w:t>
      </w:r>
      <w:r>
        <w:t xml:space="preserve">    </w:t>
      </w:r>
      <w:r>
        <w:rPr>
          <w:b/>
        </w:rPr>
        <w:t xml:space="preserve">DOI: </w:t>
      </w:r>
      <w:hyperlink r:id="rId1002">
        <w:r>
          <w:rPr>
            <w:color w:val="1155CC"/>
            <w:u w:val="single"/>
          </w:rPr>
          <w:t>10.1126/science.aeg7825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[444] </w:t>
      </w:r>
      <w:hyperlink r:id="rId1003">
        <w:r>
          <w:rPr>
            <w:color w:val="1155CC"/>
            <w:u w:val="single"/>
          </w:rPr>
          <w:t>利用天然存在的核素信号探测岩石破裂</w:t>
        </w:r>
      </w:hyperlink>
    </w:p>
    <w:p>
      <w:pPr>
        <w:spacing w:before="0" w:after="80"/>
      </w:pPr>
      <w:r>
        <w:rPr>
          <w:i/>
          <w:sz w:val="20"/>
        </w:rPr>
        <w:t>EN: Probing rock rupture with naturally occurring nuclide signals</w:t>
      </w:r>
    </w:p>
    <w:p>
      <w:pPr>
        <w:spacing w:before="0" w:after="120"/>
      </w:pPr>
      <w:r>
        <w:rPr>
          <w:b/>
        </w:rPr>
        <w:t xml:space="preserve">Source: </w:t>
      </w:r>
      <w:r>
        <w:t>Proceedings of the National Academy of Sciences: Keyword search for query</w:t>
      </w:r>
      <w:r>
        <w:t xml:space="preserve">    </w:t>
      </w:r>
      <w:r>
        <w:rPr>
          <w:b/>
        </w:rPr>
        <w:t xml:space="preserve">Pub date: </w:t>
      </w:r>
      <w:r>
        <w:t>2026-04-09 07:00:00+00:00</w:t>
      </w:r>
      <w:r>
        <w:t xml:space="preserve">    </w:t>
      </w:r>
      <w:r>
        <w:rPr>
          <w:b/>
        </w:rPr>
        <w:t xml:space="preserve">DOI: </w:t>
      </w:r>
      <w:hyperlink r:id="rId1004">
        <w:r>
          <w:rPr>
            <w:color w:val="1155CC"/>
            <w:u w:val="single"/>
          </w:rPr>
          <w:t>10.1073/pnas.2602434123</w:t>
        </w:r>
      </w:hyperlink>
    </w:p>
    <w:p>
      <w:pPr>
        <w:spacing w:before="0" w:after="120"/>
      </w:pPr>
      <w:r>
        <w:rPr>
          <w:b/>
        </w:rPr>
        <w:t xml:space="preserve">Notes: </w:t>
      </w:r>
      <w:r>
        <w:t>abstract_source=crossref</w:t>
      </w:r>
    </w:p>
    <w:p>
      <w:pPr>
        <w:spacing w:before="0" w:after="80" w:lineRule="auto" w:line="276"/>
      </w:pPr>
      <w:r>
        <w:rPr>
          <w:b/>
        </w:rPr>
        <w:t xml:space="preserve">摘要（ZH）: </w:t>
      </w:r>
      <w:r>
        <w:t>岩石在破裂前会释放出微妙的地球化学预警信号。这些信号来自天然存在的核素（例如氡、氦、氩和钍），常常在地震、火山喷发、滑坡以及岩石和冰雪崩之前被报道。然而，尽管它们对变形高度敏感，以及在半个世纪内无数有前景的观察，核素信号仍远未被应用于地质灾害预测或广泛用于监测。在此，我们首先开发了一种核素信号的分解和解释方法。通过分析从一个为期一个月的实验室岩石破坏实验和一个为期一年的现场坡度变形中观察到的核素信号时间序列，我们识别出核素的通用范式单元</w:t>
      </w:r>
    </w:p>
    <w:p>
      <w:pPr>
        <w:spacing w:before="0" w:after="200" w:lineRule="auto" w:line="276"/>
      </w:pPr>
      <w:r>
        <w:rPr>
          <w:b/>
        </w:rPr>
        <w:t xml:space="preserve">Abstract (EN): </w:t>
      </w:r>
      <w:r>
        <w:t>Rocks release subtle geochemical warning signals before breaking. These signals, coming from naturally occurring nuclides (e.g., radon, helium, argon, and thoron), have often been reported before earthquakes, volcanic eruptions, landslides, and rock and ice avalanches. However, despite their high sensitivity to deformation, their detectability, as well as myriad promising observations over half a century, nuclide signals are still far from being applied to geohazard prediction or widely used for monitoring. Here, we first develop a decomposition and interpretation method for nuclide signals. By analyzing nuclide signal time series observed from a month-long laboratory rock failure experiment and year-long slope deformation in a field setting, we identify a universal paradigm unit of nuclide signal evolution. We find that this paradigm unit is characterized by two core characteristics: a transient pulse and equilibrium fluctuation which are intrinsically correlated to rupture area and crack aperture, respectively. Through analytical derivation and pore-scale simulations, we establish the constitutive equations that link these characteristic nuclide signals to key rupture structural parameters. Rooted in these constitutive relations, we further develop a diagnostic theory of rock rupture via nuclide signals. We apply the model to track rock failures at the laboratory and field scale. The proposed nuclide signal decomposition and rupturing model enable the unification of discrete signal units emitted by individual microrupturing events, with the integrated signal evolution observed during macroscopic failure. This integration may serve as a foundation for both the mesoscopic assessment of rock damage and the early warning of geohazards induced by rock ruptures.</w:t>
      </w:r>
    </w:p>
    <w:p>
      <w:pPr>
        <w:spacing w:before="120" w:after="120"/>
      </w:pPr>
      <w:r>
        <w:rPr>
          <w:sz w:val="18"/>
        </w:rPr>
        <w:t>——————————————————————————————————————————————————————————————————————</w:t>
      </w:r>
    </w:p>
    <w:p>
      <w:pPr>
        <w:spacing w:before="160" w:after="40" w:line="240" w:lineRule="auto"/>
      </w:pPr>
      <w:r>
        <w:rPr>
          <w:b/>
        </w:rPr>
        <w:t xml:space="preserve">[445] </w:t>
      </w:r>
      <w:hyperlink r:id="rId1005">
        <w:r>
          <w:rPr>
            <w:color w:val="1155CC"/>
            <w:u w:val="single"/>
          </w:rPr>
          <w:t>唾液酸化的CD43形成限制抗白血病免疫的糖免疫屏障</w:t>
        </w:r>
      </w:hyperlink>
    </w:p>
    <w:p>
      <w:pPr>
        <w:spacing w:before="0" w:after="80"/>
      </w:pPr>
      <w:r>
        <w:rPr>
          <w:i/>
          <w:sz w:val="20"/>
        </w:rPr>
        <w:t>EN: Sialylated CD43 forms a glyco-immune barrier that restrains antileukemic immunity</w:t>
      </w:r>
    </w:p>
    <w:p>
      <w:pPr>
        <w:spacing w:before="0" w:after="120"/>
      </w:pPr>
      <w:r>
        <w:rPr>
          <w:b/>
        </w:rPr>
        <w:t xml:space="preserve">Source: </w:t>
      </w:r>
      <w:r>
        <w:t>AAAS: Science: Table of Contents</w:t>
      </w:r>
      <w:r>
        <w:t xml:space="preserve">    </w:t>
      </w:r>
      <w:r>
        <w:rPr>
          <w:b/>
        </w:rPr>
        <w:t xml:space="preserve">Pub date: </w:t>
      </w:r>
      <w:r>
        <w:t>2026-04-09 07:00:00+00:00</w:t>
      </w:r>
      <w:r>
        <w:t xml:space="preserve">    </w:t>
      </w:r>
      <w:r>
        <w:rPr>
          <w:b/>
        </w:rPr>
        <w:t xml:space="preserve">DOI: </w:t>
      </w:r>
      <w:hyperlink r:id="rId1006">
        <w:r>
          <w:rPr>
            <w:color w:val="1155CC"/>
            <w:u w:val="single"/>
          </w:rPr>
          <w:t>10.1126/science.ady5196</w:t>
        </w:r>
      </w:hyperlink>
    </w:p>
    <w:p>
      <w:pPr>
        <w:spacing w:before="0" w:after="120"/>
      </w:pPr>
      <w:r>
        <w:rPr>
          <w:b/>
        </w:rPr>
        <w:t xml:space="preserve">Notes: </w:t>
      </w:r>
      <w:r>
        <w:t>abstract_source=crossref</w:t>
      </w:r>
    </w:p>
    <w:p>
      <w:pPr>
        <w:spacing w:before="0" w:after="80" w:lineRule="auto" w:line="276"/>
      </w:pPr>
      <w:r>
        <w:rPr>
          <w:b/>
        </w:rPr>
        <w:t xml:space="preserve">摘要（ZH）: </w:t>
      </w:r>
      <w:r>
        <w:t>巨噬细胞通过吞噬作用发挥抗肿瘤活性，但增强吞噬作用的治疗方法并未改善急性髓性白血病（AML）的结果。为了识别吞噬作用的调节因子，我们在与人类巨噬细胞共培养的人AML细胞中进行了CRISPR敲除筛选。我们发现“不要吃我”信号CD47抑制了小鼠但不抑制人类巨噬细胞的吞噬作用。然而，O-连接糖基化和唾液酸化是吞噬作用的强负调节因子。在AML中，细胞表面粘蛋白样糖蛋白CD43是这些途径的主要效应物。CD43对吞噬作用的抑制依赖于其胞外结构域的长度，而与巨噬细胞唾液酸受体SIGLEC-1、SIGLEC-7和SIGLEC-9无关。CD43的抑制效应超出了</w:t>
      </w:r>
    </w:p>
    <w:p>
      <w:pPr>
        <w:spacing w:before="0" w:after="200" w:lineRule="auto" w:line="276"/>
      </w:pPr>
      <w:r>
        <w:rPr>
          <w:b/>
        </w:rPr>
        <w:t xml:space="preserve">Abstract (EN): </w:t>
      </w:r>
      <w:r>
        <w:t>Macrophages exert antitumorigenic activity through phagocytosis, but phagocytosis-enhancing therapeutics have not improved acute myeloid leukemia (AML) outcomes. To identify phagocytosis regulators, we performed CRISPR knockout screens in human AML cells cocultured with human macrophages. We found that the “don’t eat me” signal CD47 inhibited mouse but not human macrophage phagocytosis. However, O-linked glycosylation and sialylation were strong negative regulators of phagocytosis. In AML, the cell surface mucin-like glycoprotein CD43 was the major effector of these pathways. Inhibition of phagocytosis by CD43 was dependent on the length of its ectodomain and independent of the macrophage sialic acid receptors SIGLEC-1, SIGLEC-7, and SIGLEC-9. The inhibitory effects of CD43 extended beyond human macrophages to natural killer and T cells. Thus, CD43 forms a glyco-immune barrier that restrains both innate and adaptive antileukemic immunity.</w:t>
      </w:r>
    </w:p>
    <w:p>
      <w:pPr>
        <w:spacing w:before="120" w:after="120"/>
      </w:pPr>
      <w:r>
        <w:rPr>
          <w:sz w:val="18"/>
        </w:rPr>
        <w:t>——————————————————————————————————————————————————————————————————————</w:t>
      </w:r>
    </w:p>
    <w:p>
      <w:pPr>
        <w:spacing w:before="160" w:after="40" w:line="240" w:lineRule="auto"/>
      </w:pPr>
      <w:r>
        <w:rPr>
          <w:b/>
        </w:rPr>
        <w:t xml:space="preserve">[446] </w:t>
      </w:r>
      <w:hyperlink r:id="rId1007">
        <w:r>
          <w:rPr>
            <w:color w:val="1155CC"/>
            <w:u w:val="single"/>
          </w:rPr>
          <w:t>MDFIC2 是一种感觉神经元特异性的 PIEZO 通道辅助亚基</w:t>
        </w:r>
      </w:hyperlink>
    </w:p>
    <w:p>
      <w:pPr>
        <w:spacing w:before="0" w:after="80"/>
      </w:pPr>
      <w:r>
        <w:rPr>
          <w:i/>
          <w:sz w:val="20"/>
        </w:rPr>
        <w:t>EN: MDFIC2 is a sensory neuron–specific PIEZO channel auxiliary subunit</w:t>
      </w:r>
    </w:p>
    <w:p>
      <w:pPr>
        <w:spacing w:before="0" w:after="120"/>
      </w:pPr>
      <w:r>
        <w:rPr>
          <w:b/>
        </w:rPr>
        <w:t xml:space="preserve">Source: </w:t>
      </w:r>
      <w:r>
        <w:t>Proceedings of the National Academy of Sciences: Keyword search for query</w:t>
      </w:r>
      <w:r>
        <w:t xml:space="preserve">    </w:t>
      </w:r>
      <w:r>
        <w:rPr>
          <w:b/>
        </w:rPr>
        <w:t xml:space="preserve">Pub date: </w:t>
      </w:r>
      <w:r>
        <w:t>2026-04-09 07:00:00+00:00</w:t>
      </w:r>
      <w:r>
        <w:t xml:space="preserve">    </w:t>
      </w:r>
      <w:r>
        <w:rPr>
          <w:b/>
        </w:rPr>
        <w:t xml:space="preserve">DOI: </w:t>
      </w:r>
      <w:hyperlink r:id="rId1008">
        <w:r>
          <w:rPr>
            <w:color w:val="1155CC"/>
            <w:u w:val="single"/>
          </w:rPr>
          <w:t>10.1073/pnas.2530071123</w:t>
        </w:r>
      </w:hyperlink>
    </w:p>
    <w:p>
      <w:pPr>
        <w:spacing w:before="0" w:after="120"/>
      </w:pPr>
      <w:r>
        <w:rPr>
          <w:b/>
        </w:rPr>
        <w:t xml:space="preserve">Notes: </w:t>
      </w:r>
      <w:r>
        <w:t>abstract_source=crossref</w:t>
      </w:r>
    </w:p>
    <w:p>
      <w:pPr>
        <w:spacing w:before="0" w:after="80" w:lineRule="auto" w:line="276"/>
      </w:pPr>
      <w:r>
        <w:rPr>
          <w:b/>
        </w:rPr>
        <w:t xml:space="preserve">摘要（ZH）: </w:t>
      </w:r>
      <w:r>
        <w:t>PIEZO通道对于感觉机械转导至关重要。虽然MyoD家族抑制蛋白被鉴定为PIEZO1辅助亚基，但它们在感觉细胞中的更广泛调节作用仍不清楚。在此，我们证明了天然的MDFIC和MDFI在各种非感觉细胞类型中调节内源性PIEZO通道电流。然而，MDFIC和MDFI均未在主要感觉神经元中表达。在这些细胞类型中，我们鉴定出该家族的一个未表征的第三成员，Mdfic2/Gm765，它具有与PIEZO1和PIEZO2物理结合的能力。MDFIC2选择性地表达在机械敏感神经元的子集中，包括背根神经节、三叉神经节和迷走神经节</w:t>
      </w:r>
    </w:p>
    <w:p>
      <w:pPr>
        <w:spacing w:before="0" w:after="200" w:lineRule="auto" w:line="276"/>
      </w:pPr>
      <w:r>
        <w:rPr>
          <w:b/>
        </w:rPr>
        <w:t xml:space="preserve">Abstract (EN): </w:t>
      </w:r>
      <w:r>
        <w:t>PIEZO channels are critical for sensory mechanotransduction. While MyoD-family inhibitor proteins were identified as PIEZO1 auxiliary subunits, their broader regulatory roles, particularly in sensory cells, remained unclear. Here, we demonstrate native MDFIC and MDFI regulate endogenous PIEZO channel currents in various nonsensory cell types. However, neither MDFIC nor MDFI are expressed in primary sensory neurons. In these cell types, we identified an uncharacterized third member of this family,</w:t>
      </w:r>
      <w:r>
        <w:t xml:space="preserve"> </w:t>
      </w:r>
      <w:r>
        <w:t>Mdfic2</w:t>
      </w:r>
      <w:r>
        <w:t xml:space="preserve"> </w:t>
      </w:r>
      <w:r>
        <w:t>/</w:t>
      </w:r>
      <w:r>
        <w:t>Gm765</w:t>
      </w:r>
      <w:r>
        <w:t xml:space="preserve"> </w:t>
      </w:r>
      <w:r>
        <w:t>, that shares the ability to physically bind to PIEZO1 and PIEZO2. MDFIC2 is selectively expressed in subsets of mechanosensitive neurons, including dorsal root ganglia, trigeminal ganglia, and vagal sensory neurons. Like its paralogues, MDFIC2 alters PIEZO1/2 mechanosensitivity and inactivation kinetics, converting them into high-threshold slowly inactivating mechanoreceptors. Extensive cryo-EM reveals a conserved binding pocket for these auxiliary subunits in the pore modules of both PIEZO1 and PIEZO2 mediated by the posttranslationally modified distal C termini of MyoD-family inhibitor proteins. This structural and functional characterization of MyoD-family inhibitor proteins as PIEZO1/2 channel auxiliary subunits offers insights into the mechanobiology of nonsensory and sensory cells.</w:t>
      </w:r>
    </w:p>
    <w:p>
      <w:pPr>
        <w:spacing w:before="120" w:after="120"/>
      </w:pPr>
      <w:r>
        <w:rPr>
          <w:sz w:val="18"/>
        </w:rPr>
        <w:t>——————————————————————————————————————————————————————————————————————</w:t>
      </w:r>
    </w:p>
    <w:p>
      <w:pPr>
        <w:spacing w:before="160" w:after="40" w:line="240" w:lineRule="auto"/>
      </w:pPr>
      <w:r>
        <w:rPr>
          <w:b/>
        </w:rPr>
        <w:t xml:space="preserve">[447] </w:t>
      </w:r>
      <w:hyperlink r:id="rId1009">
        <w:r>
          <w:rPr>
            <w:color w:val="1155CC"/>
            <w:u w:val="single"/>
          </w:rPr>
          <w:t>衰老的节奏：个体衰老速率的稳定性和漂移</w:t>
        </w:r>
      </w:hyperlink>
    </w:p>
    <w:p>
      <w:pPr>
        <w:spacing w:before="0" w:after="80"/>
      </w:pPr>
      <w:r>
        <w:rPr>
          <w:i/>
          <w:sz w:val="20"/>
        </w:rPr>
        <w:t>EN: The rhythm of aging: Stability and drift in the individual rate of senescence</w:t>
      </w:r>
    </w:p>
    <w:p>
      <w:pPr>
        <w:spacing w:before="0" w:after="120"/>
      </w:pPr>
      <w:r>
        <w:rPr>
          <w:b/>
        </w:rPr>
        <w:t xml:space="preserve">Source: </w:t>
      </w:r>
      <w:r>
        <w:t>Proceedings of the National Academy of Sciences: Keyword search for query</w:t>
      </w:r>
      <w:r>
        <w:t xml:space="preserve">    </w:t>
      </w:r>
      <w:r>
        <w:rPr>
          <w:b/>
        </w:rPr>
        <w:t xml:space="preserve">Pub date: </w:t>
      </w:r>
      <w:r>
        <w:t>2026-04-09 07:00:00+00:00</w:t>
      </w:r>
      <w:r>
        <w:t xml:space="preserve">    </w:t>
      </w:r>
      <w:r>
        <w:rPr>
          <w:b/>
        </w:rPr>
        <w:t xml:space="preserve">DOI: </w:t>
      </w:r>
      <w:hyperlink r:id="rId1010">
        <w:r>
          <w:rPr>
            <w:color w:val="1155CC"/>
            <w:u w:val="single"/>
          </w:rPr>
          <w:t>10.1073/pnas.2528146123</w:t>
        </w:r>
      </w:hyperlink>
    </w:p>
    <w:p>
      <w:pPr>
        <w:spacing w:before="0" w:after="120"/>
      </w:pPr>
      <w:r>
        <w:rPr>
          <w:b/>
        </w:rPr>
        <w:t xml:space="preserve">Notes: </w:t>
      </w:r>
      <w:r>
        <w:t>abstract_source=crossref</w:t>
      </w:r>
    </w:p>
    <w:p>
      <w:pPr>
        <w:spacing w:before="0" w:after="80" w:lineRule="auto" w:line="276"/>
      </w:pPr>
      <w:r>
        <w:rPr>
          <w:b/>
        </w:rPr>
        <w:t xml:space="preserve">摘要（ZH）: </w:t>
      </w:r>
      <w:r>
        <w:t>人类衰老的特征是随着年龄的增长死亡风险稳步上升——人口学家称之为衰老。在过去的一个世纪中，预期寿命显著提高，但这是因为我们衰老得更慢，还是仅仅因为我们开始衰老的时间更晚？Vaupel假设个体衰老的速度可能是恒定的，长寿的增加来自于衰老的延迟开始而不是其减缓。我们使用一个框架来测试这一想法，该框架将衰老速度分解为三个组成部分：生物学基线、长期趋势和时期冲击的累积影响。将其应用于来自12个国家的80岁以上的队列死亡率数据，我们发现一旦考虑到时期冲击，就没有长期趋势的统计证据，这与Vaupel的假设一致。</w:t>
      </w:r>
    </w:p>
    <w:p>
      <w:pPr>
        <w:spacing w:before="0" w:after="200" w:lineRule="auto" w:line="276"/>
      </w:pPr>
      <w:r>
        <w:rPr>
          <w:b/>
        </w:rPr>
        <w:t xml:space="preserve">Abstract (EN): </w:t>
      </w:r>
      <w:r>
        <w:t>Human aging is marked by a steady rise in the risk of dying with age–a process demographers call senescence. Over the past century, life expectancy has risen dramatically, but is this because we are aging slower, or simply starting it later? Vaupel hypothesizes that the pace at which individuals age may be constant, with gains in longevity coming from the delayed onset of senescence rather than its slowing down. We test this idea using a framework that decomposes the pace of senescence into three components: a biological baseline, a long-term trend, and the cumulative impact of period shocks. Applying this to cohort mortality data above age 80 from 12 countries, we find that once period shocks are accounted for, there is no statistical evidence of a long-term trend, consistent with Vaupel’s hypothesis. Analyses using lower starting ages yield the same qualitative conclusion. Rather than indicating a change in the process that drives senescence, these variations are consistent with echoes of shared historical events. These results suggest that while longevity has shifted, the rhythm of human aging may be conserved.</w:t>
      </w:r>
    </w:p>
    <w:p>
      <w:pPr>
        <w:spacing w:before="120" w:after="120"/>
      </w:pPr>
      <w:r>
        <w:rPr>
          <w:sz w:val="18"/>
        </w:rPr>
        <w:t>——————————————————————————————————————————————————————————————————————</w:t>
      </w:r>
    </w:p>
    <w:p>
      <w:pPr>
        <w:spacing w:before="160" w:after="40" w:line="240" w:lineRule="auto"/>
      </w:pPr>
      <w:r>
        <w:rPr>
          <w:b/>
        </w:rPr>
        <w:t xml:space="preserve">[448] </w:t>
      </w:r>
      <w:hyperlink r:id="rId1011">
        <w:r>
          <w:rPr>
            <w:color w:val="1155CC"/>
            <w:u w:val="single"/>
          </w:rPr>
          <w:t>mtHsp70 伴侣将线粒体蛋白稳态压力转化为蛋白质导入受损</w:t>
        </w:r>
      </w:hyperlink>
    </w:p>
    <w:p>
      <w:pPr>
        <w:spacing w:before="0" w:after="80"/>
      </w:pPr>
      <w:r>
        <w:rPr>
          <w:i/>
          <w:sz w:val="20"/>
        </w:rPr>
        <w:t>EN: mtHsp70 chaperone converts mitochondrial proteostasis stress into impaired protein import</w:t>
      </w:r>
    </w:p>
    <w:p>
      <w:pPr>
        <w:spacing w:before="0" w:after="120"/>
      </w:pPr>
      <w:r>
        <w:rPr>
          <w:b/>
        </w:rPr>
        <w:t xml:space="preserve">Source: </w:t>
      </w:r>
      <w:r>
        <w:t>Proceedings of the National Academy of Sciences: Keyword search for query</w:t>
      </w:r>
      <w:r>
        <w:t xml:space="preserve">    </w:t>
      </w:r>
      <w:r>
        <w:rPr>
          <w:b/>
        </w:rPr>
        <w:t xml:space="preserve">Pub date: </w:t>
      </w:r>
      <w:r>
        <w:t>2026-04-09 07:00:00+00:00</w:t>
      </w:r>
      <w:r>
        <w:t xml:space="preserve">    </w:t>
      </w:r>
      <w:r>
        <w:rPr>
          <w:b/>
        </w:rPr>
        <w:t xml:space="preserve">DOI: </w:t>
      </w:r>
      <w:hyperlink r:id="rId1012">
        <w:r>
          <w:rPr>
            <w:color w:val="1155CC"/>
            <w:u w:val="single"/>
          </w:rPr>
          <w:t>10.1073/pnas.2526136123</w:t>
        </w:r>
      </w:hyperlink>
    </w:p>
    <w:p>
      <w:pPr>
        <w:spacing w:before="0" w:after="120"/>
      </w:pPr>
      <w:r>
        <w:rPr>
          <w:b/>
        </w:rPr>
        <w:t xml:space="preserve">Notes: </w:t>
      </w:r>
      <w:r>
        <w:t>abstract_source=crossref</w:t>
      </w:r>
    </w:p>
    <w:p>
      <w:pPr>
        <w:spacing w:before="0" w:after="80" w:lineRule="auto" w:line="276"/>
      </w:pPr>
      <w:r>
        <w:rPr>
          <w:b/>
        </w:rPr>
        <w:t xml:space="preserve">摘要（ZH）: </w:t>
      </w:r>
      <w:r>
        <w:t>热休克蛋白70（Hsp70）代表了一类普遍存在且保守的分子伴侣家族，参与多种细胞过程。几种Hsp70伴侣的构象循环，由ATP结合和水解驱动，并由共伴侣和底物蛋白调节，在体外被详细分析。相比之下，关于Hsp70在其自然环境中采用的构象知之甚少。在线粒体中，mtHsp70分布在内膜的TIM23复合体中，参与从细胞质导入蛋白质，以及主要参与蛋白质折叠和防止其聚集的基质池中。在此，我们使用荧光显微镜分析了mtHsp70在生理条件下单分子水平的构象。</w:t>
      </w:r>
    </w:p>
    <w:p>
      <w:pPr>
        <w:spacing w:before="0" w:after="200" w:lineRule="auto" w:line="276"/>
      </w:pPr>
      <w:r>
        <w:rPr>
          <w:b/>
        </w:rPr>
        <w:t xml:space="preserve">Abstract (EN): </w:t>
      </w:r>
      <w:r>
        <w:t>Heat shock proteins 70 (Hsp70) represent a ubiquitous and conserved family of molecular chaperones involved in a variety of cellular processes. The conformational cycles of several Hsp70 chaperones, driven by ATP binding and hydrolysis, and regulated by cochaperones and substrate proteins, were analyzed in vitro in great detail. In contrast, little is known about the conformation Hsp70s adopt in their natural environments. In mitochondria, mtHsp70 is distributed between the TIM23 complex at the inner membrane, where it is involved in import of proteins from the cytosol, and a matrix-pool that is primarily involved in folding of proteins and prevention of their aggregation. Here, we used fluorescence microscopy to analyze the conformation of mtHsp70 at the single molecule level within physiologically active mitochondria. Our results revealed that the majority of mtHsp70 molecules are present in a substrate-bound state, suggesting that the mtHsp70 network functions at the limits of its capacity. To understand the biological significance of this finding, we modulated the levels of unfolded proteins in the matrix. Unfolded proteins reduced the association of mtHsp70 with the TIM23 complex and specifically impaired mtHsp70-dependent import of proteins. Our data show that unfolded proteins lead to a redistribution of mtHsp70 within mitochondria revealing how mitochondrial proteostasis stress is signaled to the cell—unfolded proteins remove mtHsp70 from the import sites, reducing the efficiency of protein import and initiating cellular programs to rescue or remove dysfunctional mitochondria. Thus, mtHsp70 acts as a mitochondrial quality control sensor that converts proteostasis stress into impaired protein import.</w:t>
      </w:r>
    </w:p>
    <w:p>
      <w:pPr>
        <w:spacing w:before="120" w:after="120"/>
      </w:pPr>
      <w:r>
        <w:rPr>
          <w:sz w:val="18"/>
        </w:rPr>
        <w:t>——————————————————————————————————————————————————————————————————————</w:t>
      </w:r>
    </w:p>
    <w:p>
      <w:pPr>
        <w:spacing w:before="160" w:after="40" w:line="240" w:lineRule="auto"/>
      </w:pPr>
      <w:r>
        <w:rPr>
          <w:b/>
        </w:rPr>
        <w:t xml:space="preserve">[449] </w:t>
      </w:r>
      <w:hyperlink r:id="rId1013">
        <w:r>
          <w:rPr>
            <w:color w:val="1155CC"/>
            <w:u w:val="single"/>
          </w:rPr>
          <w:t>母体 IntS11 通过组织早期合子转录起始来促进胚胎全能性</w:t>
        </w:r>
      </w:hyperlink>
    </w:p>
    <w:p>
      <w:pPr>
        <w:spacing w:before="0" w:after="80"/>
      </w:pPr>
      <w:r>
        <w:rPr>
          <w:i/>
          <w:sz w:val="20"/>
        </w:rPr>
        <w:t>EN: Maternal IntS11 primes embryonic totipotency by organizing early zygotic transcription initiation</w:t>
      </w:r>
    </w:p>
    <w:p>
      <w:pPr>
        <w:spacing w:before="0" w:after="120"/>
      </w:pPr>
      <w:r>
        <w:rPr>
          <w:b/>
        </w:rPr>
        <w:t xml:space="preserve">Source: </w:t>
      </w:r>
      <w:r>
        <w:t>Proceedings of the National Academy of Sciences: Keyword search for query</w:t>
      </w:r>
      <w:r>
        <w:t xml:space="preserve">    </w:t>
      </w:r>
      <w:r>
        <w:rPr>
          <w:b/>
        </w:rPr>
        <w:t xml:space="preserve">Pub date: </w:t>
      </w:r>
      <w:r>
        <w:t>2026-04-09 07:00:00+00:00</w:t>
      </w:r>
      <w:r>
        <w:t xml:space="preserve">    </w:t>
      </w:r>
      <w:r>
        <w:rPr>
          <w:b/>
        </w:rPr>
        <w:t xml:space="preserve">DOI: </w:t>
      </w:r>
      <w:hyperlink r:id="rId1014">
        <w:r>
          <w:rPr>
            <w:color w:val="1155CC"/>
            <w:u w:val="single"/>
          </w:rPr>
          <w:t>10.1073/pnas.2531899123</w:t>
        </w:r>
      </w:hyperlink>
    </w:p>
    <w:p>
      <w:pPr>
        <w:spacing w:before="0" w:after="120"/>
      </w:pPr>
      <w:r>
        <w:rPr>
          <w:b/>
        </w:rPr>
        <w:t xml:space="preserve">Notes: </w:t>
      </w:r>
      <w:r>
        <w:t>abstract_source=crossref</w:t>
      </w:r>
    </w:p>
    <w:p>
      <w:pPr>
        <w:spacing w:before="0" w:after="80" w:lineRule="auto" w:line="276"/>
      </w:pPr>
      <w:r>
        <w:rPr>
          <w:b/>
        </w:rPr>
        <w:t xml:space="preserve">摘要（ZH）: </w:t>
      </w:r>
      <w:r>
        <w:t>合子基因组激活（ZGA）标志着第一个转录里程碑，并建立了胚胎的全能性。尽管已有报道指出先锋因子启动了这一过程，但染色质如何为全能状态做好准备，从而允许先锋因子结合以成功实现ZGA，仍不清楚。在此，我们确定了Integrator复合体的催化亚基IntS11，作为调控ZGA的胚胎染色质全能决定因素。我们展示了IntS11在早期胚胎中作用于先锋因子上游：母体IntS11的耗竭显著削弱了RNA聚合酶II（Pol II）的募集，从而阻止了先锋因子Zelda和GAGA因子（GAF）访问调控元件并启动全基因组合子激活。</w:t>
      </w:r>
    </w:p>
    <w:p>
      <w:pPr>
        <w:spacing w:before="0" w:after="200" w:lineRule="auto" w:line="276"/>
      </w:pPr>
      <w:r>
        <w:rPr>
          <w:b/>
        </w:rPr>
        <w:t xml:space="preserve">Abstract (EN): </w:t>
      </w:r>
      <w:r>
        <w:t>Zygotic genome activation (ZGA) marks the first transcriptional milestone and establishes embryonic totipotency. Although pioneer factors have been reported to initiate this process, how chromatin is primed for the totipotent state, allowing the binding of pioneer factors for successful ZGA, remains unclear. Here, we identify IntS11, the catalytic subunit of the Integrator complex, as a totipotent determinant of embryonic chromatin governing ZGA in</w:t>
      </w:r>
      <w:r>
        <w:t xml:space="preserve"> </w:t>
      </w:r>
      <w:r>
        <w:t>Drosophila</w:t>
      </w:r>
      <w:r>
        <w:t xml:space="preserve"> </w:t>
      </w:r>
      <w:r>
        <w:t>. We show that IntS11 functions upstream of pioneer factors in early embryos: Maternal IntS11 depletion substantially impairs RNA polymerase II (Pol II) recruitment, thereby preventing pioneer factors Zelda and GAGA factor (GAF) from accessing regulatory elements and initiating genome-wide zygotic transcription. Mechanistically, IntS11 exerts dual roles: its canonical endonuclease activity is required to sustain major-wave zygotic transcription, while a distinct enzyme-independent function drives de novo Pol II loading and pioneer factor engagement. These findings uncover a fundamental maternal-specific mechanism whereby IntS11 establishes transcriptional competence, ensuring totipotent chromatin states and successful ZGA.</w:t>
      </w:r>
    </w:p>
    <w:p>
      <w:pPr>
        <w:spacing w:before="120" w:after="120"/>
      </w:pPr>
      <w:r>
        <w:rPr>
          <w:sz w:val="18"/>
        </w:rPr>
        <w:t>——————————————————————————————————————————————————————————————————————</w:t>
      </w:r>
    </w:p>
    <w:p>
      <w:pPr>
        <w:spacing w:before="160" w:after="40" w:line="240" w:lineRule="auto"/>
      </w:pPr>
      <w:r>
        <w:rPr>
          <w:b/>
        </w:rPr>
        <w:t xml:space="preserve">[450] </w:t>
      </w:r>
      <w:hyperlink r:id="rId1015">
        <w:r>
          <w:rPr>
            <w:color w:val="1155CC"/>
            <w:u w:val="single"/>
          </w:rPr>
          <w:t>一种必需的乙酰转移酶家族，用于合成多种海洋类胡萝卜素</w:t>
        </w:r>
      </w:hyperlink>
    </w:p>
    <w:p>
      <w:pPr>
        <w:spacing w:before="0" w:after="80"/>
      </w:pPr>
      <w:r>
        <w:rPr>
          <w:i/>
          <w:sz w:val="20"/>
        </w:rPr>
        <w:t>EN: An acetyltransferase family required for biosynthesis of diverse marine carotenoids</w:t>
      </w:r>
    </w:p>
    <w:p>
      <w:pPr>
        <w:spacing w:before="0" w:after="120"/>
      </w:pPr>
      <w:r>
        <w:rPr>
          <w:b/>
        </w:rPr>
        <w:t xml:space="preserve">Source: </w:t>
      </w:r>
      <w:r>
        <w:t>Proceedings of the National Academy of Sciences: Keyword search for query</w:t>
      </w:r>
      <w:r>
        <w:t xml:space="preserve">    </w:t>
      </w:r>
      <w:r>
        <w:rPr>
          <w:b/>
        </w:rPr>
        <w:t xml:space="preserve">Pub date: </w:t>
      </w:r>
      <w:r>
        <w:t>2026-04-09 07:00:00+00:00</w:t>
      </w:r>
      <w:r>
        <w:t xml:space="preserve">    </w:t>
      </w:r>
      <w:r>
        <w:rPr>
          <w:b/>
        </w:rPr>
        <w:t xml:space="preserve">DOI: </w:t>
      </w:r>
      <w:hyperlink r:id="rId1016">
        <w:r>
          <w:rPr>
            <w:color w:val="1155CC"/>
            <w:u w:val="single"/>
          </w:rPr>
          <w:t>10.1073/pnas.2525772123</w:t>
        </w:r>
      </w:hyperlink>
    </w:p>
    <w:p>
      <w:pPr>
        <w:spacing w:before="0" w:after="120"/>
      </w:pPr>
      <w:r>
        <w:rPr>
          <w:b/>
        </w:rPr>
        <w:t xml:space="preserve">Notes: </w:t>
      </w:r>
      <w:r>
        <w:t>abstract_source=crossref</w:t>
      </w:r>
    </w:p>
    <w:p>
      <w:pPr>
        <w:spacing w:before="0" w:after="80" w:lineRule="auto" w:line="276"/>
      </w:pPr>
      <w:r>
        <w:rPr>
          <w:b/>
        </w:rPr>
        <w:t xml:space="preserve">摘要（ZH）: </w:t>
      </w:r>
      <w:r>
        <w:t>色素体藻类如硅藻、顶鞭毛藻和甲藻是海洋初级生产的主要贡献者，维持海洋生态系统和全球碳循环，同时合成一系列令人惊叹的乙酰化类胡萝卜素，如岩藻黄质和围心藻黄质。这些色素优化了藻类的光合作用光捕获，并为人类提供营养益处，但其生物合成途径仍不完整，特别是共享的乙酰化步骤。通过筛选硅藻</w:t>
      </w:r>
      <w:r>
        <w:t xml:space="preserve"> </w:t>
      </w:r>
      <w:r>
        <w:t>Phaeodactylum tricornutum</w:t>
      </w:r>
      <w:r>
        <w:t xml:space="preserve"> </w:t>
      </w:r>
      <w:r>
        <w:t>中的39个候选基因，我们鉴定出一种具有</w:t>
      </w:r>
      <w:r>
        <w:t xml:space="preserve"> </w:t>
      </w:r>
      <w:r>
        <w:t>x</w:t>
      </w:r>
      <w:r>
        <w:t xml:space="preserve"> </w:t>
      </w:r>
      <w:r>
        <w:t>anthophyll</w:t>
      </w:r>
      <w:r>
        <w:t xml:space="preserve"> </w:t>
      </w:r>
      <w:r>
        <w:t>ac</w:t>
      </w:r>
      <w:r>
        <w:t xml:space="preserve"> </w:t>
      </w:r>
      <w:r>
        <w:t>etyl</w:t>
      </w:r>
      <w:r>
        <w:t xml:space="preserve"> </w:t>
      </w:r>
      <w:r>
        <w:t>t</w:t>
      </w:r>
      <w:r>
        <w:t xml:space="preserve"> </w:t>
      </w:r>
      <w:r>
        <w:t>ransferase (XACT)活性的酶。</w:t>
      </w:r>
    </w:p>
    <w:p>
      <w:pPr>
        <w:spacing w:before="0" w:after="200" w:lineRule="auto" w:line="276"/>
      </w:pPr>
      <w:r>
        <w:rPr>
          <w:b/>
        </w:rPr>
        <w:t xml:space="preserve">Abstract (EN): </w:t>
      </w:r>
      <w:r>
        <w:t>Chromalveolate algae such as diatoms, haptophytes, and dinoflagellates are main contributors to oceanic primary production, sustaining marine ecosystems and global carbon cycles while synthesizing a striking array of acetylated carotenoids like fucoxanthin and peridinin. These pigments optimize photosynthetic light harvesting in the algae and offer nutritional benefits for humans, yet knowledge of their biosynthetic pathways is still incomplete, particularly the shared acetylation step. By screening 39 candidate genes in the diatom</w:t>
      </w:r>
      <w:r>
        <w:t xml:space="preserve"> </w:t>
      </w:r>
      <w:r>
        <w:t>Phaeodactylum tricornutum</w:t>
      </w:r>
      <w:r>
        <w:t xml:space="preserve"> </w:t>
      </w:r>
      <w:r>
        <w:t>, we identified an enzyme with</w:t>
      </w:r>
      <w:r>
        <w:t xml:space="preserve"> </w:t>
      </w:r>
      <w:r>
        <w:t>x</w:t>
      </w:r>
      <w:r>
        <w:t xml:space="preserve"> </w:t>
      </w:r>
      <w:r>
        <w:t>anthophyll</w:t>
      </w:r>
      <w:r>
        <w:t xml:space="preserve"> </w:t>
      </w:r>
      <w:r>
        <w:t>ac</w:t>
      </w:r>
      <w:r>
        <w:t xml:space="preserve"> </w:t>
      </w:r>
      <w:r>
        <w:t>etyl</w:t>
      </w:r>
      <w:r>
        <w:t xml:space="preserve"> </w:t>
      </w:r>
      <w:r>
        <w:t>t</w:t>
      </w:r>
      <w:r>
        <w:t xml:space="preserve"> </w:t>
      </w:r>
      <w:r>
        <w:t>ransferase (XACT) activity that is indispensable for this modification. Disrupting</w:t>
      </w:r>
      <w:r>
        <w:t xml:space="preserve"> </w:t>
      </w:r>
      <w:r>
        <w:t>XACT</w:t>
      </w:r>
      <w:r>
        <w:t xml:space="preserve"> </w:t>
      </w:r>
      <w:r>
        <w:t>in</w:t>
      </w:r>
      <w:r>
        <w:t xml:space="preserve"> </w:t>
      </w:r>
      <w:r>
        <w:t>Phaeodactylum</w:t>
      </w:r>
      <w:r>
        <w:t xml:space="preserve"> </w:t>
      </w:r>
      <w:r>
        <w:t>and the eustigmatophyte</w:t>
      </w:r>
      <w:r>
        <w:t xml:space="preserve"> </w:t>
      </w:r>
      <w:r>
        <w:t>Nannochloropsis oceanica</w:t>
      </w:r>
      <w:r>
        <w:t xml:space="preserve"> </w:t>
      </w:r>
      <w:r>
        <w:t>abolished xanthophyll acetylation. Phylogenetic analyses revealed that XACT is exclusively present in chromalveolates synthesizing acetylated xanthophylls. In vitro assays with recombinant XACT enzymes from</w:t>
      </w:r>
      <w:r>
        <w:t xml:space="preserve"> </w:t>
      </w:r>
      <w:r>
        <w:t>Phaeodactylum</w:t>
      </w:r>
      <w:r>
        <w:t xml:space="preserve"> </w:t>
      </w:r>
      <w:r>
        <w:t>,</w:t>
      </w:r>
      <w:r>
        <w:t xml:space="preserve"> </w:t>
      </w:r>
      <w:r>
        <w:t>Nannochloropsis</w:t>
      </w:r>
      <w:r>
        <w:t xml:space="preserve"> </w:t>
      </w:r>
      <w:r>
        <w:t>, the brown alga</w:t>
      </w:r>
      <w:r>
        <w:t xml:space="preserve"> </w:t>
      </w:r>
      <w:r>
        <w:t>Ectocarpus siliculosus</w:t>
      </w:r>
      <w:r>
        <w:t xml:space="preserve"> </w:t>
      </w:r>
      <w:r>
        <w:t>, the dinoflagellate</w:t>
      </w:r>
      <w:r>
        <w:t xml:space="preserve"> </w:t>
      </w:r>
      <w:r>
        <w:t>Symbiodinium tridacnidorum</w:t>
      </w:r>
      <w:r>
        <w:t xml:space="preserve"> </w:t>
      </w:r>
      <w:r>
        <w:t>, and a haptophyte confirmed their general activity toward allenic precursor carotenoids but exhibited lineage-specific substrate preferences, explaining the diversified carotenoid structures across lineages. The broad substrate specificity of XACT from</w:t>
      </w:r>
      <w:r>
        <w:t xml:space="preserve"> </w:t>
      </w:r>
      <w:r>
        <w:t>Phaeodactylum</w:t>
      </w:r>
      <w:r>
        <w:t xml:space="preserve"> </w:t>
      </w:r>
      <w:r>
        <w:t>led us to reinvestigate the substrate specificities of other enzymes involved in fucoxanthin formation, indicating that fucoxanthin biosynthesis in diatoms proceeds via a multibranched rather than a linear pathway. XACT from</w:t>
      </w:r>
      <w:r>
        <w:t xml:space="preserve"> </w:t>
      </w:r>
      <w:r>
        <w:t>Ectocarpus</w:t>
      </w:r>
      <w:r>
        <w:t xml:space="preserve"> </w:t>
      </w:r>
      <w:r>
        <w:t>showed a distinctly narrow substrate spectrum, providing key evidence for the order of the two previously proposed steps in brown algal fucoxanthin biosynthesis. Our work resolves a long-standing gap in marine carotenoid biosynthesis and identifies the relaxed substrate specificities of the enzymes involved as an important driver for the multitude of algal carotenoid structures.</w:t>
      </w:r>
    </w:p>
    <w:p>
      <w:pPr>
        <w:spacing w:before="120" w:after="120"/>
      </w:pPr>
      <w:r>
        <w:rPr>
          <w:sz w:val="18"/>
        </w:rPr>
        <w:t>——————————————————————————————————————————————————————————————————————</w:t>
      </w:r>
    </w:p>
    <w:p>
      <w:pPr>
        <w:spacing w:before="160" w:after="40" w:line="240" w:lineRule="auto"/>
      </w:pPr>
      <w:r>
        <w:rPr>
          <w:b/>
        </w:rPr>
        <w:t xml:space="preserve">[451] </w:t>
      </w:r>
      <w:hyperlink r:id="rId1017">
        <w:r>
          <w:rPr>
            <w:color w:val="1155CC"/>
            <w:u w:val="single"/>
          </w:rPr>
          <w:t>光激活的 cAMP 信号控制霍乱弧菌的钠驱动运动</w:t>
        </w:r>
      </w:hyperlink>
    </w:p>
    <w:p>
      <w:pPr>
        <w:spacing w:before="0" w:after="80"/>
      </w:pPr>
      <w:r>
        <w:rPr>
          <w:i/>
          <w:sz w:val="20"/>
        </w:rPr>
        <w:t>EN: Light-activated cAMP signaling controls sodium-driven motility in Vibrio cholerae</w:t>
      </w:r>
    </w:p>
    <w:p>
      <w:pPr>
        <w:spacing w:before="0" w:after="120"/>
      </w:pPr>
      <w:r>
        <w:rPr>
          <w:b/>
        </w:rPr>
        <w:t xml:space="preserve">Source: </w:t>
      </w:r>
      <w:r>
        <w:t>Proceedings of the National Academy of Sciences: Keyword search for query</w:t>
      </w:r>
      <w:r>
        <w:t xml:space="preserve">    </w:t>
      </w:r>
      <w:r>
        <w:rPr>
          <w:b/>
        </w:rPr>
        <w:t xml:space="preserve">Pub date: </w:t>
      </w:r>
      <w:r>
        <w:t>2026-04-09 07:00:00+00:00</w:t>
      </w:r>
      <w:r>
        <w:t xml:space="preserve">    </w:t>
      </w:r>
      <w:r>
        <w:rPr>
          <w:b/>
        </w:rPr>
        <w:t xml:space="preserve">DOI: </w:t>
      </w:r>
      <w:hyperlink r:id="rId1018">
        <w:r>
          <w:rPr>
            <w:color w:val="1155CC"/>
            <w:u w:val="single"/>
          </w:rPr>
          <w:t>10.1073/pnas.2530860123</w:t>
        </w:r>
      </w:hyperlink>
    </w:p>
    <w:p>
      <w:pPr>
        <w:spacing w:before="0" w:after="120"/>
      </w:pPr>
      <w:r>
        <w:rPr>
          <w:b/>
        </w:rPr>
        <w:t xml:space="preserve">Notes: </w:t>
      </w:r>
      <w:r>
        <w:t>abstract_source=crossref</w:t>
      </w:r>
    </w:p>
    <w:p>
      <w:pPr>
        <w:spacing w:before="0" w:after="80" w:lineRule="auto" w:line="276"/>
      </w:pPr>
      <w:r>
        <w:rPr>
          <w:b/>
        </w:rPr>
        <w:t xml:space="preserve">摘要（ZH）: </w:t>
      </w:r>
      <w:r>
        <w:t>光是水生环境中最普遍的物理信号之一，但其对非光养病原体的影响仍然很少被探索。在此，我们展示了一株霍乱弧菌（Vibrio cholerae）通过环AMP（cAMP）信号直接将光照与运动性结合。暴露于可见光会迅速提高细胞内cAMP水平并增加游泳速度，而删除单一腺苷酸环化酶基因（cyaA）则消除了这两种反应；补充或添加外源cAMP可恢复表型。在大肠杆菌（Escherichia coli）ΔcyaA中异源表达V. cholerae CyaA</w:t>
      </w:r>
    </w:p>
    <w:p>
      <w:pPr>
        <w:spacing w:before="0" w:after="200" w:lineRule="auto" w:line="276"/>
      </w:pPr>
      <w:r>
        <w:rPr>
          <w:b/>
        </w:rPr>
        <w:t xml:space="preserve">Abstract (EN): </w:t>
      </w:r>
      <w:r>
        <w:t>Light is one of the most pervasive physical cues in aquatic environments, yet its impact on nonphototrophic pathogens remains largely unexplored. Here, we show that a strain of cholera bacterium</w:t>
      </w:r>
      <w:r>
        <w:t xml:space="preserve"> </w:t>
      </w:r>
      <w:r>
        <w:t>Vibrio cholerae</w:t>
      </w:r>
      <w:r>
        <w:t xml:space="preserve"> </w:t>
      </w:r>
      <w:r>
        <w:t>directly couples illumination to motility through cyclic AMP (cAMP) signaling. Exposure to visible light rapidly elevates intracellular cAMP and increases swimming speed, whereas deletion of the single adenylyl cyclase gene (</w:t>
      </w:r>
      <w:r>
        <w:t xml:space="preserve"> </w:t>
      </w:r>
      <w:r>
        <w:t>cyaA</w:t>
      </w:r>
      <w:r>
        <w:t xml:space="preserve"> </w:t>
      </w:r>
      <w:r>
        <w:t>) abolishes both responses; complementation or addition of exogenous cAMP restores the phenotype. Heterologous expression of</w:t>
      </w:r>
      <w:r>
        <w:t xml:space="preserve"> </w:t>
      </w:r>
      <w:r>
        <w:t>V. cholerae</w:t>
      </w:r>
      <w:r>
        <w:t xml:space="preserve"> </w:t>
      </w:r>
      <w:r>
        <w:t>CyaA in an</w:t>
      </w:r>
      <w:r>
        <w:t xml:space="preserve"> </w:t>
      </w:r>
      <w:r>
        <w:t>Escherichia coli</w:t>
      </w:r>
      <w:r>
        <w:t xml:space="preserve"> </w:t>
      </w:r>
      <w:r>
        <w:t>Δ</w:t>
      </w:r>
      <w:r>
        <w:t xml:space="preserve"> </w:t>
      </w:r>
      <w:r>
        <w:t>cyaA</w:t>
      </w:r>
      <w:r>
        <w:t xml:space="preserve"> </w:t>
      </w:r>
      <w:r>
        <w:t>Δ</w:t>
      </w:r>
      <w:r>
        <w:t xml:space="preserve"> </w:t>
      </w:r>
      <w:r>
        <w:t>cpdA</w:t>
      </w:r>
      <w:r>
        <w:t xml:space="preserve"> </w:t>
      </w:r>
      <w:r>
        <w:t>background reconstitutes light-activated cAMP synthesis, indicating that CyaA confers photoreactivity. Purified CyaA exhibits a reversible light-dependent spectral shift consistent with flavin-dependent photochemistry, identifying it as a light-responsive cyclase. Illumination triggers rapid membrane hyperpolarization and sodium efflux, strengthening the sodium-motive force that powers the flagellar motor. This response persists under nutrient-limited conditions. Together, these findings define a light → cAMP → sodium-motive force coupling axis in</w:t>
      </w:r>
      <w:r>
        <w:t xml:space="preserve"> </w:t>
      </w:r>
      <w:r>
        <w:t>V. cholerae</w:t>
      </w:r>
      <w:r>
        <w:t xml:space="preserve"> </w:t>
      </w:r>
      <w:r>
        <w:t>, suggesting that ambient light may influence motility and dispersal in sunlit environments.</w:t>
      </w:r>
    </w:p>
    <w:p>
      <w:pPr>
        <w:spacing w:before="120" w:after="120"/>
      </w:pPr>
      <w:r>
        <w:rPr>
          <w:sz w:val="18"/>
        </w:rPr>
        <w:t>——————————————————————————————————————————————————————————————————————</w:t>
      </w:r>
    </w:p>
    <w:p>
      <w:pPr>
        <w:spacing w:before="160" w:after="40" w:line="240" w:lineRule="auto"/>
      </w:pPr>
      <w:r>
        <w:rPr>
          <w:b/>
        </w:rPr>
        <w:t xml:space="preserve">[452] </w:t>
      </w:r>
      <w:hyperlink r:id="rId1019">
        <w:r>
          <w:rPr>
            <w:color w:val="1155CC"/>
            <w:u w:val="single"/>
          </w:rPr>
          <w:t>扩展的 Rice–Thomson 分析和原子模拟揭示了难熔高熵合金中晶界对断裂的影响</w:t>
        </w:r>
      </w:hyperlink>
    </w:p>
    <w:p>
      <w:pPr>
        <w:spacing w:before="0" w:after="80"/>
      </w:pPr>
      <w:r>
        <w:rPr>
          <w:i/>
          <w:sz w:val="20"/>
        </w:rPr>
        <w:t>EN: Extended Rice–Thomson analysis and atomistic simulations revealing grain boundary effects on fracture in refractory high-entropy alloys</w:t>
      </w:r>
    </w:p>
    <w:p>
      <w:pPr>
        <w:spacing w:before="0" w:after="120"/>
      </w:pPr>
      <w:r>
        <w:rPr>
          <w:b/>
        </w:rPr>
        <w:t xml:space="preserve">Source: </w:t>
      </w:r>
      <w:r>
        <w:t>Proceedings of the National Academy of Sciences: Keyword search for query</w:t>
      </w:r>
      <w:r>
        <w:t xml:space="preserve">    </w:t>
      </w:r>
      <w:r>
        <w:rPr>
          <w:b/>
        </w:rPr>
        <w:t xml:space="preserve">Pub date: </w:t>
      </w:r>
      <w:r>
        <w:t>2026-04-09 07:00:00+00:00</w:t>
      </w:r>
      <w:r>
        <w:t xml:space="preserve">    </w:t>
      </w:r>
      <w:r>
        <w:rPr>
          <w:b/>
        </w:rPr>
        <w:t xml:space="preserve">DOI: </w:t>
      </w:r>
      <w:hyperlink r:id="rId1020">
        <w:r>
          <w:rPr>
            <w:color w:val="1155CC"/>
            <w:u w:val="single"/>
          </w:rPr>
          <w:t>10.1073/pnas.2536219123</w:t>
        </w:r>
      </w:hyperlink>
    </w:p>
    <w:p>
      <w:pPr>
        <w:spacing w:before="0" w:after="120"/>
      </w:pPr>
      <w:r>
        <w:rPr>
          <w:b/>
        </w:rPr>
        <w:t xml:space="preserve">Notes: </w:t>
      </w:r>
      <w:r>
        <w:t>abstract_source=crossref</w:t>
      </w:r>
    </w:p>
    <w:p>
      <w:pPr>
        <w:spacing w:before="0" w:after="80" w:lineRule="auto" w:line="276"/>
      </w:pPr>
      <w:r>
        <w:rPr>
          <w:b/>
        </w:rPr>
        <w:t xml:space="preserve">摘要（ZH）: </w:t>
      </w:r>
      <w:r>
        <w:t>理解晶界如何介导断裂仍然是设计延展性高性能耐火合金的关键挑战。在此，我们扩展了Rice–Thomson准则，以考虑裂纹与撞击晶界（GBs）之间的角度，捕捉晶间断裂与位错介导的塑性之间的竞争。使用机器学习原子间势，我们进行了分子静态模拟，以探测纳米晶NbMoTaW和Nb45Ta25Ti15Hf15中断裂机制，每种都有两种不同的晶粒尺寸，揭示了与实验观察一致的趋势和</w:t>
      </w:r>
    </w:p>
    <w:p>
      <w:pPr>
        <w:spacing w:before="0" w:after="200" w:lineRule="auto" w:line="276"/>
      </w:pPr>
      <w:r>
        <w:rPr>
          <w:b/>
        </w:rPr>
        <w:t xml:space="preserve">Abstract (EN): </w:t>
      </w:r>
      <w:r>
        <w:t>Understanding how grain boundaries mediate fracture remains a critical challenge in designing ductile, high-performance refractory alloys. Here, we extend the Rice–Thomson criterion to account for the angle between cracks and the impinging grain boundaries (GBs), capturing the competition between intergranular fracture and dislocation-mediated plasticity. Using machine learning interatomic potentials, we performed molecular statics simulations to probe fracture mechanisms in nanocrystalline NbMoTaW and Nb</w:t>
      </w:r>
      <w:r>
        <w:rPr>
          <w:vertAlign w:val="subscript"/>
        </w:rPr>
        <w:t>45</w:t>
      </w:r>
      <w:r>
        <w:t>Ta</w:t>
      </w:r>
      <w:r>
        <w:rPr>
          <w:vertAlign w:val="subscript"/>
        </w:rPr>
        <w:t>25</w:t>
      </w:r>
      <w:r>
        <w:t>Ti</w:t>
      </w:r>
      <w:r>
        <w:rPr>
          <w:vertAlign w:val="subscript"/>
        </w:rPr>
        <w:t>15</w:t>
      </w:r>
      <w:r>
        <w:t>Hf</w:t>
      </w:r>
      <w:r>
        <w:rPr>
          <w:vertAlign w:val="subscript"/>
        </w:rPr>
        <w:t>15</w:t>
      </w:r>
      <w:r>
        <w:t>, each with two different grain sizes, revealing trends consistent with experimental observations and the extended Rice model. Comparison with averaged R-curves for bulk samples demonstrates that GBs enhance ductility in Nb</w:t>
      </w:r>
      <w:r>
        <w:rPr>
          <w:vertAlign w:val="subscript"/>
        </w:rPr>
        <w:t>45</w:t>
      </w:r>
      <w:r>
        <w:t>Ta</w:t>
      </w:r>
      <w:r>
        <w:rPr>
          <w:vertAlign w:val="subscript"/>
        </w:rPr>
        <w:t>25</w:t>
      </w:r>
      <w:r>
        <w:t>Ti</w:t>
      </w:r>
      <w:r>
        <w:rPr>
          <w:vertAlign w:val="subscript"/>
        </w:rPr>
        <w:t>15</w:t>
      </w:r>
      <w:r>
        <w:t>Hf</w:t>
      </w:r>
      <w:r>
        <w:rPr>
          <w:vertAlign w:val="subscript"/>
        </w:rPr>
        <w:t>15</w:t>
      </w:r>
      <w:r>
        <w:t>in both grain sizes investigated. In contrast, GBs only locally improve fracture resistance in NbMoTaW when cracks are temporarily pinned at GBs inclined at high angles from the crack, but generally promote brittle intergranular fracture. These contrasting behaviors are attributed to differences in GB cohesion, reflecting clear alloying trends that align with ab-initio calculations and trends observed experimentally. Our results bridge classical fracture theory, atomistic simulations, and experimental observations, providing a comprehensive understanding of the fracture mechanisms in nanocrystalline refractory complex concentrated alloys.</w:t>
      </w:r>
    </w:p>
    <w:p>
      <w:pPr>
        <w:spacing w:before="120" w:after="120"/>
      </w:pPr>
      <w:r>
        <w:rPr>
          <w:sz w:val="18"/>
        </w:rPr>
        <w:t>——————————————————————————————————————————————————————————————————————</w:t>
      </w:r>
    </w:p>
    <w:p>
      <w:pPr>
        <w:spacing w:before="160" w:after="40" w:line="240" w:lineRule="auto"/>
      </w:pPr>
      <w:r>
        <w:rPr>
          <w:b/>
        </w:rPr>
        <w:t xml:space="preserve">[453] </w:t>
      </w:r>
      <w:hyperlink r:id="rId1021">
        <w:r>
          <w:rPr>
            <w:color w:val="1155CC"/>
            <w:u w:val="single"/>
          </w:rPr>
          <w:t>结构引导设计的 7-氮杂吲哚 DNMT1 抑制剂对抗低甲基化剂耐药的急性髓性白血病有效</w:t>
        </w:r>
      </w:hyperlink>
    </w:p>
    <w:p>
      <w:pPr>
        <w:spacing w:before="0" w:after="80"/>
      </w:pPr>
      <w:r>
        <w:rPr>
          <w:i/>
          <w:sz w:val="20"/>
        </w:rPr>
        <w:t>EN: Structure-guided design of 7-azaindole DNMT1 inhibitors active against hypomethylating agent–resistant acute myeloid leukemia</w:t>
      </w:r>
    </w:p>
    <w:p>
      <w:pPr>
        <w:spacing w:before="0" w:after="120"/>
      </w:pPr>
      <w:r>
        <w:rPr>
          <w:b/>
        </w:rPr>
        <w:t xml:space="preserve">Source: </w:t>
      </w:r>
      <w:r>
        <w:t>Proceedings of the National Academy of Sciences: Keyword search for query</w:t>
      </w:r>
      <w:r>
        <w:t xml:space="preserve">    </w:t>
      </w:r>
      <w:r>
        <w:rPr>
          <w:b/>
        </w:rPr>
        <w:t xml:space="preserve">Pub date: </w:t>
      </w:r>
      <w:r>
        <w:t>2026-04-09 07:00:00+00:00</w:t>
      </w:r>
      <w:r>
        <w:t xml:space="preserve">    </w:t>
      </w:r>
      <w:r>
        <w:rPr>
          <w:b/>
        </w:rPr>
        <w:t xml:space="preserve">DOI: </w:t>
      </w:r>
      <w:hyperlink r:id="rId1022">
        <w:r>
          <w:rPr>
            <w:color w:val="1155CC"/>
            <w:u w:val="single"/>
          </w:rPr>
          <w:t>10.1073/pnas.2532472123</w:t>
        </w:r>
      </w:hyperlink>
    </w:p>
    <w:p>
      <w:pPr>
        <w:spacing w:before="0" w:after="120"/>
      </w:pPr>
      <w:r>
        <w:rPr>
          <w:b/>
        </w:rPr>
        <w:t xml:space="preserve">Notes: </w:t>
      </w:r>
      <w:r>
        <w:t>abstract_source=crossref</w:t>
      </w:r>
    </w:p>
    <w:p>
      <w:pPr>
        <w:spacing w:before="0" w:after="80" w:lineRule="auto" w:line="276"/>
      </w:pPr>
      <w:r>
        <w:rPr>
          <w:b/>
        </w:rPr>
        <w:t xml:space="preserve">摘要（ZH）: </w:t>
      </w:r>
      <w:r>
        <w:t>通过药理学逆转肿瘤抑制基因（TSGs）启动子DNA异常甲基化是癌症管理的关键治疗范式。然而，目前批准的核苷类似物去甲基化剂（HMAs）的临床疗效受到剂量依赖性毒性和高抗性率的限制。非核苷类、DNA甲基转移酶1（DNMT1）选择性抑制剂提供了一个有前景的替代方案。迄今为止，只有有限的化学类型，以二氰基吡啶衍生物GSK3685032（GSK5032）为例，展示了可转化的DNMT1抑制作用，但在长期暴露后出现抗性。为了解决这些限制，我们采用结构引导的骨架跳跃和化学优化，开发了一系列DNMT1抑制剂（DNMT1i），具有双环7-氮杂吲哚</w:t>
      </w:r>
    </w:p>
    <w:p>
      <w:pPr>
        <w:spacing w:before="0" w:after="200" w:lineRule="auto" w:line="276"/>
      </w:pPr>
      <w:r>
        <w:rPr>
          <w:b/>
        </w:rPr>
        <w:t xml:space="preserve">Abstract (EN): </w:t>
      </w:r>
      <w:r>
        <w:t>Pharmacological reversal of abnormal promoter DNA hypermethylation at tumor suppressor genes (TSGs) is a key therapeutic paradigm for cancer management. However, the clinical efficacy of currently approved nucleoside analog hypomethylating agents (HMAs) is limited by dose-dependent toxicity and high resistance rates. Nonnucleoside, DNA methyltransferase 1 (DNMT1)-selective inhibitors offer a promising alternative. To date, only limited chemotypes, exemplified by the dicyanopyridine derivative GSK3685032 (GSK5032), have demonstrated translatable DNMT1 inhibition, with resistance emerging upon prolonged exposure. To address these limitations, we employ structure-guided scaffold hopping and chemical optimization to develop a series of DNMT1 inhibitors (DNMT1i) featuring a bicyclic 7-azaindole scaffold. We identify DMI46, a potent enzymatic DNMT1i capable of reversing cancer-specific DNA methylation abnormalities and TSG silencing, leading to robust antileukemic effects and favorable tolerability. Cryoelectron microscopy (cryo-EM) studies reveal that the 7-azaindole inhibitor exhibits enhanced intercalation into hemi-methylated CpG dyads and increased minor-groove contacts within the DNMT1/hemimethylated DNA complex compared to GSK5032. These structural features enable sustained DNMT1 targeting and significant antiproliferative activity of DMI46 in GSK5032-resistant acute myeloid leukemia (AML) cells. We also demonstrate DMI46’s capacity to overcome AML resistance to nucleoside-based HMAs both in vitro and in vivo. These findings introduce a distinct DNMT1i chemotype with enhanced on-target engagement and broad applicability against HMA-resistant AML.</w:t>
      </w:r>
    </w:p>
    <w:p>
      <w:pPr>
        <w:spacing w:before="120" w:after="120"/>
      </w:pPr>
      <w:r>
        <w:rPr>
          <w:sz w:val="18"/>
        </w:rPr>
        <w:t>——————————————————————————————————————————————————————————————————————</w:t>
      </w:r>
    </w:p>
    <w:p>
      <w:pPr>
        <w:spacing w:before="160" w:after="40" w:line="240" w:lineRule="auto"/>
      </w:pPr>
      <w:r>
        <w:rPr>
          <w:b/>
        </w:rPr>
        <w:t xml:space="preserve">[454] </w:t>
      </w:r>
      <w:hyperlink r:id="rId1023">
        <w:r>
          <w:rPr>
            <w:color w:val="1155CC"/>
            <w:u w:val="single"/>
          </w:rPr>
          <w:t>大无穷和可定义集</w:t>
        </w:r>
      </w:hyperlink>
    </w:p>
    <w:p>
      <w:pPr>
        <w:spacing w:before="0" w:after="80"/>
      </w:pPr>
      <w:r>
        <w:rPr>
          <w:i/>
          <w:sz w:val="20"/>
        </w:rPr>
        <w:t>EN: Large infinities and definable sets</w:t>
      </w:r>
    </w:p>
    <w:p>
      <w:pPr>
        <w:spacing w:before="0" w:after="120"/>
      </w:pPr>
      <w:r>
        <w:rPr>
          <w:b/>
        </w:rPr>
        <w:t xml:space="preserve">Source: </w:t>
      </w:r>
      <w:r>
        <w:t>Proceedings of the National Academy of Sciences: Keyword search for query</w:t>
      </w:r>
      <w:r>
        <w:t xml:space="preserve">    </w:t>
      </w:r>
      <w:r>
        <w:rPr>
          <w:b/>
        </w:rPr>
        <w:t xml:space="preserve">Pub date: </w:t>
      </w:r>
      <w:r>
        <w:t>2026-04-09 07:00:00+00:00</w:t>
      </w:r>
      <w:r>
        <w:t xml:space="preserve">    </w:t>
      </w:r>
      <w:r>
        <w:rPr>
          <w:b/>
        </w:rPr>
        <w:t xml:space="preserve">DOI: </w:t>
      </w:r>
      <w:hyperlink r:id="rId1024">
        <w:r>
          <w:rPr>
            <w:color w:val="1155CC"/>
            <w:u w:val="single"/>
          </w:rPr>
          <w:t>10.1073/pnas.2528175123</w:t>
        </w:r>
      </w:hyperlink>
    </w:p>
    <w:p>
      <w:pPr>
        <w:spacing w:before="0" w:after="120"/>
      </w:pPr>
      <w:r>
        <w:rPr>
          <w:b/>
        </w:rPr>
        <w:t xml:space="preserve">Notes: </w:t>
      </w:r>
      <w:r>
        <w:t>abstract_source=crossref</w:t>
      </w:r>
    </w:p>
    <w:p>
      <w:pPr>
        <w:spacing w:before="0" w:after="80" w:lineRule="auto" w:line="276"/>
      </w:pPr>
      <w:r>
        <w:rPr>
          <w:b/>
        </w:rPr>
        <w:t xml:space="preserve">摘要（ZH）: </w:t>
      </w:r>
      <w:r>
        <w:t>大型基数公理通过断言存在非常大的无限集合来扩展数学的标准公理集。当前数学逻辑研究的一个显著方向是识别这种类型的更强原则；这作为缓解哥德尔不完备现象的一种途径。然而，大型基数公理与断言数学宇宙整体简单性的原则以及选择公理的形式之间存在紧张关系。最近识别的新型无穷大为这种紧张关系提供了新的见解，并提出了重要的数学和哲学问题。</w:t>
      </w:r>
    </w:p>
    <w:p>
      <w:pPr>
        <w:spacing w:before="0" w:after="200" w:lineRule="auto" w:line="276"/>
      </w:pPr>
      <w:r>
        <w:rPr>
          <w:b/>
        </w:rPr>
        <w:t xml:space="preserve">Abstract (EN): </w:t>
      </w:r>
      <w:r>
        <w:t>Large cardinal axioms extend the standard set of axioms for mathematics by asserting that very large infinite sets exist. A prominent line of current research in mathematical logic is identifying ever stronger principles of this kind; this serves as an avenue toward mitigating the phenomenon of Gödel incompleteness. However, there is a tension between large cardinal axioms and principles asserting global simplicity of the mathematical universe, as well as forms of the Axiom of Choice. New kinds of infinity recently identified shed light into this tension and raise important mathematical and philosophical questions.</w:t>
      </w:r>
    </w:p>
    <w:p>
      <w:pPr>
        <w:spacing w:before="120" w:after="120"/>
      </w:pPr>
      <w:r>
        <w:rPr>
          <w:sz w:val="18"/>
        </w:rPr>
        <w:t>——————————————————————————————————————————————————————————————————————</w:t>
      </w:r>
    </w:p>
    <w:p>
      <w:pPr>
        <w:spacing w:before="160" w:after="40" w:line="240" w:lineRule="auto"/>
      </w:pPr>
      <w:r>
        <w:rPr>
          <w:b/>
        </w:rPr>
        <w:t xml:space="preserve">[455] </w:t>
      </w:r>
      <w:hyperlink r:id="rId1025">
        <w:r>
          <w:rPr>
            <w:color w:val="1155CC"/>
            <w:u w:val="single"/>
          </w:rPr>
          <w:t>B 细胞使自体反应性 T 细胞避免抑制</w:t>
        </w:r>
      </w:hyperlink>
    </w:p>
    <w:p>
      <w:pPr>
        <w:spacing w:before="0" w:after="80"/>
      </w:pPr>
      <w:r>
        <w:rPr>
          <w:i/>
          <w:sz w:val="20"/>
        </w:rPr>
        <w:t>EN: B cells enable autoreactive T cells to avoid suppression</w:t>
      </w:r>
    </w:p>
    <w:p>
      <w:pPr>
        <w:spacing w:before="0" w:after="120"/>
      </w:pPr>
      <w:r>
        <w:rPr>
          <w:b/>
        </w:rPr>
        <w:t xml:space="preserve">Source: </w:t>
      </w:r>
      <w:r>
        <w:t>Proceedings of the National Academy of Sciences: Keyword search for query</w:t>
      </w:r>
      <w:r>
        <w:t xml:space="preserve">    </w:t>
      </w:r>
      <w:r>
        <w:rPr>
          <w:b/>
        </w:rPr>
        <w:t xml:space="preserve">Pub date: </w:t>
      </w:r>
      <w:r>
        <w:t>2026-04-09 07:00:00+00:00</w:t>
      </w:r>
      <w:r>
        <w:t xml:space="preserve">    </w:t>
      </w:r>
      <w:r>
        <w:rPr>
          <w:b/>
        </w:rPr>
        <w:t xml:space="preserve">DOI: </w:t>
      </w:r>
      <w:hyperlink r:id="rId1026">
        <w:r>
          <w:rPr>
            <w:color w:val="1155CC"/>
            <w:u w:val="single"/>
          </w:rPr>
          <w:t>10.1073/pnas.2536291123</w:t>
        </w:r>
      </w:hyperlink>
    </w:p>
    <w:p>
      <w:pPr>
        <w:spacing w:before="0" w:after="120"/>
      </w:pPr>
      <w:r>
        <w:rPr>
          <w:b/>
        </w:rPr>
        <w:t xml:space="preserve">Notes: </w:t>
      </w:r>
      <w:r>
        <w:t>abstract_source=crossref</w:t>
      </w:r>
    </w:p>
    <w:p>
      <w:pPr>
        <w:spacing w:before="0" w:after="80" w:lineRule="auto" w:line="276"/>
      </w:pPr>
      <w:r>
        <w:rPr>
          <w:b/>
        </w:rPr>
        <w:t xml:space="preserve">摘要（ZH）: </w:t>
      </w:r>
      <w:r>
        <w:t>临床试验和实验观察表明，B细胞对于T细胞介导的器官特异性自身免疫的发展至关重要，尽管它们的确切贡献尚不清楚。由于B细胞的抗原呈递集中在与其抗原受体相关的抗原上，我们推测B细胞将促进具有相同抗原特异性的T效应细胞（Teff）的激活，但由于在病理发生的早期阶段多克隆/多特异性T调节细胞（Treg）中抗原特异性Treg的存在不足，B细胞将难以有效激活Treg。同时，由树突状细胞（DC）呈递的自身抗原激活Teff将对Treg的旁观者抑制敏感，因为DC表达多种抗原肽。我们使用Teff细胞（KRN）</w:t>
      </w:r>
    </w:p>
    <w:p>
      <w:pPr>
        <w:spacing w:before="0" w:after="200" w:lineRule="auto" w:line="276"/>
      </w:pPr>
      <w:r>
        <w:rPr>
          <w:b/>
        </w:rPr>
        <w:t xml:space="preserve">Abstract (EN): </w:t>
      </w:r>
      <w:r>
        <w:t>Clinical trials and experimental observations have shown that B cells are essential for development of T cell–mediated organ-specific autoimmunity, although their exact contribution is not clear. As antigen presentation by B cells is focused on antigens cognate to their antigen receptors, we reasoned that B cells would facilitate activation of T effector cells (Teff) with the same antigen specificity but would poorly activate regulatory T cells (Treg) due to insufficient presence of antigen-specific Tregs among polyclonal/multispecific Tregs at the early stages of pathogenesis. At the same time, activation of Teff by autoantigens presented by dendritic cells (DC) would be sensitive to by-stander suppression by Tregs as DCs express a variety of antigenic peptides. We used Teff cells (KRN) and B cells (121) reactive to the same antigen – glucose-6-phosphate-isomerase (GPI) to show that KRN T cells activation was sensitive to polyclonal Tregs only when activated by DCs but not by B cells. However, as expected, GPI-specific Tregs were fully capable of suppressing Teff activation by B cells. Our findings shed light on the role of B cells in organ-specific autoimmunity and provide knowledge-based support for application of anti-B cell immunotherapies.</w:t>
      </w:r>
    </w:p>
    <w:p>
      <w:pPr>
        <w:spacing w:before="120" w:after="120"/>
      </w:pPr>
      <w:r>
        <w:rPr>
          <w:sz w:val="18"/>
        </w:rPr>
        <w:t>——————————————————————————————————————————————————————————————————————</w:t>
      </w:r>
    </w:p>
    <w:p>
      <w:pPr>
        <w:spacing w:before="160" w:after="40" w:line="240" w:lineRule="auto"/>
      </w:pPr>
      <w:r>
        <w:rPr>
          <w:b/>
        </w:rPr>
        <w:t xml:space="preserve">[456] </w:t>
      </w:r>
      <w:hyperlink r:id="rId1027">
        <w:r>
          <w:rPr>
            <w:color w:val="1155CC"/>
            <w:u w:val="single"/>
          </w:rPr>
          <w:t>在联合祖先状态重建中解决竞争的进化历史</w:t>
        </w:r>
      </w:hyperlink>
    </w:p>
    <w:p>
      <w:pPr>
        <w:spacing w:before="0" w:after="80"/>
      </w:pPr>
      <w:r>
        <w:rPr>
          <w:i/>
          <w:sz w:val="20"/>
        </w:rPr>
        <w:t>EN: Resolving competing evolutionary histories in joint ancestral state reconstruction</w:t>
      </w:r>
    </w:p>
    <w:p>
      <w:pPr>
        <w:spacing w:before="0" w:after="120"/>
      </w:pPr>
      <w:r>
        <w:rPr>
          <w:b/>
        </w:rPr>
        <w:t xml:space="preserve">Source: </w:t>
      </w:r>
      <w:r>
        <w:t>Proceedings of the National Academy of Sciences: Keyword search for query</w:t>
      </w:r>
      <w:r>
        <w:t xml:space="preserve">    </w:t>
      </w:r>
      <w:r>
        <w:rPr>
          <w:b/>
        </w:rPr>
        <w:t xml:space="preserve">Pub date: </w:t>
      </w:r>
      <w:r>
        <w:t>2026-04-09 07:00:00+00:00</w:t>
      </w:r>
      <w:r>
        <w:t xml:space="preserve">    </w:t>
      </w:r>
      <w:r>
        <w:rPr>
          <w:b/>
        </w:rPr>
        <w:t xml:space="preserve">DOI: </w:t>
      </w:r>
      <w:hyperlink r:id="rId1028">
        <w:r>
          <w:rPr>
            <w:color w:val="1155CC"/>
            <w:u w:val="single"/>
          </w:rPr>
          <w:t>10.1073/pnas.2528064123</w:t>
        </w:r>
      </w:hyperlink>
    </w:p>
    <w:p>
      <w:pPr>
        <w:spacing w:before="0" w:after="120"/>
      </w:pPr>
      <w:r>
        <w:rPr>
          <w:b/>
        </w:rPr>
        <w:t xml:space="preserve">Notes: </w:t>
      </w:r>
      <w:r>
        <w:t>abstract_source=crossref</w:t>
      </w:r>
    </w:p>
    <w:p>
      <w:pPr>
        <w:spacing w:before="0" w:after="80" w:lineRule="auto" w:line="276"/>
      </w:pPr>
      <w:r>
        <w:rPr>
          <w:b/>
        </w:rPr>
        <w:t xml:space="preserve">摘要（ZH）: </w:t>
      </w:r>
      <w:r>
        <w:t>祖先状态重建（ASR）是比较生物学中的基础工具，提供了对谱系进化历史的洞察。随着每一个新的进化模型，我们估计祖先状态的能力在生物现实性上得到了提高。然而，该领域主要依赖于边际重建，侧重于个别节点。这个框架在分析上是可处理的，并适合于节点特定的假设，但它并不旨在识别整个树上最可能的进化事件序列。我们认为，对于对进化轨迹感兴趣的研究人员来说，联合重建提供了一种更有效的方式来表征完整的转变历史。传统上，联合重建算法仅关注单一</w:t>
      </w:r>
    </w:p>
    <w:p>
      <w:pPr>
        <w:spacing w:before="0" w:after="200" w:lineRule="auto" w:line="276"/>
      </w:pPr>
      <w:r>
        <w:rPr>
          <w:b/>
        </w:rPr>
        <w:t xml:space="preserve">Abstract (EN): </w:t>
      </w:r>
      <w:r>
        <w:t>Ancestral state reconstruction (ASR) is a foundational tool in comparative biology, offering insights into the evolutionary history of lineages. With each new evolutionary model, our ability to estimate ancestral states with increased biological realism has improved. However, the field has primarily relied on marginal reconstructions, which focus on individual nodes. This framework is analytically tractable and appropriate for node-specific hypotheses, but it is not designed to identify the most probable sequence of evolutionary events across a tree. We argue that for researchers interested in evolutionary trajectories, joint reconstructions provide a more effective way to characterize the full history of transitions. Traditionally, joint reconstruction algorithms focused only on the single most likely sequence, but here we use conditional probabilities derived from stochastic mapping to sample the distribution of plausible ancestral histories efficiently. Furthermore, we provide tools to quantify and summarize this joint uncertainty. Through simulations and an empirical case study, we demonstrate that joint reconstructions more effectively recover simulated trait histories than node-wise marginal estimates and that the uncertainty surrounding these histories can be biologically meaningful. We apply our methods to epidemic multidrug-resistant</w:t>
      </w:r>
      <w:r>
        <w:t xml:space="preserve"> </w:t>
      </w:r>
      <w:r>
        <w:t>Klebsiella pneumoniae</w:t>
      </w:r>
      <w:r>
        <w:t xml:space="preserve"> </w:t>
      </w:r>
      <w:r>
        <w:t>and find that the evolution of antibiotic resistance is not a single narrative but a series of competing histories. Each of these histories exhibits distinct phenotype–genotype transitions that node-wise approaches would struggle to identify, yet have critical implications for predicting and understanding resistance evolution.</w:t>
      </w:r>
    </w:p>
    <w:p>
      <w:pPr>
        <w:spacing w:before="120" w:after="120"/>
      </w:pPr>
      <w:r>
        <w:rPr>
          <w:sz w:val="18"/>
        </w:rPr>
        <w:t>——————————————————————————————————————————————————————————————————————</w:t>
      </w:r>
    </w:p>
    <w:p>
      <w:pPr>
        <w:spacing w:before="160" w:after="40" w:line="240" w:lineRule="auto"/>
      </w:pPr>
      <w:r>
        <w:rPr>
          <w:b/>
        </w:rPr>
        <w:t xml:space="preserve">[457] </w:t>
      </w:r>
      <w:hyperlink r:id="rId1029">
        <w:r>
          <w:rPr>
            <w:color w:val="1155CC"/>
            <w:u w:val="single"/>
          </w:rPr>
          <w:t>代谢物模拟识别具有选择性保护功能的丁酸类似物在肠粘膜中的作用</w:t>
        </w:r>
      </w:hyperlink>
    </w:p>
    <w:p>
      <w:pPr>
        <w:spacing w:before="0" w:after="80"/>
      </w:pPr>
      <w:r>
        <w:rPr>
          <w:i/>
          <w:sz w:val="20"/>
        </w:rPr>
        <w:t>EN: Metabolite mimicry identifies butyrate analogs with select protective functions in the intestinal mucosa</w:t>
      </w:r>
    </w:p>
    <w:p>
      <w:pPr>
        <w:spacing w:before="0" w:after="120"/>
      </w:pPr>
      <w:r>
        <w:rPr>
          <w:b/>
        </w:rPr>
        <w:t xml:space="preserve">Source: </w:t>
      </w:r>
      <w:r>
        <w:t>Proceedings of the National Academy of Sciences: Keyword search for query</w:t>
      </w:r>
      <w:r>
        <w:t xml:space="preserve">    </w:t>
      </w:r>
      <w:r>
        <w:rPr>
          <w:b/>
        </w:rPr>
        <w:t xml:space="preserve">Pub date: </w:t>
      </w:r>
      <w:r>
        <w:t>2026-04-09 07:00:00+00:00</w:t>
      </w:r>
      <w:r>
        <w:t xml:space="preserve">    </w:t>
      </w:r>
      <w:r>
        <w:rPr>
          <w:b/>
        </w:rPr>
        <w:t xml:space="preserve">DOI: </w:t>
      </w:r>
      <w:hyperlink r:id="rId1030">
        <w:r>
          <w:rPr>
            <w:color w:val="1155CC"/>
            <w:u w:val="single"/>
          </w:rPr>
          <w:t>10.1073/pnas.2527863123</w:t>
        </w:r>
      </w:hyperlink>
    </w:p>
    <w:p>
      <w:pPr>
        <w:spacing w:before="0" w:after="120"/>
      </w:pPr>
      <w:r>
        <w:rPr>
          <w:b/>
        </w:rPr>
        <w:t xml:space="preserve">Notes: </w:t>
      </w:r>
      <w:r>
        <w:t>abstract_source=crossref</w:t>
      </w:r>
    </w:p>
    <w:p>
      <w:pPr>
        <w:spacing w:before="0" w:after="80" w:lineRule="auto" w:line="276"/>
      </w:pPr>
      <w:r>
        <w:rPr>
          <w:b/>
        </w:rPr>
        <w:t xml:space="preserve">摘要（ZH）: </w:t>
      </w:r>
      <w:r>
        <w:t>微生物衍生的短链脂肪酸在健康的结肠粘膜中调节多种途径。特别是，丁酸盐作为结肠细胞的主要能量来源，并通过稳定转录因子缺氧诱导因子（HIF）和作为组蛋白去乙酰化酶（HDAC）抑制剂来调节基因转录。丁酸盐作为治疗剂的一个限制是其在分化的结肠细胞中的快速代谢。此外，肠道干细胞（ISCs）对丁酸盐的反应不同，优先使用葡萄糖获取能量。为了解决这些限制，我们探索了代谢物模拟以识别在丁酸盐途径中具有强效或选择性生物反应的化合物。我们发现了一种类似物，3-氯丁酸（3-Cl BA），显著增强</w:t>
      </w:r>
    </w:p>
    <w:p>
      <w:pPr>
        <w:spacing w:before="0" w:after="200" w:lineRule="auto" w:line="276"/>
      </w:pPr>
      <w:r>
        <w:rPr>
          <w:b/>
        </w:rPr>
        <w:t xml:space="preserve">Abstract (EN): </w:t>
      </w:r>
      <w:r>
        <w:t>Microbial-derived short-chain fatty acids regulate a variety of pathways in the healthy colonic mucosa. In particular, butyrate serves as the primary energy source for colonocytes and regulates gene transcription by stabilizing the transcription factor hypoxia-inducible-factors (HIF) and functioning as a histone deacetylase (HDAC) inhibitor. A limitation of butyrate as a therapeutic is its rapid metabolism in differentiated colonocytes. Furthermore, intestinal stem cells (ISCs) respond differently to butyrate, preferentially using glucose for energy procurement. To address these limitations, we explored metabolite mimicry to identify compounds with potent or selective biological responses within the butyrate pathway(s). We found an analog, 3-chlorobutyrate (3-Cl BA), that significantly enhances epithelial barrier formation and wound healing in vitro. Mechanistically, we revealed that 3-Cl BA is a potent HDAC inhibitor. Furthermore, unlike butyrate, 3-Cl BA does not stabilize HIF and it is not used as metabolic fuel. In vivo studies in a dextran sulfate sodium-colitis model revealed that contrary to butyrate, 3-Cl BA is protective. Studies in stem-like colonoids demonstrated that only butyrate inhibits ISC proliferation and differentiation. Furthermore, it was recently reported that HIF stabilization inhibits ISCs activity. Given the fact that butyrate but not 3-Cl BA stabilizes HIF, we surmised that 3-Cl BA would circumvent these detrimental functional consequences. We demonstrate here that pharmacologic HIF stabilization inhibits colonoid differentiation and that genetic loss of HIF significantly promotes ISC differentiation. This study reveals a promising butyrate analog protective in colitis and demonstrates the advantages of metabolite mimicry to dissect selective biological functions from major metabolites in the gut.</w:t>
      </w:r>
    </w:p>
    <w:p>
      <w:pPr>
        <w:spacing w:before="120" w:after="120"/>
      </w:pPr>
      <w:r>
        <w:rPr>
          <w:sz w:val="18"/>
        </w:rPr>
        <w:t>——————————————————————————————————————————————————————————————————————</w:t>
      </w:r>
    </w:p>
    <w:p>
      <w:pPr>
        <w:spacing w:before="160" w:after="40" w:line="240" w:lineRule="auto"/>
      </w:pPr>
      <w:r>
        <w:rPr>
          <w:b/>
        </w:rPr>
        <w:t xml:space="preserve">[458] </w:t>
      </w:r>
      <w:hyperlink r:id="rId1031">
        <w:r>
          <w:rPr>
            <w:color w:val="1155CC"/>
            <w:u w:val="single"/>
          </w:rPr>
          <w:t>透明质酸和组织力学协调哺乳动物指尖再生</w:t>
        </w:r>
      </w:hyperlink>
    </w:p>
    <w:p>
      <w:pPr>
        <w:spacing w:before="0" w:after="80"/>
      </w:pPr>
      <w:r>
        <w:rPr>
          <w:i/>
          <w:sz w:val="20"/>
        </w:rPr>
        <w:t>EN: Hyaluronic acid and tissue mechanics orchestrate mammalian digit tip regeneration</w:t>
      </w:r>
    </w:p>
    <w:p>
      <w:pPr>
        <w:spacing w:before="0" w:after="120"/>
      </w:pPr>
      <w:r>
        <w:rPr>
          <w:b/>
        </w:rPr>
        <w:t xml:space="preserve">Source: </w:t>
      </w:r>
      <w:r>
        <w:t>AAAS: Science: Table of Contents</w:t>
      </w:r>
      <w:r>
        <w:t xml:space="preserve">    </w:t>
      </w:r>
      <w:r>
        <w:rPr>
          <w:b/>
        </w:rPr>
        <w:t xml:space="preserve">Pub date: </w:t>
      </w:r>
      <w:r>
        <w:t>2026-04-09 07:00:00+00:00</w:t>
      </w:r>
      <w:r>
        <w:t xml:space="preserve">    </w:t>
      </w:r>
      <w:r>
        <w:rPr>
          <w:b/>
        </w:rPr>
        <w:t xml:space="preserve">DOI: </w:t>
      </w:r>
      <w:hyperlink r:id="rId1032">
        <w:r>
          <w:rPr>
            <w:color w:val="1155CC"/>
            <w:u w:val="single"/>
          </w:rPr>
          <w:t>10.1126/science.ady3136</w:t>
        </w:r>
      </w:hyperlink>
    </w:p>
    <w:p>
      <w:pPr>
        <w:spacing w:before="0" w:after="120"/>
      </w:pPr>
      <w:r>
        <w:rPr>
          <w:b/>
        </w:rPr>
        <w:t xml:space="preserve">Notes: </w:t>
      </w:r>
      <w:r>
        <w:t>abstract_source=crossref</w:t>
      </w:r>
    </w:p>
    <w:p>
      <w:pPr>
        <w:spacing w:before="0" w:after="80" w:lineRule="auto" w:line="276"/>
      </w:pPr>
      <w:r>
        <w:rPr>
          <w:b/>
        </w:rPr>
        <w:t xml:space="preserve">摘要（ZH）: </w:t>
      </w:r>
      <w:r>
        <w:t>组织再生在哺乳动物中很少见，但指尖在截肢后可以再生，而超出指甲的损伤则不能。微环境如何驱动不同结果仍不清楚。在这项研究中，我们发现细胞外基质（ECM）和组织力学控制了小鼠指的截肢反应。非再生区域较硬，含有密集、有序的胶原蛋白，而再生区域较软，富含透明质酸（HA）。耗尽HA抑制了再生并促进了纤维化，表明HA-胶原平衡塑造了组织力学和修复信号。通过透明质酸和蛋白聚糖连接蛋白1（HAPLN1）稳定HA后，非再生截肢调节了ECM力学，减少了瘢痕形成，并增强了骨修复</w:t>
      </w:r>
    </w:p>
    <w:p>
      <w:pPr>
        <w:spacing w:before="0" w:after="200" w:lineRule="auto" w:line="276"/>
      </w:pPr>
      <w:r>
        <w:rPr>
          <w:b/>
        </w:rPr>
        <w:t xml:space="preserve">Abstract (EN): </w:t>
      </w:r>
      <w:r>
        <w:t>Tissue regeneration is rare in mammals, but the digit tip can regrow after amputation, whereas injuries beyond the nail do not. How the microenvironment drives divergent outcomes remains unclear. In this study, we found that the extracellular matrix (ECM) and tissue mechanics govern the amputation response in mouse digits. Nonregenerative regions were stiffer and contained dense, organized collagen, whereas regenerative regions were soft and enriched in hyaluronic acid (HA). Depleting HA inhibited regeneration and promoted fibrosis, demonstrating that the HA-collagen balance shaped tissue mechanics and repair signaling. Stabilization of HA with hyaluronan and proteoglycan link protein 1 (HAPLN1) after nonregenerative amputations tuned ECM mechanics, reduced scarring, and enhanced bone repair. Thus, ECM composition and mechanics influence cell behavior and ECM-targeted strategies could help unlock mammalian regeneration.</w:t>
      </w:r>
    </w:p>
    <w:p>
      <w:pPr>
        <w:spacing w:before="120" w:after="120"/>
      </w:pPr>
      <w:r>
        <w:rPr>
          <w:sz w:val="18"/>
        </w:rPr>
        <w:t>——————————————————————————————————————————————————————————————————————</w:t>
      </w:r>
    </w:p>
    <w:p>
      <w:pPr>
        <w:spacing w:before="160" w:after="40" w:line="240" w:lineRule="auto"/>
      </w:pPr>
      <w:r>
        <w:rPr>
          <w:b/>
        </w:rPr>
        <w:t xml:space="preserve">[459] </w:t>
      </w:r>
      <w:hyperlink r:id="rId1033">
        <w:r>
          <w:rPr>
            <w:color w:val="1155CC"/>
            <w:u w:val="single"/>
          </w:rPr>
          <w:t>[ASAP] 三维金属有机框架中g波交替磁性的出现</w:t>
        </w:r>
      </w:hyperlink>
    </w:p>
    <w:p>
      <w:pPr>
        <w:spacing w:before="0" w:after="80"/>
      </w:pPr>
      <w:r>
        <w:rPr>
          <w:i/>
          <w:sz w:val="20"/>
        </w:rPr>
        <w:t>EN: [ASAP] Emergence of g-Wave Altermagnetism in Three-Dimensional Metal–Organic Frameworks</w:t>
      </w:r>
    </w:p>
    <w:p>
      <w:pPr>
        <w:spacing w:before="0" w:after="120"/>
      </w:pPr>
      <w:r>
        <w:rPr>
          <w:b/>
        </w:rPr>
        <w:t xml:space="preserve">Source: </w:t>
      </w:r>
      <w:r>
        <w:t>Journal of the American Chemical Society: Latest Articles (ACS Publications)</w:t>
      </w:r>
      <w:r>
        <w:t xml:space="preserve">    </w:t>
      </w:r>
      <w:r>
        <w:rPr>
          <w:b/>
        </w:rPr>
        <w:t xml:space="preserve">Pub date: </w:t>
      </w:r>
      <w:r>
        <w:t>2026-04-09 08:10:09+00:00</w:t>
      </w:r>
      <w:r>
        <w:t xml:space="preserve">    </w:t>
      </w:r>
      <w:r>
        <w:rPr>
          <w:b/>
        </w:rPr>
        <w:t xml:space="preserve">DOI: </w:t>
      </w:r>
      <w:hyperlink r:id="rId1034">
        <w:r>
          <w:rPr>
            <w:color w:val="1155CC"/>
            <w:u w:val="single"/>
          </w:rPr>
          <w:t>10.1021/jacs.5c15427</w:t>
        </w:r>
      </w:hyperlink>
    </w:p>
    <w:p>
      <w:pPr>
        <w:spacing w:before="0" w:after="120"/>
      </w:pPr>
      <w:r>
        <w:rPr>
          <w:b/>
        </w:rPr>
        <w:t xml:space="preserve">Notes: </w:t>
      </w:r>
      <w:r>
        <w:t>abstract_source=pubmed</w:t>
      </w:r>
    </w:p>
    <w:p>
      <w:pPr>
        <w:spacing w:before="0" w:after="80" w:lineRule="auto" w:line="276"/>
      </w:pPr>
      <w:r>
        <w:rPr>
          <w:b/>
        </w:rPr>
        <w:t xml:space="preserve">摘要（ZH）: </w:t>
      </w:r>
      <w:r>
        <w:t>交替磁体结合了反铁磁体和铁磁体的关键特征，表现出消失的净磁矩，同时打破时间反演对称性，并在没有外场的情况下显示动量依赖的自旋分裂。被公认为2024年十大科学突破之一，交替磁性引起了越来越多的关注，特别是在无机系统中。在这项工作中，使用密度泛函理论计算，我们在基于Co(pymo)2及其卤素取代衍生物的热稳定三维（3D）金属有机框架（MOFs）中识别出g波交替磁态，从而将交替磁性的范围扩展到含有机物的3D框架。对这些系统的一系列磁性配置进行了系统评估，</w:t>
      </w:r>
    </w:p>
    <w:p>
      <w:pPr>
        <w:spacing w:before="0" w:after="200" w:lineRule="auto" w:line="276"/>
      </w:pPr>
      <w:r>
        <w:rPr>
          <w:b/>
        </w:rPr>
        <w:t xml:space="preserve">Abstract (EN): </w:t>
      </w:r>
      <w:r>
        <w:t>Altermagnets integrate key characteristics of both antiferromagnets and ferromagnets, exhibiting a vanishing net magnetic moment while breaking time-reversal symmetry and displaying momentum-dependent spin splitting in the absence of an external field. Recognized as one of the top ten Science breakthroughs of 2024, altermagnetism has drawn increasing attention, particularly in inorganic systems. In this work, using density functional theory calculations, we identify a g-wave altermagnetic state in thermally stable three-dimensional (3D) metal-organic frameworks (MOFs) based on Co(pymo)2 and its halogen-substituted derivatives, thereby extending the scope of altermagnetism to organic-containing 3D frameworks. A range of magnetic configurations was systematically evaluated for these systems, with the altermagnetic state being consistently found as the most energetically favorable. This feature is consistent with the antiferromagnetic coupling experimentally observed between Co ions connected via ligand bridges. The momentum-dependent spin splitting in the electronic structure emerges independently of spin-orbit coupling and is not significantly enhanced through the inclusion of heavy halogen elements. Additional canted spin configurations were also explored, which confirmed the robustness of the spin splitting against fluctuations. These results not only establish a momentous presence of g-wave altermagnetism in these 3D MOFs but also highlight the potential of molecular framework design for realizing symmetry-driven spin phenomena in a class of 3D materials beyond conventional inorganic systems.</w:t>
      </w:r>
    </w:p>
    <w:p>
      <w:pPr>
        <w:spacing w:before="120" w:after="120"/>
      </w:pPr>
      <w:r>
        <w:rPr>
          <w:sz w:val="18"/>
        </w:rPr>
        <w:t>——————————————————————————————————————————————————————————————————————</w:t>
      </w:r>
    </w:p>
    <w:p>
      <w:pPr>
        <w:spacing w:before="160" w:after="40" w:line="240" w:lineRule="auto"/>
      </w:pPr>
      <w:r>
        <w:rPr>
          <w:b/>
        </w:rPr>
        <w:t xml:space="preserve">[460] </w:t>
      </w:r>
      <w:hyperlink r:id="rId1035">
        <w:r>
          <w:rPr>
            <w:color w:val="1155CC"/>
            <w:u w:val="single"/>
          </w:rPr>
          <w:t>[ASAP] 电催化苄基C–H活化实现直接Au–C单分子结</w:t>
        </w:r>
      </w:hyperlink>
    </w:p>
    <w:p>
      <w:pPr>
        <w:spacing w:before="0" w:after="80"/>
      </w:pPr>
      <w:r>
        <w:rPr>
          <w:i/>
          <w:sz w:val="20"/>
        </w:rPr>
        <w:t>EN: [ASAP] Electrocatalytic Benzylic C–H Activation Enables Direct Au–C Single-Molecule Junctions</w:t>
      </w:r>
    </w:p>
    <w:p>
      <w:pPr>
        <w:spacing w:before="0" w:after="120"/>
      </w:pPr>
      <w:r>
        <w:rPr>
          <w:b/>
        </w:rPr>
        <w:t xml:space="preserve">Source: </w:t>
      </w:r>
      <w:r>
        <w:t>Journal of the American Chemical Society: Latest Articles (ACS Publications)</w:t>
      </w:r>
      <w:r>
        <w:t xml:space="preserve">    </w:t>
      </w:r>
      <w:r>
        <w:rPr>
          <w:b/>
        </w:rPr>
        <w:t xml:space="preserve">Pub date: </w:t>
      </w:r>
      <w:r>
        <w:t>2026-04-09 09:10:22+00:00</w:t>
      </w:r>
      <w:r>
        <w:t xml:space="preserve">    </w:t>
      </w:r>
      <w:r>
        <w:rPr>
          <w:b/>
        </w:rPr>
        <w:t xml:space="preserve">DOI: </w:t>
      </w:r>
      <w:hyperlink r:id="rId1036">
        <w:r>
          <w:rPr>
            <w:color w:val="1155CC"/>
            <w:u w:val="single"/>
          </w:rPr>
          <w:t>10.1021/jacs.6c01328</w:t>
        </w:r>
      </w:hyperlink>
    </w:p>
    <w:p>
      <w:pPr>
        <w:spacing w:before="0" w:after="120"/>
      </w:pPr>
      <w:r>
        <w:rPr>
          <w:b/>
        </w:rPr>
        <w:t xml:space="preserve">Notes: </w:t>
      </w:r>
      <w:r>
        <w:t>abstract_source=pubmed</w:t>
      </w:r>
    </w:p>
    <w:p>
      <w:pPr>
        <w:spacing w:before="0" w:after="80" w:lineRule="auto" w:line="276"/>
      </w:pPr>
      <w:r>
        <w:rPr>
          <w:b/>
        </w:rPr>
        <w:t xml:space="preserve">摘要（ZH）: </w:t>
      </w:r>
      <w:r>
        <w:t>在温和、可持续的条件下实现选择性C-H键活化仍然是一个重大挑战。外部施加的偏压提供了一种无试剂的驱动力来促进键转化，但整体平均测量通常会掩盖瞬态中间体并掩盖单个化学键的内在反应性。在此，我们采用原位扫描隧道显微镜断裂结（STM-BJ）测量直接探测单分子水平的电催化苄基C-H活化，揭示了高导电性Au-C共价结的形成。补充的理论计算、电化学分析和自由基捕获实验表明，Au-C键的形成通过单电子转移（SET）介导的断裂进行</w:t>
      </w:r>
    </w:p>
    <w:p>
      <w:pPr>
        <w:spacing w:before="0" w:after="200" w:lineRule="auto" w:line="276"/>
      </w:pPr>
      <w:r>
        <w:rPr>
          <w:b/>
        </w:rPr>
        <w:t xml:space="preserve">Abstract (EN): </w:t>
      </w:r>
      <w:r>
        <w:t>Achieving selective C-H bond activation under mild, sustainable conditions remains a major challenge. An externally applied bias provides a reagent-free driving force for promoting bond transformations, yet ensemble-averaged measurements often obscure transient intermediates and mask the intrinsic reactivity of individual chemical bonds. Here, we employ in situ scanning tunnelling microscopy break-junction (STM-BJ) measurements to directly interrogate electrocatalytic benzylic C-H activation at the single-molecule level, revealing the formation of highly conductive Au-C covalent junctions. Complementary theoretical calculations, electrochemical analyses, and radical trapping experiments indicate that the Au-C bond formation proceeds via a single-electron transfer (SET) mediated cleavage of the benzylic C-H bond, ultimately resulting in covalent coupling to the gold electrode. This strategy enables the direct transformation of nominally inert C-H bonds into robust Au-C junctions under mild conditions, while simultaneously capturing the associated bond-forming dynamics with single-bond resolution. These findings establish a mechanistic framework for bias-driven benzylic C-H activation and advance C-H functionalization toward atomically precise electrochemical manipulation of molecular transformations.</w:t>
      </w:r>
    </w:p>
    <w:p>
      <w:pPr>
        <w:spacing w:before="120" w:after="120"/>
      </w:pPr>
      <w:r>
        <w:rPr>
          <w:sz w:val="18"/>
        </w:rPr>
        <w:t>——————————————————————————————————————————————————————————————————————</w:t>
      </w:r>
    </w:p>
    <w:p>
      <w:pPr>
        <w:spacing w:before="160" w:after="40" w:line="240" w:lineRule="auto"/>
      </w:pPr>
      <w:r>
        <w:rPr>
          <w:b/>
        </w:rPr>
        <w:t xml:space="preserve">[461] </w:t>
      </w:r>
      <w:hyperlink r:id="rId1037">
        <w:r>
          <w:rPr>
            <w:color w:val="1155CC"/>
            <w:u w:val="single"/>
          </w:rPr>
          <w:t>[ASAP] 解耦功能化酞菁铁催化剂的电子结构和电极润湿性对电化学硝酸盐还原为氨的影响</w:t>
        </w:r>
      </w:hyperlink>
    </w:p>
    <w:p>
      <w:pPr>
        <w:spacing w:before="0" w:after="80"/>
      </w:pPr>
      <w:r>
        <w:rPr>
          <w:i/>
          <w:sz w:val="20"/>
        </w:rPr>
        <w:t>EN: [ASAP] Decoupling the Impact of Electronic Structure and Electrode Wettability of Functionalized Iron Phthalocyanine Catalysts for Electrochemical Nitrate Reduction to Ammonia</w:t>
      </w:r>
    </w:p>
    <w:p>
      <w:pPr>
        <w:spacing w:before="0" w:after="120"/>
      </w:pPr>
      <w:r>
        <w:rPr>
          <w:b/>
        </w:rPr>
        <w:t xml:space="preserve">Source: </w:t>
      </w:r>
      <w:r>
        <w:t>Journal of the American Chemical Society: Latest Articles (ACS Publications)</w:t>
      </w:r>
      <w:r>
        <w:t xml:space="preserve">    </w:t>
      </w:r>
      <w:r>
        <w:rPr>
          <w:b/>
        </w:rPr>
        <w:t xml:space="preserve">Pub date: </w:t>
      </w:r>
      <w:r>
        <w:t>2026-04-09 12:11:09+00:00</w:t>
      </w:r>
      <w:r>
        <w:t xml:space="preserve">    </w:t>
      </w:r>
      <w:r>
        <w:rPr>
          <w:b/>
        </w:rPr>
        <w:t xml:space="preserve">DOI: </w:t>
      </w:r>
      <w:hyperlink r:id="rId1038">
        <w:r>
          <w:rPr>
            <w:color w:val="1155CC"/>
            <w:u w:val="single"/>
          </w:rPr>
          <w:t>10.1021/jacs.5c22794</w:t>
        </w:r>
      </w:hyperlink>
    </w:p>
    <w:p>
      <w:pPr>
        <w:spacing w:before="0" w:after="120"/>
      </w:pPr>
      <w:r>
        <w:rPr>
          <w:b/>
        </w:rPr>
        <w:t xml:space="preserve">Notes: </w:t>
      </w:r>
      <w:r>
        <w:t>abstract_source=pubmed</w:t>
      </w:r>
    </w:p>
    <w:p>
      <w:pPr>
        <w:spacing w:before="0" w:after="80" w:lineRule="auto" w:line="276"/>
      </w:pPr>
      <w:r>
        <w:rPr>
          <w:b/>
        </w:rPr>
        <w:t xml:space="preserve">摘要（ZH）: </w:t>
      </w:r>
      <w:r>
        <w:t>硝酸盐（NO3-）到氨（NH3）的电化学还原提供了一种可持续的氮循环修复和分散式NH3生产途径。在这项工作中，我们系统地研究了电子结构和润湿性在调节分子催化剂催化性能中的影响，使用功能化的铁酞菁（FePc-R，R = NH2, COOH, CN, 和 t-Bu）支持在碳纳米管上。强亲水性的FePc-NH2/CNT（含有电子供体功能基团）催化剂在-0.6 VRHE下实现了94.1%的最大法拉第效率，并在-0.9 VRHE下对NH3的部分电流密度达到83.9 mA cm-2。相比之下，强亲水性的FePc-COOH/CNT和弱亲水性的FePc-CN/CNT，含有电子吸引功能基团，提供了</w:t>
      </w:r>
    </w:p>
    <w:p>
      <w:pPr>
        <w:spacing w:before="0" w:after="200" w:lineRule="auto" w:line="276"/>
      </w:pPr>
      <w:r>
        <w:rPr>
          <w:b/>
        </w:rPr>
        <w:t xml:space="preserve">Abstract (EN): </w:t>
      </w:r>
      <w:r>
        <w:t>The electrochemical reduction of nitrate (NO3-) to ammonia (NH3) offers a sustainable route for nitrogen cycle remediation and decentralized NH3 production. In this work, we systematically investigated the impact of electronic structure and wettability in regulating the catalytic performance of molecular catalysts using functionalized iron phthalocyanines (FePc-R, R = NH2, COOH, CN, and t-Bu) supported on carbon nanotubes. The strongly hydrophilic FePc-NH2/CNT (electron-donating functional group-containing) catalyst achieved a maximum Faradaic efficiency of 94.1% at -0.6 VRHE and a partial current density of 83.9 mA cm-2 toward NH3 at -0.9 VRHE. In contrast, strongly hydrophilic FePc-COOH/CNT and weakly hydrophilic FePc-CN/CNT, containing electron-withdrawing functional groups, delivered a lower performance across all potentials. Density functional theory (DFT) calculations revealed that electron-donating functional groups elevate the Fe-center HOMO level, facilitating hydrogenation of NHx intermediates and enhancing turnover frequency. In situ X-ray absorption spectroscopy (XAS) confirmed that Fe-N4 coordination in FePc-NH2/CNT remains stable across all tested potentials, while electron-withdrawing functional group-containing catalysts (FePc-COOH/CNT and FePc-CN/CNT) exhibited Fe-Fe cluster formation at -0.8 and -0.7 VRHE, respectively. Furthermore, coupled mass transport and reaction modeling indicated that more hydrophilic surfaces reduce the diffusion layer thickness, promoting NO3- accessibility and NH3 formation. Together, these findings decoupled the synergistic role of electronic tuning and wettability control in governing both activity and stability, providing mechanistic design principles for molecular and heterogeneous catalysts in the reduction of electrochemical NO3- to NH3.</w:t>
      </w:r>
    </w:p>
    <w:p>
      <w:pPr>
        <w:spacing w:before="120" w:after="120"/>
      </w:pPr>
      <w:r>
        <w:rPr>
          <w:sz w:val="18"/>
        </w:rPr>
        <w:t>——————————————————————————————————————————————————————————————————————</w:t>
      </w:r>
    </w:p>
    <w:p>
      <w:pPr>
        <w:spacing w:before="160" w:after="40" w:line="240" w:lineRule="auto"/>
      </w:pPr>
      <w:r>
        <w:rPr>
          <w:b/>
        </w:rPr>
        <w:t xml:space="preserve">[462] </w:t>
      </w:r>
      <w:hyperlink r:id="rId1039">
        <w:r>
          <w:rPr>
            <w:color w:val="1155CC"/>
            <w:u w:val="single"/>
          </w:rPr>
          <w:t>[ASAP] 更强的路易斯碱抗溶剂提高钙钛矿纳米晶体的稳定性</w:t>
        </w:r>
      </w:hyperlink>
    </w:p>
    <w:p>
      <w:pPr>
        <w:spacing w:before="0" w:after="80"/>
      </w:pPr>
      <w:r>
        <w:rPr>
          <w:i/>
          <w:sz w:val="20"/>
        </w:rPr>
        <w:t>EN: [ASAP] Stronger Lewis Base Antisolvents Improve Perovskite Nanocrystal Stability</w:t>
      </w:r>
    </w:p>
    <w:p>
      <w:pPr>
        <w:spacing w:before="0" w:after="120"/>
      </w:pPr>
      <w:r>
        <w:rPr>
          <w:b/>
        </w:rPr>
        <w:t xml:space="preserve">Source: </w:t>
      </w:r>
      <w:r>
        <w:t>ACS Energy Letters: Latest Articles (ACS Publications)</w:t>
      </w:r>
      <w:r>
        <w:t xml:space="preserve">    </w:t>
      </w:r>
      <w:r>
        <w:rPr>
          <w:b/>
        </w:rPr>
        <w:t xml:space="preserve">Pub date: </w:t>
      </w:r>
      <w:r>
        <w:t>2026-04-09 12:25:13+00:00</w:t>
      </w:r>
      <w:r>
        <w:t xml:space="preserve">    </w:t>
      </w:r>
      <w:r>
        <w:rPr>
          <w:b/>
        </w:rPr>
        <w:t xml:space="preserve">DOI: </w:t>
      </w:r>
      <w:hyperlink r:id="rId1040">
        <w:r>
          <w:rPr>
            <w:color w:val="1155CC"/>
            <w:u w:val="single"/>
          </w:rPr>
          <w:t>10.1021/acsenergylett.6c00480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[463] </w:t>
      </w:r>
      <w:hyperlink r:id="rId1041">
        <w:r>
          <w:rPr>
            <w:color w:val="1155CC"/>
            <w:u w:val="single"/>
          </w:rPr>
          <w:t>[ASAP] 非中心对称石墨烯纳米带中的铁磁绝缘体到金属转变</w:t>
        </w:r>
      </w:hyperlink>
    </w:p>
    <w:p>
      <w:pPr>
        <w:spacing w:before="0" w:after="80"/>
      </w:pPr>
      <w:r>
        <w:rPr>
          <w:i/>
          <w:sz w:val="20"/>
        </w:rPr>
        <w:t>EN: [ASAP] Ferromagnetic Insulator to Metal Transition in Noncentrosymmetric Graphene Nanoribbons</w:t>
      </w:r>
    </w:p>
    <w:p>
      <w:pPr>
        <w:spacing w:before="0" w:after="120"/>
      </w:pPr>
      <w:r>
        <w:rPr>
          <w:b/>
        </w:rPr>
        <w:t xml:space="preserve">Source: </w:t>
      </w:r>
      <w:r>
        <w:t>Journal of the American Chemical Society: Latest Articles (ACS Publications)</w:t>
      </w:r>
      <w:r>
        <w:t xml:space="preserve">    </w:t>
      </w:r>
      <w:r>
        <w:rPr>
          <w:b/>
        </w:rPr>
        <w:t xml:space="preserve">Pub date: </w:t>
      </w:r>
      <w:r>
        <w:t>2026-04-09 19:49:04+00:00</w:t>
      </w:r>
      <w:r>
        <w:t xml:space="preserve">    </w:t>
      </w:r>
      <w:r>
        <w:rPr>
          <w:b/>
        </w:rPr>
        <w:t xml:space="preserve">DOI: </w:t>
      </w:r>
      <w:hyperlink r:id="rId1042">
        <w:r>
          <w:rPr>
            <w:color w:val="1155CC"/>
            <w:u w:val="single"/>
          </w:rPr>
          <w:t>10.1021/jacs.6c00668</w:t>
        </w:r>
      </w:hyperlink>
    </w:p>
    <w:p>
      <w:pPr>
        <w:spacing w:before="0" w:after="120"/>
      </w:pPr>
      <w:r>
        <w:rPr>
          <w:b/>
        </w:rPr>
        <w:t xml:space="preserve">Notes: </w:t>
      </w:r>
      <w:r>
        <w:t>abstract_source=pubmed</w:t>
      </w:r>
    </w:p>
    <w:p>
      <w:pPr>
        <w:spacing w:before="0" w:after="80" w:lineRule="auto" w:line="276"/>
      </w:pPr>
      <w:r>
        <w:rPr>
          <w:b/>
        </w:rPr>
        <w:t xml:space="preserve">摘要（ZH）: </w:t>
      </w:r>
      <w:r>
        <w:t>在自下而上合成的石墨烯纳米带（GNRs）的晶胞内工程化亚晶格不平衡代表了一种实现定制量子纳米材料的多功能工具。低能零模（ZMs）之间的相互作用不仅有助于前沿带，还可以形成磁有序相的基础。在此，我们展示了一种非中心对称GNR的自下而上合成，将所有ZMs置于多数亚晶格位点。扫描隧道显微镜和光谱揭示了强电子-电子相关性，导致Stoner磁不稳定性，将系统驱动到铁磁有序绝缘基态，具有约Eg ∼1.2 eV的显著带隙。在更高温度下，化学转变引发绝缘体到金属的转</w:t>
      </w:r>
    </w:p>
    <w:p>
      <w:pPr>
        <w:spacing w:before="0" w:after="200" w:lineRule="auto" w:line="276"/>
      </w:pPr>
      <w:r>
        <w:rPr>
          <w:b/>
        </w:rPr>
        <w:t xml:space="preserve">Abstract (EN): </w:t>
      </w:r>
      <w:r>
        <w:t>Engineering sublattice imbalance within the unit cell of bottom-up synthesized graphene nanoribbons (GNRs) represents a versatile tool for realizing custom-tailored quantum nanomaterials. The interaction between low-energy zero-modes (ZMs) not only contributes to frontier bands but can form the basis for magnetically ordered phases. Here, we present the bottom-up synthesis of a noncentrosymmetric GNR that places all ZMs on the majority sublattice sites. Scanning tunneling microscopy and spectroscopy reveal that strong electron-electron correlations, leading to the Stoner magnetic instability, drive the system into a ferromagnetically ordered insulating ground state featuring a sizable band gap of Eg ∼1.2 eV. At higher temperatures, a chemical transformation induces an insulator-to-metal transition that quenches the ferromagnetic order. Tight-binding (TB), density functional theory, and GW calculations corroborate our experimental observations. This work showcases how control over molecular symmetry, sublattice polarization, and ZM hybridization in bottom-up synthesized nanographenes can open a path to the exploration of many-body physics in rationally designed quantum materials.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sciencedirect.com/science/article/pii/S0306261926004381?dgcid=rss_sd_all" TargetMode="External"/><Relationship Id="rId10" Type="http://schemas.openxmlformats.org/officeDocument/2006/relationships/hyperlink" Target="https://www.sciencedirect.com/science/article/pii/S030626192600468X?dgcid=rss_sd_all" TargetMode="External"/><Relationship Id="rId11" Type="http://schemas.openxmlformats.org/officeDocument/2006/relationships/hyperlink" Target="https://advanced.onlinelibrary.wiley.com/doi/10.1002/adma.73011?af=R" TargetMode="External"/><Relationship Id="rId12" Type="http://schemas.openxmlformats.org/officeDocument/2006/relationships/hyperlink" Target="https://doi.org/10.1002/adma.73011" TargetMode="External"/><Relationship Id="rId13" Type="http://schemas.openxmlformats.org/officeDocument/2006/relationships/hyperlink" Target="https://advanced.onlinelibrary.wiley.com/doi/10.1002/adma.202523671?af=R" TargetMode="External"/><Relationship Id="rId14" Type="http://schemas.openxmlformats.org/officeDocument/2006/relationships/hyperlink" Target="https://doi.org/10.1002/adma.202523671" TargetMode="External"/><Relationship Id="rId15" Type="http://schemas.openxmlformats.org/officeDocument/2006/relationships/hyperlink" Target="https://www.sciencedirect.com/science/article/pii/S0306261926004861?dgcid=rss_sd_all" TargetMode="External"/><Relationship Id="rId16" Type="http://schemas.openxmlformats.org/officeDocument/2006/relationships/hyperlink" Target="https://www.sciencedirect.com/science/article/pii/S0306261926003909?dgcid=rss_sd_all" TargetMode="External"/><Relationship Id="rId17" Type="http://schemas.openxmlformats.org/officeDocument/2006/relationships/hyperlink" Target="https://advanced.onlinelibrary.wiley.com/doi/10.1002/adma.202509949?af=R" TargetMode="External"/><Relationship Id="rId18" Type="http://schemas.openxmlformats.org/officeDocument/2006/relationships/hyperlink" Target="https://doi.org/10.1002/adma.202509949" TargetMode="External"/><Relationship Id="rId19" Type="http://schemas.openxmlformats.org/officeDocument/2006/relationships/hyperlink" Target="http://dx.doi.org/10.1021/acsenergylett.6c00044" TargetMode="External"/><Relationship Id="rId20" Type="http://schemas.openxmlformats.org/officeDocument/2006/relationships/hyperlink" Target="https://doi.org/10.1021/acsenergylett.6c00044" TargetMode="External"/><Relationship Id="rId21" Type="http://schemas.openxmlformats.org/officeDocument/2006/relationships/hyperlink" Target="http://pubs.rsc.org/en/Content/ArticleLanding/2026/EE/D6EE00170J" TargetMode="External"/><Relationship Id="rId22" Type="http://schemas.openxmlformats.org/officeDocument/2006/relationships/hyperlink" Target="https://www.science.org/doi/abs/10.1126/sciadv.aec1922?af=R" TargetMode="External"/><Relationship Id="rId23" Type="http://schemas.openxmlformats.org/officeDocument/2006/relationships/hyperlink" Target="https://doi.org/10.1126/sciadv.aec1922" TargetMode="External"/><Relationship Id="rId24" Type="http://schemas.openxmlformats.org/officeDocument/2006/relationships/hyperlink" Target="https://advanced.onlinelibrary.wiley.com/doi/10.1002/adma.202523631?af=R" TargetMode="External"/><Relationship Id="rId25" Type="http://schemas.openxmlformats.org/officeDocument/2006/relationships/hyperlink" Target="https://doi.org/10.1002/adma.202523631" TargetMode="External"/><Relationship Id="rId26" Type="http://schemas.openxmlformats.org/officeDocument/2006/relationships/hyperlink" Target="https://www.sciencedirect.com/science/article/pii/S0306261926004010?dgcid=rss_sd_all" TargetMode="External"/><Relationship Id="rId27" Type="http://schemas.openxmlformats.org/officeDocument/2006/relationships/hyperlink" Target="http://dx.doi.org/10.1021/acsenergylett.6c00663" TargetMode="External"/><Relationship Id="rId28" Type="http://schemas.openxmlformats.org/officeDocument/2006/relationships/hyperlink" Target="https://doi.org/10.1021/acsenergylett.6c00663" TargetMode="External"/><Relationship Id="rId29" Type="http://schemas.openxmlformats.org/officeDocument/2006/relationships/hyperlink" Target="https://advanced.onlinelibrary.wiley.com/doi/10.1002/aenm.70913?af=R" TargetMode="External"/><Relationship Id="rId30" Type="http://schemas.openxmlformats.org/officeDocument/2006/relationships/hyperlink" Target="https://doi.org/10.1002/aenm.70913" TargetMode="External"/><Relationship Id="rId31" Type="http://schemas.openxmlformats.org/officeDocument/2006/relationships/hyperlink" Target="http://dx.doi.org/10.1021/jacs.5c20351" TargetMode="External"/><Relationship Id="rId32" Type="http://schemas.openxmlformats.org/officeDocument/2006/relationships/hyperlink" Target="https://doi.org/10.1021/jacs.5c20351" TargetMode="External"/><Relationship Id="rId33" Type="http://schemas.openxmlformats.org/officeDocument/2006/relationships/hyperlink" Target="https://advanced.onlinelibrary.wiley.com/doi/10.1002/adma.72969?af=R" TargetMode="External"/><Relationship Id="rId34" Type="http://schemas.openxmlformats.org/officeDocument/2006/relationships/hyperlink" Target="https://doi.org/10.1002/adma.72969" TargetMode="External"/><Relationship Id="rId35" Type="http://schemas.openxmlformats.org/officeDocument/2006/relationships/hyperlink" Target="https://www.nature.com/articles/s41467-026-71647-x" TargetMode="External"/><Relationship Id="rId36" Type="http://schemas.openxmlformats.org/officeDocument/2006/relationships/hyperlink" Target="https://doi.org/10.1038/s41467-026-71647-x" TargetMode="External"/><Relationship Id="rId37" Type="http://schemas.openxmlformats.org/officeDocument/2006/relationships/hyperlink" Target="https://onlinelibrary.wiley.com/doi/10.1002/anie.4610174?af=R" TargetMode="External"/><Relationship Id="rId38" Type="http://schemas.openxmlformats.org/officeDocument/2006/relationships/hyperlink" Target="https://doi.org/10.1002/anie.4610174" TargetMode="External"/><Relationship Id="rId39" Type="http://schemas.openxmlformats.org/officeDocument/2006/relationships/hyperlink" Target="https://advanced.onlinelibrary.wiley.com/doi/10.1002/adma.73020?af=R" TargetMode="External"/><Relationship Id="rId40" Type="http://schemas.openxmlformats.org/officeDocument/2006/relationships/hyperlink" Target="https://doi.org/10.1002/adma.73020" TargetMode="External"/><Relationship Id="rId41" Type="http://schemas.openxmlformats.org/officeDocument/2006/relationships/hyperlink" Target="http://dx.doi.org/10.1021/acsenergylett.6c00367" TargetMode="External"/><Relationship Id="rId42" Type="http://schemas.openxmlformats.org/officeDocument/2006/relationships/hyperlink" Target="https://doi.org/10.1021/acsenergylett.6c00367" TargetMode="External"/><Relationship Id="rId43" Type="http://schemas.openxmlformats.org/officeDocument/2006/relationships/hyperlink" Target="http://pubs.rsc.org/en/Content/ArticleLanding/2026/EE/D5EE07518A" TargetMode="External"/><Relationship Id="rId44" Type="http://schemas.openxmlformats.org/officeDocument/2006/relationships/hyperlink" Target="http://pubs.rsc.org/en/Content/ArticleLanding/2026/EE/D6EE00755D" TargetMode="External"/><Relationship Id="rId45" Type="http://schemas.openxmlformats.org/officeDocument/2006/relationships/hyperlink" Target="https://academic.oup.com/nsr/advance-article/doi/10.1093/nsr/nwag217/8650503?rss=1" TargetMode="External"/><Relationship Id="rId46" Type="http://schemas.openxmlformats.org/officeDocument/2006/relationships/hyperlink" Target="https://doi.org/10.1093/nsr/nwag217" TargetMode="External"/><Relationship Id="rId47" Type="http://schemas.openxmlformats.org/officeDocument/2006/relationships/hyperlink" Target="https://advanced.onlinelibrary.wiley.com/doi/10.1002/aenm.70915?af=R" TargetMode="External"/><Relationship Id="rId48" Type="http://schemas.openxmlformats.org/officeDocument/2006/relationships/hyperlink" Target="https://doi.org/10.1002/aenm.70915" TargetMode="External"/><Relationship Id="rId49" Type="http://schemas.openxmlformats.org/officeDocument/2006/relationships/hyperlink" Target="https://advanced.onlinelibrary.wiley.com/doi/10.1002/adma.73018?af=R" TargetMode="External"/><Relationship Id="rId50" Type="http://schemas.openxmlformats.org/officeDocument/2006/relationships/hyperlink" Target="https://doi.org/10.1002/adma.73018" TargetMode="External"/><Relationship Id="rId51" Type="http://schemas.openxmlformats.org/officeDocument/2006/relationships/hyperlink" Target="https://advanced.onlinelibrary.wiley.com/doi/10.1002/aenm.70916?af=R" TargetMode="External"/><Relationship Id="rId52" Type="http://schemas.openxmlformats.org/officeDocument/2006/relationships/hyperlink" Target="https://doi.org/10.1002/aenm.70916" TargetMode="External"/><Relationship Id="rId53" Type="http://schemas.openxmlformats.org/officeDocument/2006/relationships/hyperlink" Target="https://onlinelibrary.wiley.com/doi/10.1002/anie.7470811?af=R" TargetMode="External"/><Relationship Id="rId54" Type="http://schemas.openxmlformats.org/officeDocument/2006/relationships/hyperlink" Target="https://doi.org/10.1002/anie.7470811" TargetMode="External"/><Relationship Id="rId55" Type="http://schemas.openxmlformats.org/officeDocument/2006/relationships/hyperlink" Target="https://advanced.onlinelibrary.wiley.com/doi/10.1002/aenm.70920?af=R" TargetMode="External"/><Relationship Id="rId56" Type="http://schemas.openxmlformats.org/officeDocument/2006/relationships/hyperlink" Target="https://doi.org/10.1002/aenm.70920" TargetMode="External"/><Relationship Id="rId57" Type="http://schemas.openxmlformats.org/officeDocument/2006/relationships/hyperlink" Target="http://dx.doi.org/10.1021/jacs.6c02019" TargetMode="External"/><Relationship Id="rId58" Type="http://schemas.openxmlformats.org/officeDocument/2006/relationships/hyperlink" Target="https://doi.org/10.1021/jacs.6c02019" TargetMode="External"/><Relationship Id="rId59" Type="http://schemas.openxmlformats.org/officeDocument/2006/relationships/hyperlink" Target="https://www.nature.com/articles/s41560-026-02032-7" TargetMode="External"/><Relationship Id="rId60" Type="http://schemas.openxmlformats.org/officeDocument/2006/relationships/hyperlink" Target="https://doi.org/10.1038/s41560-026-02032-7" TargetMode="External"/><Relationship Id="rId61" Type="http://schemas.openxmlformats.org/officeDocument/2006/relationships/hyperlink" Target="https://advanced.onlinelibrary.wiley.com/doi/10.1002/aenm.70894?af=R" TargetMode="External"/><Relationship Id="rId62" Type="http://schemas.openxmlformats.org/officeDocument/2006/relationships/hyperlink" Target="https://doi.org/10.1002/aenm.70894" TargetMode="External"/><Relationship Id="rId63" Type="http://schemas.openxmlformats.org/officeDocument/2006/relationships/hyperlink" Target="https://onlinelibrary.wiley.com/doi/10.1002/anie.5593105?af=R" TargetMode="External"/><Relationship Id="rId64" Type="http://schemas.openxmlformats.org/officeDocument/2006/relationships/hyperlink" Target="https://doi.org/10.1002/anie.5593105" TargetMode="External"/><Relationship Id="rId65" Type="http://schemas.openxmlformats.org/officeDocument/2006/relationships/hyperlink" Target="https://onlinelibrary.wiley.com/doi/10.1002/anie.8430459?af=R" TargetMode="External"/><Relationship Id="rId66" Type="http://schemas.openxmlformats.org/officeDocument/2006/relationships/hyperlink" Target="https://doi.org/10.1002/anie.8430459" TargetMode="External"/><Relationship Id="rId67" Type="http://schemas.openxmlformats.org/officeDocument/2006/relationships/hyperlink" Target="https://advanced.onlinelibrary.wiley.com/doi/10.1002/aenm.70912?af=R" TargetMode="External"/><Relationship Id="rId68" Type="http://schemas.openxmlformats.org/officeDocument/2006/relationships/hyperlink" Target="https://doi.org/10.1002/aenm.70912" TargetMode="External"/><Relationship Id="rId69" Type="http://schemas.openxmlformats.org/officeDocument/2006/relationships/hyperlink" Target="http://dx.doi.org/10.1021/jacs.6c00925" TargetMode="External"/><Relationship Id="rId70" Type="http://schemas.openxmlformats.org/officeDocument/2006/relationships/hyperlink" Target="https://doi.org/10.1021/jacs.6c00925" TargetMode="External"/><Relationship Id="rId71" Type="http://schemas.openxmlformats.org/officeDocument/2006/relationships/hyperlink" Target="http://dx.doi.org/10.1021/jacs.5c19440" TargetMode="External"/><Relationship Id="rId72" Type="http://schemas.openxmlformats.org/officeDocument/2006/relationships/hyperlink" Target="https://doi.org/10.1021/jacs.5c19440" TargetMode="External"/><Relationship Id="rId73" Type="http://schemas.openxmlformats.org/officeDocument/2006/relationships/hyperlink" Target="https://www.nature.com/articles/s41565-026-02148-7" TargetMode="External"/><Relationship Id="rId74" Type="http://schemas.openxmlformats.org/officeDocument/2006/relationships/hyperlink" Target="https://doi.org/10.1038/s41565-026-02148-7" TargetMode="External"/><Relationship Id="rId75" Type="http://schemas.openxmlformats.org/officeDocument/2006/relationships/hyperlink" Target="https://advanced.onlinelibrary.wiley.com/doi/10.1002/aenm.202506399?af=R" TargetMode="External"/><Relationship Id="rId76" Type="http://schemas.openxmlformats.org/officeDocument/2006/relationships/hyperlink" Target="https://doi.org/10.1002/aenm.202506399" TargetMode="External"/><Relationship Id="rId77" Type="http://schemas.openxmlformats.org/officeDocument/2006/relationships/hyperlink" Target="https://advanced.onlinelibrary.wiley.com/doi/10.1002/adma.202522059?af=R" TargetMode="External"/><Relationship Id="rId78" Type="http://schemas.openxmlformats.org/officeDocument/2006/relationships/hyperlink" Target="https://doi.org/10.1002/adma.202522059" TargetMode="External"/><Relationship Id="rId79" Type="http://schemas.openxmlformats.org/officeDocument/2006/relationships/hyperlink" Target="http://dx.doi.org/10.1021/jacs.5c23302" TargetMode="External"/><Relationship Id="rId80" Type="http://schemas.openxmlformats.org/officeDocument/2006/relationships/hyperlink" Target="https://doi.org/10.1021/jacs.5c23302" TargetMode="External"/><Relationship Id="rId81" Type="http://schemas.openxmlformats.org/officeDocument/2006/relationships/hyperlink" Target="https://www.nature.com/articles/s41467-026-71811-3" TargetMode="External"/><Relationship Id="rId82" Type="http://schemas.openxmlformats.org/officeDocument/2006/relationships/hyperlink" Target="https://doi.org/10.1038/s41467-026-71811-3" TargetMode="External"/><Relationship Id="rId83" Type="http://schemas.openxmlformats.org/officeDocument/2006/relationships/hyperlink" Target="http://dx.doi.org/10.1021/acsenergylett.6c00391" TargetMode="External"/><Relationship Id="rId84" Type="http://schemas.openxmlformats.org/officeDocument/2006/relationships/hyperlink" Target="https://doi.org/10.1021/acsenergylett.6c00391" TargetMode="External"/><Relationship Id="rId85" Type="http://schemas.openxmlformats.org/officeDocument/2006/relationships/hyperlink" Target="https://www.sciencedirect.com/science/article/pii/S030626192600440X?dgcid=rss_sd_all" TargetMode="External"/><Relationship Id="rId86" Type="http://schemas.openxmlformats.org/officeDocument/2006/relationships/hyperlink" Target="https://academic.oup.com/nsr/advance-article/doi/10.1093/nsr/nwag213/8607083?rss=1" TargetMode="External"/><Relationship Id="rId87" Type="http://schemas.openxmlformats.org/officeDocument/2006/relationships/hyperlink" Target="https://doi.org/10.1093/nsr/nwag213" TargetMode="External"/><Relationship Id="rId88" Type="http://schemas.openxmlformats.org/officeDocument/2006/relationships/hyperlink" Target="https://onlinelibrary.wiley.com/doi/10.1002/anie.7124073?af=R" TargetMode="External"/><Relationship Id="rId89" Type="http://schemas.openxmlformats.org/officeDocument/2006/relationships/hyperlink" Target="https://doi.org/10.1002/anie.7124073" TargetMode="External"/><Relationship Id="rId90" Type="http://schemas.openxmlformats.org/officeDocument/2006/relationships/hyperlink" Target="https://onlinelibrary.wiley.com/doi/10.1002/anie.8894259?af=R" TargetMode="External"/><Relationship Id="rId91" Type="http://schemas.openxmlformats.org/officeDocument/2006/relationships/hyperlink" Target="https://doi.org/10.1002/anie.8894259" TargetMode="External"/><Relationship Id="rId92" Type="http://schemas.openxmlformats.org/officeDocument/2006/relationships/hyperlink" Target="https://onlinelibrary.wiley.com/doi/10.1002/anie.1269101?af=R" TargetMode="External"/><Relationship Id="rId93" Type="http://schemas.openxmlformats.org/officeDocument/2006/relationships/hyperlink" Target="https://doi.org/10.1002/anie.1269101" TargetMode="External"/><Relationship Id="rId94" Type="http://schemas.openxmlformats.org/officeDocument/2006/relationships/hyperlink" Target="https://www.sciencedirect.com/science/article/pii/S0306261926004617?dgcid=rss_sd_all" TargetMode="External"/><Relationship Id="rId95" Type="http://schemas.openxmlformats.org/officeDocument/2006/relationships/hyperlink" Target="http://dx.doi.org/10.1021/jacs.5c19391" TargetMode="External"/><Relationship Id="rId96" Type="http://schemas.openxmlformats.org/officeDocument/2006/relationships/hyperlink" Target="https://doi.org/10.1021/jacs.5c19391" TargetMode="External"/><Relationship Id="rId97" Type="http://schemas.openxmlformats.org/officeDocument/2006/relationships/hyperlink" Target="http://pubs.rsc.org/en/Content/ArticleLanding/2026/EE/D6EE00998K" TargetMode="External"/><Relationship Id="rId98" Type="http://schemas.openxmlformats.org/officeDocument/2006/relationships/hyperlink" Target="https://www.cell.com/joule/fulltext/S2542-4351(26)00106-6?rss=yes" TargetMode="External"/><Relationship Id="rId99" Type="http://schemas.openxmlformats.org/officeDocument/2006/relationships/hyperlink" Target="https://doi.org/10.1016/j.joule.2026.102422" TargetMode="External"/><Relationship Id="rId100" Type="http://schemas.openxmlformats.org/officeDocument/2006/relationships/hyperlink" Target="https://advanced.onlinelibrary.wiley.com/doi/10.1002/aenm.202506489?af=R" TargetMode="External"/><Relationship Id="rId101" Type="http://schemas.openxmlformats.org/officeDocument/2006/relationships/hyperlink" Target="https://doi.org/10.1002/aenm.202506489" TargetMode="External"/><Relationship Id="rId102" Type="http://schemas.openxmlformats.org/officeDocument/2006/relationships/hyperlink" Target="https://www.sciencedirect.com/science/article/pii/S0306261926003569?dgcid=rss_sd_all" TargetMode="External"/><Relationship Id="rId103" Type="http://schemas.openxmlformats.org/officeDocument/2006/relationships/hyperlink" Target="https://advanced.onlinelibrary.wiley.com/doi/10.1002/aenm.70909?af=R" TargetMode="External"/><Relationship Id="rId104" Type="http://schemas.openxmlformats.org/officeDocument/2006/relationships/hyperlink" Target="https://doi.org/10.1002/aenm.70909" TargetMode="External"/><Relationship Id="rId105" Type="http://schemas.openxmlformats.org/officeDocument/2006/relationships/hyperlink" Target="https://www.cell.com/matter/fulltext/S2590-2385(26)00129-3?rss=yes" TargetMode="External"/><Relationship Id="rId106" Type="http://schemas.openxmlformats.org/officeDocument/2006/relationships/hyperlink" Target="https://doi.org/10.1016/j.matt.2026.102766" TargetMode="External"/><Relationship Id="rId107" Type="http://schemas.openxmlformats.org/officeDocument/2006/relationships/hyperlink" Target="https://advanced.onlinelibrary.wiley.com/doi/10.1002/aenm.70927?af=R" TargetMode="External"/><Relationship Id="rId108" Type="http://schemas.openxmlformats.org/officeDocument/2006/relationships/hyperlink" Target="https://doi.org/10.1002/aenm.70927" TargetMode="External"/><Relationship Id="rId109" Type="http://schemas.openxmlformats.org/officeDocument/2006/relationships/hyperlink" Target="https://www.sciencedirect.com/science/article/pii/S0306261926005088?dgcid=rss_sd_all" TargetMode="External"/><Relationship Id="rId110" Type="http://schemas.openxmlformats.org/officeDocument/2006/relationships/hyperlink" Target="https://www.sciencedirect.com/science/article/pii/S0301421526002053?dgcid=rss_sd_all" TargetMode="External"/><Relationship Id="rId111" Type="http://schemas.openxmlformats.org/officeDocument/2006/relationships/hyperlink" Target="https://www.science.org/doi/abs/10.1126/science.aeh8585?af=R" TargetMode="External"/><Relationship Id="rId112" Type="http://schemas.openxmlformats.org/officeDocument/2006/relationships/hyperlink" Target="https://doi.org/10.1126/science.aeh8585" TargetMode="External"/><Relationship Id="rId113" Type="http://schemas.openxmlformats.org/officeDocument/2006/relationships/hyperlink" Target="https://www.nature.com/articles/s41467-026-71416-w" TargetMode="External"/><Relationship Id="rId114" Type="http://schemas.openxmlformats.org/officeDocument/2006/relationships/hyperlink" Target="https://doi.org/10.1038/s41467-026-71416-w" TargetMode="External"/><Relationship Id="rId115" Type="http://schemas.openxmlformats.org/officeDocument/2006/relationships/hyperlink" Target="https://www.sciencedirect.com/science/article/pii/S0306261926004800?dgcid=rss_sd_all" TargetMode="External"/><Relationship Id="rId116" Type="http://schemas.openxmlformats.org/officeDocument/2006/relationships/hyperlink" Target="https://www.sciencedirect.com/science/article/pii/S0306261926003983?dgcid=rss_sd_all" TargetMode="External"/><Relationship Id="rId117" Type="http://schemas.openxmlformats.org/officeDocument/2006/relationships/hyperlink" Target="https://www.sciencedirect.com/science/article/pii/S0306261926003995?dgcid=rss_sd_all" TargetMode="External"/><Relationship Id="rId118" Type="http://schemas.openxmlformats.org/officeDocument/2006/relationships/hyperlink" Target="https://www.sciencedirect.com/science/article/pii/S0306261926004459?dgcid=rss_sd_all" TargetMode="External"/><Relationship Id="rId119" Type="http://schemas.openxmlformats.org/officeDocument/2006/relationships/hyperlink" Target="https://www.sciencedirect.com/science/article/pii/S0306261926004174?dgcid=rss_sd_all" TargetMode="External"/><Relationship Id="rId120" Type="http://schemas.openxmlformats.org/officeDocument/2006/relationships/hyperlink" Target="https://www.sciencedirect.com/science/article/pii/S0306261926004411?dgcid=rss_sd_all" TargetMode="External"/><Relationship Id="rId121" Type="http://schemas.openxmlformats.org/officeDocument/2006/relationships/hyperlink" Target="https://www.sciencedirect.com/science/article/pii/S0306261926004447?dgcid=rss_sd_all" TargetMode="External"/><Relationship Id="rId122" Type="http://schemas.openxmlformats.org/officeDocument/2006/relationships/hyperlink" Target="https://www.sciencedirect.com/science/article/pii/S0306261926004927?dgcid=rss_sd_all" TargetMode="External"/><Relationship Id="rId123" Type="http://schemas.openxmlformats.org/officeDocument/2006/relationships/hyperlink" Target="https://www.sciencedirect.com/science/article/pii/S0306261926004034?dgcid=rss_sd_all" TargetMode="External"/><Relationship Id="rId124" Type="http://schemas.openxmlformats.org/officeDocument/2006/relationships/hyperlink" Target="https://www.sciencedirect.com/science/article/pii/S0306261926004484?dgcid=rss_sd_all" TargetMode="External"/><Relationship Id="rId125" Type="http://schemas.openxmlformats.org/officeDocument/2006/relationships/hyperlink" Target="https://www.sciencedirect.com/science/article/pii/S0306261926004940?dgcid=rss_sd_all" TargetMode="External"/><Relationship Id="rId126" Type="http://schemas.openxmlformats.org/officeDocument/2006/relationships/hyperlink" Target="https://onlinelibrary.wiley.com/doi/10.1002/anie.2445993?af=R" TargetMode="External"/><Relationship Id="rId127" Type="http://schemas.openxmlformats.org/officeDocument/2006/relationships/hyperlink" Target="https://doi.org/10.1002/anie.2445993" TargetMode="External"/><Relationship Id="rId128" Type="http://schemas.openxmlformats.org/officeDocument/2006/relationships/hyperlink" Target="https://onlinelibrary.wiley.com/doi/10.1002/anie.4185228?af=R" TargetMode="External"/><Relationship Id="rId129" Type="http://schemas.openxmlformats.org/officeDocument/2006/relationships/hyperlink" Target="https://doi.org/10.1002/anie.4185228" TargetMode="External"/><Relationship Id="rId130" Type="http://schemas.openxmlformats.org/officeDocument/2006/relationships/hyperlink" Target="https://www.nature.com/articles/s41560-026-01999-7" TargetMode="External"/><Relationship Id="rId131" Type="http://schemas.openxmlformats.org/officeDocument/2006/relationships/hyperlink" Target="https://doi.org/10.1038/s41560-026-01999-7" TargetMode="External"/><Relationship Id="rId132" Type="http://schemas.openxmlformats.org/officeDocument/2006/relationships/hyperlink" Target="https://www.sciencedirect.com/science/article/pii/S0306261926005027?dgcid=rss_sd_all" TargetMode="External"/><Relationship Id="rId133" Type="http://schemas.openxmlformats.org/officeDocument/2006/relationships/hyperlink" Target="https://advanced.onlinelibrary.wiley.com/doi/10.1002/aenm.70928?af=R" TargetMode="External"/><Relationship Id="rId134" Type="http://schemas.openxmlformats.org/officeDocument/2006/relationships/hyperlink" Target="https://doi.org/10.1002/aenm.70928" TargetMode="External"/><Relationship Id="rId135" Type="http://schemas.openxmlformats.org/officeDocument/2006/relationships/hyperlink" Target="https://advanced.onlinelibrary.wiley.com/doi/10.1002/aenm.70917?af=R" TargetMode="External"/><Relationship Id="rId136" Type="http://schemas.openxmlformats.org/officeDocument/2006/relationships/hyperlink" Target="https://doi.org/10.1002/aenm.70917" TargetMode="External"/><Relationship Id="rId137" Type="http://schemas.openxmlformats.org/officeDocument/2006/relationships/hyperlink" Target="https://www.nature.com/articles/s44359-026-00160-7" TargetMode="External"/><Relationship Id="rId138" Type="http://schemas.openxmlformats.org/officeDocument/2006/relationships/hyperlink" Target="https://doi.org/10.1038/s44359-026-00160-7" TargetMode="External"/><Relationship Id="rId139" Type="http://schemas.openxmlformats.org/officeDocument/2006/relationships/hyperlink" Target="https://www.sciencedirect.com/science/article/pii/S0306261926004691?dgcid=rss_sd_all" TargetMode="External"/><Relationship Id="rId140" Type="http://schemas.openxmlformats.org/officeDocument/2006/relationships/hyperlink" Target="https://www.science.org/doi/abs/10.1126/sciadv.aec0536?af=R" TargetMode="External"/><Relationship Id="rId141" Type="http://schemas.openxmlformats.org/officeDocument/2006/relationships/hyperlink" Target="https://doi.org/10.1126/sciadv.aec0536" TargetMode="External"/><Relationship Id="rId142" Type="http://schemas.openxmlformats.org/officeDocument/2006/relationships/hyperlink" Target="http://pubs.rsc.org/en/Content/ArticleLanding/2026/EE/D5EE07428B" TargetMode="External"/><Relationship Id="rId143" Type="http://schemas.openxmlformats.org/officeDocument/2006/relationships/hyperlink" Target="http://dx.doi.org/10.1021/jacs.6c01672" TargetMode="External"/><Relationship Id="rId144" Type="http://schemas.openxmlformats.org/officeDocument/2006/relationships/hyperlink" Target="https://doi.org/10.1021/jacs.6c01672" TargetMode="External"/><Relationship Id="rId145" Type="http://schemas.openxmlformats.org/officeDocument/2006/relationships/hyperlink" Target="https://advanced.onlinelibrary.wiley.com/doi/10.1002/aenm.202506631?af=R" TargetMode="External"/><Relationship Id="rId146" Type="http://schemas.openxmlformats.org/officeDocument/2006/relationships/hyperlink" Target="https://doi.org/10.1002/aenm.202506631" TargetMode="External"/><Relationship Id="rId147" Type="http://schemas.openxmlformats.org/officeDocument/2006/relationships/hyperlink" Target="https://onlinelibrary.wiley.com/doi/10.1002/anie.9239759?af=R" TargetMode="External"/><Relationship Id="rId148" Type="http://schemas.openxmlformats.org/officeDocument/2006/relationships/hyperlink" Target="https://doi.org/10.1002/anie.9239759" TargetMode="External"/><Relationship Id="rId149" Type="http://schemas.openxmlformats.org/officeDocument/2006/relationships/hyperlink" Target="http://dx.doi.org/10.1021/jacs.5c22507" TargetMode="External"/><Relationship Id="rId150" Type="http://schemas.openxmlformats.org/officeDocument/2006/relationships/hyperlink" Target="https://doi.org/10.1021/jacs.5c22507" TargetMode="External"/><Relationship Id="rId151" Type="http://schemas.openxmlformats.org/officeDocument/2006/relationships/hyperlink" Target="http://dx.doi.org/10.1021/acsenergylett.6c00692" TargetMode="External"/><Relationship Id="rId152" Type="http://schemas.openxmlformats.org/officeDocument/2006/relationships/hyperlink" Target="https://doi.org/10.1021/acsenergylett.6c00692" TargetMode="External"/><Relationship Id="rId153" Type="http://schemas.openxmlformats.org/officeDocument/2006/relationships/hyperlink" Target="http://dx.doi.org/10.1021/jacs.5c23098" TargetMode="External"/><Relationship Id="rId154" Type="http://schemas.openxmlformats.org/officeDocument/2006/relationships/hyperlink" Target="https://doi.org/10.1021/jacs.5c23098" TargetMode="External"/><Relationship Id="rId155" Type="http://schemas.openxmlformats.org/officeDocument/2006/relationships/hyperlink" Target="http://dx.doi.org/10.1021/jacs.6c00641" TargetMode="External"/><Relationship Id="rId156" Type="http://schemas.openxmlformats.org/officeDocument/2006/relationships/hyperlink" Target="https://doi.org/10.1021/jacs.6c00641" TargetMode="External"/><Relationship Id="rId157" Type="http://schemas.openxmlformats.org/officeDocument/2006/relationships/hyperlink" Target="https://advanced.onlinelibrary.wiley.com/doi/10.1002/aenm.70924?af=R" TargetMode="External"/><Relationship Id="rId158" Type="http://schemas.openxmlformats.org/officeDocument/2006/relationships/hyperlink" Target="https://doi.org/10.1002/aenm.70924" TargetMode="External"/><Relationship Id="rId159" Type="http://schemas.openxmlformats.org/officeDocument/2006/relationships/hyperlink" Target="http://dx.doi.org/10.1021/jacs.6c00570" TargetMode="External"/><Relationship Id="rId160" Type="http://schemas.openxmlformats.org/officeDocument/2006/relationships/hyperlink" Target="https://doi.org/10.1021/jacs.6c00570" TargetMode="External"/><Relationship Id="rId161" Type="http://schemas.openxmlformats.org/officeDocument/2006/relationships/hyperlink" Target="http://dx.doi.org/10.1021/acsenergylett.6c00283" TargetMode="External"/><Relationship Id="rId162" Type="http://schemas.openxmlformats.org/officeDocument/2006/relationships/hyperlink" Target="https://doi.org/10.1021/acsenergylett.6c00283" TargetMode="External"/><Relationship Id="rId163" Type="http://schemas.openxmlformats.org/officeDocument/2006/relationships/hyperlink" Target="http://dx.doi.org/10.1021/jacs.6c02744" TargetMode="External"/><Relationship Id="rId164" Type="http://schemas.openxmlformats.org/officeDocument/2006/relationships/hyperlink" Target="https://doi.org/10.1021/jacs.6c02744" TargetMode="External"/><Relationship Id="rId165" Type="http://schemas.openxmlformats.org/officeDocument/2006/relationships/hyperlink" Target="https://www.cell.com/joule/fulltext/S2542-4351(26)00031-0?rss=yes" TargetMode="External"/><Relationship Id="rId166" Type="http://schemas.openxmlformats.org/officeDocument/2006/relationships/hyperlink" Target="https://doi.org/10.1016/j.joule.2026.102347" TargetMode="External"/><Relationship Id="rId167" Type="http://schemas.openxmlformats.org/officeDocument/2006/relationships/hyperlink" Target="http://dx.doi.org/10.1021/jacs.5c18488" TargetMode="External"/><Relationship Id="rId168" Type="http://schemas.openxmlformats.org/officeDocument/2006/relationships/hyperlink" Target="https://doi.org/10.1021/jacs.5c18488" TargetMode="External"/><Relationship Id="rId169" Type="http://schemas.openxmlformats.org/officeDocument/2006/relationships/hyperlink" Target="https://advanced.onlinelibrary.wiley.com/doi/10.1002/aenm.70926?af=R" TargetMode="External"/><Relationship Id="rId170" Type="http://schemas.openxmlformats.org/officeDocument/2006/relationships/hyperlink" Target="https://doi.org/10.1002/aenm.70926" TargetMode="External"/><Relationship Id="rId171" Type="http://schemas.openxmlformats.org/officeDocument/2006/relationships/hyperlink" Target="https://onlinelibrary.wiley.com/doi/10.1002/anie.9944053?af=R" TargetMode="External"/><Relationship Id="rId172" Type="http://schemas.openxmlformats.org/officeDocument/2006/relationships/hyperlink" Target="https://doi.org/10.1002/anie.9944053" TargetMode="External"/><Relationship Id="rId173" Type="http://schemas.openxmlformats.org/officeDocument/2006/relationships/hyperlink" Target="https://www.nature.com/articles/s41467-026-71562-1" TargetMode="External"/><Relationship Id="rId174" Type="http://schemas.openxmlformats.org/officeDocument/2006/relationships/hyperlink" Target="https://doi.org/10.1038/s41467-026-71562-1" TargetMode="External"/><Relationship Id="rId175" Type="http://schemas.openxmlformats.org/officeDocument/2006/relationships/hyperlink" Target="https://www.sciencedirect.com/science/article/pii/S0306261926004496?dgcid=rss_sd_all" TargetMode="External"/><Relationship Id="rId176" Type="http://schemas.openxmlformats.org/officeDocument/2006/relationships/hyperlink" Target="https://www.nature.com/articles/s41467-026-71402-2" TargetMode="External"/><Relationship Id="rId177" Type="http://schemas.openxmlformats.org/officeDocument/2006/relationships/hyperlink" Target="https://doi.org/10.1038/s41467-026-71402-2" TargetMode="External"/><Relationship Id="rId178" Type="http://schemas.openxmlformats.org/officeDocument/2006/relationships/hyperlink" Target="https://www.nature.com/articles/s41467-026-71423-x" TargetMode="External"/><Relationship Id="rId179" Type="http://schemas.openxmlformats.org/officeDocument/2006/relationships/hyperlink" Target="https://doi.org/10.1038/s41467-026-71423-x" TargetMode="External"/><Relationship Id="rId180" Type="http://schemas.openxmlformats.org/officeDocument/2006/relationships/hyperlink" Target="https://www.nature.com/articles/d41586-026-01103-9" TargetMode="External"/><Relationship Id="rId181" Type="http://schemas.openxmlformats.org/officeDocument/2006/relationships/hyperlink" Target="https://doi.org/10.1038/d41586-026-01103-9" TargetMode="External"/><Relationship Id="rId182" Type="http://schemas.openxmlformats.org/officeDocument/2006/relationships/hyperlink" Target="https://www.sciencedirect.com/science/article/pii/S0306261926004733?dgcid=rss_sd_all" TargetMode="External"/><Relationship Id="rId183" Type="http://schemas.openxmlformats.org/officeDocument/2006/relationships/hyperlink" Target="https://www.sciencedirect.com/science/article/pii/S0306261926004605?dgcid=rss_sd_all" TargetMode="External"/><Relationship Id="rId184" Type="http://schemas.openxmlformats.org/officeDocument/2006/relationships/hyperlink" Target="https://www.sciencedirect.com/science/article/pii/S0306261926004265?dgcid=rss_sd_all" TargetMode="External"/><Relationship Id="rId185" Type="http://schemas.openxmlformats.org/officeDocument/2006/relationships/hyperlink" Target="https://www.nature.com/articles/s41467-026-71275-5" TargetMode="External"/><Relationship Id="rId186" Type="http://schemas.openxmlformats.org/officeDocument/2006/relationships/hyperlink" Target="https://doi.org/10.1038/s41467-026-71275-5" TargetMode="External"/><Relationship Id="rId187" Type="http://schemas.openxmlformats.org/officeDocument/2006/relationships/hyperlink" Target="https://www.nature.com/articles/s41467-026-70879-1" TargetMode="External"/><Relationship Id="rId188" Type="http://schemas.openxmlformats.org/officeDocument/2006/relationships/hyperlink" Target="https://doi.org/10.1038/s41467-026-70879-1" TargetMode="External"/><Relationship Id="rId189" Type="http://schemas.openxmlformats.org/officeDocument/2006/relationships/hyperlink" Target="https://www.nature.com/articles/s41467-026-71374-3" TargetMode="External"/><Relationship Id="rId190" Type="http://schemas.openxmlformats.org/officeDocument/2006/relationships/hyperlink" Target="https://doi.org/10.1038/s41467-026-71374-3" TargetMode="External"/><Relationship Id="rId191" Type="http://schemas.openxmlformats.org/officeDocument/2006/relationships/hyperlink" Target="https://www.sciencedirect.com/science/article/pii/S0301421526001977?dgcid=rss_sd_all" TargetMode="External"/><Relationship Id="rId192" Type="http://schemas.openxmlformats.org/officeDocument/2006/relationships/hyperlink" Target="https://www.nature.com/articles/s41467-026-71147-y" TargetMode="External"/><Relationship Id="rId193" Type="http://schemas.openxmlformats.org/officeDocument/2006/relationships/hyperlink" Target="https://doi.org/10.1038/s41467-026-71147-y" TargetMode="External"/><Relationship Id="rId194" Type="http://schemas.openxmlformats.org/officeDocument/2006/relationships/hyperlink" Target="https://www.sciencedirect.com/science/article/pii/S0301421526002144?dgcid=rss_sd_all" TargetMode="External"/><Relationship Id="rId195" Type="http://schemas.openxmlformats.org/officeDocument/2006/relationships/hyperlink" Target="https://www.sciencedirect.com/science/article/pii/S0306261926003831?dgcid=rss_sd_all" TargetMode="External"/><Relationship Id="rId196" Type="http://schemas.openxmlformats.org/officeDocument/2006/relationships/hyperlink" Target="https://www.sciencedirect.com/science/article/pii/S0306261926004009?dgcid=rss_sd_all" TargetMode="External"/><Relationship Id="rId197" Type="http://schemas.openxmlformats.org/officeDocument/2006/relationships/hyperlink" Target="https://www.sciencedirect.com/science/article/pii/S0301421526002041?dgcid=rss_sd_all" TargetMode="External"/><Relationship Id="rId198" Type="http://schemas.openxmlformats.org/officeDocument/2006/relationships/hyperlink" Target="https://onlinelibrary.wiley.com/doi/10.1002/anie.8338805?af=R" TargetMode="External"/><Relationship Id="rId199" Type="http://schemas.openxmlformats.org/officeDocument/2006/relationships/hyperlink" Target="https://doi.org/10.1002/anie.8338805" TargetMode="External"/><Relationship Id="rId200" Type="http://schemas.openxmlformats.org/officeDocument/2006/relationships/hyperlink" Target="https://advanced.onlinelibrary.wiley.com/doi/10.1002/adma.202523679?af=R" TargetMode="External"/><Relationship Id="rId201" Type="http://schemas.openxmlformats.org/officeDocument/2006/relationships/hyperlink" Target="https://doi.org/10.1002/adma.202523679" TargetMode="External"/><Relationship Id="rId202" Type="http://schemas.openxmlformats.org/officeDocument/2006/relationships/hyperlink" Target="https://advanced.onlinelibrary.wiley.com/doi/10.1002/adma.73010?af=R" TargetMode="External"/><Relationship Id="rId203" Type="http://schemas.openxmlformats.org/officeDocument/2006/relationships/hyperlink" Target="https://doi.org/10.1002/adma.73010" TargetMode="External"/><Relationship Id="rId204" Type="http://schemas.openxmlformats.org/officeDocument/2006/relationships/hyperlink" Target="https://onlinelibrary.wiley.com/doi/10.1002/anie.202523132?af=R" TargetMode="External"/><Relationship Id="rId205" Type="http://schemas.openxmlformats.org/officeDocument/2006/relationships/hyperlink" Target="https://doi.org/10.1002/anie.202523132" TargetMode="External"/><Relationship Id="rId206" Type="http://schemas.openxmlformats.org/officeDocument/2006/relationships/hyperlink" Target="https://advanced.onlinelibrary.wiley.com/doi/10.1002/adma.202508715?af=R" TargetMode="External"/><Relationship Id="rId207" Type="http://schemas.openxmlformats.org/officeDocument/2006/relationships/hyperlink" Target="https://doi.org/10.1002/adma.202508715" TargetMode="External"/><Relationship Id="rId208" Type="http://schemas.openxmlformats.org/officeDocument/2006/relationships/hyperlink" Target="https://advanced.onlinelibrary.wiley.com/doi/10.1002/adma.202518631?af=R" TargetMode="External"/><Relationship Id="rId209" Type="http://schemas.openxmlformats.org/officeDocument/2006/relationships/hyperlink" Target="https://doi.org/10.1002/adma.202518631" TargetMode="External"/><Relationship Id="rId210" Type="http://schemas.openxmlformats.org/officeDocument/2006/relationships/hyperlink" Target="https://advanced.onlinelibrary.wiley.com/doi/10.1002/adma.202523635?af=R" TargetMode="External"/><Relationship Id="rId211" Type="http://schemas.openxmlformats.org/officeDocument/2006/relationships/hyperlink" Target="https://doi.org/10.1002/adma.202523635" TargetMode="External"/><Relationship Id="rId212" Type="http://schemas.openxmlformats.org/officeDocument/2006/relationships/hyperlink" Target="http://dx.doi.org/10.1021/jacs.6c01241" TargetMode="External"/><Relationship Id="rId213" Type="http://schemas.openxmlformats.org/officeDocument/2006/relationships/hyperlink" Target="https://doi.org/10.1021/jacs.6c01241" TargetMode="External"/><Relationship Id="rId214" Type="http://schemas.openxmlformats.org/officeDocument/2006/relationships/hyperlink" Target="http://dx.doi.org/10.1021/jacs.6c01273" TargetMode="External"/><Relationship Id="rId215" Type="http://schemas.openxmlformats.org/officeDocument/2006/relationships/hyperlink" Target="https://doi.org/10.1021/jacs.6c01273" TargetMode="External"/><Relationship Id="rId216" Type="http://schemas.openxmlformats.org/officeDocument/2006/relationships/hyperlink" Target="http://dx.doi.org/10.1021/jacs.6c01081" TargetMode="External"/><Relationship Id="rId217" Type="http://schemas.openxmlformats.org/officeDocument/2006/relationships/hyperlink" Target="https://doi.org/10.1021/jacs.6c01081" TargetMode="External"/><Relationship Id="rId218" Type="http://schemas.openxmlformats.org/officeDocument/2006/relationships/hyperlink" Target="http://dx.doi.org/10.1021/jacs.6c03064" TargetMode="External"/><Relationship Id="rId219" Type="http://schemas.openxmlformats.org/officeDocument/2006/relationships/hyperlink" Target="https://doi.org/10.1021/jacs.6c03064" TargetMode="External"/><Relationship Id="rId220" Type="http://schemas.openxmlformats.org/officeDocument/2006/relationships/hyperlink" Target="http://dx.doi.org/10.1021/acsenergylett.6c00196" TargetMode="External"/><Relationship Id="rId221" Type="http://schemas.openxmlformats.org/officeDocument/2006/relationships/hyperlink" Target="https://doi.org/10.1021/acsenergylett.6c00196" TargetMode="External"/><Relationship Id="rId222" Type="http://schemas.openxmlformats.org/officeDocument/2006/relationships/hyperlink" Target="http://dx.doi.org/10.1021/acsenergylett.6c00805" TargetMode="External"/><Relationship Id="rId223" Type="http://schemas.openxmlformats.org/officeDocument/2006/relationships/hyperlink" Target="https://doi.org/10.1021/acsenergylett.6c00805" TargetMode="External"/><Relationship Id="rId224" Type="http://schemas.openxmlformats.org/officeDocument/2006/relationships/hyperlink" Target="https://www.sciencedirect.com/science/article/pii/S0301421526001953?dgcid=rss_sd_all" TargetMode="External"/><Relationship Id="rId225" Type="http://schemas.openxmlformats.org/officeDocument/2006/relationships/hyperlink" Target="https://www.sciencedirect.com/science/article/pii/S0306261926004897?dgcid=rss_sd_all" TargetMode="External"/><Relationship Id="rId226" Type="http://schemas.openxmlformats.org/officeDocument/2006/relationships/hyperlink" Target="https://www.sciencedirect.com/science/article/pii/S0306261926004757?dgcid=rss_sd_all" TargetMode="External"/><Relationship Id="rId227" Type="http://schemas.openxmlformats.org/officeDocument/2006/relationships/hyperlink" Target="https://www.sciencedirect.com/science/article/pii/S0306261926004629?dgcid=rss_sd_all" TargetMode="External"/><Relationship Id="rId228" Type="http://schemas.openxmlformats.org/officeDocument/2006/relationships/hyperlink" Target="https://www.sciencedirect.com/science/article/pii/S0306261926004642?dgcid=rss_sd_all" TargetMode="External"/><Relationship Id="rId229" Type="http://schemas.openxmlformats.org/officeDocument/2006/relationships/hyperlink" Target="https://www.sciencedirect.com/science/article/pii/S030626192600423X?dgcid=rss_sd_all" TargetMode="External"/><Relationship Id="rId230" Type="http://schemas.openxmlformats.org/officeDocument/2006/relationships/hyperlink" Target="https://www.sciencedirect.com/science/article/pii/S0306261926004678?dgcid=rss_sd_all" TargetMode="External"/><Relationship Id="rId231" Type="http://schemas.openxmlformats.org/officeDocument/2006/relationships/hyperlink" Target="https://www.sciencedirect.com/science/article/pii/S0306261926004502?dgcid=rss_sd_all" TargetMode="External"/><Relationship Id="rId232" Type="http://schemas.openxmlformats.org/officeDocument/2006/relationships/hyperlink" Target="https://www.sciencedirect.com/science/article/pii/S030626192600437X?dgcid=rss_sd_all" TargetMode="External"/><Relationship Id="rId233" Type="http://schemas.openxmlformats.org/officeDocument/2006/relationships/hyperlink" Target="https://www.sciencedirect.com/science/article/pii/S0301421526002235?dgcid=rss_sd_all" TargetMode="External"/><Relationship Id="rId234" Type="http://schemas.openxmlformats.org/officeDocument/2006/relationships/hyperlink" Target="https://www.sciencedirect.com/science/article/pii/S0306261926004654?dgcid=rss_sd_all" TargetMode="External"/><Relationship Id="rId235" Type="http://schemas.openxmlformats.org/officeDocument/2006/relationships/hyperlink" Target="https://www.sciencedirect.com/science/article/pii/S0306261926004460?dgcid=rss_sd_all" TargetMode="External"/><Relationship Id="rId236" Type="http://schemas.openxmlformats.org/officeDocument/2006/relationships/hyperlink" Target="https://www.sciencedirect.com/science/article/pii/S0301421526001898?dgcid=rss_sd_all" TargetMode="External"/><Relationship Id="rId237" Type="http://schemas.openxmlformats.org/officeDocument/2006/relationships/hyperlink" Target="https://www.sciencedirect.com/science/article/pii/S0306261926004046?dgcid=rss_sd_all" TargetMode="External"/><Relationship Id="rId238" Type="http://schemas.openxmlformats.org/officeDocument/2006/relationships/hyperlink" Target="https://www.sciencedirect.com/science/article/pii/S0306261926004332?dgcid=rss_sd_all" TargetMode="External"/><Relationship Id="rId239" Type="http://schemas.openxmlformats.org/officeDocument/2006/relationships/hyperlink" Target="http://dx.doi.org/10.1021/jacs.6c00731" TargetMode="External"/><Relationship Id="rId240" Type="http://schemas.openxmlformats.org/officeDocument/2006/relationships/hyperlink" Target="https://doi.org/10.1021/jacs.6c00731" TargetMode="External"/><Relationship Id="rId241" Type="http://schemas.openxmlformats.org/officeDocument/2006/relationships/hyperlink" Target="https://www.nature.com/articles/d41586-026-01028-3" TargetMode="External"/><Relationship Id="rId242" Type="http://schemas.openxmlformats.org/officeDocument/2006/relationships/hyperlink" Target="https://doi.org/10.1038/d41586-026-01028-3" TargetMode="External"/><Relationship Id="rId243" Type="http://schemas.openxmlformats.org/officeDocument/2006/relationships/hyperlink" Target="https://www.nature.com/articles/d41586-026-01026-5" TargetMode="External"/><Relationship Id="rId244" Type="http://schemas.openxmlformats.org/officeDocument/2006/relationships/hyperlink" Target="https://doi.org/10.1038/d41586-026-01026-5" TargetMode="External"/><Relationship Id="rId245" Type="http://schemas.openxmlformats.org/officeDocument/2006/relationships/hyperlink" Target="https://www.nature.com/articles/s41563-026-02551-4" TargetMode="External"/><Relationship Id="rId246" Type="http://schemas.openxmlformats.org/officeDocument/2006/relationships/hyperlink" Target="https://doi.org/10.1038/s41563-026-02551-4" TargetMode="External"/><Relationship Id="rId247" Type="http://schemas.openxmlformats.org/officeDocument/2006/relationships/hyperlink" Target="https://www.nature.com/articles/s41563-026-02546-1" TargetMode="External"/><Relationship Id="rId248" Type="http://schemas.openxmlformats.org/officeDocument/2006/relationships/hyperlink" Target="https://doi.org/10.1038/s41563-026-02546-1" TargetMode="External"/><Relationship Id="rId249" Type="http://schemas.openxmlformats.org/officeDocument/2006/relationships/hyperlink" Target="https://www.nature.com/articles/d41586-026-01027-4" TargetMode="External"/><Relationship Id="rId250" Type="http://schemas.openxmlformats.org/officeDocument/2006/relationships/hyperlink" Target="https://doi.org/10.1038/d41586-026-01027-4" TargetMode="External"/><Relationship Id="rId251" Type="http://schemas.openxmlformats.org/officeDocument/2006/relationships/hyperlink" Target="https://www.sciencedirect.com/science/article/pii/S0306261926004162?dgcid=rss_sd_all" TargetMode="External"/><Relationship Id="rId252" Type="http://schemas.openxmlformats.org/officeDocument/2006/relationships/hyperlink" Target="https://academic.oup.com/nsr/advance-article/doi/10.1093/nsr/nwag211/8607085?rss=1" TargetMode="External"/><Relationship Id="rId253" Type="http://schemas.openxmlformats.org/officeDocument/2006/relationships/hyperlink" Target="https://doi.org/10.1093/nsr/nwag211" TargetMode="External"/><Relationship Id="rId254" Type="http://schemas.openxmlformats.org/officeDocument/2006/relationships/hyperlink" Target="https://academic.oup.com/nsr/advance-article/doi/10.1093/nsr/nwag188/8607086?rss=1" TargetMode="External"/><Relationship Id="rId255" Type="http://schemas.openxmlformats.org/officeDocument/2006/relationships/hyperlink" Target="https://doi.org/10.1093/nsr/nwag188" TargetMode="External"/><Relationship Id="rId256" Type="http://schemas.openxmlformats.org/officeDocument/2006/relationships/hyperlink" Target="https://www.nature.com/articles/s41560-026-02020-x" TargetMode="External"/><Relationship Id="rId257" Type="http://schemas.openxmlformats.org/officeDocument/2006/relationships/hyperlink" Target="https://doi.org/10.1038/s41560-026-02020-x" TargetMode="External"/><Relationship Id="rId258" Type="http://schemas.openxmlformats.org/officeDocument/2006/relationships/hyperlink" Target="https://www.sciencedirect.com/science/article/pii/S0301421526002259?dgcid=rss_sd_all" TargetMode="External"/><Relationship Id="rId259" Type="http://schemas.openxmlformats.org/officeDocument/2006/relationships/hyperlink" Target="https://onlinelibrary.wiley.com/doi/10.1002/anie.9981178?af=R" TargetMode="External"/><Relationship Id="rId260" Type="http://schemas.openxmlformats.org/officeDocument/2006/relationships/hyperlink" Target="https://doi.org/10.1002/anie.9981178" TargetMode="External"/><Relationship Id="rId261" Type="http://schemas.openxmlformats.org/officeDocument/2006/relationships/hyperlink" Target="https://onlinelibrary.wiley.com/doi/10.1002/anie.202517460?af=R" TargetMode="External"/><Relationship Id="rId262" Type="http://schemas.openxmlformats.org/officeDocument/2006/relationships/hyperlink" Target="https://doi.org/10.1002/anie.202517460" TargetMode="External"/><Relationship Id="rId263" Type="http://schemas.openxmlformats.org/officeDocument/2006/relationships/hyperlink" Target="https://onlinelibrary.wiley.com/doi/10.1002/anie.9652615?af=R" TargetMode="External"/><Relationship Id="rId264" Type="http://schemas.openxmlformats.org/officeDocument/2006/relationships/hyperlink" Target="https://doi.org/10.1002/anie.9652615" TargetMode="External"/><Relationship Id="rId265" Type="http://schemas.openxmlformats.org/officeDocument/2006/relationships/hyperlink" Target="https://onlinelibrary.wiley.com/doi/10.1002/anie.202522823?af=R" TargetMode="External"/><Relationship Id="rId266" Type="http://schemas.openxmlformats.org/officeDocument/2006/relationships/hyperlink" Target="https://doi.org/10.1002/anie.202522823" TargetMode="External"/><Relationship Id="rId267" Type="http://schemas.openxmlformats.org/officeDocument/2006/relationships/hyperlink" Target="https://onlinelibrary.wiley.com/doi/10.1002/anie.1254428?af=R" TargetMode="External"/><Relationship Id="rId268" Type="http://schemas.openxmlformats.org/officeDocument/2006/relationships/hyperlink" Target="https://doi.org/10.1002/anie.1254428" TargetMode="External"/><Relationship Id="rId269" Type="http://schemas.openxmlformats.org/officeDocument/2006/relationships/hyperlink" Target="https://onlinelibrary.wiley.com/doi/10.1002/anie.9931408?af=R" TargetMode="External"/><Relationship Id="rId270" Type="http://schemas.openxmlformats.org/officeDocument/2006/relationships/hyperlink" Target="https://doi.org/10.1002/anie.9931408" TargetMode="External"/><Relationship Id="rId271" Type="http://schemas.openxmlformats.org/officeDocument/2006/relationships/hyperlink" Target="https://advanced.onlinelibrary.wiley.com/doi/10.1002/adma.72992?af=R" TargetMode="External"/><Relationship Id="rId272" Type="http://schemas.openxmlformats.org/officeDocument/2006/relationships/hyperlink" Target="https://doi.org/10.1002/adma.72992" TargetMode="External"/><Relationship Id="rId273" Type="http://schemas.openxmlformats.org/officeDocument/2006/relationships/hyperlink" Target="https://advanced.onlinelibrary.wiley.com/doi/10.1002/adma.202521967?af=R" TargetMode="External"/><Relationship Id="rId274" Type="http://schemas.openxmlformats.org/officeDocument/2006/relationships/hyperlink" Target="https://doi.org/10.1002/adma.202521967" TargetMode="External"/><Relationship Id="rId275" Type="http://schemas.openxmlformats.org/officeDocument/2006/relationships/hyperlink" Target="https://onlinelibrary.wiley.com/doi/10.1002/anie.6032465?af=R" TargetMode="External"/><Relationship Id="rId276" Type="http://schemas.openxmlformats.org/officeDocument/2006/relationships/hyperlink" Target="https://doi.org/10.1002/anie.6032465" TargetMode="External"/><Relationship Id="rId277" Type="http://schemas.openxmlformats.org/officeDocument/2006/relationships/hyperlink" Target="https://onlinelibrary.wiley.com/doi/10.1002/anie.6015167?af=R" TargetMode="External"/><Relationship Id="rId278" Type="http://schemas.openxmlformats.org/officeDocument/2006/relationships/hyperlink" Target="https://doi.org/10.1002/anie.6015167" TargetMode="External"/><Relationship Id="rId279" Type="http://schemas.openxmlformats.org/officeDocument/2006/relationships/hyperlink" Target="https://onlinelibrary.wiley.com/doi/10.1002/anie.202524977?af=R" TargetMode="External"/><Relationship Id="rId280" Type="http://schemas.openxmlformats.org/officeDocument/2006/relationships/hyperlink" Target="https://doi.org/10.1002/anie.202524977" TargetMode="External"/><Relationship Id="rId281" Type="http://schemas.openxmlformats.org/officeDocument/2006/relationships/hyperlink" Target="https://onlinelibrary.wiley.com/doi/10.1002/anie.1773289?af=R" TargetMode="External"/><Relationship Id="rId282" Type="http://schemas.openxmlformats.org/officeDocument/2006/relationships/hyperlink" Target="https://doi.org/10.1002/anie.1773289" TargetMode="External"/><Relationship Id="rId283" Type="http://schemas.openxmlformats.org/officeDocument/2006/relationships/hyperlink" Target="https://onlinelibrary.wiley.com/doi/10.1002/anie.3509008?af=R" TargetMode="External"/><Relationship Id="rId284" Type="http://schemas.openxmlformats.org/officeDocument/2006/relationships/hyperlink" Target="https://doi.org/10.1002/anie.3509008" TargetMode="External"/><Relationship Id="rId285" Type="http://schemas.openxmlformats.org/officeDocument/2006/relationships/hyperlink" Target="https://onlinelibrary.wiley.com/doi/10.1002/anie.2671652?af=R" TargetMode="External"/><Relationship Id="rId286" Type="http://schemas.openxmlformats.org/officeDocument/2006/relationships/hyperlink" Target="https://doi.org/10.1002/anie.2671652" TargetMode="External"/><Relationship Id="rId287" Type="http://schemas.openxmlformats.org/officeDocument/2006/relationships/hyperlink" Target="https://onlinelibrary.wiley.com/doi/10.1002/anie.5717711?af=R" TargetMode="External"/><Relationship Id="rId288" Type="http://schemas.openxmlformats.org/officeDocument/2006/relationships/hyperlink" Target="https://doi.org/10.1002/anie.5717711" TargetMode="External"/><Relationship Id="rId289" Type="http://schemas.openxmlformats.org/officeDocument/2006/relationships/hyperlink" Target="https://onlinelibrary.wiley.com/doi/10.1002/anie.2754161?af=R" TargetMode="External"/><Relationship Id="rId290" Type="http://schemas.openxmlformats.org/officeDocument/2006/relationships/hyperlink" Target="https://doi.org/10.1002/anie.2754161" TargetMode="External"/><Relationship Id="rId291" Type="http://schemas.openxmlformats.org/officeDocument/2006/relationships/hyperlink" Target="https://onlinelibrary.wiley.com/doi/10.1002/anie.9016586?af=R" TargetMode="External"/><Relationship Id="rId292" Type="http://schemas.openxmlformats.org/officeDocument/2006/relationships/hyperlink" Target="https://doi.org/10.1002/anie.9016586" TargetMode="External"/><Relationship Id="rId293" Type="http://schemas.openxmlformats.org/officeDocument/2006/relationships/hyperlink" Target="https://onlinelibrary.wiley.com/doi/10.1002/anie.8403106?af=R" TargetMode="External"/><Relationship Id="rId294" Type="http://schemas.openxmlformats.org/officeDocument/2006/relationships/hyperlink" Target="https://doi.org/10.1002/anie.8403106" TargetMode="External"/><Relationship Id="rId295" Type="http://schemas.openxmlformats.org/officeDocument/2006/relationships/hyperlink" Target="https://www.pnas.org/doi/abs/10.1073/pnas.2526822123?mi=eymic2&amp;af=R&amp;access=on&amp;content=articlesChapters&amp;publication=pnas&amp;sortBy=Earliest&amp;target=default" TargetMode="External"/><Relationship Id="rId296" Type="http://schemas.openxmlformats.org/officeDocument/2006/relationships/hyperlink" Target="https://doi.org/10.1073/pnas.2526822123" TargetMode="External"/><Relationship Id="rId297" Type="http://schemas.openxmlformats.org/officeDocument/2006/relationships/hyperlink" Target="https://www.pnas.org/doi/abs/10.1073/pnas.2523574123?mi=eymic2&amp;af=R&amp;access=on&amp;content=articlesChapters&amp;publication=pnas&amp;sortBy=Earliest&amp;target=default" TargetMode="External"/><Relationship Id="rId298" Type="http://schemas.openxmlformats.org/officeDocument/2006/relationships/hyperlink" Target="https://doi.org/10.1073/pnas.2523574123" TargetMode="External"/><Relationship Id="rId299" Type="http://schemas.openxmlformats.org/officeDocument/2006/relationships/hyperlink" Target="https://www.pnas.org/doi/abs/10.1073/pnas.2521857123?mi=eymic2&amp;af=R&amp;access=on&amp;content=articlesChapters&amp;publication=pnas&amp;sortBy=Earliest&amp;target=default" TargetMode="External"/><Relationship Id="rId300" Type="http://schemas.openxmlformats.org/officeDocument/2006/relationships/hyperlink" Target="https://doi.org/10.1073/pnas.2521857123" TargetMode="External"/><Relationship Id="rId301" Type="http://schemas.openxmlformats.org/officeDocument/2006/relationships/hyperlink" Target="https://www.pnas.org/doi/abs/10.1073/pnas.2521536123?mi=eymic2&amp;af=R&amp;access=on&amp;content=articlesChapters&amp;publication=pnas&amp;sortBy=Earliest&amp;target=default" TargetMode="External"/><Relationship Id="rId302" Type="http://schemas.openxmlformats.org/officeDocument/2006/relationships/hyperlink" Target="https://doi.org/10.1073/pnas.2521536123" TargetMode="External"/><Relationship Id="rId303" Type="http://schemas.openxmlformats.org/officeDocument/2006/relationships/hyperlink" Target="https://www.pnas.org/doi/abs/10.1073/pnas.2520276123?mi=eymic2&amp;af=R&amp;access=on&amp;content=articlesChapters&amp;publication=pnas&amp;sortBy=Earliest&amp;target=default" TargetMode="External"/><Relationship Id="rId304" Type="http://schemas.openxmlformats.org/officeDocument/2006/relationships/hyperlink" Target="https://doi.org/10.1073/pnas.2520276123" TargetMode="External"/><Relationship Id="rId305" Type="http://schemas.openxmlformats.org/officeDocument/2006/relationships/hyperlink" Target="https://www.pnas.org/doi/abs/10.1073/pnas.2520064123?mi=eymic2&amp;af=R&amp;access=on&amp;content=articlesChapters&amp;publication=pnas&amp;sortBy=Earliest&amp;target=default" TargetMode="External"/><Relationship Id="rId306" Type="http://schemas.openxmlformats.org/officeDocument/2006/relationships/hyperlink" Target="https://doi.org/10.1073/pnas.2520064123" TargetMode="External"/><Relationship Id="rId307" Type="http://schemas.openxmlformats.org/officeDocument/2006/relationships/hyperlink" Target="https://www.pnas.org/doi/abs/10.1073/pnas.2536055123?mi=eymic2&amp;af=R&amp;access=on&amp;content=articlesChapters&amp;publication=pnas&amp;sortBy=Earliest&amp;target=default" TargetMode="External"/><Relationship Id="rId308" Type="http://schemas.openxmlformats.org/officeDocument/2006/relationships/hyperlink" Target="https://doi.org/10.1073/pnas.2536055123" TargetMode="External"/><Relationship Id="rId309" Type="http://schemas.openxmlformats.org/officeDocument/2006/relationships/hyperlink" Target="https://www.pnas.org/doi/abs/10.1073/pnas.2518761123?mi=eymic2&amp;af=R&amp;access=on&amp;content=articlesChapters&amp;publication=pnas&amp;sortBy=Earliest&amp;target=default" TargetMode="External"/><Relationship Id="rId310" Type="http://schemas.openxmlformats.org/officeDocument/2006/relationships/hyperlink" Target="https://doi.org/10.1073/pnas.2518761123" TargetMode="External"/><Relationship Id="rId311" Type="http://schemas.openxmlformats.org/officeDocument/2006/relationships/hyperlink" Target="https://www.pnas.org/doi/abs/10.1073/pnas.2528666123?mi=eymic2&amp;af=R&amp;access=on&amp;content=articlesChapters&amp;publication=pnas&amp;sortBy=Earliest&amp;target=default" TargetMode="External"/><Relationship Id="rId312" Type="http://schemas.openxmlformats.org/officeDocument/2006/relationships/hyperlink" Target="https://doi.org/10.1073/pnas.2528666123" TargetMode="External"/><Relationship Id="rId313" Type="http://schemas.openxmlformats.org/officeDocument/2006/relationships/hyperlink" Target="https://www.pnas.org/doi/abs/10.1073/pnas.2518347123?mi=eymic2&amp;af=R&amp;access=on&amp;content=articlesChapters&amp;publication=pnas&amp;sortBy=Earliest&amp;target=default" TargetMode="External"/><Relationship Id="rId314" Type="http://schemas.openxmlformats.org/officeDocument/2006/relationships/hyperlink" Target="https://doi.org/10.1073/pnas.2518347123" TargetMode="External"/><Relationship Id="rId315" Type="http://schemas.openxmlformats.org/officeDocument/2006/relationships/hyperlink" Target="https://www.pnas.org/doi/abs/10.1073/pnas.2528723123?mi=eymic2&amp;af=R&amp;access=on&amp;content=articlesChapters&amp;publication=pnas&amp;sortBy=Earliest&amp;target=default" TargetMode="External"/><Relationship Id="rId316" Type="http://schemas.openxmlformats.org/officeDocument/2006/relationships/hyperlink" Target="https://doi.org/10.1073/pnas.2528723123" TargetMode="External"/><Relationship Id="rId317" Type="http://schemas.openxmlformats.org/officeDocument/2006/relationships/hyperlink" Target="https://www.pnas.org/doi/abs/10.1073/pnas.2515768123?mi=eymic2&amp;af=R&amp;access=on&amp;content=articlesChapters&amp;publication=pnas&amp;sortBy=Earliest&amp;target=default" TargetMode="External"/><Relationship Id="rId318" Type="http://schemas.openxmlformats.org/officeDocument/2006/relationships/hyperlink" Target="https://doi.org/10.1073/pnas.2515768123" TargetMode="External"/><Relationship Id="rId319" Type="http://schemas.openxmlformats.org/officeDocument/2006/relationships/hyperlink" Target="https://www.pnas.org/doi/abs/10.1073/pnas.2513997123?mi=eymic2&amp;af=R&amp;access=on&amp;content=articlesChapters&amp;publication=pnas&amp;sortBy=Earliest&amp;target=default" TargetMode="External"/><Relationship Id="rId320" Type="http://schemas.openxmlformats.org/officeDocument/2006/relationships/hyperlink" Target="https://doi.org/10.1073/pnas.2513997123" TargetMode="External"/><Relationship Id="rId321" Type="http://schemas.openxmlformats.org/officeDocument/2006/relationships/hyperlink" Target="https://www.pnas.org/doi/abs/10.1073/pnas.2510928123?mi=eymic2&amp;af=R&amp;access=on&amp;content=articlesChapters&amp;publication=pnas&amp;sortBy=Earliest&amp;target=default" TargetMode="External"/><Relationship Id="rId322" Type="http://schemas.openxmlformats.org/officeDocument/2006/relationships/hyperlink" Target="https://doi.org/10.1073/pnas.2510928123" TargetMode="External"/><Relationship Id="rId323" Type="http://schemas.openxmlformats.org/officeDocument/2006/relationships/hyperlink" Target="https://www.pnas.org/doi/abs/10.1073/pnas.2510914123?mi=eymic2&amp;af=R&amp;access=on&amp;content=articlesChapters&amp;publication=pnas&amp;sortBy=Earliest&amp;target=default" TargetMode="External"/><Relationship Id="rId324" Type="http://schemas.openxmlformats.org/officeDocument/2006/relationships/hyperlink" Target="https://doi.org/10.1073/pnas.2510914123" TargetMode="External"/><Relationship Id="rId325" Type="http://schemas.openxmlformats.org/officeDocument/2006/relationships/hyperlink" Target="https://www.pnas.org/doi/abs/10.1073/pnas.2534451123?mi=eymic2&amp;af=R&amp;access=on&amp;content=articlesChapters&amp;publication=pnas&amp;sortBy=Earliest&amp;target=default" TargetMode="External"/><Relationship Id="rId326" Type="http://schemas.openxmlformats.org/officeDocument/2006/relationships/hyperlink" Target="https://doi.org/10.1073/pnas.2534451123" TargetMode="External"/><Relationship Id="rId327" Type="http://schemas.openxmlformats.org/officeDocument/2006/relationships/hyperlink" Target="https://www.pnas.org/doi/abs/10.1073/pnas.2527879123?mi=eymic2&amp;af=R&amp;access=on&amp;content=articlesChapters&amp;publication=pnas&amp;sortBy=Earliest&amp;target=default" TargetMode="External"/><Relationship Id="rId328" Type="http://schemas.openxmlformats.org/officeDocument/2006/relationships/hyperlink" Target="https://doi.org/10.1073/pnas.2527879123" TargetMode="External"/><Relationship Id="rId329" Type="http://schemas.openxmlformats.org/officeDocument/2006/relationships/hyperlink" Target="https://www.pnas.org/doi/abs/10.1073/pnas.2530482123?mi=eymic2&amp;af=R&amp;access=on&amp;content=articlesChapters&amp;publication=pnas&amp;sortBy=Earliest&amp;target=default" TargetMode="External"/><Relationship Id="rId330" Type="http://schemas.openxmlformats.org/officeDocument/2006/relationships/hyperlink" Target="https://doi.org/10.1073/pnas.2530482123" TargetMode="External"/><Relationship Id="rId331" Type="http://schemas.openxmlformats.org/officeDocument/2006/relationships/hyperlink" Target="https://www.pnas.org/doi/abs/10.1073/pnas.2533973123?mi=eymic2&amp;af=R&amp;access=on&amp;content=articlesChapters&amp;publication=pnas&amp;sortBy=Earliest&amp;target=default" TargetMode="External"/><Relationship Id="rId332" Type="http://schemas.openxmlformats.org/officeDocument/2006/relationships/hyperlink" Target="https://doi.org/10.1073/pnas.2533973123" TargetMode="External"/><Relationship Id="rId333" Type="http://schemas.openxmlformats.org/officeDocument/2006/relationships/hyperlink" Target="https://www.pnas.org/doi/abs/10.1073/pnas.2533899123?mi=eymic2&amp;af=R&amp;access=on&amp;content=articlesChapters&amp;publication=pnas&amp;sortBy=Earliest&amp;target=default" TargetMode="External"/><Relationship Id="rId334" Type="http://schemas.openxmlformats.org/officeDocument/2006/relationships/hyperlink" Target="https://doi.org/10.1073/pnas.2533899123" TargetMode="External"/><Relationship Id="rId335" Type="http://schemas.openxmlformats.org/officeDocument/2006/relationships/hyperlink" Target="https://www.pnas.org/doi/abs/10.1073/pnas.2516807123?mi=eymic2&amp;af=R&amp;access=on&amp;content=articlesChapters&amp;publication=pnas&amp;sortBy=Earliest&amp;target=default" TargetMode="External"/><Relationship Id="rId336" Type="http://schemas.openxmlformats.org/officeDocument/2006/relationships/hyperlink" Target="https://doi.org/10.1073/pnas.2516807123" TargetMode="External"/><Relationship Id="rId337" Type="http://schemas.openxmlformats.org/officeDocument/2006/relationships/hyperlink" Target="https://www.pnas.org/doi/abs/10.1073/pnas.2534827123?mi=eymic2&amp;af=R&amp;access=on&amp;content=articlesChapters&amp;publication=pnas&amp;sortBy=Earliest&amp;target=default" TargetMode="External"/><Relationship Id="rId338" Type="http://schemas.openxmlformats.org/officeDocument/2006/relationships/hyperlink" Target="https://doi.org/10.1073/pnas.2534827123" TargetMode="External"/><Relationship Id="rId339" Type="http://schemas.openxmlformats.org/officeDocument/2006/relationships/hyperlink" Target="https://www.pnas.org/doi/abs/10.1073/pnas.2522978123?mi=eymic2&amp;af=R&amp;access=on&amp;content=articlesChapters&amp;publication=pnas&amp;sortBy=Earliest&amp;target=default" TargetMode="External"/><Relationship Id="rId340" Type="http://schemas.openxmlformats.org/officeDocument/2006/relationships/hyperlink" Target="https://doi.org/10.1073/pnas.2522978123" TargetMode="External"/><Relationship Id="rId341" Type="http://schemas.openxmlformats.org/officeDocument/2006/relationships/hyperlink" Target="https://www.pnas.org/doi/abs/10.1073/pnas.2536826123?mi=eymic2&amp;af=R&amp;access=on&amp;content=articlesChapters&amp;publication=pnas&amp;sortBy=Earliest&amp;target=default" TargetMode="External"/><Relationship Id="rId342" Type="http://schemas.openxmlformats.org/officeDocument/2006/relationships/hyperlink" Target="https://doi.org/10.1073/pnas.2536826123" TargetMode="External"/><Relationship Id="rId343" Type="http://schemas.openxmlformats.org/officeDocument/2006/relationships/hyperlink" Target="https://www.pnas.org/doi/abs/10.1073/pnas.2537754123?mi=eymic2&amp;af=R&amp;access=on&amp;content=articlesChapters&amp;publication=pnas&amp;sortBy=Earliest&amp;target=default" TargetMode="External"/><Relationship Id="rId344" Type="http://schemas.openxmlformats.org/officeDocument/2006/relationships/hyperlink" Target="https://doi.org/10.1073/pnas.2537754123" TargetMode="External"/><Relationship Id="rId345" Type="http://schemas.openxmlformats.org/officeDocument/2006/relationships/hyperlink" Target="https://www.pnas.org/doi/abs/10.1073/pnas.2537847123?mi=eymic2&amp;af=R&amp;access=on&amp;content=articlesChapters&amp;publication=pnas&amp;sortBy=Earliest&amp;target=default" TargetMode="External"/><Relationship Id="rId346" Type="http://schemas.openxmlformats.org/officeDocument/2006/relationships/hyperlink" Target="https://doi.org/10.1073/pnas.2537847123" TargetMode="External"/><Relationship Id="rId347" Type="http://schemas.openxmlformats.org/officeDocument/2006/relationships/hyperlink" Target="https://www.pnas.org/doi/abs/10.1073/pnas.2603106123?mi=eymic2&amp;af=R&amp;access=on&amp;content=articlesChapters&amp;publication=pnas&amp;sortBy=Earliest&amp;target=default" TargetMode="External"/><Relationship Id="rId348" Type="http://schemas.openxmlformats.org/officeDocument/2006/relationships/hyperlink" Target="https://doi.org/10.1073/pnas.2603106123" TargetMode="External"/><Relationship Id="rId349" Type="http://schemas.openxmlformats.org/officeDocument/2006/relationships/hyperlink" Target="https://www.pnas.org/doi/abs/10.1073/pnas.2604049123?mi=eymic2&amp;af=R&amp;access=on&amp;content=articlesChapters&amp;publication=pnas&amp;sortBy=Earliest&amp;target=default" TargetMode="External"/><Relationship Id="rId350" Type="http://schemas.openxmlformats.org/officeDocument/2006/relationships/hyperlink" Target="https://doi.org/10.1073/pnas.2604049123" TargetMode="External"/><Relationship Id="rId351" Type="http://schemas.openxmlformats.org/officeDocument/2006/relationships/hyperlink" Target="https://www.pnas.org/doi/abs/10.1073/pnas.2604539123?mi=eymic2&amp;af=R&amp;access=on&amp;content=articlesChapters&amp;publication=pnas&amp;sortBy=Earliest&amp;target=default" TargetMode="External"/><Relationship Id="rId352" Type="http://schemas.openxmlformats.org/officeDocument/2006/relationships/hyperlink" Target="https://doi.org/10.1073/pnas.2604539123" TargetMode="External"/><Relationship Id="rId353" Type="http://schemas.openxmlformats.org/officeDocument/2006/relationships/hyperlink" Target="https://www.pnas.org/doi/abs/10.1073/pnas.2604888123?mi=eymic2&amp;af=R&amp;access=on&amp;content=articlesChapters&amp;publication=pnas&amp;sortBy=Earliest&amp;target=default" TargetMode="External"/><Relationship Id="rId354" Type="http://schemas.openxmlformats.org/officeDocument/2006/relationships/hyperlink" Target="https://doi.org/10.1073/pnas.2604888123" TargetMode="External"/><Relationship Id="rId355" Type="http://schemas.openxmlformats.org/officeDocument/2006/relationships/hyperlink" Target="https://www.pnas.org/doi/abs/10.1073/pnas.2606086123?mi=eymic2&amp;af=R&amp;access=on&amp;content=articlesChapters&amp;publication=pnas&amp;sortBy=Earliest&amp;target=default" TargetMode="External"/><Relationship Id="rId356" Type="http://schemas.openxmlformats.org/officeDocument/2006/relationships/hyperlink" Target="https://doi.org/10.1073/pnas.2606086123" TargetMode="External"/><Relationship Id="rId357" Type="http://schemas.openxmlformats.org/officeDocument/2006/relationships/hyperlink" Target="https://www.pnas.org/doi/abs/10.1073/pnas.2531777123?mi=eymic2&amp;af=R&amp;access=on&amp;content=articlesChapters&amp;publication=pnas&amp;sortBy=Earliest&amp;target=default" TargetMode="External"/><Relationship Id="rId358" Type="http://schemas.openxmlformats.org/officeDocument/2006/relationships/hyperlink" Target="https://doi.org/10.1073/pnas.2531777123" TargetMode="External"/><Relationship Id="rId359" Type="http://schemas.openxmlformats.org/officeDocument/2006/relationships/hyperlink" Target="https://www.pnas.org/doi/abs/10.1073/pnas.2531951123?mi=eymic2&amp;af=R&amp;access=on&amp;content=articlesChapters&amp;publication=pnas&amp;sortBy=Earliest&amp;target=default" TargetMode="External"/><Relationship Id="rId360" Type="http://schemas.openxmlformats.org/officeDocument/2006/relationships/hyperlink" Target="https://doi.org/10.1073/pnas.2531951123" TargetMode="External"/><Relationship Id="rId361" Type="http://schemas.openxmlformats.org/officeDocument/2006/relationships/hyperlink" Target="https://www.pnas.org/doi/abs/10.1073/pnas.2537183123?mi=eymic2&amp;af=R&amp;access=on&amp;content=articlesChapters&amp;publication=pnas&amp;sortBy=Earliest&amp;target=default" TargetMode="External"/><Relationship Id="rId362" Type="http://schemas.openxmlformats.org/officeDocument/2006/relationships/hyperlink" Target="https://doi.org/10.1073/pnas.2537183123" TargetMode="External"/><Relationship Id="rId363" Type="http://schemas.openxmlformats.org/officeDocument/2006/relationships/hyperlink" Target="https://www.pnas.org/doi/abs/10.1073/pnas.2531865123?mi=eymic2&amp;af=R&amp;access=on&amp;content=articlesChapters&amp;publication=pnas&amp;sortBy=Earliest&amp;target=default" TargetMode="External"/><Relationship Id="rId364" Type="http://schemas.openxmlformats.org/officeDocument/2006/relationships/hyperlink" Target="https://doi.org/10.1073/pnas.2531865123" TargetMode="External"/><Relationship Id="rId365" Type="http://schemas.openxmlformats.org/officeDocument/2006/relationships/hyperlink" Target="https://www.pnas.org/doi/abs/10.1073/pnas.2527957123?mi=eymic2&amp;af=R&amp;access=on&amp;content=articlesChapters&amp;publication=pnas&amp;sortBy=Earliest&amp;target=default" TargetMode="External"/><Relationship Id="rId366" Type="http://schemas.openxmlformats.org/officeDocument/2006/relationships/hyperlink" Target="https://doi.org/10.1073/pnas.2527957123" TargetMode="External"/><Relationship Id="rId367" Type="http://schemas.openxmlformats.org/officeDocument/2006/relationships/hyperlink" Target="https://www.pnas.org/doi/abs/10.1073/pnas.2609972123?mi=eymic2&amp;af=R&amp;access=on&amp;content=articlesChapters&amp;publication=pnas&amp;sortBy=Earliest&amp;target=default" TargetMode="External"/><Relationship Id="rId368" Type="http://schemas.openxmlformats.org/officeDocument/2006/relationships/hyperlink" Target="https://doi.org/10.1073/pnas.2609972123" TargetMode="External"/><Relationship Id="rId369" Type="http://schemas.openxmlformats.org/officeDocument/2006/relationships/hyperlink" Target="https://www.pnas.org/doi/abs/10.1073/pnas.2608498123?mi=eymic2&amp;af=R&amp;access=on&amp;content=articlesChapters&amp;publication=pnas&amp;sortBy=Earliest&amp;target=default" TargetMode="External"/><Relationship Id="rId370" Type="http://schemas.openxmlformats.org/officeDocument/2006/relationships/hyperlink" Target="https://doi.org/10.1073/pnas.2608498123" TargetMode="External"/><Relationship Id="rId371" Type="http://schemas.openxmlformats.org/officeDocument/2006/relationships/hyperlink" Target="https://www.pnas.org/doi/abs/10.1073/pnas.2605413123?mi=eymic2&amp;af=R&amp;access=on&amp;content=articlesChapters&amp;publication=pnas&amp;sortBy=Earliest&amp;target=default" TargetMode="External"/><Relationship Id="rId372" Type="http://schemas.openxmlformats.org/officeDocument/2006/relationships/hyperlink" Target="https://doi.org/10.1073/pnas.2605413123" TargetMode="External"/><Relationship Id="rId373" Type="http://schemas.openxmlformats.org/officeDocument/2006/relationships/hyperlink" Target="https://www.pnas.org/doi/abs/10.1073/pnas.2606250123?mi=eymic2&amp;af=R&amp;access=on&amp;content=articlesChapters&amp;publication=pnas&amp;sortBy=Earliest&amp;target=default" TargetMode="External"/><Relationship Id="rId374" Type="http://schemas.openxmlformats.org/officeDocument/2006/relationships/hyperlink" Target="https://doi.org/10.1073/pnas.2606250123" TargetMode="External"/><Relationship Id="rId375" Type="http://schemas.openxmlformats.org/officeDocument/2006/relationships/hyperlink" Target="http://dx.doi.org/10.1021/jacs.5c16073" TargetMode="External"/><Relationship Id="rId376" Type="http://schemas.openxmlformats.org/officeDocument/2006/relationships/hyperlink" Target="https://doi.org/10.1021/jacs.5c16073" TargetMode="External"/><Relationship Id="rId377" Type="http://schemas.openxmlformats.org/officeDocument/2006/relationships/hyperlink" Target="http://dx.doi.org/10.1021/jacs.6c03032" TargetMode="External"/><Relationship Id="rId378" Type="http://schemas.openxmlformats.org/officeDocument/2006/relationships/hyperlink" Target="https://doi.org/10.1021/jacs.6c03032" TargetMode="External"/><Relationship Id="rId379" Type="http://schemas.openxmlformats.org/officeDocument/2006/relationships/hyperlink" Target="https://onlinelibrary.wiley.com/doi/10.1002/anie.8446184?af=R" TargetMode="External"/><Relationship Id="rId380" Type="http://schemas.openxmlformats.org/officeDocument/2006/relationships/hyperlink" Target="https://doi.org/10.1002/anie.8446184" TargetMode="External"/><Relationship Id="rId381" Type="http://schemas.openxmlformats.org/officeDocument/2006/relationships/hyperlink" Target="https://onlinelibrary.wiley.com/doi/10.1002/anie.4654079?af=R" TargetMode="External"/><Relationship Id="rId382" Type="http://schemas.openxmlformats.org/officeDocument/2006/relationships/hyperlink" Target="https://doi.org/10.1002/anie.4654079" TargetMode="External"/><Relationship Id="rId383" Type="http://schemas.openxmlformats.org/officeDocument/2006/relationships/hyperlink" Target="https://onlinelibrary.wiley.com/doi/10.1002/anie.202524634?af=R" TargetMode="External"/><Relationship Id="rId384" Type="http://schemas.openxmlformats.org/officeDocument/2006/relationships/hyperlink" Target="https://doi.org/10.1002/anie.202524634" TargetMode="External"/><Relationship Id="rId385" Type="http://schemas.openxmlformats.org/officeDocument/2006/relationships/hyperlink" Target="http://dx.doi.org/10.1021/jacs.5c22919" TargetMode="External"/><Relationship Id="rId386" Type="http://schemas.openxmlformats.org/officeDocument/2006/relationships/hyperlink" Target="https://doi.org/10.1021/jacs.5c22919" TargetMode="External"/><Relationship Id="rId387" Type="http://schemas.openxmlformats.org/officeDocument/2006/relationships/hyperlink" Target="https://onlinelibrary.wiley.com/doi/10.1002/anie.8666581?af=R" TargetMode="External"/><Relationship Id="rId388" Type="http://schemas.openxmlformats.org/officeDocument/2006/relationships/hyperlink" Target="https://doi.org/10.1002/anie.8666581" TargetMode="External"/><Relationship Id="rId389" Type="http://schemas.openxmlformats.org/officeDocument/2006/relationships/hyperlink" Target="https://onlinelibrary.wiley.com/doi/10.1002/anie.6447137?af=R" TargetMode="External"/><Relationship Id="rId390" Type="http://schemas.openxmlformats.org/officeDocument/2006/relationships/hyperlink" Target="https://doi.org/10.1002/anie.6447137" TargetMode="External"/><Relationship Id="rId391" Type="http://schemas.openxmlformats.org/officeDocument/2006/relationships/hyperlink" Target="http://dx.doi.org/10.1021/jacs.6c01861" TargetMode="External"/><Relationship Id="rId392" Type="http://schemas.openxmlformats.org/officeDocument/2006/relationships/hyperlink" Target="https://doi.org/10.1021/jacs.6c01861" TargetMode="External"/><Relationship Id="rId393" Type="http://schemas.openxmlformats.org/officeDocument/2006/relationships/hyperlink" Target="http://dx.doi.org/10.1021/jacs.5c21123" TargetMode="External"/><Relationship Id="rId394" Type="http://schemas.openxmlformats.org/officeDocument/2006/relationships/hyperlink" Target="https://doi.org/10.1021/jacs.5c21123" TargetMode="External"/><Relationship Id="rId395" Type="http://schemas.openxmlformats.org/officeDocument/2006/relationships/hyperlink" Target="https://onlinelibrary.wiley.com/doi/10.1002/anie.7837067?af=R" TargetMode="External"/><Relationship Id="rId396" Type="http://schemas.openxmlformats.org/officeDocument/2006/relationships/hyperlink" Target="https://doi.org/10.1002/anie.7837067" TargetMode="External"/><Relationship Id="rId397" Type="http://schemas.openxmlformats.org/officeDocument/2006/relationships/hyperlink" Target="https://onlinelibrary.wiley.com/doi/10.1002/anie.9701815?af=R" TargetMode="External"/><Relationship Id="rId398" Type="http://schemas.openxmlformats.org/officeDocument/2006/relationships/hyperlink" Target="https://doi.org/10.1002/anie.9701815" TargetMode="External"/><Relationship Id="rId399" Type="http://schemas.openxmlformats.org/officeDocument/2006/relationships/hyperlink" Target="http://dx.doi.org/10.1021/jacs.5c20295" TargetMode="External"/><Relationship Id="rId400" Type="http://schemas.openxmlformats.org/officeDocument/2006/relationships/hyperlink" Target="https://doi.org/10.1021/jacs.5c20295" TargetMode="External"/><Relationship Id="rId401" Type="http://schemas.openxmlformats.org/officeDocument/2006/relationships/hyperlink" Target="http://dx.doi.org/10.1021/jacs.5c17789" TargetMode="External"/><Relationship Id="rId402" Type="http://schemas.openxmlformats.org/officeDocument/2006/relationships/hyperlink" Target="https://doi.org/10.1021/jacs.5c17789" TargetMode="External"/><Relationship Id="rId403" Type="http://schemas.openxmlformats.org/officeDocument/2006/relationships/hyperlink" Target="http://dx.doi.org/10.1021/jacs.6c00225" TargetMode="External"/><Relationship Id="rId404" Type="http://schemas.openxmlformats.org/officeDocument/2006/relationships/hyperlink" Target="https://doi.org/10.1021/jacs.6c00225" TargetMode="External"/><Relationship Id="rId405" Type="http://schemas.openxmlformats.org/officeDocument/2006/relationships/hyperlink" Target="http://dx.doi.org/10.1021/jacs.6c01167" TargetMode="External"/><Relationship Id="rId406" Type="http://schemas.openxmlformats.org/officeDocument/2006/relationships/hyperlink" Target="https://doi.org/10.1021/jacs.6c01167" TargetMode="External"/><Relationship Id="rId407" Type="http://schemas.openxmlformats.org/officeDocument/2006/relationships/hyperlink" Target="http://dx.doi.org/10.1021/jacs.6c00454" TargetMode="External"/><Relationship Id="rId408" Type="http://schemas.openxmlformats.org/officeDocument/2006/relationships/hyperlink" Target="https://doi.org/10.1021/jacs.6c00454" TargetMode="External"/><Relationship Id="rId409" Type="http://schemas.openxmlformats.org/officeDocument/2006/relationships/hyperlink" Target="http://dx.doi.org/10.1021/jacs.6c01291" TargetMode="External"/><Relationship Id="rId410" Type="http://schemas.openxmlformats.org/officeDocument/2006/relationships/hyperlink" Target="https://doi.org/10.1021/jacs.6c01291" TargetMode="External"/><Relationship Id="rId411" Type="http://schemas.openxmlformats.org/officeDocument/2006/relationships/hyperlink" Target="http://dx.doi.org/10.1021/jacs.6c01406" TargetMode="External"/><Relationship Id="rId412" Type="http://schemas.openxmlformats.org/officeDocument/2006/relationships/hyperlink" Target="https://doi.org/10.1021/jacs.6c01406" TargetMode="External"/><Relationship Id="rId413" Type="http://schemas.openxmlformats.org/officeDocument/2006/relationships/hyperlink" Target="http://pubs.rsc.org/en/Content/ArticleLanding/2026/CS/D5CS00963D" TargetMode="External"/><Relationship Id="rId414" Type="http://schemas.openxmlformats.org/officeDocument/2006/relationships/hyperlink" Target="http://pubs.rsc.org/en/Content/ArticleLanding/2026/CS/D6CS00010J" TargetMode="External"/><Relationship Id="rId415" Type="http://schemas.openxmlformats.org/officeDocument/2006/relationships/hyperlink" Target="https://www.nature.com/articles/d41586-026-01016-7" TargetMode="External"/><Relationship Id="rId416" Type="http://schemas.openxmlformats.org/officeDocument/2006/relationships/hyperlink" Target="https://doi.org/10.1038/d41586-026-01016-7" TargetMode="External"/><Relationship Id="rId417" Type="http://schemas.openxmlformats.org/officeDocument/2006/relationships/hyperlink" Target="https://www.nature.com/articles/d41586-026-01125-3" TargetMode="External"/><Relationship Id="rId418" Type="http://schemas.openxmlformats.org/officeDocument/2006/relationships/hyperlink" Target="https://doi.org/10.1038/d41586-026-01125-3" TargetMode="External"/><Relationship Id="rId419" Type="http://schemas.openxmlformats.org/officeDocument/2006/relationships/hyperlink" Target="https://www.nature.com/articles/d41586-026-00913-1" TargetMode="External"/><Relationship Id="rId420" Type="http://schemas.openxmlformats.org/officeDocument/2006/relationships/hyperlink" Target="https://doi.org/10.1038/d41586-026-00913-1" TargetMode="External"/><Relationship Id="rId421" Type="http://schemas.openxmlformats.org/officeDocument/2006/relationships/hyperlink" Target="https://academic.oup.com/nsr/advance-article/doi/10.1093/nsr/nwag214/8627050?rss=1" TargetMode="External"/><Relationship Id="rId422" Type="http://schemas.openxmlformats.org/officeDocument/2006/relationships/hyperlink" Target="https://doi.org/10.1093/nsr/nwag214" TargetMode="External"/><Relationship Id="rId423" Type="http://schemas.openxmlformats.org/officeDocument/2006/relationships/hyperlink" Target="https://www.nature.com/articles/d41586-026-01094-7" TargetMode="External"/><Relationship Id="rId424" Type="http://schemas.openxmlformats.org/officeDocument/2006/relationships/hyperlink" Target="https://doi.org/10.1038/d41586-026-01094-7" TargetMode="External"/><Relationship Id="rId425" Type="http://schemas.openxmlformats.org/officeDocument/2006/relationships/hyperlink" Target="https://www.nature.com/articles/s44286-026-00373-4" TargetMode="External"/><Relationship Id="rId426" Type="http://schemas.openxmlformats.org/officeDocument/2006/relationships/hyperlink" Target="https://doi.org/10.1038/s44286-026-00373-4" TargetMode="External"/><Relationship Id="rId427" Type="http://schemas.openxmlformats.org/officeDocument/2006/relationships/hyperlink" Target="https://www.nature.com/articles/s41467-026-71546-1" TargetMode="External"/><Relationship Id="rId428" Type="http://schemas.openxmlformats.org/officeDocument/2006/relationships/hyperlink" Target="https://doi.org/10.1038/s41467-026-71546-1" TargetMode="External"/><Relationship Id="rId429" Type="http://schemas.openxmlformats.org/officeDocument/2006/relationships/hyperlink" Target="https://www.nature.com/articles/s41467-026-71390-3" TargetMode="External"/><Relationship Id="rId430" Type="http://schemas.openxmlformats.org/officeDocument/2006/relationships/hyperlink" Target="https://doi.org/10.1038/s41467-026-71390-3" TargetMode="External"/><Relationship Id="rId431" Type="http://schemas.openxmlformats.org/officeDocument/2006/relationships/hyperlink" Target="https://www.cell.com/chem/fulltext/S2451-9294(26)00065-3?rss=yes" TargetMode="External"/><Relationship Id="rId432" Type="http://schemas.openxmlformats.org/officeDocument/2006/relationships/hyperlink" Target="https://doi.org/10.1016/j.chempr.2026.102999" TargetMode="External"/><Relationship Id="rId433" Type="http://schemas.openxmlformats.org/officeDocument/2006/relationships/hyperlink" Target="https://www.nature.com/articles/s41467-026-71611-9" TargetMode="External"/><Relationship Id="rId434" Type="http://schemas.openxmlformats.org/officeDocument/2006/relationships/hyperlink" Target="https://doi.org/10.1038/s41467-026-71611-9" TargetMode="External"/><Relationship Id="rId435" Type="http://schemas.openxmlformats.org/officeDocument/2006/relationships/hyperlink" Target="https://www.nature.com/articles/s41467-026-71482-0" TargetMode="External"/><Relationship Id="rId436" Type="http://schemas.openxmlformats.org/officeDocument/2006/relationships/hyperlink" Target="https://doi.org/10.1038/s41467-026-71482-0" TargetMode="External"/><Relationship Id="rId437" Type="http://schemas.openxmlformats.org/officeDocument/2006/relationships/hyperlink" Target="https://www.nature.com/articles/s41467-026-70949-4" TargetMode="External"/><Relationship Id="rId438" Type="http://schemas.openxmlformats.org/officeDocument/2006/relationships/hyperlink" Target="https://doi.org/10.1038/s41467-026-70949-4" TargetMode="External"/><Relationship Id="rId439" Type="http://schemas.openxmlformats.org/officeDocument/2006/relationships/hyperlink" Target="https://www.nature.com/articles/s41467-026-71604-8" TargetMode="External"/><Relationship Id="rId440" Type="http://schemas.openxmlformats.org/officeDocument/2006/relationships/hyperlink" Target="https://doi.org/10.1038/s41467-026-71604-8" TargetMode="External"/><Relationship Id="rId441" Type="http://schemas.openxmlformats.org/officeDocument/2006/relationships/hyperlink" Target="https://www.nature.com/articles/s41467-026-71620-8" TargetMode="External"/><Relationship Id="rId442" Type="http://schemas.openxmlformats.org/officeDocument/2006/relationships/hyperlink" Target="https://doi.org/10.1038/s41467-026-71620-8" TargetMode="External"/><Relationship Id="rId443" Type="http://schemas.openxmlformats.org/officeDocument/2006/relationships/hyperlink" Target="https://www.nature.com/articles/d41586-026-01118-2" TargetMode="External"/><Relationship Id="rId444" Type="http://schemas.openxmlformats.org/officeDocument/2006/relationships/hyperlink" Target="https://doi.org/10.1038/d41586-026-01118-2" TargetMode="External"/><Relationship Id="rId445" Type="http://schemas.openxmlformats.org/officeDocument/2006/relationships/hyperlink" Target="https://academic.oup.com/nsr/advance-article/doi/10.1093/nsr/nwag212/8627038?rss=1" TargetMode="External"/><Relationship Id="rId446" Type="http://schemas.openxmlformats.org/officeDocument/2006/relationships/hyperlink" Target="https://doi.org/10.1093/nsr/nwag212" TargetMode="External"/><Relationship Id="rId447" Type="http://schemas.openxmlformats.org/officeDocument/2006/relationships/hyperlink" Target="https://www.nature.com/articles/d41586-026-01029-2" TargetMode="External"/><Relationship Id="rId448" Type="http://schemas.openxmlformats.org/officeDocument/2006/relationships/hyperlink" Target="https://doi.org/10.1038/d41586-026-01029-2" TargetMode="External"/><Relationship Id="rId449" Type="http://schemas.openxmlformats.org/officeDocument/2006/relationships/hyperlink" Target="https://www.nature.com/articles/d41586-026-01095-6" TargetMode="External"/><Relationship Id="rId450" Type="http://schemas.openxmlformats.org/officeDocument/2006/relationships/hyperlink" Target="https://doi.org/10.1038/d41586-026-01095-6" TargetMode="External"/><Relationship Id="rId451" Type="http://schemas.openxmlformats.org/officeDocument/2006/relationships/hyperlink" Target="https://www.nature.com/articles/d41586-026-01053-2" TargetMode="External"/><Relationship Id="rId452" Type="http://schemas.openxmlformats.org/officeDocument/2006/relationships/hyperlink" Target="https://doi.org/10.1038/d41586-026-01053-2" TargetMode="External"/><Relationship Id="rId453" Type="http://schemas.openxmlformats.org/officeDocument/2006/relationships/hyperlink" Target="https://www.nature.com/articles/d41586-026-01024-7" TargetMode="External"/><Relationship Id="rId454" Type="http://schemas.openxmlformats.org/officeDocument/2006/relationships/hyperlink" Target="https://doi.org/10.1038/d41586-026-01024-7" TargetMode="External"/><Relationship Id="rId455" Type="http://schemas.openxmlformats.org/officeDocument/2006/relationships/hyperlink" Target="https://www.sciencedirect.com/science/article/pii/S0306261926004514?dgcid=rss_sd_all" TargetMode="External"/><Relationship Id="rId456" Type="http://schemas.openxmlformats.org/officeDocument/2006/relationships/hyperlink" Target="https://www.sciencedirect.com/science/article/pii/S0306261926004630?dgcid=rss_sd_all" TargetMode="External"/><Relationship Id="rId457" Type="http://schemas.openxmlformats.org/officeDocument/2006/relationships/hyperlink" Target="https://www.sciencedirect.com/science/article/pii/S0306261926005015?dgcid=rss_sd_all" TargetMode="External"/><Relationship Id="rId458" Type="http://schemas.openxmlformats.org/officeDocument/2006/relationships/hyperlink" Target="https://www.sciencedirect.com/science/article/pii/S030626192600485X?dgcid=rss_sd_all" TargetMode="External"/><Relationship Id="rId459" Type="http://schemas.openxmlformats.org/officeDocument/2006/relationships/hyperlink" Target="https://www.sciencedirect.com/science/article/pii/S0306261926004939?dgcid=rss_sd_all" TargetMode="External"/><Relationship Id="rId460" Type="http://schemas.openxmlformats.org/officeDocument/2006/relationships/hyperlink" Target="https://www.sciencedirect.com/science/article/pii/S0306261926004848?dgcid=rss_sd_all" TargetMode="External"/><Relationship Id="rId461" Type="http://schemas.openxmlformats.org/officeDocument/2006/relationships/hyperlink" Target="https://www.sciencedirect.com/science/article/pii/S0306261926005040?dgcid=rss_sd_all" TargetMode="External"/><Relationship Id="rId462" Type="http://schemas.openxmlformats.org/officeDocument/2006/relationships/hyperlink" Target="https://www.nature.com/articles/s41928-026-01600-9" TargetMode="External"/><Relationship Id="rId463" Type="http://schemas.openxmlformats.org/officeDocument/2006/relationships/hyperlink" Target="https://doi.org/10.1038/s41928-026-01600-9" TargetMode="External"/><Relationship Id="rId464" Type="http://schemas.openxmlformats.org/officeDocument/2006/relationships/hyperlink" Target="https://www.sciencedirect.com/science/article/pii/S0306261926004885?dgcid=rss_sd_all" TargetMode="External"/><Relationship Id="rId465" Type="http://schemas.openxmlformats.org/officeDocument/2006/relationships/hyperlink" Target="https://www.nature.com/articles/d41586-026-01093-8" TargetMode="External"/><Relationship Id="rId466" Type="http://schemas.openxmlformats.org/officeDocument/2006/relationships/hyperlink" Target="https://doi.org/10.1038/d41586-026-01093-8" TargetMode="External"/><Relationship Id="rId467" Type="http://schemas.openxmlformats.org/officeDocument/2006/relationships/hyperlink" Target="https://academic.oup.com/nsr/advance-article/doi/10.1093/nsr/nwag210/8627051?rss=1" TargetMode="External"/><Relationship Id="rId468" Type="http://schemas.openxmlformats.org/officeDocument/2006/relationships/hyperlink" Target="https://doi.org/10.1093/nsr/nwag210" TargetMode="External"/><Relationship Id="rId469" Type="http://schemas.openxmlformats.org/officeDocument/2006/relationships/hyperlink" Target="https://www.nature.com/articles/d41586-026-01020-x" TargetMode="External"/><Relationship Id="rId470" Type="http://schemas.openxmlformats.org/officeDocument/2006/relationships/hyperlink" Target="https://doi.org/10.1038/d41586-026-01020-x" TargetMode="External"/><Relationship Id="rId471" Type="http://schemas.openxmlformats.org/officeDocument/2006/relationships/hyperlink" Target="https://www.nature.com/articles/d41586-026-01100-y" TargetMode="External"/><Relationship Id="rId472" Type="http://schemas.openxmlformats.org/officeDocument/2006/relationships/hyperlink" Target="https://doi.org/10.1038/d41586-026-01100-y" TargetMode="External"/><Relationship Id="rId473" Type="http://schemas.openxmlformats.org/officeDocument/2006/relationships/hyperlink" Target="https://www.sciencedirect.com/science/article/pii/S0306261926004745?dgcid=rss_sd_all" TargetMode="External"/><Relationship Id="rId474" Type="http://schemas.openxmlformats.org/officeDocument/2006/relationships/hyperlink" Target="https://advanced.onlinelibrary.wiley.com/doi/10.1002/adma.72922?af=R" TargetMode="External"/><Relationship Id="rId475" Type="http://schemas.openxmlformats.org/officeDocument/2006/relationships/hyperlink" Target="https://doi.org/10.1002/adma.72922" TargetMode="External"/><Relationship Id="rId476" Type="http://schemas.openxmlformats.org/officeDocument/2006/relationships/hyperlink" Target="https://advanced.onlinelibrary.wiley.com/doi/10.1002/adma.72926?af=R" TargetMode="External"/><Relationship Id="rId477" Type="http://schemas.openxmlformats.org/officeDocument/2006/relationships/hyperlink" Target="https://doi.org/10.1002/adma.72926" TargetMode="External"/><Relationship Id="rId478" Type="http://schemas.openxmlformats.org/officeDocument/2006/relationships/hyperlink" Target="https://advanced.onlinelibrary.wiley.com/doi/10.1002/adma.72923?af=R" TargetMode="External"/><Relationship Id="rId479" Type="http://schemas.openxmlformats.org/officeDocument/2006/relationships/hyperlink" Target="https://doi.org/10.1002/adma.72923" TargetMode="External"/><Relationship Id="rId480" Type="http://schemas.openxmlformats.org/officeDocument/2006/relationships/hyperlink" Target="https://advanced.onlinelibrary.wiley.com/doi/10.1002/adma.72925?af=R" TargetMode="External"/><Relationship Id="rId481" Type="http://schemas.openxmlformats.org/officeDocument/2006/relationships/hyperlink" Target="https://doi.org/10.1002/adma.72925" TargetMode="External"/><Relationship Id="rId482" Type="http://schemas.openxmlformats.org/officeDocument/2006/relationships/hyperlink" Target="https://advanced.onlinelibrary.wiley.com/doi/10.1002/adma.72942?af=R" TargetMode="External"/><Relationship Id="rId483" Type="http://schemas.openxmlformats.org/officeDocument/2006/relationships/hyperlink" Target="https://doi.org/10.1002/adma.72942" TargetMode="External"/><Relationship Id="rId484" Type="http://schemas.openxmlformats.org/officeDocument/2006/relationships/hyperlink" Target="https://www.pnas.org/doi/abs/10.1073/pnas.2520128123?mi=eymic2&amp;af=R&amp;access=on&amp;content=articlesChapters&amp;publication=pnas&amp;sortBy=Earliest&amp;target=default" TargetMode="External"/><Relationship Id="rId485" Type="http://schemas.openxmlformats.org/officeDocument/2006/relationships/hyperlink" Target="https://doi.org/10.1073/pnas.2520128123" TargetMode="External"/><Relationship Id="rId486" Type="http://schemas.openxmlformats.org/officeDocument/2006/relationships/hyperlink" Target="https://www.pnas.org/doi/abs/10.1073/pnas.2528641123?mi=eymic2&amp;af=R&amp;access=on&amp;content=articlesChapters&amp;publication=pnas&amp;sortBy=Earliest&amp;target=default" TargetMode="External"/><Relationship Id="rId487" Type="http://schemas.openxmlformats.org/officeDocument/2006/relationships/hyperlink" Target="https://doi.org/10.1073/pnas.2528641123" TargetMode="External"/><Relationship Id="rId488" Type="http://schemas.openxmlformats.org/officeDocument/2006/relationships/hyperlink" Target="https://www.pnas.org/doi/abs/10.1073/pnas.2519742123?mi=eymic2&amp;af=R&amp;access=on&amp;content=articlesChapters&amp;publication=pnas&amp;sortBy=Earliest&amp;target=default" TargetMode="External"/><Relationship Id="rId489" Type="http://schemas.openxmlformats.org/officeDocument/2006/relationships/hyperlink" Target="https://doi.org/10.1073/pnas.2519742123" TargetMode="External"/><Relationship Id="rId490" Type="http://schemas.openxmlformats.org/officeDocument/2006/relationships/hyperlink" Target="https://www.pnas.org/doi/abs/10.1073/pnas.2517498123?mi=eymic2&amp;af=R&amp;access=on&amp;content=articlesChapters&amp;publication=pnas&amp;sortBy=Earliest&amp;target=default" TargetMode="External"/><Relationship Id="rId491" Type="http://schemas.openxmlformats.org/officeDocument/2006/relationships/hyperlink" Target="https://doi.org/10.1073/pnas.2517498123" TargetMode="External"/><Relationship Id="rId492" Type="http://schemas.openxmlformats.org/officeDocument/2006/relationships/hyperlink" Target="https://www.pnas.org/doi/abs/10.1073/pnas.2516485123?mi=eymic2&amp;af=R&amp;access=on&amp;content=articlesChapters&amp;publication=pnas&amp;sortBy=Earliest&amp;target=default" TargetMode="External"/><Relationship Id="rId493" Type="http://schemas.openxmlformats.org/officeDocument/2006/relationships/hyperlink" Target="https://doi.org/10.1073/pnas.2516485123" TargetMode="External"/><Relationship Id="rId494" Type="http://schemas.openxmlformats.org/officeDocument/2006/relationships/hyperlink" Target="https://www.pnas.org/doi/abs/10.1073/pnas.2511080123?mi=eymic2&amp;af=R&amp;access=on&amp;content=articlesChapters&amp;publication=pnas&amp;sortBy=Earliest&amp;target=default" TargetMode="External"/><Relationship Id="rId495" Type="http://schemas.openxmlformats.org/officeDocument/2006/relationships/hyperlink" Target="https://doi.org/10.1073/pnas.2511080123" TargetMode="External"/><Relationship Id="rId496" Type="http://schemas.openxmlformats.org/officeDocument/2006/relationships/hyperlink" Target="https://www.pnas.org/doi/abs/10.1073/pnas.2518381123?mi=eymic2&amp;af=R&amp;access=on&amp;content=articlesChapters&amp;publication=pnas&amp;sortBy=Earliest&amp;target=default" TargetMode="External"/><Relationship Id="rId497" Type="http://schemas.openxmlformats.org/officeDocument/2006/relationships/hyperlink" Target="https://doi.org/10.1073/pnas.2518381123" TargetMode="External"/><Relationship Id="rId498" Type="http://schemas.openxmlformats.org/officeDocument/2006/relationships/hyperlink" Target="https://www.pnas.org/doi/abs/10.1073/pnas.2520356123?mi=eymic2&amp;af=R&amp;access=on&amp;content=articlesChapters&amp;publication=pnas&amp;sortBy=Earliest&amp;target=default" TargetMode="External"/><Relationship Id="rId499" Type="http://schemas.openxmlformats.org/officeDocument/2006/relationships/hyperlink" Target="https://doi.org/10.1073/pnas.2520356123" TargetMode="External"/><Relationship Id="rId500" Type="http://schemas.openxmlformats.org/officeDocument/2006/relationships/hyperlink" Target="https://www.pnas.org/doi/abs/10.1073/iti1426123?mi=eymic2&amp;af=R&amp;access=on&amp;content=articlesChapters&amp;publication=pnas&amp;sortBy=Earliest&amp;target=default" TargetMode="External"/><Relationship Id="rId501" Type="http://schemas.openxmlformats.org/officeDocument/2006/relationships/hyperlink" Target="https://doi.org/10.1073/iti1426123" TargetMode="External"/><Relationship Id="rId502" Type="http://schemas.openxmlformats.org/officeDocument/2006/relationships/hyperlink" Target="https://www.pnas.org/doi/abs/10.1073/pnas.2521914123?mi=eymic2&amp;af=R&amp;access=on&amp;content=articlesChapters&amp;publication=pnas&amp;sortBy=Earliest&amp;target=default" TargetMode="External"/><Relationship Id="rId503" Type="http://schemas.openxmlformats.org/officeDocument/2006/relationships/hyperlink" Target="https://doi.org/10.1073/pnas.2521914123" TargetMode="External"/><Relationship Id="rId504" Type="http://schemas.openxmlformats.org/officeDocument/2006/relationships/hyperlink" Target="https://www.pnas.org/doi/abs/10.1073/pnas.2525724123?mi=eymic2&amp;af=R&amp;access=on&amp;content=articlesChapters&amp;publication=pnas&amp;sortBy=Earliest&amp;target=default" TargetMode="External"/><Relationship Id="rId505" Type="http://schemas.openxmlformats.org/officeDocument/2006/relationships/hyperlink" Target="https://doi.org/10.1073/pnas.2525724123" TargetMode="External"/><Relationship Id="rId506" Type="http://schemas.openxmlformats.org/officeDocument/2006/relationships/hyperlink" Target="https://www.pnas.org/doi/abs/10.1073/pnas.2522686123?mi=eymic2&amp;af=R&amp;access=on&amp;content=articlesChapters&amp;publication=pnas&amp;sortBy=Earliest&amp;target=default" TargetMode="External"/><Relationship Id="rId507" Type="http://schemas.openxmlformats.org/officeDocument/2006/relationships/hyperlink" Target="https://doi.org/10.1073/pnas.2522686123" TargetMode="External"/><Relationship Id="rId508" Type="http://schemas.openxmlformats.org/officeDocument/2006/relationships/hyperlink" Target="https://www.pnas.org/doi/abs/10.1073/pnas.2527693123?mi=eymic2&amp;af=R&amp;access=on&amp;content=articlesChapters&amp;publication=pnas&amp;sortBy=Earliest&amp;target=default" TargetMode="External"/><Relationship Id="rId509" Type="http://schemas.openxmlformats.org/officeDocument/2006/relationships/hyperlink" Target="https://doi.org/10.1073/pnas.2527693123" TargetMode="External"/><Relationship Id="rId510" Type="http://schemas.openxmlformats.org/officeDocument/2006/relationships/hyperlink" Target="https://www.pnas.org/doi/abs/10.1073/pnas.2527695123?mi=eymic2&amp;af=R&amp;access=on&amp;content=articlesChapters&amp;publication=pnas&amp;sortBy=Earliest&amp;target=default" TargetMode="External"/><Relationship Id="rId511" Type="http://schemas.openxmlformats.org/officeDocument/2006/relationships/hyperlink" Target="https://doi.org/10.1073/pnas.2527695123" TargetMode="External"/><Relationship Id="rId512" Type="http://schemas.openxmlformats.org/officeDocument/2006/relationships/hyperlink" Target="https://www.pnas.org/doi/abs/10.1073/pnas.2528620123?mi=eymic2&amp;af=R&amp;access=on&amp;content=articlesChapters&amp;publication=pnas&amp;sortBy=Earliest&amp;target=default" TargetMode="External"/><Relationship Id="rId513" Type="http://schemas.openxmlformats.org/officeDocument/2006/relationships/hyperlink" Target="https://doi.org/10.1073/pnas.2528620123" TargetMode="External"/><Relationship Id="rId514" Type="http://schemas.openxmlformats.org/officeDocument/2006/relationships/hyperlink" Target="https://www.pnas.org/doi/abs/10.1073/pnas.2528851123?mi=eymic2&amp;af=R&amp;access=on&amp;content=articlesChapters&amp;publication=pnas&amp;sortBy=Earliest&amp;target=default" TargetMode="External"/><Relationship Id="rId515" Type="http://schemas.openxmlformats.org/officeDocument/2006/relationships/hyperlink" Target="https://doi.org/10.1073/pnas.2528851123" TargetMode="External"/><Relationship Id="rId516" Type="http://schemas.openxmlformats.org/officeDocument/2006/relationships/hyperlink" Target="https://www.pnas.org/doi/abs/10.1073/pnas.2529572123?mi=eymic2&amp;af=R&amp;access=on&amp;content=articlesChapters&amp;publication=pnas&amp;sortBy=Earliest&amp;target=default" TargetMode="External"/><Relationship Id="rId517" Type="http://schemas.openxmlformats.org/officeDocument/2006/relationships/hyperlink" Target="https://doi.org/10.1073/pnas.2529572123" TargetMode="External"/><Relationship Id="rId518" Type="http://schemas.openxmlformats.org/officeDocument/2006/relationships/hyperlink" Target="https://www.pnas.org/doi/abs/10.1073/pnas.2530328123?mi=eymic2&amp;af=R&amp;access=on&amp;content=articlesChapters&amp;publication=pnas&amp;sortBy=Earliest&amp;target=default" TargetMode="External"/><Relationship Id="rId519" Type="http://schemas.openxmlformats.org/officeDocument/2006/relationships/hyperlink" Target="https://doi.org/10.1073/pnas.2530328123" TargetMode="External"/><Relationship Id="rId520" Type="http://schemas.openxmlformats.org/officeDocument/2006/relationships/hyperlink" Target="https://www.pnas.org/doi/abs/10.1073/pnas.2530673123?mi=eymic2&amp;af=R&amp;access=on&amp;content=articlesChapters&amp;publication=pnas&amp;sortBy=Earliest&amp;target=default" TargetMode="External"/><Relationship Id="rId521" Type="http://schemas.openxmlformats.org/officeDocument/2006/relationships/hyperlink" Target="https://doi.org/10.1073/pnas.2530673123" TargetMode="External"/><Relationship Id="rId522" Type="http://schemas.openxmlformats.org/officeDocument/2006/relationships/hyperlink" Target="https://www.pnas.org/doi/abs/10.1073/pnas.2535986123?mi=eymic2&amp;af=R&amp;access=on&amp;content=articlesChapters&amp;publication=pnas&amp;sortBy=Earliest&amp;target=default" TargetMode="External"/><Relationship Id="rId523" Type="http://schemas.openxmlformats.org/officeDocument/2006/relationships/hyperlink" Target="https://doi.org/10.1073/pnas.2535986123" TargetMode="External"/><Relationship Id="rId524" Type="http://schemas.openxmlformats.org/officeDocument/2006/relationships/hyperlink" Target="https://www.pnas.org/doi/abs/10.1073/pnas.2537810123?mi=eymic2&amp;af=R&amp;access=on&amp;content=articlesChapters&amp;publication=pnas&amp;sortBy=Earliest&amp;target=default" TargetMode="External"/><Relationship Id="rId525" Type="http://schemas.openxmlformats.org/officeDocument/2006/relationships/hyperlink" Target="https://doi.org/10.1073/pnas.2537810123" TargetMode="External"/><Relationship Id="rId526" Type="http://schemas.openxmlformats.org/officeDocument/2006/relationships/hyperlink" Target="https://www.pnas.org/doi/abs/10.1073/pnas.2506647123?mi=eymic2&amp;af=R&amp;access=on&amp;content=articlesChapters&amp;publication=pnas&amp;sortBy=Earliest&amp;target=default" TargetMode="External"/><Relationship Id="rId527" Type="http://schemas.openxmlformats.org/officeDocument/2006/relationships/hyperlink" Target="https://doi.org/10.1073/pnas.2506647123" TargetMode="External"/><Relationship Id="rId528" Type="http://schemas.openxmlformats.org/officeDocument/2006/relationships/hyperlink" Target="https://www.pnas.org/doi/abs/10.1073/pnas.2600482123?mi=eymic2&amp;af=R&amp;access=on&amp;content=articlesChapters&amp;publication=pnas&amp;sortBy=Earliest&amp;target=default" TargetMode="External"/><Relationship Id="rId529" Type="http://schemas.openxmlformats.org/officeDocument/2006/relationships/hyperlink" Target="https://doi.org/10.1073/pnas.2600482123" TargetMode="External"/><Relationship Id="rId530" Type="http://schemas.openxmlformats.org/officeDocument/2006/relationships/hyperlink" Target="https://www.pnas.org/doi/abs/10.1073/pnas.2605594123?mi=eymic2&amp;af=R&amp;access=on&amp;content=articlesChapters&amp;publication=pnas&amp;sortBy=Earliest&amp;target=default" TargetMode="External"/><Relationship Id="rId531" Type="http://schemas.openxmlformats.org/officeDocument/2006/relationships/hyperlink" Target="https://doi.org/10.1073/pnas.2605594123" TargetMode="External"/><Relationship Id="rId532" Type="http://schemas.openxmlformats.org/officeDocument/2006/relationships/hyperlink" Target="https://www.pnas.org/doi/abs/10.1073/pnas.2525726123?mi=eymic2&amp;af=R&amp;access=on&amp;content=articlesChapters&amp;publication=pnas&amp;sortBy=Earliest&amp;target=default" TargetMode="External"/><Relationship Id="rId533" Type="http://schemas.openxmlformats.org/officeDocument/2006/relationships/hyperlink" Target="https://doi.org/10.1073/pnas.2525726123" TargetMode="External"/><Relationship Id="rId534" Type="http://schemas.openxmlformats.org/officeDocument/2006/relationships/hyperlink" Target="http://dx.doi.org/10.1021/jacs.6c03512" TargetMode="External"/><Relationship Id="rId535" Type="http://schemas.openxmlformats.org/officeDocument/2006/relationships/hyperlink" Target="https://doi.org/10.1021/jacs.6c03512" TargetMode="External"/><Relationship Id="rId536" Type="http://schemas.openxmlformats.org/officeDocument/2006/relationships/hyperlink" Target="https://onlinelibrary.wiley.com/doi/10.1002/anie.3481276?af=R" TargetMode="External"/><Relationship Id="rId537" Type="http://schemas.openxmlformats.org/officeDocument/2006/relationships/hyperlink" Target="https://doi.org/10.1002/anie.3481276" TargetMode="External"/><Relationship Id="rId538" Type="http://schemas.openxmlformats.org/officeDocument/2006/relationships/hyperlink" Target="http://dx.doi.org/10.1021/jacs.6c02233" TargetMode="External"/><Relationship Id="rId539" Type="http://schemas.openxmlformats.org/officeDocument/2006/relationships/hyperlink" Target="https://doi.org/10.1021/jacs.6c02233" TargetMode="External"/><Relationship Id="rId540" Type="http://schemas.openxmlformats.org/officeDocument/2006/relationships/hyperlink" Target="https://onlinelibrary.wiley.com/doi/10.1002/anie.4698250?af=R" TargetMode="External"/><Relationship Id="rId541" Type="http://schemas.openxmlformats.org/officeDocument/2006/relationships/hyperlink" Target="https://doi.org/10.1002/anie.4698250" TargetMode="External"/><Relationship Id="rId542" Type="http://schemas.openxmlformats.org/officeDocument/2006/relationships/hyperlink" Target="http://dx.doi.org/10.1021/jacs.6c02472" TargetMode="External"/><Relationship Id="rId543" Type="http://schemas.openxmlformats.org/officeDocument/2006/relationships/hyperlink" Target="https://doi.org/10.1021/jacs.6c02472" TargetMode="External"/><Relationship Id="rId544" Type="http://schemas.openxmlformats.org/officeDocument/2006/relationships/hyperlink" Target="https://onlinelibrary.wiley.com/doi/10.1002/anie.8399023?af=R" TargetMode="External"/><Relationship Id="rId545" Type="http://schemas.openxmlformats.org/officeDocument/2006/relationships/hyperlink" Target="https://doi.org/10.1002/anie.8399023" TargetMode="External"/><Relationship Id="rId546" Type="http://schemas.openxmlformats.org/officeDocument/2006/relationships/hyperlink" Target="http://dx.doi.org/10.1021/acsenergylett.6c00152" TargetMode="External"/><Relationship Id="rId547" Type="http://schemas.openxmlformats.org/officeDocument/2006/relationships/hyperlink" Target="https://doi.org/10.1021/acsenergylett.6c00152" TargetMode="External"/><Relationship Id="rId548" Type="http://schemas.openxmlformats.org/officeDocument/2006/relationships/hyperlink" Target="https://onlinelibrary.wiley.com/doi/10.1002/anie.8150968?af=R" TargetMode="External"/><Relationship Id="rId549" Type="http://schemas.openxmlformats.org/officeDocument/2006/relationships/hyperlink" Target="https://doi.org/10.1002/anie.8150968" TargetMode="External"/><Relationship Id="rId550" Type="http://schemas.openxmlformats.org/officeDocument/2006/relationships/hyperlink" Target="https://onlinelibrary.wiley.com/doi/10.1002/anie.202525792?af=R" TargetMode="External"/><Relationship Id="rId551" Type="http://schemas.openxmlformats.org/officeDocument/2006/relationships/hyperlink" Target="https://doi.org/10.1002/anie.202525792" TargetMode="External"/><Relationship Id="rId552" Type="http://schemas.openxmlformats.org/officeDocument/2006/relationships/hyperlink" Target="https://onlinelibrary.wiley.com/doi/10.1002/anie.4524818?af=R" TargetMode="External"/><Relationship Id="rId553" Type="http://schemas.openxmlformats.org/officeDocument/2006/relationships/hyperlink" Target="https://doi.org/10.1002/anie.4524818" TargetMode="External"/><Relationship Id="rId554" Type="http://schemas.openxmlformats.org/officeDocument/2006/relationships/hyperlink" Target="https://onlinelibrary.wiley.com/doi/10.1002/anie.2024128?af=R" TargetMode="External"/><Relationship Id="rId555" Type="http://schemas.openxmlformats.org/officeDocument/2006/relationships/hyperlink" Target="https://doi.org/10.1002/anie.2024128" TargetMode="External"/><Relationship Id="rId556" Type="http://schemas.openxmlformats.org/officeDocument/2006/relationships/hyperlink" Target="http://dx.doi.org/10.1021/jacs.5c22344" TargetMode="External"/><Relationship Id="rId557" Type="http://schemas.openxmlformats.org/officeDocument/2006/relationships/hyperlink" Target="https://doi.org/10.1021/jacs.5c22344" TargetMode="External"/><Relationship Id="rId558" Type="http://schemas.openxmlformats.org/officeDocument/2006/relationships/hyperlink" Target="http://dx.doi.org/10.1021/acsenergylett.6c00459" TargetMode="External"/><Relationship Id="rId559" Type="http://schemas.openxmlformats.org/officeDocument/2006/relationships/hyperlink" Target="https://doi.org/10.1021/acsenergylett.6c00459" TargetMode="External"/><Relationship Id="rId560" Type="http://schemas.openxmlformats.org/officeDocument/2006/relationships/hyperlink" Target="https://onlinelibrary.wiley.com/doi/10.1002/anie.202526151?af=R" TargetMode="External"/><Relationship Id="rId561" Type="http://schemas.openxmlformats.org/officeDocument/2006/relationships/hyperlink" Target="https://doi.org/10.1002/anie.202526151" TargetMode="External"/><Relationship Id="rId562" Type="http://schemas.openxmlformats.org/officeDocument/2006/relationships/hyperlink" Target="http://dx.doi.org/10.1021/jacs.6c01209" TargetMode="External"/><Relationship Id="rId563" Type="http://schemas.openxmlformats.org/officeDocument/2006/relationships/hyperlink" Target="https://doi.org/10.1021/jacs.6c01209" TargetMode="External"/><Relationship Id="rId564" Type="http://schemas.openxmlformats.org/officeDocument/2006/relationships/hyperlink" Target="http://dx.doi.org/10.1021/jacs.5c22411" TargetMode="External"/><Relationship Id="rId565" Type="http://schemas.openxmlformats.org/officeDocument/2006/relationships/hyperlink" Target="https://doi.org/10.1021/jacs.5c22411" TargetMode="External"/><Relationship Id="rId566" Type="http://schemas.openxmlformats.org/officeDocument/2006/relationships/hyperlink" Target="https://advanced.onlinelibrary.wiley.com/doi/10.1002/adma.202522108?af=R" TargetMode="External"/><Relationship Id="rId567" Type="http://schemas.openxmlformats.org/officeDocument/2006/relationships/hyperlink" Target="https://doi.org/10.1002/adma.202522108" TargetMode="External"/><Relationship Id="rId568" Type="http://schemas.openxmlformats.org/officeDocument/2006/relationships/hyperlink" Target="https://onlinelibrary.wiley.com/doi/10.1002/anie.9336766?af=R" TargetMode="External"/><Relationship Id="rId569" Type="http://schemas.openxmlformats.org/officeDocument/2006/relationships/hyperlink" Target="https://doi.org/10.1002/anie.9336766" TargetMode="External"/><Relationship Id="rId570" Type="http://schemas.openxmlformats.org/officeDocument/2006/relationships/hyperlink" Target="https://advanced.onlinelibrary.wiley.com/doi/10.1002/aenm.70925?af=R" TargetMode="External"/><Relationship Id="rId571" Type="http://schemas.openxmlformats.org/officeDocument/2006/relationships/hyperlink" Target="https://doi.org/10.1002/aenm.70925" TargetMode="External"/><Relationship Id="rId572" Type="http://schemas.openxmlformats.org/officeDocument/2006/relationships/hyperlink" Target="https://advanced.onlinelibrary.wiley.com/doi/10.1002/aenm.202505516?af=R" TargetMode="External"/><Relationship Id="rId573" Type="http://schemas.openxmlformats.org/officeDocument/2006/relationships/hyperlink" Target="https://doi.org/10.1002/aenm.202505516" TargetMode="External"/><Relationship Id="rId574" Type="http://schemas.openxmlformats.org/officeDocument/2006/relationships/hyperlink" Target="http://dx.doi.org/10.1021/jacs.5c23019" TargetMode="External"/><Relationship Id="rId575" Type="http://schemas.openxmlformats.org/officeDocument/2006/relationships/hyperlink" Target="https://doi.org/10.1021/jacs.5c23019" TargetMode="External"/><Relationship Id="rId576" Type="http://schemas.openxmlformats.org/officeDocument/2006/relationships/hyperlink" Target="http://dx.doi.org/10.1021/jacs.6c03159" TargetMode="External"/><Relationship Id="rId577" Type="http://schemas.openxmlformats.org/officeDocument/2006/relationships/hyperlink" Target="https://doi.org/10.1021/jacs.6c03159" TargetMode="External"/><Relationship Id="rId578" Type="http://schemas.openxmlformats.org/officeDocument/2006/relationships/hyperlink" Target="http://dx.doi.org/10.1021/jacs.5c22910" TargetMode="External"/><Relationship Id="rId579" Type="http://schemas.openxmlformats.org/officeDocument/2006/relationships/hyperlink" Target="https://doi.org/10.1021/jacs.5c22910" TargetMode="External"/><Relationship Id="rId580" Type="http://schemas.openxmlformats.org/officeDocument/2006/relationships/hyperlink" Target="http://dx.doi.org/10.1021/jacs.5c19769" TargetMode="External"/><Relationship Id="rId581" Type="http://schemas.openxmlformats.org/officeDocument/2006/relationships/hyperlink" Target="https://doi.org/10.1021/jacs.5c19769" TargetMode="External"/><Relationship Id="rId582" Type="http://schemas.openxmlformats.org/officeDocument/2006/relationships/hyperlink" Target="http://dx.doi.org/10.1021/jacs.6c01660" TargetMode="External"/><Relationship Id="rId583" Type="http://schemas.openxmlformats.org/officeDocument/2006/relationships/hyperlink" Target="https://doi.org/10.1021/jacs.6c01660" TargetMode="External"/><Relationship Id="rId584" Type="http://schemas.openxmlformats.org/officeDocument/2006/relationships/hyperlink" Target="http://dx.doi.org/10.1021/jacs.6c02768" TargetMode="External"/><Relationship Id="rId585" Type="http://schemas.openxmlformats.org/officeDocument/2006/relationships/hyperlink" Target="https://doi.org/10.1021/jacs.6c02768" TargetMode="External"/><Relationship Id="rId586" Type="http://schemas.openxmlformats.org/officeDocument/2006/relationships/hyperlink" Target="http://dx.doi.org/10.1021/jacs.6c03209" TargetMode="External"/><Relationship Id="rId587" Type="http://schemas.openxmlformats.org/officeDocument/2006/relationships/hyperlink" Target="https://doi.org/10.1021/jacs.6c03209" TargetMode="External"/><Relationship Id="rId588" Type="http://schemas.openxmlformats.org/officeDocument/2006/relationships/hyperlink" Target="http://dx.doi.org/10.1021/jacs.6c02143" TargetMode="External"/><Relationship Id="rId589" Type="http://schemas.openxmlformats.org/officeDocument/2006/relationships/hyperlink" Target="https://doi.org/10.1021/jacs.6c02143" TargetMode="External"/><Relationship Id="rId590" Type="http://schemas.openxmlformats.org/officeDocument/2006/relationships/hyperlink" Target="http://dx.doi.org/10.1021/jacs.6c00726" TargetMode="External"/><Relationship Id="rId591" Type="http://schemas.openxmlformats.org/officeDocument/2006/relationships/hyperlink" Target="https://doi.org/10.1021/jacs.6c00726" TargetMode="External"/><Relationship Id="rId592" Type="http://schemas.openxmlformats.org/officeDocument/2006/relationships/hyperlink" Target="http://dx.doi.org/10.1021/jacs.6c00054" TargetMode="External"/><Relationship Id="rId593" Type="http://schemas.openxmlformats.org/officeDocument/2006/relationships/hyperlink" Target="https://doi.org/10.1021/jacs.6c00054" TargetMode="External"/><Relationship Id="rId594" Type="http://schemas.openxmlformats.org/officeDocument/2006/relationships/hyperlink" Target="http://dx.doi.org/10.1021/jacs.6c03371" TargetMode="External"/><Relationship Id="rId595" Type="http://schemas.openxmlformats.org/officeDocument/2006/relationships/hyperlink" Target="https://doi.org/10.1021/jacs.6c03371" TargetMode="External"/><Relationship Id="rId596" Type="http://schemas.openxmlformats.org/officeDocument/2006/relationships/hyperlink" Target="http://dx.doi.org/10.1021/acs.chemrev.5c01010" TargetMode="External"/><Relationship Id="rId597" Type="http://schemas.openxmlformats.org/officeDocument/2006/relationships/hyperlink" Target="https://doi.org/10.1021/acs.chemrev.5c01010" TargetMode="External"/><Relationship Id="rId598" Type="http://schemas.openxmlformats.org/officeDocument/2006/relationships/hyperlink" Target="http://pubs.rsc.org/en/Content/ArticleLanding/2026/EE/D5EE07740K" TargetMode="External"/><Relationship Id="rId599" Type="http://schemas.openxmlformats.org/officeDocument/2006/relationships/hyperlink" Target="http://pubs.rsc.org/en/Content/ArticleLanding/2026/EE/D6EE00658B" TargetMode="External"/><Relationship Id="rId600" Type="http://schemas.openxmlformats.org/officeDocument/2006/relationships/hyperlink" Target="https://www.nature.com/articles/s41586-026-10488-6" TargetMode="External"/><Relationship Id="rId601" Type="http://schemas.openxmlformats.org/officeDocument/2006/relationships/hyperlink" Target="https://doi.org/10.1038/s41586-026-10488-6" TargetMode="External"/><Relationship Id="rId602" Type="http://schemas.openxmlformats.org/officeDocument/2006/relationships/hyperlink" Target="https://www.nature.com/articles/s41586-026-10349-2" TargetMode="External"/><Relationship Id="rId603" Type="http://schemas.openxmlformats.org/officeDocument/2006/relationships/hyperlink" Target="https://doi.org/10.1038/s41586-026-10349-2" TargetMode="External"/><Relationship Id="rId604" Type="http://schemas.openxmlformats.org/officeDocument/2006/relationships/hyperlink" Target="https://www.nature.com/articles/d41586-026-01025-6" TargetMode="External"/><Relationship Id="rId605" Type="http://schemas.openxmlformats.org/officeDocument/2006/relationships/hyperlink" Target="https://doi.org/10.1038/d41586-026-01025-6" TargetMode="External"/><Relationship Id="rId606" Type="http://schemas.openxmlformats.org/officeDocument/2006/relationships/hyperlink" Target="https://academic.oup.com/nsr/advance-article/doi/10.1093/nsr/nwag204/8644097?rss=1" TargetMode="External"/><Relationship Id="rId607" Type="http://schemas.openxmlformats.org/officeDocument/2006/relationships/hyperlink" Target="https://doi.org/10.1093/nsr/nwag204" TargetMode="External"/><Relationship Id="rId608" Type="http://schemas.openxmlformats.org/officeDocument/2006/relationships/hyperlink" Target="https://www.nature.com/articles/s41586-026-10345-6" TargetMode="External"/><Relationship Id="rId609" Type="http://schemas.openxmlformats.org/officeDocument/2006/relationships/hyperlink" Target="https://doi.org/10.1038/s41586-026-10345-6" TargetMode="External"/><Relationship Id="rId610" Type="http://schemas.openxmlformats.org/officeDocument/2006/relationships/hyperlink" Target="https://www.nature.com/articles/s41560-026-02028-3" TargetMode="External"/><Relationship Id="rId611" Type="http://schemas.openxmlformats.org/officeDocument/2006/relationships/hyperlink" Target="https://doi.org/10.1038/s41560-026-02028-3" TargetMode="External"/><Relationship Id="rId612" Type="http://schemas.openxmlformats.org/officeDocument/2006/relationships/hyperlink" Target="https://www.nature.com/articles/s41467-026-71378-z" TargetMode="External"/><Relationship Id="rId613" Type="http://schemas.openxmlformats.org/officeDocument/2006/relationships/hyperlink" Target="https://doi.org/10.1038/s41467-026-71378-z" TargetMode="External"/><Relationship Id="rId614" Type="http://schemas.openxmlformats.org/officeDocument/2006/relationships/hyperlink" Target="https://www.nature.com/articles/s41467-026-71397-w" TargetMode="External"/><Relationship Id="rId615" Type="http://schemas.openxmlformats.org/officeDocument/2006/relationships/hyperlink" Target="https://doi.org/10.1038/s41467-026-71397-w" TargetMode="External"/><Relationship Id="rId616" Type="http://schemas.openxmlformats.org/officeDocument/2006/relationships/hyperlink" Target="https://www.nature.com/articles/s41467-026-71748-7" TargetMode="External"/><Relationship Id="rId617" Type="http://schemas.openxmlformats.org/officeDocument/2006/relationships/hyperlink" Target="https://doi.org/10.1038/s41467-026-71748-7" TargetMode="External"/><Relationship Id="rId618" Type="http://schemas.openxmlformats.org/officeDocument/2006/relationships/hyperlink" Target="https://www.nature.com/articles/s41467-026-71239-9" TargetMode="External"/><Relationship Id="rId619" Type="http://schemas.openxmlformats.org/officeDocument/2006/relationships/hyperlink" Target="https://doi.org/10.1038/s41467-026-71239-9" TargetMode="External"/><Relationship Id="rId620" Type="http://schemas.openxmlformats.org/officeDocument/2006/relationships/hyperlink" Target="https://www.sciencedirect.com/science/article/pii/S030142152600217X?dgcid=rss_sd_all" TargetMode="External"/><Relationship Id="rId621" Type="http://schemas.openxmlformats.org/officeDocument/2006/relationships/hyperlink" Target="https://www.sciencedirect.com/science/article/pii/S0301421526002284?dgcid=rss_sd_all" TargetMode="External"/><Relationship Id="rId622" Type="http://schemas.openxmlformats.org/officeDocument/2006/relationships/hyperlink" Target="https://academic.oup.com/nsr/advance-article/doi/10.1093/nsr/nwag216/8644101?rss=1" TargetMode="External"/><Relationship Id="rId623" Type="http://schemas.openxmlformats.org/officeDocument/2006/relationships/hyperlink" Target="https://doi.org/10.1093/nsr/nwag216" TargetMode="External"/><Relationship Id="rId624" Type="http://schemas.openxmlformats.org/officeDocument/2006/relationships/hyperlink" Target="https://www.sciencedirect.com/science/article/pii/S030626192600471X?dgcid=rss_sd_all" TargetMode="External"/><Relationship Id="rId625" Type="http://schemas.openxmlformats.org/officeDocument/2006/relationships/hyperlink" Target="https://academic.oup.com/nsr/advance-article/doi/10.1093/nsr/nwag175/8644096?rss=1" TargetMode="External"/><Relationship Id="rId626" Type="http://schemas.openxmlformats.org/officeDocument/2006/relationships/hyperlink" Target="https://doi.org/10.1093/nsr/nwag175" TargetMode="External"/><Relationship Id="rId627" Type="http://schemas.openxmlformats.org/officeDocument/2006/relationships/hyperlink" Target="https://www.nature.com/articles/s41557-026-02117-6" TargetMode="External"/><Relationship Id="rId628" Type="http://schemas.openxmlformats.org/officeDocument/2006/relationships/hyperlink" Target="https://doi.org/10.1038/s41557-026-02117-6" TargetMode="External"/><Relationship Id="rId629" Type="http://schemas.openxmlformats.org/officeDocument/2006/relationships/hyperlink" Target="https://www.nature.com/articles/s41557-026-02094-w" TargetMode="External"/><Relationship Id="rId630" Type="http://schemas.openxmlformats.org/officeDocument/2006/relationships/hyperlink" Target="https://doi.org/10.1038/s41557-026-02094-w" TargetMode="External"/><Relationship Id="rId631" Type="http://schemas.openxmlformats.org/officeDocument/2006/relationships/hyperlink" Target="https://www.sciencedirect.com/science/article/pii/S0306261926004782?dgcid=rss_sd_all" TargetMode="External"/><Relationship Id="rId632" Type="http://schemas.openxmlformats.org/officeDocument/2006/relationships/hyperlink" Target="https://www.sciencedirect.com/science/article/pii/S0306261926004812?dgcid=rss_sd_all" TargetMode="External"/><Relationship Id="rId633" Type="http://schemas.openxmlformats.org/officeDocument/2006/relationships/hyperlink" Target="https://www.sciencedirect.com/science/article/pii/S0306261926005003?dgcid=rss_sd_all" TargetMode="External"/><Relationship Id="rId634" Type="http://schemas.openxmlformats.org/officeDocument/2006/relationships/hyperlink" Target="https://www.nature.com/articles/d41586-026-01132-4" TargetMode="External"/><Relationship Id="rId635" Type="http://schemas.openxmlformats.org/officeDocument/2006/relationships/hyperlink" Target="https://doi.org/10.1038/d41586-026-01132-4" TargetMode="External"/><Relationship Id="rId636" Type="http://schemas.openxmlformats.org/officeDocument/2006/relationships/hyperlink" Target="https://www.sciencedirect.com/science/article/pii/S0306261926004198?dgcid=rss_sd_all" TargetMode="External"/><Relationship Id="rId637" Type="http://schemas.openxmlformats.org/officeDocument/2006/relationships/hyperlink" Target="https://www.nature.com/articles/s41586-026-10326-9" TargetMode="External"/><Relationship Id="rId638" Type="http://schemas.openxmlformats.org/officeDocument/2006/relationships/hyperlink" Target="https://doi.org/10.1038/s41586-026-10326-9" TargetMode="External"/><Relationship Id="rId639" Type="http://schemas.openxmlformats.org/officeDocument/2006/relationships/hyperlink" Target="https://www.nature.com/articles/d41586-026-01140-4" TargetMode="External"/><Relationship Id="rId640" Type="http://schemas.openxmlformats.org/officeDocument/2006/relationships/hyperlink" Target="https://doi.org/10.1038/d41586-026-01140-4" TargetMode="External"/><Relationship Id="rId641" Type="http://schemas.openxmlformats.org/officeDocument/2006/relationships/hyperlink" Target="https://www.nature.com/articles/s41586-026-10277-1" TargetMode="External"/><Relationship Id="rId642" Type="http://schemas.openxmlformats.org/officeDocument/2006/relationships/hyperlink" Target="https://doi.org/10.1038/s41586-026-10277-1" TargetMode="External"/><Relationship Id="rId643" Type="http://schemas.openxmlformats.org/officeDocument/2006/relationships/hyperlink" Target="https://www.nature.com/articles/s41586-026-10339-4" TargetMode="External"/><Relationship Id="rId644" Type="http://schemas.openxmlformats.org/officeDocument/2006/relationships/hyperlink" Target="https://doi.org/10.1038/s41586-026-10339-4" TargetMode="External"/><Relationship Id="rId645" Type="http://schemas.openxmlformats.org/officeDocument/2006/relationships/hyperlink" Target="https://www.sciencedirect.com/science/article/pii/S0306261926005106?dgcid=rss_sd_all" TargetMode="External"/><Relationship Id="rId646" Type="http://schemas.openxmlformats.org/officeDocument/2006/relationships/hyperlink" Target="https://www.nature.com/articles/s41586-026-10365-2" TargetMode="External"/><Relationship Id="rId647" Type="http://schemas.openxmlformats.org/officeDocument/2006/relationships/hyperlink" Target="https://doi.org/10.1038/s41586-026-10365-2" TargetMode="External"/><Relationship Id="rId648" Type="http://schemas.openxmlformats.org/officeDocument/2006/relationships/hyperlink" Target="https://www.nature.com/articles/s41586-026-10346-5" TargetMode="External"/><Relationship Id="rId649" Type="http://schemas.openxmlformats.org/officeDocument/2006/relationships/hyperlink" Target="https://doi.org/10.1038/s41586-026-10346-5" TargetMode="External"/><Relationship Id="rId650" Type="http://schemas.openxmlformats.org/officeDocument/2006/relationships/hyperlink" Target="https://www.nature.com/articles/s41586-026-10352-7" TargetMode="External"/><Relationship Id="rId651" Type="http://schemas.openxmlformats.org/officeDocument/2006/relationships/hyperlink" Target="https://doi.org/10.1038/s41586-026-10352-7" TargetMode="External"/><Relationship Id="rId652" Type="http://schemas.openxmlformats.org/officeDocument/2006/relationships/hyperlink" Target="https://www.nature.com/articles/s41586-026-10329-6" TargetMode="External"/><Relationship Id="rId653" Type="http://schemas.openxmlformats.org/officeDocument/2006/relationships/hyperlink" Target="https://doi.org/10.1038/s41586-026-10329-6" TargetMode="External"/><Relationship Id="rId654" Type="http://schemas.openxmlformats.org/officeDocument/2006/relationships/hyperlink" Target="https://www.nature.com/articles/d41586-026-00905-1" TargetMode="External"/><Relationship Id="rId655" Type="http://schemas.openxmlformats.org/officeDocument/2006/relationships/hyperlink" Target="https://doi.org/10.1038/d41586-026-00905-1" TargetMode="External"/><Relationship Id="rId656" Type="http://schemas.openxmlformats.org/officeDocument/2006/relationships/hyperlink" Target="https://www.nature.com/articles/d41586-026-00224-5" TargetMode="External"/><Relationship Id="rId657" Type="http://schemas.openxmlformats.org/officeDocument/2006/relationships/hyperlink" Target="https://doi.org/10.1038/d41586-026-00224-5" TargetMode="External"/><Relationship Id="rId658" Type="http://schemas.openxmlformats.org/officeDocument/2006/relationships/hyperlink" Target="https://www.nature.com/articles/d41586-026-01021-w" TargetMode="External"/><Relationship Id="rId659" Type="http://schemas.openxmlformats.org/officeDocument/2006/relationships/hyperlink" Target="https://doi.org/10.1038/d41586-026-01021-w" TargetMode="External"/><Relationship Id="rId660" Type="http://schemas.openxmlformats.org/officeDocument/2006/relationships/hyperlink" Target="https://academic.oup.com/nsr/advance-article/doi/10.1093/nsr/nwag215/8644099?rss=1" TargetMode="External"/><Relationship Id="rId661" Type="http://schemas.openxmlformats.org/officeDocument/2006/relationships/hyperlink" Target="https://doi.org/10.1093/nsr/nwag215" TargetMode="External"/><Relationship Id="rId662" Type="http://schemas.openxmlformats.org/officeDocument/2006/relationships/hyperlink" Target="https://www.cell.com/joule/fulltext/S2542-4351(26)00107-8?rss=yes" TargetMode="External"/><Relationship Id="rId663" Type="http://schemas.openxmlformats.org/officeDocument/2006/relationships/hyperlink" Target="https://doi.org/10.1016/j.joule.2026.102423" TargetMode="External"/><Relationship Id="rId664" Type="http://schemas.openxmlformats.org/officeDocument/2006/relationships/hyperlink" Target="https://www.nature.com/articles/d41586-026-01039-0" TargetMode="External"/><Relationship Id="rId665" Type="http://schemas.openxmlformats.org/officeDocument/2006/relationships/hyperlink" Target="https://doi.org/10.1038/d41586-026-01039-0" TargetMode="External"/><Relationship Id="rId666" Type="http://schemas.openxmlformats.org/officeDocument/2006/relationships/hyperlink" Target="https://www.nature.com/articles/d41586-026-01107-5" TargetMode="External"/><Relationship Id="rId667" Type="http://schemas.openxmlformats.org/officeDocument/2006/relationships/hyperlink" Target="https://doi.org/10.1038/d41586-026-01107-5" TargetMode="External"/><Relationship Id="rId668" Type="http://schemas.openxmlformats.org/officeDocument/2006/relationships/hyperlink" Target="https://www.nature.com/articles/d41586-026-00630-9" TargetMode="External"/><Relationship Id="rId669" Type="http://schemas.openxmlformats.org/officeDocument/2006/relationships/hyperlink" Target="https://doi.org/10.1038/d41586-026-00630-9" TargetMode="External"/><Relationship Id="rId670" Type="http://schemas.openxmlformats.org/officeDocument/2006/relationships/hyperlink" Target="https://www.nature.com/articles/d41586-026-00960-8" TargetMode="External"/><Relationship Id="rId671" Type="http://schemas.openxmlformats.org/officeDocument/2006/relationships/hyperlink" Target="https://doi.org/10.1038/d41586-026-00960-8" TargetMode="External"/><Relationship Id="rId672" Type="http://schemas.openxmlformats.org/officeDocument/2006/relationships/hyperlink" Target="https://www.nature.com/articles/d41586-026-01013-w" TargetMode="External"/><Relationship Id="rId673" Type="http://schemas.openxmlformats.org/officeDocument/2006/relationships/hyperlink" Target="https://doi.org/10.1038/d41586-026-01013-w" TargetMode="External"/><Relationship Id="rId674" Type="http://schemas.openxmlformats.org/officeDocument/2006/relationships/hyperlink" Target="https://www.nature.com/articles/d41586-026-00812-5" TargetMode="External"/><Relationship Id="rId675" Type="http://schemas.openxmlformats.org/officeDocument/2006/relationships/hyperlink" Target="https://doi.org/10.1038/d41586-026-00812-5" TargetMode="External"/><Relationship Id="rId676" Type="http://schemas.openxmlformats.org/officeDocument/2006/relationships/hyperlink" Target="https://www.nature.com/articles/s41586-026-10260-w" TargetMode="External"/><Relationship Id="rId677" Type="http://schemas.openxmlformats.org/officeDocument/2006/relationships/hyperlink" Target="https://doi.org/10.1038/s41586-026-10260-w" TargetMode="External"/><Relationship Id="rId678" Type="http://schemas.openxmlformats.org/officeDocument/2006/relationships/hyperlink" Target="https://www.nature.com/articles/d41586-026-00811-6" TargetMode="External"/><Relationship Id="rId679" Type="http://schemas.openxmlformats.org/officeDocument/2006/relationships/hyperlink" Target="https://doi.org/10.1038/d41586-026-00811-6" TargetMode="External"/><Relationship Id="rId680" Type="http://schemas.openxmlformats.org/officeDocument/2006/relationships/hyperlink" Target="https://www.nature.com/articles/s41586-026-10285-1" TargetMode="External"/><Relationship Id="rId681" Type="http://schemas.openxmlformats.org/officeDocument/2006/relationships/hyperlink" Target="https://doi.org/10.1038/s41586-026-10285-1" TargetMode="External"/><Relationship Id="rId682" Type="http://schemas.openxmlformats.org/officeDocument/2006/relationships/hyperlink" Target="https://www.nature.com/articles/s41586-026-10337-6" TargetMode="External"/><Relationship Id="rId683" Type="http://schemas.openxmlformats.org/officeDocument/2006/relationships/hyperlink" Target="https://doi.org/10.1038/s41586-026-10337-6" TargetMode="External"/><Relationship Id="rId684" Type="http://schemas.openxmlformats.org/officeDocument/2006/relationships/hyperlink" Target="https://www.nature.com/articles/d41586-026-01037-2" TargetMode="External"/><Relationship Id="rId685" Type="http://schemas.openxmlformats.org/officeDocument/2006/relationships/hyperlink" Target="https://doi.org/10.1038/d41586-026-01037-2" TargetMode="External"/><Relationship Id="rId686" Type="http://schemas.openxmlformats.org/officeDocument/2006/relationships/hyperlink" Target="https://www.nature.com/articles/s41586-026-10356-3" TargetMode="External"/><Relationship Id="rId687" Type="http://schemas.openxmlformats.org/officeDocument/2006/relationships/hyperlink" Target="https://doi.org/10.1038/s41586-026-10356-3" TargetMode="External"/><Relationship Id="rId688" Type="http://schemas.openxmlformats.org/officeDocument/2006/relationships/hyperlink" Target="https://www.nature.com/articles/s41586-026-10316-x" TargetMode="External"/><Relationship Id="rId689" Type="http://schemas.openxmlformats.org/officeDocument/2006/relationships/hyperlink" Target="https://doi.org/10.1038/s41586-026-10316-x" TargetMode="External"/><Relationship Id="rId690" Type="http://schemas.openxmlformats.org/officeDocument/2006/relationships/hyperlink" Target="https://www.nature.com/articles/s41586-026-10334-9" TargetMode="External"/><Relationship Id="rId691" Type="http://schemas.openxmlformats.org/officeDocument/2006/relationships/hyperlink" Target="https://doi.org/10.1038/s41586-026-10334-9" TargetMode="External"/><Relationship Id="rId692" Type="http://schemas.openxmlformats.org/officeDocument/2006/relationships/hyperlink" Target="https://www.nature.com/articles/s41586-026-10330-z" TargetMode="External"/><Relationship Id="rId693" Type="http://schemas.openxmlformats.org/officeDocument/2006/relationships/hyperlink" Target="https://doi.org/10.1038/s41586-026-10330-z" TargetMode="External"/><Relationship Id="rId694" Type="http://schemas.openxmlformats.org/officeDocument/2006/relationships/hyperlink" Target="https://www.nature.com/articles/s41586-026-10307-y" TargetMode="External"/><Relationship Id="rId695" Type="http://schemas.openxmlformats.org/officeDocument/2006/relationships/hyperlink" Target="https://doi.org/10.1038/s41586-026-10307-y" TargetMode="External"/><Relationship Id="rId696" Type="http://schemas.openxmlformats.org/officeDocument/2006/relationships/hyperlink" Target="https://www.nature.com/articles/s41586-026-10342-9" TargetMode="External"/><Relationship Id="rId697" Type="http://schemas.openxmlformats.org/officeDocument/2006/relationships/hyperlink" Target="https://doi.org/10.1038/s41586-026-10342-9" TargetMode="External"/><Relationship Id="rId698" Type="http://schemas.openxmlformats.org/officeDocument/2006/relationships/hyperlink" Target="https://www.nature.com/articles/s41586-026-10361-6" TargetMode="External"/><Relationship Id="rId699" Type="http://schemas.openxmlformats.org/officeDocument/2006/relationships/hyperlink" Target="https://doi.org/10.1038/s41586-026-10361-6" TargetMode="External"/><Relationship Id="rId700" Type="http://schemas.openxmlformats.org/officeDocument/2006/relationships/hyperlink" Target="https://www.nature.com/articles/s41586-026-10457-z" TargetMode="External"/><Relationship Id="rId701" Type="http://schemas.openxmlformats.org/officeDocument/2006/relationships/hyperlink" Target="https://doi.org/10.1038/s41586-026-10457-z" TargetMode="External"/><Relationship Id="rId702" Type="http://schemas.openxmlformats.org/officeDocument/2006/relationships/hyperlink" Target="https://www.nature.com/articles/s41586-026-10168-5" TargetMode="External"/><Relationship Id="rId703" Type="http://schemas.openxmlformats.org/officeDocument/2006/relationships/hyperlink" Target="https://doi.org/10.1038/s41586-026-10168-5" TargetMode="External"/><Relationship Id="rId704" Type="http://schemas.openxmlformats.org/officeDocument/2006/relationships/hyperlink" Target="https://www.nature.com/articles/s41467-026-71489-7" TargetMode="External"/><Relationship Id="rId705" Type="http://schemas.openxmlformats.org/officeDocument/2006/relationships/hyperlink" Target="https://doi.org/10.1038/s41467-026-71489-7" TargetMode="External"/><Relationship Id="rId706" Type="http://schemas.openxmlformats.org/officeDocument/2006/relationships/hyperlink" Target="https://advanced.onlinelibrary.wiley.com/doi/10.1002/adma.72996?af=R" TargetMode="External"/><Relationship Id="rId707" Type="http://schemas.openxmlformats.org/officeDocument/2006/relationships/hyperlink" Target="https://doi.org/10.1002/adma.72996" TargetMode="External"/><Relationship Id="rId708" Type="http://schemas.openxmlformats.org/officeDocument/2006/relationships/hyperlink" Target="https://advanced.onlinelibrary.wiley.com/doi/10.1002/adma.202521241?af=R" TargetMode="External"/><Relationship Id="rId709" Type="http://schemas.openxmlformats.org/officeDocument/2006/relationships/hyperlink" Target="https://doi.org/10.1002/adma.202521241" TargetMode="External"/><Relationship Id="rId710" Type="http://schemas.openxmlformats.org/officeDocument/2006/relationships/hyperlink" Target="https://advanced.onlinelibrary.wiley.com/doi/10.1002/adma.72847?af=R" TargetMode="External"/><Relationship Id="rId711" Type="http://schemas.openxmlformats.org/officeDocument/2006/relationships/hyperlink" Target="https://doi.org/10.1002/adma.72847" TargetMode="External"/><Relationship Id="rId712" Type="http://schemas.openxmlformats.org/officeDocument/2006/relationships/hyperlink" Target="https://www.science.org/doi/abs/10.1126/sciadv.aed5302?af=R" TargetMode="External"/><Relationship Id="rId713" Type="http://schemas.openxmlformats.org/officeDocument/2006/relationships/hyperlink" Target="https://doi.org/10.1126/sciadv.aed5302" TargetMode="External"/><Relationship Id="rId714" Type="http://schemas.openxmlformats.org/officeDocument/2006/relationships/hyperlink" Target="https://www.science.org/doi/abs/10.1126/sciadv.aed8075?af=R" TargetMode="External"/><Relationship Id="rId715" Type="http://schemas.openxmlformats.org/officeDocument/2006/relationships/hyperlink" Target="https://doi.org/10.1126/sciadv.aed8075" TargetMode="External"/><Relationship Id="rId716" Type="http://schemas.openxmlformats.org/officeDocument/2006/relationships/hyperlink" Target="https://www.science.org/doi/abs/10.1126/sciadv.ady7556?af=R" TargetMode="External"/><Relationship Id="rId717" Type="http://schemas.openxmlformats.org/officeDocument/2006/relationships/hyperlink" Target="https://doi.org/10.1126/sciadv.ady7556" TargetMode="External"/><Relationship Id="rId718" Type="http://schemas.openxmlformats.org/officeDocument/2006/relationships/hyperlink" Target="https://www.science.org/doi/abs/10.1126/sciadv.aeb3917?af=R" TargetMode="External"/><Relationship Id="rId719" Type="http://schemas.openxmlformats.org/officeDocument/2006/relationships/hyperlink" Target="https://doi.org/10.1126/sciadv.aeb3917" TargetMode="External"/><Relationship Id="rId720" Type="http://schemas.openxmlformats.org/officeDocument/2006/relationships/hyperlink" Target="https://www.science.org/doi/abs/10.1126/sciadv.ady6763?af=R" TargetMode="External"/><Relationship Id="rId721" Type="http://schemas.openxmlformats.org/officeDocument/2006/relationships/hyperlink" Target="https://doi.org/10.1126/sciadv.ady6763" TargetMode="External"/><Relationship Id="rId722" Type="http://schemas.openxmlformats.org/officeDocument/2006/relationships/hyperlink" Target="https://www.science.org/doi/abs/10.1126/sciadv.adz7738?af=R" TargetMode="External"/><Relationship Id="rId723" Type="http://schemas.openxmlformats.org/officeDocument/2006/relationships/hyperlink" Target="https://doi.org/10.1126/sciadv.adz7738" TargetMode="External"/><Relationship Id="rId724" Type="http://schemas.openxmlformats.org/officeDocument/2006/relationships/hyperlink" Target="https://www.science.org/doi/abs/10.1126/sciadv.ady8614?af=R" TargetMode="External"/><Relationship Id="rId725" Type="http://schemas.openxmlformats.org/officeDocument/2006/relationships/hyperlink" Target="https://doi.org/10.1126/sciadv.ady8614" TargetMode="External"/><Relationship Id="rId726" Type="http://schemas.openxmlformats.org/officeDocument/2006/relationships/hyperlink" Target="https://www.pnas.org/doi/abs/10.1073/pnas.2427192123?mi=eymic2&amp;af=R&amp;access=on&amp;content=articlesChapters&amp;publication=pnas&amp;sortBy=Earliest&amp;target=default" TargetMode="External"/><Relationship Id="rId727" Type="http://schemas.openxmlformats.org/officeDocument/2006/relationships/hyperlink" Target="https://doi.org/10.1073/pnas.2427192123" TargetMode="External"/><Relationship Id="rId728" Type="http://schemas.openxmlformats.org/officeDocument/2006/relationships/hyperlink" Target="https://www.science.org/doi/abs/10.1126/sciadv.aec9801?af=R" TargetMode="External"/><Relationship Id="rId729" Type="http://schemas.openxmlformats.org/officeDocument/2006/relationships/hyperlink" Target="https://doi.org/10.1126/sciadv.aec9801" TargetMode="External"/><Relationship Id="rId730" Type="http://schemas.openxmlformats.org/officeDocument/2006/relationships/hyperlink" Target="https://www.science.org/doi/abs/10.1126/sciadv.aea2709?af=R" TargetMode="External"/><Relationship Id="rId731" Type="http://schemas.openxmlformats.org/officeDocument/2006/relationships/hyperlink" Target="https://doi.org/10.1126/sciadv.aea2709" TargetMode="External"/><Relationship Id="rId732" Type="http://schemas.openxmlformats.org/officeDocument/2006/relationships/hyperlink" Target="https://www.science.org/doi/abs/10.1126/sciadv.aec0172?af=R" TargetMode="External"/><Relationship Id="rId733" Type="http://schemas.openxmlformats.org/officeDocument/2006/relationships/hyperlink" Target="https://doi.org/10.1126/sciadv.aec0172" TargetMode="External"/><Relationship Id="rId734" Type="http://schemas.openxmlformats.org/officeDocument/2006/relationships/hyperlink" Target="https://www.science.org/doi/abs/10.1126/sciadv.aeb7045?af=R" TargetMode="External"/><Relationship Id="rId735" Type="http://schemas.openxmlformats.org/officeDocument/2006/relationships/hyperlink" Target="https://doi.org/10.1126/sciadv.aeb7045" TargetMode="External"/><Relationship Id="rId736" Type="http://schemas.openxmlformats.org/officeDocument/2006/relationships/hyperlink" Target="https://www.pnas.org/doi/abs/10.1073/pnas.2505125123?mi=eymic2&amp;af=R&amp;access=on&amp;content=articlesChapters&amp;publication=pnas&amp;sortBy=Earliest&amp;target=default" TargetMode="External"/><Relationship Id="rId737" Type="http://schemas.openxmlformats.org/officeDocument/2006/relationships/hyperlink" Target="https://doi.org/10.1073/pnas.2505125123" TargetMode="External"/><Relationship Id="rId738" Type="http://schemas.openxmlformats.org/officeDocument/2006/relationships/hyperlink" Target="https://www.science.org/doi/abs/10.1126/sciadv.aeb2623?af=R" TargetMode="External"/><Relationship Id="rId739" Type="http://schemas.openxmlformats.org/officeDocument/2006/relationships/hyperlink" Target="https://doi.org/10.1126/sciadv.aeb2623" TargetMode="External"/><Relationship Id="rId740" Type="http://schemas.openxmlformats.org/officeDocument/2006/relationships/hyperlink" Target="https://www.science.org/doi/abs/10.1126/sciadv.aeb2023?af=R" TargetMode="External"/><Relationship Id="rId741" Type="http://schemas.openxmlformats.org/officeDocument/2006/relationships/hyperlink" Target="https://doi.org/10.1126/sciadv.aeb2023" TargetMode="External"/><Relationship Id="rId742" Type="http://schemas.openxmlformats.org/officeDocument/2006/relationships/hyperlink" Target="https://www.science.org/doi/abs/10.1126/sciadv.aea1478?af=R" TargetMode="External"/><Relationship Id="rId743" Type="http://schemas.openxmlformats.org/officeDocument/2006/relationships/hyperlink" Target="https://doi.org/10.1126/sciadv.aea1478" TargetMode="External"/><Relationship Id="rId744" Type="http://schemas.openxmlformats.org/officeDocument/2006/relationships/hyperlink" Target="https://www.science.org/doi/abs/10.1126/sciadv.aec3183?af=R" TargetMode="External"/><Relationship Id="rId745" Type="http://schemas.openxmlformats.org/officeDocument/2006/relationships/hyperlink" Target="https://doi.org/10.1126/sciadv.aec3183" TargetMode="External"/><Relationship Id="rId746" Type="http://schemas.openxmlformats.org/officeDocument/2006/relationships/hyperlink" Target="https://www.pnas.org/doi/abs/10.1073/pnas.2507779123?mi=eymic2&amp;af=R&amp;access=on&amp;content=articlesChapters&amp;publication=pnas&amp;sortBy=Earliest&amp;target=default" TargetMode="External"/><Relationship Id="rId747" Type="http://schemas.openxmlformats.org/officeDocument/2006/relationships/hyperlink" Target="https://doi.org/10.1073/pnas.2507779123" TargetMode="External"/><Relationship Id="rId748" Type="http://schemas.openxmlformats.org/officeDocument/2006/relationships/hyperlink" Target="https://www.pnas.org/doi/abs/10.1073/pnas.2515310123?mi=eymic2&amp;af=R&amp;access=on&amp;content=articlesChapters&amp;publication=pnas&amp;sortBy=Earliest&amp;target=default" TargetMode="External"/><Relationship Id="rId749" Type="http://schemas.openxmlformats.org/officeDocument/2006/relationships/hyperlink" Target="https://doi.org/10.1073/pnas.2515310123" TargetMode="External"/><Relationship Id="rId750" Type="http://schemas.openxmlformats.org/officeDocument/2006/relationships/hyperlink" Target="https://www.science.org/doi/abs/10.1126/sciadv.aed4951?af=R" TargetMode="External"/><Relationship Id="rId751" Type="http://schemas.openxmlformats.org/officeDocument/2006/relationships/hyperlink" Target="https://doi.org/10.1126/sciadv.aed4951" TargetMode="External"/><Relationship Id="rId752" Type="http://schemas.openxmlformats.org/officeDocument/2006/relationships/hyperlink" Target="https://www.pnas.org/doi/abs/10.1073/pnas.2528925123?mi=eymic2&amp;af=R&amp;access=on&amp;content=articlesChapters&amp;publication=pnas&amp;sortBy=Earliest&amp;target=default" TargetMode="External"/><Relationship Id="rId753" Type="http://schemas.openxmlformats.org/officeDocument/2006/relationships/hyperlink" Target="https://doi.org/10.1073/pnas.2528925123" TargetMode="External"/><Relationship Id="rId754" Type="http://schemas.openxmlformats.org/officeDocument/2006/relationships/hyperlink" Target="https://www.pnas.org/doi/abs/10.1073/pnas.2524305123?mi=eymic2&amp;af=R&amp;access=on&amp;content=articlesChapters&amp;publication=pnas&amp;sortBy=Earliest&amp;target=default" TargetMode="External"/><Relationship Id="rId755" Type="http://schemas.openxmlformats.org/officeDocument/2006/relationships/hyperlink" Target="https://doi.org/10.1073/pnas.2524305123" TargetMode="External"/><Relationship Id="rId756" Type="http://schemas.openxmlformats.org/officeDocument/2006/relationships/hyperlink" Target="https://www.pnas.org/doi/abs/10.1073/pnas.2517309123?mi=eymic2&amp;af=R&amp;access=on&amp;content=articlesChapters&amp;publication=pnas&amp;sortBy=Earliest&amp;target=default" TargetMode="External"/><Relationship Id="rId757" Type="http://schemas.openxmlformats.org/officeDocument/2006/relationships/hyperlink" Target="https://doi.org/10.1073/pnas.2517309123" TargetMode="External"/><Relationship Id="rId758" Type="http://schemas.openxmlformats.org/officeDocument/2006/relationships/hyperlink" Target="https://www.science.org/doi/abs/10.1126/sciadv.aeb2942?af=R" TargetMode="External"/><Relationship Id="rId759" Type="http://schemas.openxmlformats.org/officeDocument/2006/relationships/hyperlink" Target="https://doi.org/10.1126/sciadv.aeb2942" TargetMode="External"/><Relationship Id="rId760" Type="http://schemas.openxmlformats.org/officeDocument/2006/relationships/hyperlink" Target="https://www.science.org/doi/abs/10.1126/sciadv.aee6848?af=R" TargetMode="External"/><Relationship Id="rId761" Type="http://schemas.openxmlformats.org/officeDocument/2006/relationships/hyperlink" Target="https://doi.org/10.1126/sciadv.aee6848" TargetMode="External"/><Relationship Id="rId762" Type="http://schemas.openxmlformats.org/officeDocument/2006/relationships/hyperlink" Target="https://www.science.org/doi/abs/10.1126/sciadv.adz0593?af=R" TargetMode="External"/><Relationship Id="rId763" Type="http://schemas.openxmlformats.org/officeDocument/2006/relationships/hyperlink" Target="https://doi.org/10.1126/sciadv.adz0593" TargetMode="External"/><Relationship Id="rId764" Type="http://schemas.openxmlformats.org/officeDocument/2006/relationships/hyperlink" Target="https://www.pnas.org/doi/abs/10.1073/pnas.2537425123?mi=eymic2&amp;af=R&amp;access=on&amp;content=articlesChapters&amp;publication=pnas&amp;sortBy=Earliest&amp;target=default" TargetMode="External"/><Relationship Id="rId765" Type="http://schemas.openxmlformats.org/officeDocument/2006/relationships/hyperlink" Target="https://doi.org/10.1073/pnas.2537425123" TargetMode="External"/><Relationship Id="rId766" Type="http://schemas.openxmlformats.org/officeDocument/2006/relationships/hyperlink" Target="https://www.science.org/doi/abs/10.1126/sciadv.aed2333?af=R" TargetMode="External"/><Relationship Id="rId767" Type="http://schemas.openxmlformats.org/officeDocument/2006/relationships/hyperlink" Target="https://doi.org/10.1126/sciadv.aed2333" TargetMode="External"/><Relationship Id="rId768" Type="http://schemas.openxmlformats.org/officeDocument/2006/relationships/hyperlink" Target="https://www.science.org/doi/abs/10.1126/sciadv.adw1038?af=R" TargetMode="External"/><Relationship Id="rId769" Type="http://schemas.openxmlformats.org/officeDocument/2006/relationships/hyperlink" Target="https://doi.org/10.1126/sciadv.adw1038" TargetMode="External"/><Relationship Id="rId770" Type="http://schemas.openxmlformats.org/officeDocument/2006/relationships/hyperlink" Target="https://www.science.org/doi/abs/10.1126/sciadv.adu5181?af=R" TargetMode="External"/><Relationship Id="rId771" Type="http://schemas.openxmlformats.org/officeDocument/2006/relationships/hyperlink" Target="https://doi.org/10.1126/sciadv.adu5181" TargetMode="External"/><Relationship Id="rId772" Type="http://schemas.openxmlformats.org/officeDocument/2006/relationships/hyperlink" Target="https://www.science.org/doi/abs/10.1126/sciadv.aec4368?af=R" TargetMode="External"/><Relationship Id="rId773" Type="http://schemas.openxmlformats.org/officeDocument/2006/relationships/hyperlink" Target="https://doi.org/10.1126/sciadv.aec4368" TargetMode="External"/><Relationship Id="rId774" Type="http://schemas.openxmlformats.org/officeDocument/2006/relationships/hyperlink" Target="https://www.pnas.org/doi/abs/10.1073/pnas.2601363123?mi=eymic2&amp;af=R&amp;access=on&amp;content=articlesChapters&amp;publication=pnas&amp;sortBy=Earliest&amp;target=default" TargetMode="External"/><Relationship Id="rId775" Type="http://schemas.openxmlformats.org/officeDocument/2006/relationships/hyperlink" Target="https://doi.org/10.1073/pnas.2601363123" TargetMode="External"/><Relationship Id="rId776" Type="http://schemas.openxmlformats.org/officeDocument/2006/relationships/hyperlink" Target="https://www.pnas.org/doi/abs/10.1073/pnas.2600210123?mi=eymic2&amp;af=R&amp;access=on&amp;content=articlesChapters&amp;publication=pnas&amp;sortBy=Earliest&amp;target=default" TargetMode="External"/><Relationship Id="rId777" Type="http://schemas.openxmlformats.org/officeDocument/2006/relationships/hyperlink" Target="https://doi.org/10.1073/pnas.2600210123" TargetMode="External"/><Relationship Id="rId778" Type="http://schemas.openxmlformats.org/officeDocument/2006/relationships/hyperlink" Target="https://www.pnas.org/doi/abs/10.1073/pnas.2600036123?mi=eymic2&amp;af=R&amp;access=on&amp;content=articlesChapters&amp;publication=pnas&amp;sortBy=Earliest&amp;target=default" TargetMode="External"/><Relationship Id="rId779" Type="http://schemas.openxmlformats.org/officeDocument/2006/relationships/hyperlink" Target="https://doi.org/10.1073/pnas.2600036123" TargetMode="External"/><Relationship Id="rId780" Type="http://schemas.openxmlformats.org/officeDocument/2006/relationships/hyperlink" Target="https://www.pnas.org/doi/abs/10.1073/pnas.2536296123?mi=eymic2&amp;af=R&amp;access=on&amp;content=articlesChapters&amp;publication=pnas&amp;sortBy=Earliest&amp;target=default" TargetMode="External"/><Relationship Id="rId781" Type="http://schemas.openxmlformats.org/officeDocument/2006/relationships/hyperlink" Target="https://doi.org/10.1073/pnas.2536296123" TargetMode="External"/><Relationship Id="rId782" Type="http://schemas.openxmlformats.org/officeDocument/2006/relationships/hyperlink" Target="https://www.pnas.org/doi/abs/10.1073/pnas.2535453123?mi=eymic2&amp;af=R&amp;access=on&amp;content=articlesChapters&amp;publication=pnas&amp;sortBy=Earliest&amp;target=default" TargetMode="External"/><Relationship Id="rId783" Type="http://schemas.openxmlformats.org/officeDocument/2006/relationships/hyperlink" Target="https://doi.org/10.1073/pnas.2535453123" TargetMode="External"/><Relationship Id="rId784" Type="http://schemas.openxmlformats.org/officeDocument/2006/relationships/hyperlink" Target="https://www.science.org/doi/abs/10.1126/sciadv.ady2696?af=R" TargetMode="External"/><Relationship Id="rId785" Type="http://schemas.openxmlformats.org/officeDocument/2006/relationships/hyperlink" Target="https://doi.org/10.1126/sciadv.ady2696" TargetMode="External"/><Relationship Id="rId786" Type="http://schemas.openxmlformats.org/officeDocument/2006/relationships/hyperlink" Target="https://www.pnas.org/doi/abs/10.1073/pnas.2532906123?mi=eymic2&amp;af=R&amp;access=on&amp;content=articlesChapters&amp;publication=pnas&amp;sortBy=Earliest&amp;target=default" TargetMode="External"/><Relationship Id="rId787" Type="http://schemas.openxmlformats.org/officeDocument/2006/relationships/hyperlink" Target="https://doi.org/10.1073/pnas.2532906123" TargetMode="External"/><Relationship Id="rId788" Type="http://schemas.openxmlformats.org/officeDocument/2006/relationships/hyperlink" Target="https://www.pnas.org/doi/abs/10.1073/pnas.2528772123?mi=eymic2&amp;af=R&amp;access=on&amp;content=articlesChapters&amp;publication=pnas&amp;sortBy=Earliest&amp;target=default" TargetMode="External"/><Relationship Id="rId789" Type="http://schemas.openxmlformats.org/officeDocument/2006/relationships/hyperlink" Target="https://doi.org/10.1073/pnas.2528772123" TargetMode="External"/><Relationship Id="rId790" Type="http://schemas.openxmlformats.org/officeDocument/2006/relationships/hyperlink" Target="https://www.pnas.org/doi/abs/10.1073/pnas.2528625123?mi=eymic2&amp;af=R&amp;access=on&amp;content=articlesChapters&amp;publication=pnas&amp;sortBy=Earliest&amp;target=default" TargetMode="External"/><Relationship Id="rId791" Type="http://schemas.openxmlformats.org/officeDocument/2006/relationships/hyperlink" Target="https://doi.org/10.1073/pnas.2528625123" TargetMode="External"/><Relationship Id="rId792" Type="http://schemas.openxmlformats.org/officeDocument/2006/relationships/hyperlink" Target="https://www.pnas.org/doi/abs/10.1073/pnas.2526776123?mi=eymic2&amp;af=R&amp;access=on&amp;content=articlesChapters&amp;publication=pnas&amp;sortBy=Earliest&amp;target=default" TargetMode="External"/><Relationship Id="rId793" Type="http://schemas.openxmlformats.org/officeDocument/2006/relationships/hyperlink" Target="https://doi.org/10.1073/pnas.2526776123" TargetMode="External"/><Relationship Id="rId794" Type="http://schemas.openxmlformats.org/officeDocument/2006/relationships/hyperlink" Target="https://www.pnas.org/doi/abs/10.1073/pnas.2526665123?mi=eymic2&amp;af=R&amp;access=on&amp;content=articlesChapters&amp;publication=pnas&amp;sortBy=Earliest&amp;target=default" TargetMode="External"/><Relationship Id="rId795" Type="http://schemas.openxmlformats.org/officeDocument/2006/relationships/hyperlink" Target="https://doi.org/10.1073/pnas.2526665123" TargetMode="External"/><Relationship Id="rId796" Type="http://schemas.openxmlformats.org/officeDocument/2006/relationships/hyperlink" Target="https://www.pnas.org/doi/abs/10.1073/pnas.2524516123?mi=eymic2&amp;af=R&amp;access=on&amp;content=articlesChapters&amp;publication=pnas&amp;sortBy=Earliest&amp;target=default" TargetMode="External"/><Relationship Id="rId797" Type="http://schemas.openxmlformats.org/officeDocument/2006/relationships/hyperlink" Target="https://doi.org/10.1073/pnas.2524516123" TargetMode="External"/><Relationship Id="rId798" Type="http://schemas.openxmlformats.org/officeDocument/2006/relationships/hyperlink" Target="https://www.pnas.org/doi/abs/10.1073/pnas.2520079123?mi=eymic2&amp;af=R&amp;access=on&amp;content=articlesChapters&amp;publication=pnas&amp;sortBy=Earliest&amp;target=default" TargetMode="External"/><Relationship Id="rId799" Type="http://schemas.openxmlformats.org/officeDocument/2006/relationships/hyperlink" Target="https://doi.org/10.1073/pnas.2520079123" TargetMode="External"/><Relationship Id="rId800" Type="http://schemas.openxmlformats.org/officeDocument/2006/relationships/hyperlink" Target="https://www.pnas.org/doi/abs/10.1073/pnas.2537049123?mi=eymic2&amp;af=R&amp;access=on&amp;content=articlesChapters&amp;publication=pnas&amp;sortBy=Earliest&amp;target=default" TargetMode="External"/><Relationship Id="rId801" Type="http://schemas.openxmlformats.org/officeDocument/2006/relationships/hyperlink" Target="https://doi.org/10.1073/pnas.2537049123" TargetMode="External"/><Relationship Id="rId802" Type="http://schemas.openxmlformats.org/officeDocument/2006/relationships/hyperlink" Target="https://www.pnas.org/doi/abs/10.1073/pnas.2516511123?mi=eymic2&amp;af=R&amp;access=on&amp;content=articlesChapters&amp;publication=pnas&amp;sortBy=Earliest&amp;target=default" TargetMode="External"/><Relationship Id="rId803" Type="http://schemas.openxmlformats.org/officeDocument/2006/relationships/hyperlink" Target="https://doi.org/10.1073/pnas.2516511123" TargetMode="External"/><Relationship Id="rId804" Type="http://schemas.openxmlformats.org/officeDocument/2006/relationships/hyperlink" Target="https://advanced.onlinelibrary.wiley.com/doi/10.1002/aenm.70918?af=R" TargetMode="External"/><Relationship Id="rId805" Type="http://schemas.openxmlformats.org/officeDocument/2006/relationships/hyperlink" Target="https://doi.org/10.1002/aenm.70918" TargetMode="External"/><Relationship Id="rId806" Type="http://schemas.openxmlformats.org/officeDocument/2006/relationships/hyperlink" Target="http://dx.doi.org/10.1021/jacs.6c02825" TargetMode="External"/><Relationship Id="rId807" Type="http://schemas.openxmlformats.org/officeDocument/2006/relationships/hyperlink" Target="https://doi.org/10.1021/jacs.6c02825" TargetMode="External"/><Relationship Id="rId808" Type="http://schemas.openxmlformats.org/officeDocument/2006/relationships/hyperlink" Target="https://advanced.onlinelibrary.wiley.com/doi/10.1002/adma.73021?af=R" TargetMode="External"/><Relationship Id="rId809" Type="http://schemas.openxmlformats.org/officeDocument/2006/relationships/hyperlink" Target="https://doi.org/10.1002/adma.73021" TargetMode="External"/><Relationship Id="rId810" Type="http://schemas.openxmlformats.org/officeDocument/2006/relationships/hyperlink" Target="https://onlinelibrary.wiley.com/doi/10.1002/anie.8585705?af=R" TargetMode="External"/><Relationship Id="rId811" Type="http://schemas.openxmlformats.org/officeDocument/2006/relationships/hyperlink" Target="https://doi.org/10.1002/anie.8585705" TargetMode="External"/><Relationship Id="rId812" Type="http://schemas.openxmlformats.org/officeDocument/2006/relationships/hyperlink" Target="https://advanced.onlinelibrary.wiley.com/doi/10.1002/adma.73025?af=R" TargetMode="External"/><Relationship Id="rId813" Type="http://schemas.openxmlformats.org/officeDocument/2006/relationships/hyperlink" Target="https://doi.org/10.1002/adma.73025" TargetMode="External"/><Relationship Id="rId814" Type="http://schemas.openxmlformats.org/officeDocument/2006/relationships/hyperlink" Target="https://advanced.onlinelibrary.wiley.com/doi/10.1002/adma.202521259?af=R" TargetMode="External"/><Relationship Id="rId815" Type="http://schemas.openxmlformats.org/officeDocument/2006/relationships/hyperlink" Target="https://doi.org/10.1002/adma.202521259" TargetMode="External"/><Relationship Id="rId816" Type="http://schemas.openxmlformats.org/officeDocument/2006/relationships/hyperlink" Target="https://advanced.onlinelibrary.wiley.com/doi/10.1002/aenm.70911?af=R" TargetMode="External"/><Relationship Id="rId817" Type="http://schemas.openxmlformats.org/officeDocument/2006/relationships/hyperlink" Target="https://doi.org/10.1002/aenm.70911" TargetMode="External"/><Relationship Id="rId818" Type="http://schemas.openxmlformats.org/officeDocument/2006/relationships/hyperlink" Target="https://advanced.onlinelibrary.wiley.com/doi/10.1002/adma.72988?af=R" TargetMode="External"/><Relationship Id="rId819" Type="http://schemas.openxmlformats.org/officeDocument/2006/relationships/hyperlink" Target="https://doi.org/10.1002/adma.72988" TargetMode="External"/><Relationship Id="rId820" Type="http://schemas.openxmlformats.org/officeDocument/2006/relationships/hyperlink" Target="http://dx.doi.org/10.1021/jacs.6c00558" TargetMode="External"/><Relationship Id="rId821" Type="http://schemas.openxmlformats.org/officeDocument/2006/relationships/hyperlink" Target="https://doi.org/10.1021/jacs.6c00558" TargetMode="External"/><Relationship Id="rId822" Type="http://schemas.openxmlformats.org/officeDocument/2006/relationships/hyperlink" Target="https://advanced.onlinelibrary.wiley.com/doi/10.1002/adma.72975?af=R" TargetMode="External"/><Relationship Id="rId823" Type="http://schemas.openxmlformats.org/officeDocument/2006/relationships/hyperlink" Target="https://doi.org/10.1002/adma.72975" TargetMode="External"/><Relationship Id="rId824" Type="http://schemas.openxmlformats.org/officeDocument/2006/relationships/hyperlink" Target="https://onlinelibrary.wiley.com/doi/10.1002/anie.5830573?af=R" TargetMode="External"/><Relationship Id="rId825" Type="http://schemas.openxmlformats.org/officeDocument/2006/relationships/hyperlink" Target="https://doi.org/10.1002/anie.5830573" TargetMode="External"/><Relationship Id="rId826" Type="http://schemas.openxmlformats.org/officeDocument/2006/relationships/hyperlink" Target="https://onlinelibrary.wiley.com/doi/10.1002/anie.9559726?af=R" TargetMode="External"/><Relationship Id="rId827" Type="http://schemas.openxmlformats.org/officeDocument/2006/relationships/hyperlink" Target="https://doi.org/10.1002/anie.9559726" TargetMode="External"/><Relationship Id="rId828" Type="http://schemas.openxmlformats.org/officeDocument/2006/relationships/hyperlink" Target="https://onlinelibrary.wiley.com/doi/10.1002/anie.3779576?af=R" TargetMode="External"/><Relationship Id="rId829" Type="http://schemas.openxmlformats.org/officeDocument/2006/relationships/hyperlink" Target="https://doi.org/10.1002/anie.3779576" TargetMode="External"/><Relationship Id="rId830" Type="http://schemas.openxmlformats.org/officeDocument/2006/relationships/hyperlink" Target="https://advanced.onlinelibrary.wiley.com/doi/10.1002/adma.73026?af=R" TargetMode="External"/><Relationship Id="rId831" Type="http://schemas.openxmlformats.org/officeDocument/2006/relationships/hyperlink" Target="https://doi.org/10.1002/adma.73026" TargetMode="External"/><Relationship Id="rId832" Type="http://schemas.openxmlformats.org/officeDocument/2006/relationships/hyperlink" Target="https://advanced.onlinelibrary.wiley.com/doi/10.1002/adma.72994?af=R" TargetMode="External"/><Relationship Id="rId833" Type="http://schemas.openxmlformats.org/officeDocument/2006/relationships/hyperlink" Target="https://doi.org/10.1002/adma.72994" TargetMode="External"/><Relationship Id="rId834" Type="http://schemas.openxmlformats.org/officeDocument/2006/relationships/hyperlink" Target="http://dx.doi.org/10.1021/jacs.5c19260" TargetMode="External"/><Relationship Id="rId835" Type="http://schemas.openxmlformats.org/officeDocument/2006/relationships/hyperlink" Target="https://doi.org/10.1021/jacs.5c19260" TargetMode="External"/><Relationship Id="rId836" Type="http://schemas.openxmlformats.org/officeDocument/2006/relationships/hyperlink" Target="http://dx.doi.org/10.1021/jacs.6c01807" TargetMode="External"/><Relationship Id="rId837" Type="http://schemas.openxmlformats.org/officeDocument/2006/relationships/hyperlink" Target="https://doi.org/10.1021/jacs.6c01807" TargetMode="External"/><Relationship Id="rId838" Type="http://schemas.openxmlformats.org/officeDocument/2006/relationships/hyperlink" Target="http://dx.doi.org/10.1021/jacs.6c05018" TargetMode="External"/><Relationship Id="rId839" Type="http://schemas.openxmlformats.org/officeDocument/2006/relationships/hyperlink" Target="https://doi.org/10.1021/jacs.6c05018" TargetMode="External"/><Relationship Id="rId840" Type="http://schemas.openxmlformats.org/officeDocument/2006/relationships/hyperlink" Target="http://dx.doi.org/10.1021/jacs.5c17295" TargetMode="External"/><Relationship Id="rId841" Type="http://schemas.openxmlformats.org/officeDocument/2006/relationships/hyperlink" Target="https://doi.org/10.1021/jacs.5c17295" TargetMode="External"/><Relationship Id="rId842" Type="http://schemas.openxmlformats.org/officeDocument/2006/relationships/hyperlink" Target="http://dx.doi.org/10.1021/jacs.6c01294" TargetMode="External"/><Relationship Id="rId843" Type="http://schemas.openxmlformats.org/officeDocument/2006/relationships/hyperlink" Target="https://doi.org/10.1021/jacs.6c01294" TargetMode="External"/><Relationship Id="rId844" Type="http://schemas.openxmlformats.org/officeDocument/2006/relationships/hyperlink" Target="http://dx.doi.org/10.1021/acs.chemrev.5c00784" TargetMode="External"/><Relationship Id="rId845" Type="http://schemas.openxmlformats.org/officeDocument/2006/relationships/hyperlink" Target="https://doi.org/10.1021/acs.chemrev.5c00784" TargetMode="External"/><Relationship Id="rId846" Type="http://schemas.openxmlformats.org/officeDocument/2006/relationships/hyperlink" Target="http://dx.doi.org/10.1021/jacs.5c18209" TargetMode="External"/><Relationship Id="rId847" Type="http://schemas.openxmlformats.org/officeDocument/2006/relationships/hyperlink" Target="https://doi.org/10.1021/jacs.5c18209" TargetMode="External"/><Relationship Id="rId848" Type="http://schemas.openxmlformats.org/officeDocument/2006/relationships/hyperlink" Target="http://dx.doi.org/10.1021/jacs.6c05160" TargetMode="External"/><Relationship Id="rId849" Type="http://schemas.openxmlformats.org/officeDocument/2006/relationships/hyperlink" Target="https://doi.org/10.1021/jacs.6c05160" TargetMode="External"/><Relationship Id="rId850" Type="http://schemas.openxmlformats.org/officeDocument/2006/relationships/hyperlink" Target="http://dx.doi.org/10.1021/jacs.5c19584" TargetMode="External"/><Relationship Id="rId851" Type="http://schemas.openxmlformats.org/officeDocument/2006/relationships/hyperlink" Target="https://doi.org/10.1021/jacs.5c19584" TargetMode="External"/><Relationship Id="rId852" Type="http://schemas.openxmlformats.org/officeDocument/2006/relationships/hyperlink" Target="https://advanced.onlinelibrary.wiley.com/doi/10.1002/aenm.70824?af=R" TargetMode="External"/><Relationship Id="rId853" Type="http://schemas.openxmlformats.org/officeDocument/2006/relationships/hyperlink" Target="https://doi.org/10.1002/aenm.70824" TargetMode="External"/><Relationship Id="rId854" Type="http://schemas.openxmlformats.org/officeDocument/2006/relationships/hyperlink" Target="https://advanced.onlinelibrary.wiley.com/doi/10.1002/aenm.70809?af=R" TargetMode="External"/><Relationship Id="rId855" Type="http://schemas.openxmlformats.org/officeDocument/2006/relationships/hyperlink" Target="https://doi.org/10.1002/aenm.70809" TargetMode="External"/><Relationship Id="rId856" Type="http://schemas.openxmlformats.org/officeDocument/2006/relationships/hyperlink" Target="http://dx.doi.org/10.1021/jacs.5c16598" TargetMode="External"/><Relationship Id="rId857" Type="http://schemas.openxmlformats.org/officeDocument/2006/relationships/hyperlink" Target="https://doi.org/10.1021/jacs.5c16598" TargetMode="External"/><Relationship Id="rId858" Type="http://schemas.openxmlformats.org/officeDocument/2006/relationships/hyperlink" Target="http://dx.doi.org/10.1021/jacs.5c23284" TargetMode="External"/><Relationship Id="rId859" Type="http://schemas.openxmlformats.org/officeDocument/2006/relationships/hyperlink" Target="https://doi.org/10.1021/jacs.5c23284" TargetMode="External"/><Relationship Id="rId860" Type="http://schemas.openxmlformats.org/officeDocument/2006/relationships/hyperlink" Target="http://dx.doi.org/10.1021/jacs.5c23106" TargetMode="External"/><Relationship Id="rId861" Type="http://schemas.openxmlformats.org/officeDocument/2006/relationships/hyperlink" Target="https://doi.org/10.1021/jacs.5c23106" TargetMode="External"/><Relationship Id="rId862" Type="http://schemas.openxmlformats.org/officeDocument/2006/relationships/hyperlink" Target="http://dx.doi.org/10.1021/jacs.5c16761" TargetMode="External"/><Relationship Id="rId863" Type="http://schemas.openxmlformats.org/officeDocument/2006/relationships/hyperlink" Target="https://doi.org/10.1021/jacs.5c16761" TargetMode="External"/><Relationship Id="rId864" Type="http://schemas.openxmlformats.org/officeDocument/2006/relationships/hyperlink" Target="http://dx.doi.org/10.1021/jacs.6c03443" TargetMode="External"/><Relationship Id="rId865" Type="http://schemas.openxmlformats.org/officeDocument/2006/relationships/hyperlink" Target="https://doi.org/10.1021/jacs.6c03443" TargetMode="External"/><Relationship Id="rId866" Type="http://schemas.openxmlformats.org/officeDocument/2006/relationships/hyperlink" Target="http://dx.doi.org/10.1021/jacs.5c16773" TargetMode="External"/><Relationship Id="rId867" Type="http://schemas.openxmlformats.org/officeDocument/2006/relationships/hyperlink" Target="https://doi.org/10.1021/jacs.5c16773" TargetMode="External"/><Relationship Id="rId868" Type="http://schemas.openxmlformats.org/officeDocument/2006/relationships/hyperlink" Target="http://dx.doi.org/10.1021/acs.chemrev.5c00728" TargetMode="External"/><Relationship Id="rId869" Type="http://schemas.openxmlformats.org/officeDocument/2006/relationships/hyperlink" Target="https://doi.org/10.1021/acs.chemrev.5c00728" TargetMode="External"/><Relationship Id="rId870" Type="http://schemas.openxmlformats.org/officeDocument/2006/relationships/hyperlink" Target="http://dx.doi.org/10.1021/jacs.6c00524" TargetMode="External"/><Relationship Id="rId871" Type="http://schemas.openxmlformats.org/officeDocument/2006/relationships/hyperlink" Target="https://doi.org/10.1021/jacs.6c00524" TargetMode="External"/><Relationship Id="rId872" Type="http://schemas.openxmlformats.org/officeDocument/2006/relationships/hyperlink" Target="http://dx.doi.org/10.1021/acs.chemrev.5c01140" TargetMode="External"/><Relationship Id="rId873" Type="http://schemas.openxmlformats.org/officeDocument/2006/relationships/hyperlink" Target="https://doi.org/10.1021/acs.chemrev.5c01140" TargetMode="External"/><Relationship Id="rId874" Type="http://schemas.openxmlformats.org/officeDocument/2006/relationships/hyperlink" Target="http://pubs.rsc.org/en/Content/ArticleLanding/2026/EE/D5EE07792C" TargetMode="External"/><Relationship Id="rId875" Type="http://schemas.openxmlformats.org/officeDocument/2006/relationships/hyperlink" Target="https://www.nature.com/articles/d41586-026-01111-9" TargetMode="External"/><Relationship Id="rId876" Type="http://schemas.openxmlformats.org/officeDocument/2006/relationships/hyperlink" Target="https://doi.org/10.1038/d41586-026-01111-9" TargetMode="External"/><Relationship Id="rId877" Type="http://schemas.openxmlformats.org/officeDocument/2006/relationships/hyperlink" Target="https://www.nature.com/articles/d41586-026-01147-x" TargetMode="External"/><Relationship Id="rId878" Type="http://schemas.openxmlformats.org/officeDocument/2006/relationships/hyperlink" Target="https://doi.org/10.1038/d41586-026-01147-x" TargetMode="External"/><Relationship Id="rId879" Type="http://schemas.openxmlformats.org/officeDocument/2006/relationships/hyperlink" Target="https://www.nature.com/articles/d41586-026-01110-w" TargetMode="External"/><Relationship Id="rId880" Type="http://schemas.openxmlformats.org/officeDocument/2006/relationships/hyperlink" Target="https://doi.org/10.1038/d41586-026-01110-w" TargetMode="External"/><Relationship Id="rId881" Type="http://schemas.openxmlformats.org/officeDocument/2006/relationships/hyperlink" Target="https://www.nature.com/articles/d41586-026-01112-8" TargetMode="External"/><Relationship Id="rId882" Type="http://schemas.openxmlformats.org/officeDocument/2006/relationships/hyperlink" Target="https://doi.org/10.1038/d41586-026-01112-8" TargetMode="External"/><Relationship Id="rId883" Type="http://schemas.openxmlformats.org/officeDocument/2006/relationships/hyperlink" Target="https://www.nature.com/articles/s41586-026-10486-8" TargetMode="External"/><Relationship Id="rId884" Type="http://schemas.openxmlformats.org/officeDocument/2006/relationships/hyperlink" Target="https://doi.org/10.1038/s41586-026-10486-8" TargetMode="External"/><Relationship Id="rId885" Type="http://schemas.openxmlformats.org/officeDocument/2006/relationships/hyperlink" Target="https://www.nature.com/articles/d41586-026-00550-8" TargetMode="External"/><Relationship Id="rId886" Type="http://schemas.openxmlformats.org/officeDocument/2006/relationships/hyperlink" Target="https://doi.org/10.1038/d41586-026-00550-8" TargetMode="External"/><Relationship Id="rId887" Type="http://schemas.openxmlformats.org/officeDocument/2006/relationships/hyperlink" Target="https://www.nature.com/articles/d41586-026-01138-y" TargetMode="External"/><Relationship Id="rId888" Type="http://schemas.openxmlformats.org/officeDocument/2006/relationships/hyperlink" Target="https://doi.org/10.1038/d41586-026-01138-y" TargetMode="External"/><Relationship Id="rId889" Type="http://schemas.openxmlformats.org/officeDocument/2006/relationships/hyperlink" Target="https://www.sciencedirect.com/science/article/pii/S0306261926004708?dgcid=rss_sd_all" TargetMode="External"/><Relationship Id="rId890" Type="http://schemas.openxmlformats.org/officeDocument/2006/relationships/hyperlink" Target="https://academic.oup.com/nsr/advance-article/doi/10.1093/nsr/nwag206/8650509?rss=1" TargetMode="External"/><Relationship Id="rId891" Type="http://schemas.openxmlformats.org/officeDocument/2006/relationships/hyperlink" Target="https://doi.org/10.1093/nsr/nwag206" TargetMode="External"/><Relationship Id="rId892" Type="http://schemas.openxmlformats.org/officeDocument/2006/relationships/hyperlink" Target="https://academic.oup.com/nsr/advance-article/doi/10.1093/nsr/nwag219/8650500?rss=1" TargetMode="External"/><Relationship Id="rId893" Type="http://schemas.openxmlformats.org/officeDocument/2006/relationships/hyperlink" Target="https://doi.org/10.1093/nsr/nwag219" TargetMode="External"/><Relationship Id="rId894" Type="http://schemas.openxmlformats.org/officeDocument/2006/relationships/hyperlink" Target="https://academic.oup.com/nsr/advance-article/doi/10.1093/nsr/nwag218/8650495?rss=1" TargetMode="External"/><Relationship Id="rId895" Type="http://schemas.openxmlformats.org/officeDocument/2006/relationships/hyperlink" Target="https://doi.org/10.1093/nsr/nwag218" TargetMode="External"/><Relationship Id="rId896" Type="http://schemas.openxmlformats.org/officeDocument/2006/relationships/hyperlink" Target="https://www.nature.com/articles/d41586-026-01109-3" TargetMode="External"/><Relationship Id="rId897" Type="http://schemas.openxmlformats.org/officeDocument/2006/relationships/hyperlink" Target="https://doi.org/10.1038/d41586-026-01109-3" TargetMode="External"/><Relationship Id="rId898" Type="http://schemas.openxmlformats.org/officeDocument/2006/relationships/hyperlink" Target="https://www.nature.com/articles/d41586-026-01121-7" TargetMode="External"/><Relationship Id="rId899" Type="http://schemas.openxmlformats.org/officeDocument/2006/relationships/hyperlink" Target="https://doi.org/10.1038/d41586-026-01121-7" TargetMode="External"/><Relationship Id="rId900" Type="http://schemas.openxmlformats.org/officeDocument/2006/relationships/hyperlink" Target="https://www.nature.com/articles/d41586-026-01120-8" TargetMode="External"/><Relationship Id="rId901" Type="http://schemas.openxmlformats.org/officeDocument/2006/relationships/hyperlink" Target="https://doi.org/10.1038/d41586-026-01120-8" TargetMode="External"/><Relationship Id="rId902" Type="http://schemas.openxmlformats.org/officeDocument/2006/relationships/hyperlink" Target="https://www.nature.com/articles/s41467-026-71867-1" TargetMode="External"/><Relationship Id="rId903" Type="http://schemas.openxmlformats.org/officeDocument/2006/relationships/hyperlink" Target="https://doi.org/10.1038/s41467-026-71867-1" TargetMode="External"/><Relationship Id="rId904" Type="http://schemas.openxmlformats.org/officeDocument/2006/relationships/hyperlink" Target="https://www.sciencedirect.com/science/article/pii/S0306261926005052?dgcid=rss_sd_all" TargetMode="External"/><Relationship Id="rId905" Type="http://schemas.openxmlformats.org/officeDocument/2006/relationships/hyperlink" Target="https://www.nature.com/articles/s41467-026-71529-2" TargetMode="External"/><Relationship Id="rId906" Type="http://schemas.openxmlformats.org/officeDocument/2006/relationships/hyperlink" Target="https://doi.org/10.1038/s41467-026-71529-2" TargetMode="External"/><Relationship Id="rId907" Type="http://schemas.openxmlformats.org/officeDocument/2006/relationships/hyperlink" Target="https://www.sciencedirect.com/science/article/pii/S0301421526002247?dgcid=rss_sd_all" TargetMode="External"/><Relationship Id="rId908" Type="http://schemas.openxmlformats.org/officeDocument/2006/relationships/hyperlink" Target="https://www.sciencedirect.com/science/article/pii/S0301421526002090?dgcid=rss_sd_all" TargetMode="External"/><Relationship Id="rId909" Type="http://schemas.openxmlformats.org/officeDocument/2006/relationships/hyperlink" Target="https://www.sciencedirect.com/science/article/pii/S0301421526002223?dgcid=rss_sd_all" TargetMode="External"/><Relationship Id="rId910" Type="http://schemas.openxmlformats.org/officeDocument/2006/relationships/hyperlink" Target="https://www.sciencedirect.com/science/article/pii/S0301421526002120?dgcid=rss_sd_all" TargetMode="External"/><Relationship Id="rId911" Type="http://schemas.openxmlformats.org/officeDocument/2006/relationships/hyperlink" Target="https://www.sciencedirect.com/science/article/pii/S0301421526002260?dgcid=rss_sd_all" TargetMode="External"/><Relationship Id="rId912" Type="http://schemas.openxmlformats.org/officeDocument/2006/relationships/hyperlink" Target="https://www.cell.com/one-earth/fulltext/S2590-3322(26)00077-1?rss=yes" TargetMode="External"/><Relationship Id="rId913" Type="http://schemas.openxmlformats.org/officeDocument/2006/relationships/hyperlink" Target="https://doi.org/10.1016/j.oneear.2026.101676" TargetMode="External"/><Relationship Id="rId914" Type="http://schemas.openxmlformats.org/officeDocument/2006/relationships/hyperlink" Target="https://www.cell.com/matter/fulltext/S2590-2385(26)00122-0?rss=yes" TargetMode="External"/><Relationship Id="rId915" Type="http://schemas.openxmlformats.org/officeDocument/2006/relationships/hyperlink" Target="https://doi.org/10.1016/j.matt.2026.102759" TargetMode="External"/><Relationship Id="rId916" Type="http://schemas.openxmlformats.org/officeDocument/2006/relationships/hyperlink" Target="https://www.sciencedirect.com/science/article/pii/S0306261926004770?dgcid=rss_sd_all" TargetMode="External"/><Relationship Id="rId917" Type="http://schemas.openxmlformats.org/officeDocument/2006/relationships/hyperlink" Target="https://www.nature.com/articles/d41586-026-01108-4" TargetMode="External"/><Relationship Id="rId918" Type="http://schemas.openxmlformats.org/officeDocument/2006/relationships/hyperlink" Target="https://doi.org/10.1038/d41586-026-01108-4" TargetMode="External"/><Relationship Id="rId919" Type="http://schemas.openxmlformats.org/officeDocument/2006/relationships/hyperlink" Target="https://onlinelibrary.wiley.com/doi/10.1002/anie.6579208?af=R" TargetMode="External"/><Relationship Id="rId920" Type="http://schemas.openxmlformats.org/officeDocument/2006/relationships/hyperlink" Target="https://doi.org/10.1002/anie.6579208" TargetMode="External"/><Relationship Id="rId921" Type="http://schemas.openxmlformats.org/officeDocument/2006/relationships/hyperlink" Target="https://onlinelibrary.wiley.com/doi/10.1002/anie.202600002?af=R" TargetMode="External"/><Relationship Id="rId922" Type="http://schemas.openxmlformats.org/officeDocument/2006/relationships/hyperlink" Target="https://doi.org/10.1002/anie.202600002" TargetMode="External"/><Relationship Id="rId923" Type="http://schemas.openxmlformats.org/officeDocument/2006/relationships/hyperlink" Target="https://advanced.onlinelibrary.wiley.com/doi/10.1002/adma.73022?af=R" TargetMode="External"/><Relationship Id="rId924" Type="http://schemas.openxmlformats.org/officeDocument/2006/relationships/hyperlink" Target="https://doi.org/10.1002/adma.73022" TargetMode="External"/><Relationship Id="rId925" Type="http://schemas.openxmlformats.org/officeDocument/2006/relationships/hyperlink" Target="https://www.science.org/doi/abs/10.1126/science.aee7892?af=R" TargetMode="External"/><Relationship Id="rId926" Type="http://schemas.openxmlformats.org/officeDocument/2006/relationships/hyperlink" Target="https://doi.org/10.1126/science.aee7892" TargetMode="External"/><Relationship Id="rId927" Type="http://schemas.openxmlformats.org/officeDocument/2006/relationships/hyperlink" Target="https://www.science.org/doi/abs/10.1126/science.aef2907?af=R" TargetMode="External"/><Relationship Id="rId928" Type="http://schemas.openxmlformats.org/officeDocument/2006/relationships/hyperlink" Target="https://doi.org/10.1126/science.aef2907" TargetMode="External"/><Relationship Id="rId929" Type="http://schemas.openxmlformats.org/officeDocument/2006/relationships/hyperlink" Target="https://www.science.org/doi/abs/10.1126/science.aec0173?af=R" TargetMode="External"/><Relationship Id="rId930" Type="http://schemas.openxmlformats.org/officeDocument/2006/relationships/hyperlink" Target="https://doi.org/10.1126/science.aec0173" TargetMode="External"/><Relationship Id="rId931" Type="http://schemas.openxmlformats.org/officeDocument/2006/relationships/hyperlink" Target="https://www.science.org/doi/abs/10.1126/science.aeh7187?af=R" TargetMode="External"/><Relationship Id="rId932" Type="http://schemas.openxmlformats.org/officeDocument/2006/relationships/hyperlink" Target="https://doi.org/10.1126/science.aeh7187" TargetMode="External"/><Relationship Id="rId933" Type="http://schemas.openxmlformats.org/officeDocument/2006/relationships/hyperlink" Target="https://www.science.org/doi/abs/10.1126/science.adw5518?af=R" TargetMode="External"/><Relationship Id="rId934" Type="http://schemas.openxmlformats.org/officeDocument/2006/relationships/hyperlink" Target="https://doi.org/10.1126/science.adw5518" TargetMode="External"/><Relationship Id="rId935" Type="http://schemas.openxmlformats.org/officeDocument/2006/relationships/hyperlink" Target="https://www.science.org/doi/abs/10.1126/science.aeg1212?af=R" TargetMode="External"/><Relationship Id="rId936" Type="http://schemas.openxmlformats.org/officeDocument/2006/relationships/hyperlink" Target="https://doi.org/10.1126/science.aeg1212" TargetMode="External"/><Relationship Id="rId937" Type="http://schemas.openxmlformats.org/officeDocument/2006/relationships/hyperlink" Target="https://www.science.org/doi/abs/10.1126/science.aeh8592?af=R" TargetMode="External"/><Relationship Id="rId938" Type="http://schemas.openxmlformats.org/officeDocument/2006/relationships/hyperlink" Target="https://doi.org/10.1126/science.aeh8592" TargetMode="External"/><Relationship Id="rId939" Type="http://schemas.openxmlformats.org/officeDocument/2006/relationships/hyperlink" Target="https://www.science.org/doi/abs/10.1126/science.aeh8589?af=R" TargetMode="External"/><Relationship Id="rId940" Type="http://schemas.openxmlformats.org/officeDocument/2006/relationships/hyperlink" Target="https://doi.org/10.1126/science.aeh8589" TargetMode="External"/><Relationship Id="rId941" Type="http://schemas.openxmlformats.org/officeDocument/2006/relationships/hyperlink" Target="https://www.science.org/doi/abs/10.1126/science.aeh8588?af=R" TargetMode="External"/><Relationship Id="rId942" Type="http://schemas.openxmlformats.org/officeDocument/2006/relationships/hyperlink" Target="https://doi.org/10.1126/science.aeh8588" TargetMode="External"/><Relationship Id="rId943" Type="http://schemas.openxmlformats.org/officeDocument/2006/relationships/hyperlink" Target="https://www.science.org/doi/abs/10.1126/science.aeh8587?af=R" TargetMode="External"/><Relationship Id="rId944" Type="http://schemas.openxmlformats.org/officeDocument/2006/relationships/hyperlink" Target="https://doi.org/10.1126/science.aeh8587" TargetMode="External"/><Relationship Id="rId945" Type="http://schemas.openxmlformats.org/officeDocument/2006/relationships/hyperlink" Target="https://www.science.org/doi/abs/10.1126/science.aeh8586?af=R" TargetMode="External"/><Relationship Id="rId946" Type="http://schemas.openxmlformats.org/officeDocument/2006/relationships/hyperlink" Target="https://doi.org/10.1126/science.aeh8586" TargetMode="External"/><Relationship Id="rId947" Type="http://schemas.openxmlformats.org/officeDocument/2006/relationships/hyperlink" Target="https://www.science.org/doi/abs/10.1126/science.aeh8591?af=R" TargetMode="External"/><Relationship Id="rId948" Type="http://schemas.openxmlformats.org/officeDocument/2006/relationships/hyperlink" Target="https://doi.org/10.1126/science.aeh8591" TargetMode="External"/><Relationship Id="rId949" Type="http://schemas.openxmlformats.org/officeDocument/2006/relationships/hyperlink" Target="https://www.science.org/doi/abs/10.1126/science.aeb4154?af=R" TargetMode="External"/><Relationship Id="rId950" Type="http://schemas.openxmlformats.org/officeDocument/2006/relationships/hyperlink" Target="https://doi.org/10.1126/science.aeb4154" TargetMode="External"/><Relationship Id="rId951" Type="http://schemas.openxmlformats.org/officeDocument/2006/relationships/hyperlink" Target="https://www.science.org/doi/abs/10.1126/science.aeh8590?af=R" TargetMode="External"/><Relationship Id="rId952" Type="http://schemas.openxmlformats.org/officeDocument/2006/relationships/hyperlink" Target="https://doi.org/10.1126/science.aeh8590" TargetMode="External"/><Relationship Id="rId953" Type="http://schemas.openxmlformats.org/officeDocument/2006/relationships/hyperlink" Target="https://www.science.org/doi/abs/10.1126/science.aeg0857?af=R" TargetMode="External"/><Relationship Id="rId954" Type="http://schemas.openxmlformats.org/officeDocument/2006/relationships/hyperlink" Target="https://doi.org/10.1126/science.aeg0857" TargetMode="External"/><Relationship Id="rId955" Type="http://schemas.openxmlformats.org/officeDocument/2006/relationships/hyperlink" Target="https://www.science.org/doi/abs/10.1126/science.aeh8289?af=R" TargetMode="External"/><Relationship Id="rId956" Type="http://schemas.openxmlformats.org/officeDocument/2006/relationships/hyperlink" Target="https://doi.org/10.1126/science.aeh8289" TargetMode="External"/><Relationship Id="rId957" Type="http://schemas.openxmlformats.org/officeDocument/2006/relationships/hyperlink" Target="https://www.science.org/doi/abs/10.1126/science.aeb5832?af=R" TargetMode="External"/><Relationship Id="rId958" Type="http://schemas.openxmlformats.org/officeDocument/2006/relationships/hyperlink" Target="https://doi.org/10.1126/science.aeb5832" TargetMode="External"/><Relationship Id="rId959" Type="http://schemas.openxmlformats.org/officeDocument/2006/relationships/hyperlink" Target="https://www.science.org/doi/abs/10.1126/science.aeg1724?af=R" TargetMode="External"/><Relationship Id="rId960" Type="http://schemas.openxmlformats.org/officeDocument/2006/relationships/hyperlink" Target="https://doi.org/10.1126/science.aeg1724" TargetMode="External"/><Relationship Id="rId961" Type="http://schemas.openxmlformats.org/officeDocument/2006/relationships/hyperlink" Target="https://www.science.org/doi/abs/10.1126/science.aeg3511?af=R" TargetMode="External"/><Relationship Id="rId962" Type="http://schemas.openxmlformats.org/officeDocument/2006/relationships/hyperlink" Target="https://doi.org/10.1126/science.aeg3511" TargetMode="External"/><Relationship Id="rId963" Type="http://schemas.openxmlformats.org/officeDocument/2006/relationships/hyperlink" Target="https://www.science.org/doi/abs/10.1126/science.aed4177?af=R" TargetMode="External"/><Relationship Id="rId964" Type="http://schemas.openxmlformats.org/officeDocument/2006/relationships/hyperlink" Target="https://doi.org/10.1126/science.aed4177" TargetMode="External"/><Relationship Id="rId965" Type="http://schemas.openxmlformats.org/officeDocument/2006/relationships/hyperlink" Target="https://www.science.org/doi/abs/10.1126/science.ady7618?af=R" TargetMode="External"/><Relationship Id="rId966" Type="http://schemas.openxmlformats.org/officeDocument/2006/relationships/hyperlink" Target="https://doi.org/10.1126/science.ady7618" TargetMode="External"/><Relationship Id="rId967" Type="http://schemas.openxmlformats.org/officeDocument/2006/relationships/hyperlink" Target="https://www.science.org/doi/abs/10.1126/science.aeh8287?af=R" TargetMode="External"/><Relationship Id="rId968" Type="http://schemas.openxmlformats.org/officeDocument/2006/relationships/hyperlink" Target="https://doi.org/10.1126/science.aeh8287" TargetMode="External"/><Relationship Id="rId969" Type="http://schemas.openxmlformats.org/officeDocument/2006/relationships/hyperlink" Target="https://www.science.org/doi/abs/10.1126/science.adz4944?af=R" TargetMode="External"/><Relationship Id="rId970" Type="http://schemas.openxmlformats.org/officeDocument/2006/relationships/hyperlink" Target="https://doi.org/10.1126/science.adz4944" TargetMode="External"/><Relationship Id="rId971" Type="http://schemas.openxmlformats.org/officeDocument/2006/relationships/hyperlink" Target="https://www.science.org/doi/abs/10.1126/science.aed0645?af=R" TargetMode="External"/><Relationship Id="rId972" Type="http://schemas.openxmlformats.org/officeDocument/2006/relationships/hyperlink" Target="https://doi.org/10.1126/science.aed0645" TargetMode="External"/><Relationship Id="rId973" Type="http://schemas.openxmlformats.org/officeDocument/2006/relationships/hyperlink" Target="https://www.science.org/doi/abs/10.1126/science.aec8444?af=R" TargetMode="External"/><Relationship Id="rId974" Type="http://schemas.openxmlformats.org/officeDocument/2006/relationships/hyperlink" Target="https://doi.org/10.1126/science.aec8444" TargetMode="External"/><Relationship Id="rId975" Type="http://schemas.openxmlformats.org/officeDocument/2006/relationships/hyperlink" Target="https://www.science.org/doi/abs/10.1126/science.aeh8290?af=R" TargetMode="External"/><Relationship Id="rId976" Type="http://schemas.openxmlformats.org/officeDocument/2006/relationships/hyperlink" Target="https://doi.org/10.1126/science.aeh8290" TargetMode="External"/><Relationship Id="rId977" Type="http://schemas.openxmlformats.org/officeDocument/2006/relationships/hyperlink" Target="https://www.science.org/doi/abs/10.1126/science.aeg6719?af=R" TargetMode="External"/><Relationship Id="rId978" Type="http://schemas.openxmlformats.org/officeDocument/2006/relationships/hyperlink" Target="https://doi.org/10.1126/science.aeg6719" TargetMode="External"/><Relationship Id="rId979" Type="http://schemas.openxmlformats.org/officeDocument/2006/relationships/hyperlink" Target="https://www.science.org/doi/abs/10.1126/science.aeg3150?af=R" TargetMode="External"/><Relationship Id="rId980" Type="http://schemas.openxmlformats.org/officeDocument/2006/relationships/hyperlink" Target="https://doi.org/10.1126/science.aeg3150" TargetMode="External"/><Relationship Id="rId981" Type="http://schemas.openxmlformats.org/officeDocument/2006/relationships/hyperlink" Target="https://www.science.org/doi/abs/10.1126/science.aeg6715?af=R" TargetMode="External"/><Relationship Id="rId982" Type="http://schemas.openxmlformats.org/officeDocument/2006/relationships/hyperlink" Target="https://doi.org/10.1126/science.aeg6715" TargetMode="External"/><Relationship Id="rId983" Type="http://schemas.openxmlformats.org/officeDocument/2006/relationships/hyperlink" Target="https://www.science.org/doi/abs/10.1126/science.aeg3859?af=R" TargetMode="External"/><Relationship Id="rId984" Type="http://schemas.openxmlformats.org/officeDocument/2006/relationships/hyperlink" Target="https://doi.org/10.1126/science.aeg3859" TargetMode="External"/><Relationship Id="rId985" Type="http://schemas.openxmlformats.org/officeDocument/2006/relationships/hyperlink" Target="https://www.science.org/doi/abs/10.1126/science.adt8343?af=R" TargetMode="External"/><Relationship Id="rId986" Type="http://schemas.openxmlformats.org/officeDocument/2006/relationships/hyperlink" Target="https://doi.org/10.1126/science.adt8343" TargetMode="External"/><Relationship Id="rId987" Type="http://schemas.openxmlformats.org/officeDocument/2006/relationships/hyperlink" Target="https://www.pnas.org/doi/abs/10.1073/pnas.2525442123?mi=eymic2&amp;af=R&amp;access=on&amp;content=articlesChapters&amp;publication=pnas&amp;sortBy=Earliest&amp;target=default" TargetMode="External"/><Relationship Id="rId988" Type="http://schemas.openxmlformats.org/officeDocument/2006/relationships/hyperlink" Target="https://doi.org/10.1073/pnas.2525442123" TargetMode="External"/><Relationship Id="rId989" Type="http://schemas.openxmlformats.org/officeDocument/2006/relationships/hyperlink" Target="https://www.science.org/doi/abs/10.1126/science.adr1440?af=R" TargetMode="External"/><Relationship Id="rId990" Type="http://schemas.openxmlformats.org/officeDocument/2006/relationships/hyperlink" Target="https://doi.org/10.1126/science.adr1440" TargetMode="External"/><Relationship Id="rId991" Type="http://schemas.openxmlformats.org/officeDocument/2006/relationships/hyperlink" Target="https://www.science.org/doi/abs/10.1126/science.adw8526?af=R" TargetMode="External"/><Relationship Id="rId992" Type="http://schemas.openxmlformats.org/officeDocument/2006/relationships/hyperlink" Target="https://doi.org/10.1126/science.adw8526" TargetMode="External"/><Relationship Id="rId993" Type="http://schemas.openxmlformats.org/officeDocument/2006/relationships/hyperlink" Target="https://www.science.org/doi/abs/10.1126/science.ady2027?af=R" TargetMode="External"/><Relationship Id="rId994" Type="http://schemas.openxmlformats.org/officeDocument/2006/relationships/hyperlink" Target="https://doi.org/10.1126/science.ady2027" TargetMode="External"/><Relationship Id="rId995" Type="http://schemas.openxmlformats.org/officeDocument/2006/relationships/hyperlink" Target="https://www.science.org/doi/abs/10.1126/science.adt2178?af=R" TargetMode="External"/><Relationship Id="rId996" Type="http://schemas.openxmlformats.org/officeDocument/2006/relationships/hyperlink" Target="https://doi.org/10.1126/science.adt2178" TargetMode="External"/><Relationship Id="rId997" Type="http://schemas.openxmlformats.org/officeDocument/2006/relationships/hyperlink" Target="https://www.science.org/doi/abs/10.1126/science.aeb5280?af=R" TargetMode="External"/><Relationship Id="rId998" Type="http://schemas.openxmlformats.org/officeDocument/2006/relationships/hyperlink" Target="https://doi.org/10.1126/science.aeb5280" TargetMode="External"/><Relationship Id="rId999" Type="http://schemas.openxmlformats.org/officeDocument/2006/relationships/hyperlink" Target="https://www.pnas.org/doi/abs/10.1073/pnas.2523913123?mi=eymic2&amp;af=R&amp;access=on&amp;content=articlesChapters&amp;publication=pnas&amp;sortBy=Earliest&amp;target=default" TargetMode="External"/><Relationship Id="rId1000" Type="http://schemas.openxmlformats.org/officeDocument/2006/relationships/hyperlink" Target="https://doi.org/10.1073/pnas.2523913123" TargetMode="External"/><Relationship Id="rId1001" Type="http://schemas.openxmlformats.org/officeDocument/2006/relationships/hyperlink" Target="https://www.science.org/doi/abs/10.1126/science.aeg7825?af=R" TargetMode="External"/><Relationship Id="rId1002" Type="http://schemas.openxmlformats.org/officeDocument/2006/relationships/hyperlink" Target="https://doi.org/10.1126/science.aeg7825" TargetMode="External"/><Relationship Id="rId1003" Type="http://schemas.openxmlformats.org/officeDocument/2006/relationships/hyperlink" Target="https://www.pnas.org/doi/abs/10.1073/pnas.2602434123?mi=eymic2&amp;af=R&amp;access=on&amp;content=articlesChapters&amp;publication=pnas&amp;sortBy=Earliest&amp;target=default" TargetMode="External"/><Relationship Id="rId1004" Type="http://schemas.openxmlformats.org/officeDocument/2006/relationships/hyperlink" Target="https://doi.org/10.1073/pnas.2602434123" TargetMode="External"/><Relationship Id="rId1005" Type="http://schemas.openxmlformats.org/officeDocument/2006/relationships/hyperlink" Target="https://www.science.org/doi/abs/10.1126/science.ady5196?af=R" TargetMode="External"/><Relationship Id="rId1006" Type="http://schemas.openxmlformats.org/officeDocument/2006/relationships/hyperlink" Target="https://doi.org/10.1126/science.ady5196" TargetMode="External"/><Relationship Id="rId1007" Type="http://schemas.openxmlformats.org/officeDocument/2006/relationships/hyperlink" Target="https://www.pnas.org/doi/abs/10.1073/pnas.2530071123?mi=eymic2&amp;af=R&amp;access=on&amp;content=articlesChapters&amp;publication=pnas&amp;sortBy=Earliest&amp;target=default" TargetMode="External"/><Relationship Id="rId1008" Type="http://schemas.openxmlformats.org/officeDocument/2006/relationships/hyperlink" Target="https://doi.org/10.1073/pnas.2530071123" TargetMode="External"/><Relationship Id="rId1009" Type="http://schemas.openxmlformats.org/officeDocument/2006/relationships/hyperlink" Target="https://www.pnas.org/doi/abs/10.1073/pnas.2528146123?mi=eymic2&amp;af=R&amp;access=on&amp;content=articlesChapters&amp;publication=pnas&amp;sortBy=Earliest&amp;target=default" TargetMode="External"/><Relationship Id="rId1010" Type="http://schemas.openxmlformats.org/officeDocument/2006/relationships/hyperlink" Target="https://doi.org/10.1073/pnas.2528146123" TargetMode="External"/><Relationship Id="rId1011" Type="http://schemas.openxmlformats.org/officeDocument/2006/relationships/hyperlink" Target="https://www.pnas.org/doi/abs/10.1073/pnas.2526136123?mi=eymic2&amp;af=R&amp;access=on&amp;content=articlesChapters&amp;publication=pnas&amp;sortBy=Earliest&amp;target=default" TargetMode="External"/><Relationship Id="rId1012" Type="http://schemas.openxmlformats.org/officeDocument/2006/relationships/hyperlink" Target="https://doi.org/10.1073/pnas.2526136123" TargetMode="External"/><Relationship Id="rId1013" Type="http://schemas.openxmlformats.org/officeDocument/2006/relationships/hyperlink" Target="https://www.pnas.org/doi/abs/10.1073/pnas.2531899123?mi=eymic2&amp;af=R&amp;access=on&amp;content=articlesChapters&amp;publication=pnas&amp;sortBy=Earliest&amp;target=default" TargetMode="External"/><Relationship Id="rId1014" Type="http://schemas.openxmlformats.org/officeDocument/2006/relationships/hyperlink" Target="https://doi.org/10.1073/pnas.2531899123" TargetMode="External"/><Relationship Id="rId1015" Type="http://schemas.openxmlformats.org/officeDocument/2006/relationships/hyperlink" Target="https://www.pnas.org/doi/abs/10.1073/pnas.2525772123?mi=eymic2&amp;af=R&amp;access=on&amp;content=articlesChapters&amp;publication=pnas&amp;sortBy=Earliest&amp;target=default" TargetMode="External"/><Relationship Id="rId1016" Type="http://schemas.openxmlformats.org/officeDocument/2006/relationships/hyperlink" Target="https://doi.org/10.1073/pnas.2525772123" TargetMode="External"/><Relationship Id="rId1017" Type="http://schemas.openxmlformats.org/officeDocument/2006/relationships/hyperlink" Target="https://www.pnas.org/doi/abs/10.1073/pnas.2530860123?mi=eymic2&amp;af=R&amp;access=on&amp;content=articlesChapters&amp;publication=pnas&amp;sortBy=Earliest&amp;target=default" TargetMode="External"/><Relationship Id="rId1018" Type="http://schemas.openxmlformats.org/officeDocument/2006/relationships/hyperlink" Target="https://doi.org/10.1073/pnas.2530860123" TargetMode="External"/><Relationship Id="rId1019" Type="http://schemas.openxmlformats.org/officeDocument/2006/relationships/hyperlink" Target="https://www.pnas.org/doi/abs/10.1073/pnas.2536219123?mi=eymic2&amp;af=R&amp;access=on&amp;content=articlesChapters&amp;publication=pnas&amp;sortBy=Earliest&amp;target=default" TargetMode="External"/><Relationship Id="rId1020" Type="http://schemas.openxmlformats.org/officeDocument/2006/relationships/hyperlink" Target="https://doi.org/10.1073/pnas.2536219123" TargetMode="External"/><Relationship Id="rId1021" Type="http://schemas.openxmlformats.org/officeDocument/2006/relationships/hyperlink" Target="https://www.pnas.org/doi/abs/10.1073/pnas.2532472123?mi=eymic2&amp;af=R&amp;access=on&amp;content=articlesChapters&amp;publication=pnas&amp;sortBy=Earliest&amp;target=default" TargetMode="External"/><Relationship Id="rId1022" Type="http://schemas.openxmlformats.org/officeDocument/2006/relationships/hyperlink" Target="https://doi.org/10.1073/pnas.2532472123" TargetMode="External"/><Relationship Id="rId1023" Type="http://schemas.openxmlformats.org/officeDocument/2006/relationships/hyperlink" Target="https://www.pnas.org/doi/abs/10.1073/pnas.2528175123?mi=eymic2&amp;af=R&amp;access=on&amp;content=articlesChapters&amp;publication=pnas&amp;sortBy=Earliest&amp;target=default" TargetMode="External"/><Relationship Id="rId1024" Type="http://schemas.openxmlformats.org/officeDocument/2006/relationships/hyperlink" Target="https://doi.org/10.1073/pnas.2528175123" TargetMode="External"/><Relationship Id="rId1025" Type="http://schemas.openxmlformats.org/officeDocument/2006/relationships/hyperlink" Target="https://www.pnas.org/doi/abs/10.1073/pnas.2536291123?mi=eymic2&amp;af=R&amp;access=on&amp;content=articlesChapters&amp;publication=pnas&amp;sortBy=Earliest&amp;target=default" TargetMode="External"/><Relationship Id="rId1026" Type="http://schemas.openxmlformats.org/officeDocument/2006/relationships/hyperlink" Target="https://doi.org/10.1073/pnas.2536291123" TargetMode="External"/><Relationship Id="rId1027" Type="http://schemas.openxmlformats.org/officeDocument/2006/relationships/hyperlink" Target="https://www.pnas.org/doi/abs/10.1073/pnas.2528064123?mi=eymic2&amp;af=R&amp;access=on&amp;content=articlesChapters&amp;publication=pnas&amp;sortBy=Earliest&amp;target=default" TargetMode="External"/><Relationship Id="rId1028" Type="http://schemas.openxmlformats.org/officeDocument/2006/relationships/hyperlink" Target="https://doi.org/10.1073/pnas.2528064123" TargetMode="External"/><Relationship Id="rId1029" Type="http://schemas.openxmlformats.org/officeDocument/2006/relationships/hyperlink" Target="https://www.pnas.org/doi/abs/10.1073/pnas.2527863123?mi=eymic2&amp;af=R&amp;access=on&amp;content=articlesChapters&amp;publication=pnas&amp;sortBy=Earliest&amp;target=default" TargetMode="External"/><Relationship Id="rId1030" Type="http://schemas.openxmlformats.org/officeDocument/2006/relationships/hyperlink" Target="https://doi.org/10.1073/pnas.2527863123" TargetMode="External"/><Relationship Id="rId1031" Type="http://schemas.openxmlformats.org/officeDocument/2006/relationships/hyperlink" Target="https://www.science.org/doi/abs/10.1126/science.ady3136?af=R" TargetMode="External"/><Relationship Id="rId1032" Type="http://schemas.openxmlformats.org/officeDocument/2006/relationships/hyperlink" Target="https://doi.org/10.1126/science.ady3136" TargetMode="External"/><Relationship Id="rId1033" Type="http://schemas.openxmlformats.org/officeDocument/2006/relationships/hyperlink" Target="http://dx.doi.org/10.1021/jacs.5c15427" TargetMode="External"/><Relationship Id="rId1034" Type="http://schemas.openxmlformats.org/officeDocument/2006/relationships/hyperlink" Target="https://doi.org/10.1021/jacs.5c15427" TargetMode="External"/><Relationship Id="rId1035" Type="http://schemas.openxmlformats.org/officeDocument/2006/relationships/hyperlink" Target="http://dx.doi.org/10.1021/jacs.6c01328" TargetMode="External"/><Relationship Id="rId1036" Type="http://schemas.openxmlformats.org/officeDocument/2006/relationships/hyperlink" Target="https://doi.org/10.1021/jacs.6c01328" TargetMode="External"/><Relationship Id="rId1037" Type="http://schemas.openxmlformats.org/officeDocument/2006/relationships/hyperlink" Target="http://dx.doi.org/10.1021/jacs.5c22794" TargetMode="External"/><Relationship Id="rId1038" Type="http://schemas.openxmlformats.org/officeDocument/2006/relationships/hyperlink" Target="https://doi.org/10.1021/jacs.5c22794" TargetMode="External"/><Relationship Id="rId1039" Type="http://schemas.openxmlformats.org/officeDocument/2006/relationships/hyperlink" Target="http://dx.doi.org/10.1021/acsenergylett.6c00480" TargetMode="External"/><Relationship Id="rId1040" Type="http://schemas.openxmlformats.org/officeDocument/2006/relationships/hyperlink" Target="https://doi.org/10.1021/acsenergylett.6c00480" TargetMode="External"/><Relationship Id="rId1041" Type="http://schemas.openxmlformats.org/officeDocument/2006/relationships/hyperlink" Target="http://dx.doi.org/10.1021/jacs.6c00668" TargetMode="External"/><Relationship Id="rId1042" Type="http://schemas.openxmlformats.org/officeDocument/2006/relationships/hyperlink" Target="https://doi.org/10.1021/jacs.6c006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