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2026-04-17</w:t>
      </w:r>
    </w:p>
    <w:p>
      <w:pPr>
        <w:spacing w:before="160" w:after="120"/>
      </w:pPr>
      <w:r>
        <w:rPr>
          <w:b/>
          <w:sz w:val="28"/>
        </w:rPr>
        <w:t>【光伏】</w:t>
      </w:r>
    </w:p>
    <w:p>
      <w:pPr>
        <w:spacing w:before="160" w:after="40" w:line="240" w:lineRule="auto"/>
      </w:pPr>
      <w:r>
        <w:rPr>
          <w:b/>
        </w:rPr>
        <w:t xml:space="preserve">[1] </w:t>
      </w:r>
      <w:hyperlink r:id="rId9">
        <w:r>
          <w:rPr>
            <w:color w:val="1155CC"/>
            <w:u w:val="single"/>
          </w:rPr>
          <w:t>高效全聚合物太阳能电池：迈向具有柔性、半透明和隔热功能的可持续智能窗户</w:t>
        </w:r>
      </w:hyperlink>
    </w:p>
    <w:p>
      <w:pPr>
        <w:spacing w:before="0" w:after="80"/>
      </w:pPr>
      <w:r>
        <w:rPr>
          <w:i/>
          <w:sz w:val="20"/>
        </w:rPr>
        <w:t>EN: High‐Efficiency All‐Polymer Solar Cells: Toward Sustainable Smart Windows With Flexibility, Semitransparency, and Thermal Insulation</w:t>
      </w:r>
    </w:p>
    <w:p>
      <w:pPr>
        <w:spacing w:before="0" w:after="120"/>
      </w:pPr>
      <w:r>
        <w:rPr>
          <w:b/>
        </w:rPr>
        <w:t xml:space="preserve">Source: </w:t>
      </w:r>
      <w:r>
        <w:t>Wiley: Angewandte Chemie International Edition: Table of Contents</w:t>
      </w:r>
      <w:r>
        <w:t xml:space="preserve">    </w:t>
      </w:r>
      <w:r>
        <w:rPr>
          <w:b/>
        </w:rPr>
        <w:t xml:space="preserve">Pub date: </w:t>
      </w:r>
      <w:r>
        <w:t>2026-04-11 04:53:23+00:00</w:t>
      </w:r>
      <w:r>
        <w:t xml:space="preserve">    </w:t>
      </w:r>
      <w:r>
        <w:rPr>
          <w:b/>
        </w:rPr>
        <w:t xml:space="preserve">DOI: </w:t>
      </w:r>
      <w:hyperlink r:id="rId10">
        <w:r>
          <w:rPr>
            <w:color w:val="1155CC"/>
            <w:u w:val="single"/>
          </w:rPr>
          <w:t>10.1002/anie.9629642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层（LBL）全聚合物太阳能电池（all‐PSCs）具有灵活调节供体/受体形态和结晶度的特点，这是释放材料最大潜力以实现高效率的独特优势，而合理选择供体/受体调节剂对于先进器件的制造至关重要。在这项研究中，1‐甲氧基萘（1‐MeON）被确定为一种能够诱导经典聚合物供体（D18、PM6和PBQx‐TF）有序堆积的添加剂。在此基础上，我们采用不同的添加剂独立优化LBL all‐PSCs中聚合物供体和受体的有序堆积/聚集以及垂直相分布，这与出色的电荷管理相匹配，并实现了20.03%的卓越效率（认证</w:t>
      </w:r>
    </w:p>
    <w:p>
      <w:pPr>
        <w:spacing w:before="0" w:after="200" w:lineRule="auto" w:line="276"/>
      </w:pPr>
      <w:r>
        <w:rPr>
          <w:b/>
        </w:rPr>
        <w:t xml:space="preserve">Abstract (EN): </w:t>
      </w:r>
      <w:r>
        <w:t>Layer‐by‐layer (LBL) all‐polymer solar cells (all‐PSCs) feature flexible modulation of donor/acceptor morphology and crystallinity, a unique merit for unlocking maximum material potential toward high efficiency, while rational selection of donor/acceptor regulators is crucial for advanced device fabrication. In this study, 1‐methoxynaphthalene (1‐MeON) is identified as an additive capable of inducing ordered stacking of classic polymer donors (D18, PM6 and PBQx‐TF). Building on this, we employed distinct additives to independently optimize the ordered stacking/aggregation of polymer donor and acceptor in LBL all‐PSCs, as well as the vertical phase distribution, which well match the excellent charge management and deliver an outstanding efficiency of 20.03% (certified 19.60%) for rigid and 18.76% for flexible binary devices. Importantly, this combined strategy further enables thickness‐tunable donor layers to balance efficiency and transmittance, facilitating high‐performance semitransparent devices. The rigid semitransparent all‐PSC achieves an efficiency of 16.07% with transmittance of 20.1%, while the flexible counterpart reaches an efficiency of 15.17% and retains over 96% of its initial efficiency after 1000 bending cycles. Moreover, these semitransparent devices also demonstrate excellent thermal insulation (reducing temperature over 10 degrees celsius). This achievement establishes a pivotal paradigm for high‐efficiency all‐PSCs and verifies their immense practical application in sustainable smart windows.</w:t>
      </w:r>
    </w:p>
    <w:p>
      <w:pPr>
        <w:spacing w:before="120" w:after="120"/>
      </w:pPr>
      <w:r>
        <w:rPr>
          <w:sz w:val="18"/>
        </w:rPr>
        <w:t>——————————————————————————————————————————————————————————————————————</w:t>
      </w:r>
    </w:p>
    <w:p>
      <w:pPr>
        <w:spacing w:before="160" w:after="40" w:line="240" w:lineRule="auto"/>
      </w:pPr>
      <w:r>
        <w:rPr>
          <w:b/>
        </w:rPr>
        <w:t xml:space="preserve">[2] </w:t>
      </w:r>
      <w:hyperlink r:id="rId11">
        <w:r>
          <w:rPr>
            <w:color w:val="1155CC"/>
            <w:u w:val="single"/>
          </w:rPr>
          <w:t>锰介导的相工程用于高效无镉Cu2ZnSnS4透明电极太阳能电池</w:t>
        </w:r>
      </w:hyperlink>
    </w:p>
    <w:p>
      <w:pPr>
        <w:spacing w:before="0" w:after="80"/>
      </w:pPr>
      <w:r>
        <w:rPr>
          <w:i/>
          <w:sz w:val="20"/>
        </w:rPr>
        <w:t>EN: Mn‐Mediated Phase Engineering for Efficient Cd‐Free Cu2ZnSnS4 Solar Cells on Transparent Electrode</w:t>
      </w:r>
    </w:p>
    <w:p>
      <w:pPr>
        <w:spacing w:before="0" w:after="120"/>
      </w:pPr>
      <w:r>
        <w:rPr>
          <w:b/>
        </w:rPr>
        <w:t xml:space="preserve">Source: </w:t>
      </w:r>
      <w:r>
        <w:t>Wiley: Advanced Energy Materials: Table of Contents</w:t>
      </w:r>
      <w:r>
        <w:t xml:space="preserve">    </w:t>
      </w:r>
      <w:r>
        <w:rPr>
          <w:b/>
        </w:rPr>
        <w:t xml:space="preserve">Pub date: </w:t>
      </w:r>
      <w:r>
        <w:t>2026-04-11 05:50:24+00:00</w:t>
      </w:r>
      <w:r>
        <w:t xml:space="preserve">    </w:t>
      </w:r>
      <w:r>
        <w:rPr>
          <w:b/>
        </w:rPr>
        <w:t xml:space="preserve">DOI: </w:t>
      </w:r>
      <w:hyperlink r:id="rId12">
        <w:r>
          <w:rPr>
            <w:color w:val="1155CC"/>
            <w:u w:val="single"/>
          </w:rPr>
          <w:t>10.1002/aenm.70931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氟掺杂氧化锡（FTO）作为Cu</w:t>
      </w:r>
      <w:r>
        <w:rPr>
          <w:vertAlign w:val="subscript"/>
        </w:rPr>
        <w:t>2</w:t>
      </w:r>
      <w:r>
        <w:t>ZnSnS</w:t>
      </w:r>
      <w:r>
        <w:rPr>
          <w:vertAlign w:val="subscript"/>
        </w:rPr>
        <w:t>4</w:t>
      </w:r>
      <w:r>
        <w:t>（CZTS）太阳能电池的背电极在建筑一体化光伏（BIPV）和串联电池应用中具有显著潜力。然而，严重的SnS</w:t>
      </w:r>
      <w:r>
        <w:rPr>
          <w:vertAlign w:val="subscript"/>
        </w:rPr>
        <w:t>2</w:t>
      </w:r>
      <w:r>
        <w:t>二次相会降低器件性能。在此，我们报告了一种Mn掺杂策略以改善CZTS吸收层相纯度。结果表明，大量SnS</w:t>
      </w:r>
      <w:r>
        <w:rPr>
          <w:vertAlign w:val="subscript"/>
        </w:rPr>
        <w:t>2</w:t>
      </w:r>
      <w:r>
        <w:t>的形成来自FTO与垂直液态SnS</w:t>
      </w:r>
      <w:r>
        <w:rPr>
          <w:vertAlign w:val="subscript"/>
        </w:rPr>
        <w:t>2</w:t>
      </w:r>
      <w:r>
        <w:t>通道传递的S之间的反应。掺杂膜中MnS的形成破坏了液体通道，从而阻止</w:t>
      </w:r>
    </w:p>
    <w:p>
      <w:pPr>
        <w:spacing w:before="0" w:after="200" w:lineRule="auto" w:line="276"/>
      </w:pPr>
      <w:r>
        <w:rPr>
          <w:b/>
        </w:rPr>
        <w:t xml:space="preserve">Abstract (EN): </w:t>
      </w:r>
      <w:r>
        <w:t>Fluorine‐doped tin oxide (FTO) as a back electrode in Cu</w:t>
      </w:r>
      <w:r>
        <w:rPr>
          <w:vertAlign w:val="subscript"/>
        </w:rPr>
        <w:t>2</w:t>
      </w:r>
      <w:r>
        <w:t>ZnSnS</w:t>
      </w:r>
      <w:r>
        <w:rPr>
          <w:vertAlign w:val="subscript"/>
        </w:rPr>
        <w:t>4</w:t>
      </w:r>
      <w:r>
        <w:t>(CZTS) solar cells holds significant potential for building‐integrated photovoltaics (BIPV) and tandem cell applications. However, severe SnS</w:t>
      </w:r>
      <w:r>
        <w:rPr>
          <w:vertAlign w:val="subscript"/>
        </w:rPr>
        <w:t>2</w:t>
      </w:r>
      <w:r>
        <w:t>secondary phase degrades device performance. Here, we report a Mn doping strategy to mitigate CZTS absorber phase purity. The results show that the formation of a large amount of SnS</w:t>
      </w:r>
      <w:r>
        <w:rPr>
          <w:vertAlign w:val="subscript"/>
        </w:rPr>
        <w:t>2</w:t>
      </w:r>
      <w:r>
        <w:t>comes from reaction between FTO and vertical liquid SnS</w:t>
      </w:r>
      <w:r>
        <w:rPr>
          <w:vertAlign w:val="subscript"/>
        </w:rPr>
        <w:t>2</w:t>
      </w:r>
      <w:r>
        <w:t>channel delivered S. The formation of MnS in doped film disrupts the liquid channel, which prevents back contact reaction. The mitigation of the detrimental secondary phase and incorporation of Mn into the lattice of CZTS (by occupying Zn site) greatly reduce defect concentration within absorber bulk and at heterojunction interface, leading to remarkably increased fill factor and open‐circuit voltage and an efficiency of 7.95% at doping concentration of 2.5%. Over Mn doping not only hinders grain growth but left undesirable MnS in the film, severely reducing film quality and device performance. Furthermore, wide bandgap Zn</w:t>
      </w:r>
      <w:r>
        <w:t xml:space="preserve"> </w:t>
      </w:r>
      <w:r>
        <w:t>1‐</w:t>
      </w:r>
      <w:r>
        <w:t xml:space="preserve"> </w:t>
      </w:r>
      <w:r>
        <w:t>x</w:t>
      </w:r>
      <w:r>
        <w:t xml:space="preserve"> </w:t>
      </w:r>
      <w:r>
        <w:t>Sn</w:t>
      </w:r>
      <w:r>
        <w:t xml:space="preserve"> </w:t>
      </w:r>
      <w:r>
        <w:t>x</w:t>
      </w:r>
      <w:r>
        <w:t xml:space="preserve"> </w:t>
      </w:r>
      <w:r>
        <w:t>O (ZTO) buffer layer was deposited to replace CdS, constructing a favorable “spike‐like” energy band alignment at the heterojunction with effectively suppressed interface recombination, first achieving a Cd‐free CZTS device on transparent substrate with an efficiency of 9.32%.</w:t>
      </w:r>
    </w:p>
    <w:p>
      <w:pPr>
        <w:spacing w:before="120" w:after="120"/>
      </w:pPr>
      <w:r>
        <w:rPr>
          <w:sz w:val="18"/>
        </w:rPr>
        <w:t>——————————————————————————————————————————————————————————————————————</w:t>
      </w:r>
    </w:p>
    <w:p>
      <w:pPr>
        <w:spacing w:before="160" w:after="40" w:line="240" w:lineRule="auto"/>
      </w:pPr>
      <w:r>
        <w:rPr>
          <w:b/>
        </w:rPr>
        <w:t xml:space="preserve">[3] </w:t>
      </w:r>
      <w:hyperlink r:id="rId13">
        <w:r>
          <w:rPr>
            <w:color w:val="1155CC"/>
            <w:u w:val="single"/>
          </w:rPr>
          <w:t>一种用于光伏缺陷检测的新型多尺度贝叶斯-KAN模型</w:t>
        </w:r>
      </w:hyperlink>
    </w:p>
    <w:p>
      <w:pPr>
        <w:spacing w:before="0" w:after="80"/>
      </w:pPr>
      <w:r>
        <w:rPr>
          <w:i/>
          <w:sz w:val="20"/>
        </w:rPr>
        <w:t>EN: A novel multi-scale Bayesian-KAN model for PV defect detection</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
        <w:r>
          <w:rPr>
            <w:color w:val="1155CC"/>
            <w:u w:val="single"/>
          </w:rPr>
          <w:t>轻质柔性光伏模块中冰雹引起的损伤映射的微观-宏观分析</w:t>
        </w:r>
      </w:hyperlink>
    </w:p>
    <w:p>
      <w:pPr>
        <w:spacing w:before="0" w:after="80"/>
      </w:pPr>
      <w:r>
        <w:rPr>
          <w:i/>
          <w:sz w:val="20"/>
        </w:rPr>
        <w:t>EN: Micro–macro analysis for mapping hail-induced damage in lightweight flexible photovoltaic modules</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
        <w:r>
          <w:rPr>
            <w:color w:val="1155CC"/>
            <w:u w:val="single"/>
          </w:rPr>
          <w:t>作者更正：通过仿生多位点聚合物提高机械耐久性以应对高湿度，用于高效柔性钙钛矿太阳能电池</w:t>
        </w:r>
      </w:hyperlink>
    </w:p>
    <w:p>
      <w:pPr>
        <w:spacing w:before="0" w:after="80"/>
      </w:pPr>
      <w:r>
        <w:rPr>
          <w:i/>
          <w:sz w:val="20"/>
        </w:rPr>
        <w:t>EN: Author Correction: Boosting mechanical durability under high humidity by bioinspired multisite polymer for high-efficiency flexible perovskite solar cells</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16">
        <w:r>
          <w:rPr>
            <w:color w:val="1155CC"/>
            <w:u w:val="single"/>
          </w:rPr>
          <w:t>10.1038/s41467-026-72048-w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
        <w:r>
          <w:rPr>
            <w:color w:val="1155CC"/>
            <w:u w:val="single"/>
          </w:rPr>
          <w:t>太阳能反弹效应对欧洲能源转型的影响</w:t>
        </w:r>
      </w:hyperlink>
    </w:p>
    <w:p>
      <w:pPr>
        <w:spacing w:before="0" w:after="80"/>
      </w:pPr>
      <w:r>
        <w:rPr>
          <w:i/>
          <w:sz w:val="20"/>
        </w:rPr>
        <w:t>EN: Implications of the solar rebound effect for the European energy transition</w:t>
      </w:r>
    </w:p>
    <w:p>
      <w:pPr>
        <w:spacing w:before="0" w:after="120"/>
      </w:pPr>
      <w:r>
        <w:rPr>
          <w:b/>
        </w:rPr>
        <w:t xml:space="preserve">Source: </w:t>
      </w:r>
      <w:r>
        <w:t>Nature Energy</w:t>
      </w:r>
      <w:r>
        <w:t xml:space="preserve">    </w:t>
      </w:r>
      <w:r>
        <w:rPr>
          <w:b/>
        </w:rPr>
        <w:t xml:space="preserve">Pub date: </w:t>
      </w:r>
      <w:r>
        <w:t>2026-04-14 00:00:00+00:00</w:t>
      </w:r>
      <w:r>
        <w:t xml:space="preserve">    </w:t>
      </w:r>
      <w:r>
        <w:rPr>
          <w:b/>
        </w:rPr>
        <w:t xml:space="preserve">DOI: </w:t>
      </w:r>
      <w:hyperlink r:id="rId18">
        <w:r>
          <w:rPr>
            <w:color w:val="1155CC"/>
            <w:u w:val="single"/>
          </w:rPr>
          <w:t>10.1038/s41560-026-02031-8</w:t>
        </w:r>
      </w:hyperlink>
    </w:p>
    <w:p>
      <w:pPr>
        <w:spacing w:before="0" w:after="120"/>
      </w:pPr>
      <w:r>
        <w:rPr>
          <w:b/>
        </w:rPr>
        <w:t xml:space="preserve">Notes: </w:t>
      </w:r>
      <w:r>
        <w:t>abstract_source=nature_html</w:t>
      </w:r>
    </w:p>
    <w:p>
      <w:pPr>
        <w:spacing w:before="0" w:after="80" w:lineRule="auto" w:line="276"/>
      </w:pPr>
      <w:r>
        <w:rPr>
          <w:b/>
        </w:rPr>
        <w:t xml:space="preserve">摘要（ZH）: </w:t>
      </w:r>
      <w:r>
        <w:t>太阳能反弹效应（SRE）发生在屋顶光伏采用增加家庭电力消耗时，这种现象是由于人们将太阳能视为免费资源的观念所驱动的。尽管在经验上已被观察到，但SRE尚未在能源系统建模或减排情景中得到考虑。本研究将经验导出的SRE强度整合到一个开源的欧洲能源系统优化模型中，将行为效应转化为时间上不同的需求曲线。结果表明，不仅反弹的幅度，而且其时间安排决定了其对系统的影响。额外的需求导致可再生能源投资需求、灵活性要求和整体系统成本的增加，同时引发倒退效应，因为推动反弹的家庭</w:t>
      </w:r>
    </w:p>
    <w:p>
      <w:pPr>
        <w:spacing w:before="0" w:after="200" w:lineRule="auto" w:line="276"/>
      </w:pPr>
      <w:r>
        <w:rPr>
          <w:b/>
        </w:rPr>
        <w:t xml:space="preserve">Abstract (EN): </w:t>
      </w:r>
      <w:r>
        <w:t>The solar rebound effect (SRE) occurs when rooftop photovoltaic adoption increases household electricity consumption, driven by the perception of solar energy as a free resource. Although empirically observed, the SRE has not yet been accounted for in energy system modelling or abatement scenarios. This study integrates empirically derived SRE intensities into an open-source optimization model of the European energy system, translating behavioural effects into temporally distinct demand profiles. The results show that not only the magnitude but also the timing of the rebound determines its system impact. Additional demand leads to increases in renewable investment needs, flexibility requirements and overall system costs while inducing regressive effects, as households driving the rebound do not bear its full costs. The findings call for explicit inclusion of SRE in abatement scenarios and grid planning and highlight load-shifting incentives and energy efficiency policies as key tools to mitigate rebound effects and align demand with renewable generation.</w:t>
      </w:r>
    </w:p>
    <w:p>
      <w:pPr>
        <w:spacing w:before="120" w:after="120"/>
      </w:pPr>
      <w:r>
        <w:rPr>
          <w:sz w:val="18"/>
        </w:rPr>
        <w:t>——————————————————————————————————————————————————————————————————————</w:t>
      </w:r>
    </w:p>
    <w:p>
      <w:pPr>
        <w:spacing w:before="160" w:after="40" w:line="240" w:lineRule="auto"/>
      </w:pPr>
      <w:r>
        <w:rPr>
          <w:b/>
        </w:rPr>
        <w:t xml:space="preserve">[7] </w:t>
      </w:r>
      <w:hyperlink r:id="rId19">
        <w:r>
          <w:rPr>
            <w:color w:val="1155CC"/>
            <w:u w:val="single"/>
          </w:rPr>
          <w:t>AutoPV：一个用于光伏预测模型自动设计的智能框架</w:t>
        </w:r>
      </w:hyperlink>
    </w:p>
    <w:p>
      <w:pPr>
        <w:spacing w:before="0" w:after="80"/>
      </w:pPr>
      <w:r>
        <w:rPr>
          <w:i/>
          <w:sz w:val="20"/>
        </w:rPr>
        <w:t>EN: AutoPV: An intelligent framework for automated design of photovoltaic forecasting models</w:t>
      </w:r>
    </w:p>
    <w:p>
      <w:pPr>
        <w:spacing w:before="0" w:after="120"/>
      </w:pPr>
      <w:r>
        <w:rPr>
          <w:b/>
        </w:rPr>
        <w:t xml:space="preserve">Source: </w:t>
      </w:r>
      <w:r>
        <w:t>ScienceDirect Publication: Applied Energy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0">
        <w:r>
          <w:rPr>
            <w:color w:val="1155CC"/>
            <w:u w:val="single"/>
          </w:rPr>
          <w:t>Spiro‐Buckybowl结构的空穴传输材料用于高效稳定的p–i–n钙钛矿太阳能电池</w:t>
        </w:r>
      </w:hyperlink>
    </w:p>
    <w:p>
      <w:pPr>
        <w:spacing w:before="0" w:after="80"/>
      </w:pPr>
      <w:r>
        <w:rPr>
          <w:i/>
          <w:sz w:val="20"/>
        </w:rPr>
        <w:t>EN: Spiro‐Buckybowl‐Structured Hole‐Transporting Materials Toward High‐Efficiency and Stable p–i–n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2026-04-14 06:29:37+00:00</w:t>
      </w:r>
      <w:r>
        <w:t xml:space="preserve">    </w:t>
      </w:r>
      <w:r>
        <w:rPr>
          <w:b/>
        </w:rPr>
        <w:t xml:space="preserve">DOI: </w:t>
      </w:r>
      <w:hyperlink r:id="rId21">
        <w:r>
          <w:rPr>
            <w:color w:val="1155CC"/>
            <w:u w:val="single"/>
          </w:rPr>
          <w:t>10.1002/anie.202525625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p-i-n结构的钙钛矿太阳能电池（PSCs）中，底层空穴传输材料（HTMs）的均匀分布及其与钙钛矿缺陷的界面相互作用对器件效率和长期稳定性至关重要。在此，我们通过在称为Sp–Se和Sp–S的sumanene的π框架中引入硫属元素（Se和S），开发了两种spiro-buckybowl形状的HTMs。spiro融合引起的独特3D正交几何形状减少了分子间的π–π相互作用，阻碍了分子聚集，提高了表面覆盖率并促进了有效的空穴提取。此外，碗形π系统在深层缺陷（Pb</w:t>
      </w:r>
      <w:r>
        <w:t xml:space="preserve"> </w:t>
      </w:r>
      <w:r>
        <w:t>2+</w:t>
      </w:r>
      <w:r>
        <w:t xml:space="preserve"> </w:t>
      </w:r>
      <w:r>
        <w:t>，V</w:t>
      </w:r>
    </w:p>
    <w:p>
      <w:pPr>
        <w:spacing w:before="0" w:after="200" w:lineRule="auto" w:line="276"/>
      </w:pPr>
      <w:r>
        <w:rPr>
          <w:b/>
        </w:rPr>
        <w:t xml:space="preserve">Abstract (EN): </w:t>
      </w:r>
      <w:r>
        <w:t>In p–i–n structured perovskite solar cells (PSCs), uniform distribution of underlying hole‐transporting materials (HTMs) and its interfacial interaction with perovskite defects are crucial for device efficiency and long‐term stability. Here, we developed two spiro‐buckybowl‐shaped HTMs by introducing chalcogen elements (Se and S) into the π‐frameworks of sumanene named as Sp–Se and Sp–S, respectively. The unique 3D orthogonal‐geometry induced by spiro‐fusion reduces intermolecular π–π interactions, hindering molecular aggregation, improving surface coverage and facilitating efficient hole extraction. Additionally, the bowl‐shaped π‐system plays a critical role in deep‐level defects (Pb</w:t>
      </w:r>
      <w:r>
        <w:t xml:space="preserve"> </w:t>
      </w:r>
      <w:r>
        <w:t>2+</w:t>
      </w:r>
      <w:r>
        <w:t xml:space="preserve"> </w:t>
      </w:r>
      <w:r>
        <w:t>, V</w:t>
      </w:r>
      <w:r>
        <w:t xml:space="preserve"> </w:t>
      </w:r>
      <w:r>
        <w:t>I</w:t>
      </w:r>
      <w:r>
        <w:t xml:space="preserve"> </w:t>
      </w:r>
      <w:r>
        <w:t>) passivation, leading to effective perovskite crystallization. Specifically, the Sp–S enables superior hole transport and a stabilized buried interface, yielding a champion efficiency of 25.54% (certified at 25.36%) and exceptional operational stability with 92.5% retention over 1250 h under continuous light illumination at 65°C (ISOS‐L‐2). The spiro‐buckybowl molecular structure establishes a new design paradigm for organic semiconductors, offering a versatile platform for perovskite photovoltaics.</w:t>
      </w:r>
    </w:p>
    <w:p>
      <w:pPr>
        <w:spacing w:before="120" w:after="120"/>
      </w:pPr>
      <w:r>
        <w:rPr>
          <w:sz w:val="18"/>
        </w:rPr>
        <w:t>——————————————————————————————————————————————————————————————————————</w:t>
      </w:r>
    </w:p>
    <w:p>
      <w:pPr>
        <w:spacing w:before="160" w:after="40" w:line="240" w:lineRule="auto"/>
      </w:pPr>
      <w:r>
        <w:rPr>
          <w:b/>
        </w:rPr>
        <w:t xml:space="preserve">[9] </w:t>
      </w:r>
      <w:hyperlink r:id="rId22">
        <w:r>
          <w:rPr>
            <w:color w:val="1155CC"/>
            <w:u w:val="single"/>
          </w:rPr>
          <w:t>通过扭角工程增强原子薄卤化物钙钛矿/WSe2范德华异质结的光电性能</w:t>
        </w:r>
      </w:hyperlink>
    </w:p>
    <w:p>
      <w:pPr>
        <w:spacing w:before="0" w:after="80"/>
      </w:pPr>
      <w:r>
        <w:rPr>
          <w:i/>
          <w:sz w:val="20"/>
        </w:rPr>
        <w:t>EN: Twist‐Angle Engineering of Atomically Thin Halide Perovskite/WSe2 Van der Waals Heterojunctions for Enhanced Optoelectronic Performance</w:t>
      </w:r>
    </w:p>
    <w:p>
      <w:pPr>
        <w:spacing w:before="0" w:after="120"/>
      </w:pPr>
      <w:r>
        <w:rPr>
          <w:b/>
        </w:rPr>
        <w:t xml:space="preserve">Source: </w:t>
      </w:r>
      <w:r>
        <w:t>Wiley: Advanced Energy Materials: Table of Contents</w:t>
      </w:r>
      <w:r>
        <w:t xml:space="preserve">    </w:t>
      </w:r>
      <w:r>
        <w:rPr>
          <w:b/>
        </w:rPr>
        <w:t xml:space="preserve">Pub date: </w:t>
      </w:r>
      <w:r>
        <w:t>2026-04-14 07:29:46+00:00</w:t>
      </w:r>
      <w:r>
        <w:t xml:space="preserve">    </w:t>
      </w:r>
      <w:r>
        <w:rPr>
          <w:b/>
        </w:rPr>
        <w:t xml:space="preserve">DOI: </w:t>
      </w:r>
      <w:hyperlink r:id="rId23">
        <w:r>
          <w:rPr>
            <w:color w:val="1155CC"/>
            <w:u w:val="single"/>
          </w:rPr>
          <w:t>10.1002/aenm.70946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钙钛矿与二维范德华半导体之间的原子级异质结的发展提供了一条通过调整界面耦合来提升光电性能的有前途的途径，但在原子尺度上实现层间对齐的确定性控制仍然具有挑战性。在此，我们报告了具有精确定义扭转角（0°、5°、7°、10°、12°和15°）的原子级薄（PEA）</w:t>
      </w:r>
      <w:r>
        <w:rPr>
          <w:vertAlign w:val="subscript"/>
        </w:rPr>
        <w:t>2</w:t>
      </w:r>
      <w:r>
        <w:t>PbBr</w:t>
      </w:r>
      <w:r>
        <w:rPr>
          <w:vertAlign w:val="subscript"/>
        </w:rPr>
        <w:t>4</w:t>
      </w:r>
      <w:r>
        <w:t>/WSe</w:t>
      </w:r>
      <w:r>
        <w:rPr>
          <w:vertAlign w:val="subscript"/>
        </w:rPr>
        <w:t>2</w:t>
      </w:r>
      <w:r>
        <w:t>范德华异质结，并系统地研究了它们的扭转角依赖性和光电响应。扭转依赖的拉曼、PL和密度泛函理论分析一致显示</w:t>
      </w:r>
    </w:p>
    <w:p>
      <w:pPr>
        <w:spacing w:before="0" w:after="200" w:lineRule="auto" w:line="276"/>
      </w:pPr>
      <w:r>
        <w:rPr>
          <w:b/>
        </w:rPr>
        <w:t xml:space="preserve">Abstract (EN): </w:t>
      </w:r>
      <w:r>
        <w:t>The development of atomic‐level heterojunctions between halide perovskites and 2D van der Waals semiconductors offers a promising route to boost optoelectronic performance by tailoring interfacial coupling, yet achieving deterministic control of interlayer alignment at the atomic scale remains challenging. Here, we report atomically thin (PEA)</w:t>
      </w:r>
      <w:r>
        <w:rPr>
          <w:vertAlign w:val="subscript"/>
        </w:rPr>
        <w:t>2</w:t>
      </w:r>
      <w:r>
        <w:t>PbBr</w:t>
      </w:r>
      <w:r>
        <w:rPr>
          <w:vertAlign w:val="subscript"/>
        </w:rPr>
        <w:t>4</w:t>
      </w:r>
      <w:r>
        <w:t>/WSe</w:t>
      </w:r>
      <w:r>
        <w:rPr>
          <w:vertAlign w:val="subscript"/>
        </w:rPr>
        <w:t>2</w:t>
      </w:r>
      <w:r>
        <w:t>van der Waals heterojunctions with precisely defined twist angles (0°, 5°, 7°, 10°, 12° and 15°), and systematically investigate their twist‐angle‐dependent and optoelectronic responses. Twist‐dependent Raman, PL and density‐functional‐theory analyses consistently show that increasing twist strengthens interlayer coupling, leading to phonon hardening, PL redshift and quenching, and a pronounced narrowing of the effective type‐II bandgaps via enhanced interlayer hybridization and band‐edge density of states. In line with this microscopic picture, the 15° heterojunction delivers a high photoresponsivity of 2.8 A W</w:t>
      </w:r>
      <w:r>
        <w:t xml:space="preserve"> </w:t>
      </w:r>
      <w:r>
        <w:t>−1</w:t>
      </w:r>
      <w:r>
        <w:t xml:space="preserve"> </w:t>
      </w:r>
      <w:r>
        <w:t>, an on/off ratio of 2.33 × 10</w:t>
      </w:r>
      <w:r>
        <w:rPr>
          <w:vertAlign w:val="subscript"/>
        </w:rPr>
        <w:t>5</w:t>
      </w:r>
      <w:r>
        <w:t>, and a mobility of 117.1 cm</w:t>
      </w:r>
      <w:r>
        <w:rPr>
          <w:vertAlign w:val="subscript"/>
        </w:rPr>
        <w:t>2</w:t>
      </w:r>
      <w:r>
        <w:t>V</w:t>
      </w:r>
      <w:r>
        <w:t xml:space="preserve"> </w:t>
      </w:r>
      <w:r>
        <w:t>−1</w:t>
      </w:r>
      <w:r>
        <w:t xml:space="preserve"> </w:t>
      </w:r>
      <w:r>
        <w:t>s</w:t>
      </w:r>
      <w:r>
        <w:t xml:space="preserve"> </w:t>
      </w:r>
      <w:r>
        <w:t>−1</w:t>
      </w:r>
      <w:r>
        <w:t xml:space="preserve"> </w:t>
      </w:r>
      <w:r>
        <w:t>under 405 nm. Our results establish twist angle as a programmable, atomic‐scale knob for jointly tuning band structure and device performance in perovskite/2D heterostructures, providing a general strategy for high‐performance optoelectronic devices.</w:t>
      </w:r>
    </w:p>
    <w:p>
      <w:pPr>
        <w:spacing w:before="120" w:after="120"/>
      </w:pPr>
      <w:r>
        <w:rPr>
          <w:sz w:val="18"/>
        </w:rPr>
        <w:t>——————————————————————————————————————————————————————————————————————</w:t>
      </w:r>
    </w:p>
    <w:p>
      <w:pPr>
        <w:spacing w:before="160" w:after="40" w:line="240" w:lineRule="auto"/>
      </w:pPr>
      <w:r>
        <w:rPr>
          <w:b/>
        </w:rPr>
        <w:t xml:space="preserve">[10] </w:t>
      </w:r>
      <w:hyperlink r:id="rId24">
        <w:r>
          <w:rPr>
            <w:color w:val="1155CC"/>
            <w:u w:val="single"/>
          </w:rPr>
          <w:t>通过单源蒸发法实现高效钙钛矿太阳能电池的高升华温度添加剂</w:t>
        </w:r>
      </w:hyperlink>
    </w:p>
    <w:p>
      <w:pPr>
        <w:spacing w:before="0" w:after="80"/>
      </w:pPr>
      <w:r>
        <w:rPr>
          <w:i/>
          <w:sz w:val="20"/>
        </w:rPr>
        <w:t>EN: High‐Sublimation‐Temperature Additives for Efficient Perovskite Solar Cells via Single‐Source Evaporation</w:t>
      </w:r>
    </w:p>
    <w:p>
      <w:pPr>
        <w:spacing w:before="0" w:after="120"/>
      </w:pPr>
      <w:r>
        <w:rPr>
          <w:b/>
        </w:rPr>
        <w:t xml:space="preserve">Source: </w:t>
      </w:r>
      <w:r>
        <w:t>Wiley: Advanced Energy Materials: Table of Contents</w:t>
      </w:r>
      <w:r>
        <w:t xml:space="preserve">    </w:t>
      </w:r>
      <w:r>
        <w:rPr>
          <w:b/>
        </w:rPr>
        <w:t xml:space="preserve">Pub date: </w:t>
      </w:r>
      <w:r>
        <w:t>2026-04-14 07:35:21+00:00</w:t>
      </w:r>
      <w:r>
        <w:t xml:space="preserve">    </w:t>
      </w:r>
      <w:r>
        <w:rPr>
          <w:b/>
        </w:rPr>
        <w:t xml:space="preserve">DOI: </w:t>
      </w:r>
      <w:hyperlink r:id="rId25">
        <w:r>
          <w:rPr>
            <w:color w:val="1155CC"/>
            <w:u w:val="single"/>
          </w:rPr>
          <w:t>10.1002/aenm.70901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真空沉积钙钛矿太阳能电池因其低温加工、无溶剂制造以及对薄膜厚度和均匀性的精确控制而在商业化方面具有前景。通过单源热蒸发进行沉积提供了高沉积速率和出色的可重复性；然而，通过预合成钙钛矿粉末的单源蒸发制造的器件远远落后于其他方法，如共蒸发或顺序沉积。在这项工作中，我们引入了高升华温度添加剂（CsBr和CaF</w:t>
      </w:r>
      <w:r>
        <w:rPr>
          <w:vertAlign w:val="subscript"/>
        </w:rPr>
        <w:t>2</w:t>
      </w:r>
      <w:r>
        <w:t>）来解决这一限制。通过在FAPbI的机械合成过程中加入这些添加剂</w:t>
      </w:r>
    </w:p>
    <w:p>
      <w:pPr>
        <w:spacing w:before="0" w:after="200" w:lineRule="auto" w:line="276"/>
      </w:pPr>
      <w:r>
        <w:rPr>
          <w:b/>
        </w:rPr>
        <w:t xml:space="preserve">Abstract (EN): </w:t>
      </w:r>
      <w:r>
        <w:t>Vacuum‐deposited perovskite solar cells are promising for commercialization due to their low‐temperature processing, solvent‐free fabrication, and precise control over film thickness and uniformity. Deposition via single‐source thermal evaporation offers high deposition rates and excellent reproducibility; however, devices fabricated via the single‐source evaporation of pre‐synthesized perovskite powders lag far behind those produced by alternative methods, such as co‐evaporation or sequential deposition. In this work, we introduce high‐sublimation‐temperature additives (CsBr and CaF</w:t>
      </w:r>
      <w:r>
        <w:rPr>
          <w:vertAlign w:val="subscript"/>
        </w:rPr>
        <w:t>2</w:t>
      </w:r>
      <w:r>
        <w:t>) to address this limitation. By incorporating these additives during the mechanosynthesis of FAPbI</w:t>
      </w:r>
      <w:r>
        <w:rPr>
          <w:vertAlign w:val="subscript"/>
        </w:rPr>
        <w:t>3</w:t>
      </w:r>
      <w:r>
        <w:t>powder, we obtain perovskite films with an improved microstructure and optoelectronic quality. Importantly, while the additives modulate the deposition process, they are not incorporated into the final perovskite film. This mechanism differs significantly from traditional additives, which remain in the film to enhance the perovskite quality. Consequently, thin FAPbI</w:t>
      </w:r>
      <w:r>
        <w:rPr>
          <w:vertAlign w:val="subscript"/>
        </w:rPr>
        <w:t>3</w:t>
      </w:r>
      <w:r>
        <w:t>solar cells achieve stabilized efficiencies exceeding 18%, similar to those of devices fabricated via co‐evaporation and sequential evaporation processes. Furthermore, the devices exhibit significantly enhanced environmental stability, maintaining over 95% of the initial PCE after 150 days under ambient conditions (∼20% RH, dim light). These findings underscore the substantial potential of additive engineering for single‐source evaporation, enabling the scalable, high‐throughput industrial production of efficient and stable perovskite photovoltaics.</w:t>
      </w:r>
    </w:p>
    <w:p>
      <w:pPr>
        <w:spacing w:before="120" w:after="120"/>
      </w:pPr>
      <w:r>
        <w:rPr>
          <w:sz w:val="18"/>
        </w:rPr>
        <w:t>——————————————————————————————————————————————————————————————————————</w:t>
      </w:r>
    </w:p>
    <w:p>
      <w:pPr>
        <w:spacing w:before="160" w:after="40" w:line="240" w:lineRule="auto"/>
      </w:pPr>
      <w:r>
        <w:rPr>
          <w:b/>
        </w:rPr>
        <w:t xml:space="preserve">[11] </w:t>
      </w:r>
      <w:hyperlink r:id="rId26">
        <w:r>
          <w:rPr>
            <w:color w:val="1155CC"/>
            <w:u w:val="single"/>
          </w:rPr>
          <w:t>通过桥接工程进行界面能量重构以提高倒置钙钛矿太阳能电池和模块的效率</w:t>
        </w:r>
      </w:hyperlink>
    </w:p>
    <w:p>
      <w:pPr>
        <w:spacing w:before="0" w:after="80"/>
      </w:pPr>
      <w:r>
        <w:rPr>
          <w:i/>
          <w:sz w:val="20"/>
        </w:rPr>
        <w:t>EN: Interfacial Energetics Reconstruction via Bridging Engineering for Efficient Inverted Perovskite Solar Cells and Modules</w:t>
      </w:r>
    </w:p>
    <w:p>
      <w:pPr>
        <w:spacing w:before="0" w:after="120"/>
      </w:pPr>
      <w:r>
        <w:rPr>
          <w:b/>
        </w:rPr>
        <w:t xml:space="preserve">Source: </w:t>
      </w:r>
      <w:r>
        <w:t>Wiley: Angewandte Chemie International Edition: Table of Contents</w:t>
      </w:r>
      <w:r>
        <w:t xml:space="preserve">    </w:t>
      </w:r>
      <w:r>
        <w:rPr>
          <w:b/>
        </w:rPr>
        <w:t xml:space="preserve">Pub date: </w:t>
      </w:r>
      <w:r>
        <w:t>2026-04-14 11:43:17+00:00</w:t>
      </w:r>
      <w:r>
        <w:t xml:space="preserve">    </w:t>
      </w:r>
      <w:r>
        <w:rPr>
          <w:b/>
        </w:rPr>
        <w:t xml:space="preserve">DOI: </w:t>
      </w:r>
      <w:hyperlink r:id="rId27">
        <w:r>
          <w:rPr>
            <w:color w:val="1155CC"/>
            <w:u w:val="single"/>
          </w:rPr>
          <w:t>10.1002/anie.9286497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钙钛矿/C</w:t>
      </w:r>
      <w:r>
        <w:rPr>
          <w:vertAlign w:val="subscript"/>
        </w:rPr>
        <w:t>60</w:t>
      </w:r>
      <w:r>
        <w:t>界面的能量损失，由于界面接触不佳导致的能量不匹配，严重限制了反向钙钛矿太阳能电池（PSCs）的性能和稳定性。在此，我们引入硝基甲基苯砜（NMePS）以全面优化界面状态，从而最大限度地减少设备的能量损失。利用桥接效应，NMePS不仅显著降低了钙钛矿薄膜中的陷阱态密度，还产生了有利于后续C</w:t>
      </w:r>
      <w:r>
        <w:rPr>
          <w:vertAlign w:val="subscript"/>
        </w:rPr>
        <w:t>60</w:t>
      </w:r>
      <w:r>
        <w:t>沉积的优良形貌。更重要的是，NMePS提供了额外的π–π相互作用位点，并调节了C</w:t>
      </w:r>
    </w:p>
    <w:p>
      <w:pPr>
        <w:spacing w:before="0" w:after="200" w:lineRule="auto" w:line="276"/>
      </w:pPr>
      <w:r>
        <w:rPr>
          <w:b/>
        </w:rPr>
        <w:t xml:space="preserve">Abstract (EN): </w:t>
      </w:r>
      <w:r>
        <w:t>Energy losses at perovskite/C</w:t>
      </w:r>
      <w:r>
        <w:rPr>
          <w:vertAlign w:val="subscript"/>
        </w:rPr>
        <w:t>60</w:t>
      </w:r>
      <w:r>
        <w:t>interface, stemming from energetic mismatch due to suboptimal interfacial contact, critically restricts the performance and stability of inverted perovskite solar cells (PSCs). Herein, we introduce nitromethyl phenyl sulfone (NMePS) to comprehensively optimize interfacial states, thereby minimizing energy losses of devices. Leveraging the bridging effect, NMePS not only significantly reduces the trap state density in perovskite films, but also yields a superior morphology conducive to subsequent C</w:t>
      </w:r>
      <w:r>
        <w:rPr>
          <w:vertAlign w:val="subscript"/>
        </w:rPr>
        <w:t>60</w:t>
      </w:r>
      <w:r>
        <w:t>deposition. More importantly, NMePS provides additional π–π interaction sites and modulates the chemical state of C</w:t>
      </w:r>
      <w:r>
        <w:rPr>
          <w:vertAlign w:val="subscript"/>
        </w:rPr>
        <w:t>60</w:t>
      </w:r>
      <w:r>
        <w:t>to promote the uniform dispersion and compact stacking of C</w:t>
      </w:r>
      <w:r>
        <w:rPr>
          <w:vertAlign w:val="subscript"/>
        </w:rPr>
        <w:t>60</w:t>
      </w:r>
      <w:r>
        <w:t>electron transport layer (ETL). The resulting perovskite/C</w:t>
      </w:r>
      <w:r>
        <w:rPr>
          <w:vertAlign w:val="subscript"/>
        </w:rPr>
        <w:t>60</w:t>
      </w:r>
      <w:r>
        <w:t>interface also enables favorable energy alignment through tailoring the electronic properties, which further optimizes charge transport dynamics. Thus, the inherent interfacial nonradiative recombination is effectively suppressed via interfacial energetic reconstruction, leading to significantly mitigated performance degradation. Consequently, NMePS‐modified devices achieve efficiencies of 26.87% (0.045 cm</w:t>
      </w:r>
      <w:r>
        <w:rPr>
          <w:vertAlign w:val="subscript"/>
        </w:rPr>
        <w:t>2</w:t>
      </w:r>
      <w:r>
        <w:t>) and 25.06% (1.00 cm</w:t>
      </w:r>
      <w:r>
        <w:rPr>
          <w:vertAlign w:val="subscript"/>
        </w:rPr>
        <w:t>2</w:t>
      </w:r>
      <w:r>
        <w:t>), while demonstrating exceptional long‐term stability (</w:t>
      </w:r>
      <w:r>
        <w:t xml:space="preserve"> </w:t>
      </w:r>
      <w:r>
        <w:t>T</w:t>
      </w:r>
      <w:r>
        <w:rPr>
          <w:vertAlign w:val="subscript"/>
        </w:rPr>
        <w:t>90</w:t>
      </w:r>
      <w:r>
        <w:t>&amp;gt; 2600 h, 30°C), thermal stability (</w:t>
      </w:r>
      <w:r>
        <w:t xml:space="preserve"> </w:t>
      </w:r>
      <w:r>
        <w:t>T</w:t>
      </w:r>
      <w:r>
        <w:rPr>
          <w:vertAlign w:val="subscript"/>
        </w:rPr>
        <w:t>80</w:t>
      </w:r>
      <w:r>
        <w:t>&amp;gt; 500 h, 85°C) and maximum power point tracking (MPPT) stability (</w:t>
      </w:r>
      <w:r>
        <w:t xml:space="preserve"> </w:t>
      </w:r>
      <w:r>
        <w:t>T</w:t>
      </w:r>
      <w:r>
        <w:rPr>
          <w:vertAlign w:val="subscript"/>
        </w:rPr>
        <w:t>90</w:t>
      </w:r>
      <w:r>
        <w:t>&amp;gt; 1200 h, 30°C). Encouragingly, the 655.2 cm</w:t>
      </w:r>
      <w:r>
        <w:rPr>
          <w:vertAlign w:val="subscript"/>
        </w:rPr>
        <w:t>2</w:t>
      </w:r>
      <w:r>
        <w:t>active‐area solar module with NMePS modification delivers a remarkable efficiency of 19.28%, demonstrating its tremendous potential for up‐scaling.</w:t>
      </w:r>
    </w:p>
    <w:p>
      <w:pPr>
        <w:spacing w:before="120" w:after="120"/>
      </w:pPr>
      <w:r>
        <w:rPr>
          <w:sz w:val="18"/>
        </w:rPr>
        <w:t>——————————————————————————————————————————————————————————————————————</w:t>
      </w:r>
    </w:p>
    <w:p>
      <w:pPr>
        <w:spacing w:before="160" w:after="40" w:line="240" w:lineRule="auto"/>
      </w:pPr>
      <w:r>
        <w:rPr>
          <w:b/>
        </w:rPr>
        <w:t xml:space="preserve">[12] </w:t>
      </w:r>
      <w:hyperlink r:id="rId28">
        <w:r>
          <w:rPr>
            <w:color w:val="1155CC"/>
            <w:u w:val="single"/>
          </w:rPr>
          <w:t>钙钛矿不稳定性的多尺度视角：从原子变形到钙钛矿太阳能电池的器件退化</w:t>
        </w:r>
      </w:hyperlink>
    </w:p>
    <w:p>
      <w:pPr>
        <w:spacing w:before="0" w:after="80"/>
      </w:pPr>
      <w:r>
        <w:rPr>
          <w:i/>
          <w:sz w:val="20"/>
        </w:rPr>
        <w:t>EN: Multiscale Perspectives on Perovskite Instability: From Atomistic Deformation to Device Degradation in Perovskite Solar Cells</w:t>
      </w:r>
    </w:p>
    <w:p>
      <w:pPr>
        <w:spacing w:before="0" w:after="120"/>
      </w:pPr>
      <w:r>
        <w:rPr>
          <w:b/>
        </w:rPr>
        <w:t xml:space="preserve">Source: </w:t>
      </w:r>
      <w:r>
        <w:t>Wiley: Advanced Energy Materials: Table of Contents</w:t>
      </w:r>
      <w:r>
        <w:t xml:space="preserve">    </w:t>
      </w:r>
      <w:r>
        <w:rPr>
          <w:b/>
        </w:rPr>
        <w:t xml:space="preserve">Pub date: </w:t>
      </w:r>
      <w:r>
        <w:t>2026-04-15 06:19:58+00:00</w:t>
      </w:r>
      <w:r>
        <w:t xml:space="preserve">    </w:t>
      </w:r>
      <w:r>
        <w:rPr>
          <w:b/>
        </w:rPr>
        <w:t xml:space="preserve">DOI: </w:t>
      </w:r>
      <w:hyperlink r:id="rId29">
        <w:r>
          <w:rPr>
            <w:color w:val="1155CC"/>
            <w:u w:val="single"/>
          </w:rPr>
          <w:t>10.1002/aenm.202506810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综述通过全面探索从原子相互作用到器件尺度的降解现象，阐明了钙钛矿基光电器件操作不稳定性的来源。在热力学平衡下，卤化物钙钛矿的内在稳定性相当好，考虑到分子内A位共价键、分子间A–X氢键和混合离子–共价B–X键的平衡。然而，在操作过程中，光激发或注入的载流子通过在表面和离子缺陷处的陷阱和/或在软Pb–卤化物框架中的极化子形成而局部化，这会引发库仑力以扭曲晶格并改变原子间距离。这些效应降低了离子迁移障碍，增强了</w:t>
      </w:r>
    </w:p>
    <w:p>
      <w:pPr>
        <w:spacing w:before="0" w:after="200" w:lineRule="auto" w:line="276"/>
      </w:pPr>
      <w:r>
        <w:rPr>
          <w:b/>
        </w:rPr>
        <w:t xml:space="preserve">Abstract (EN): </w:t>
      </w:r>
      <w:r>
        <w:t>This review elucidates where the operational instability of perovskite‐based optoelectronic devices originates from by comprehensively exploring degradation phenomena from atomistic interactions to device scale. At thermodynamic equilibrium, the intrinsic stability of halide perovskites is reasonably good when considering the balance of intramolecular Asite covalent bonds, intermolecular A–X hydrogen bonds, and mixed ionic–covalent B–X bonding. Under operation, however, photoexcited or injected carriers become localized via trapping at surface and ionic defects and/or polaron formation in the soft Pb–halide framework, which induce Coulombic force to distort the crystal lattice and change atom‐to‐atom distances. Such effects lower ion migration barriers, enhance lattice distortion, and accelerate atmospheric reactions with ambient species, leading to quick degradation of perovskite crystals. In terms of device‐level stability, holerich conditions and interfacial charge accumulation in heterostructured architectures are identified as particularly detrimental, directly linking carrier localization to device‐level degradation. Based on these insights, we discuss composition engineering toward favorable large‐polaron formation, defect passivation to suppress trap‐assisted localization, and interfacial engineering within the heterostructured device. At the end, we propose advanced operation protocols that effectively relieve charge accumulation as key routes to realize durable perovskite optoelectronic devices.</w:t>
      </w:r>
    </w:p>
    <w:p>
      <w:pPr>
        <w:spacing w:before="120" w:after="120"/>
      </w:pPr>
      <w:r>
        <w:rPr>
          <w:sz w:val="18"/>
        </w:rPr>
        <w:t>——————————————————————————————————————————————————————————————————————</w:t>
      </w:r>
    </w:p>
    <w:p>
      <w:pPr>
        <w:spacing w:before="160" w:after="40" w:line="240" w:lineRule="auto"/>
      </w:pPr>
      <w:r>
        <w:rPr>
          <w:b/>
        </w:rPr>
        <w:t xml:space="preserve">[13] </w:t>
      </w:r>
      <w:hyperlink r:id="rId30">
        <w:r>
          <w:rPr>
            <w:color w:val="1155CC"/>
            <w:u w:val="single"/>
          </w:rPr>
          <w:t>[ASAP] 低剂量 γ 辐照下宽带隙锡基钙钛矿太阳能电池的剂量依赖性转变</w:t>
        </w:r>
      </w:hyperlink>
    </w:p>
    <w:p>
      <w:pPr>
        <w:spacing w:before="0" w:after="80"/>
      </w:pPr>
      <w:r>
        <w:rPr>
          <w:i/>
          <w:sz w:val="20"/>
        </w:rPr>
        <w:t>EN: [ASAP] Dose-Dependent Transition in Wide-Bandgap Tin-Based Perovskite Solar Cells under Low-Dose γ-Irradiation</w:t>
      </w:r>
    </w:p>
    <w:p>
      <w:pPr>
        <w:spacing w:before="0" w:after="120"/>
      </w:pPr>
      <w:r>
        <w:rPr>
          <w:b/>
        </w:rPr>
        <w:t xml:space="preserve">Source: </w:t>
      </w:r>
      <w:r>
        <w:t>ACS Energy Letters: Latest Articles (ACS Publications)</w:t>
      </w:r>
      <w:r>
        <w:t xml:space="preserve">    </w:t>
      </w:r>
      <w:r>
        <w:rPr>
          <w:b/>
        </w:rPr>
        <w:t xml:space="preserve">Pub date: </w:t>
      </w:r>
      <w:r>
        <w:t>2026-04-15 19:06:58+00:00</w:t>
      </w:r>
      <w:r>
        <w:t xml:space="preserve">    </w:t>
      </w:r>
      <w:r>
        <w:rPr>
          <w:b/>
        </w:rPr>
        <w:t xml:space="preserve">DOI: </w:t>
      </w:r>
      <w:hyperlink r:id="rId31">
        <w:r>
          <w:rPr>
            <w:color w:val="1155CC"/>
            <w:u w:val="single"/>
          </w:rPr>
          <w:t>10.1021/acsenergylett.6c00190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2">
        <w:r>
          <w:rPr>
            <w:color w:val="1155CC"/>
            <w:u w:val="single"/>
          </w:rPr>
          <w:t>PVCA：基于蜂窝自动机和时空大数据驱动的太阳能光伏部署框架</w:t>
        </w:r>
      </w:hyperlink>
    </w:p>
    <w:p>
      <w:pPr>
        <w:spacing w:before="0" w:after="80"/>
      </w:pPr>
      <w:r>
        <w:rPr>
          <w:i/>
          <w:sz w:val="20"/>
        </w:rPr>
        <w:t>EN: PVCA: cellular automata and spatiotemporal big data driven framework for solar photovoltaic deployment</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33">
        <w:r>
          <w:rPr>
            <w:color w:val="1155CC"/>
            <w:u w:val="single"/>
          </w:rPr>
          <w:t>赋予固有高容量初级薄膜阴极循环能力</w:t>
        </w:r>
      </w:hyperlink>
    </w:p>
    <w:p>
      <w:pPr>
        <w:spacing w:before="0" w:after="80"/>
      </w:pPr>
      <w:r>
        <w:rPr>
          <w:i/>
          <w:sz w:val="20"/>
        </w:rPr>
        <w:t>EN: Endowing an Intrinsic High‐Capacity Primary Thin‐Film Cathode With Cyclability</w:t>
      </w:r>
    </w:p>
    <w:p>
      <w:pPr>
        <w:spacing w:before="0" w:after="120"/>
      </w:pPr>
      <w:r>
        <w:rPr>
          <w:b/>
        </w:rPr>
        <w:t xml:space="preserve">Source: </w:t>
      </w:r>
      <w:r>
        <w:t>Wiley: Advanced Materials: Table of Contents</w:t>
      </w:r>
      <w:r>
        <w:t xml:space="preserve">    </w:t>
      </w:r>
      <w:r>
        <w:rPr>
          <w:b/>
        </w:rPr>
        <w:t xml:space="preserve">Pub date: </w:t>
      </w:r>
      <w:r>
        <w:t>2026-04-11 07:20:43+00:00</w:t>
      </w:r>
      <w:r>
        <w:t xml:space="preserve">    </w:t>
      </w:r>
      <w:r>
        <w:rPr>
          <w:b/>
        </w:rPr>
        <w:t xml:space="preserve">DOI: </w:t>
      </w:r>
      <w:hyperlink r:id="rId34">
        <w:r>
          <w:rPr>
            <w:color w:val="1155CC"/>
            <w:u w:val="single"/>
          </w:rPr>
          <w:t>10.1002/adma.73041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物联网（IoT）的快速发展迫切需要高性能和工艺兼容的集成微电源。全固态薄膜电池（ATFBs）结合了全固态架构和芯片集成能力，被认为是理想的芯片电源解决方案。然而，其实际应用受到传统阴极材料低容量和结晶所需的高温退火过程（&gt;500°C）的限制，这与温度敏感的集成工艺不兼容。本研究提出了一种无退火的Ag</w:t>
      </w:r>
      <w:r>
        <w:rPr>
          <w:vertAlign w:val="subscript"/>
        </w:rPr>
        <w:t>2</w:t>
      </w:r>
      <w:r>
        <w:t>O/V</w:t>
      </w:r>
      <w:r>
        <w:rPr>
          <w:vertAlign w:val="subscript"/>
        </w:rPr>
        <w:t>2</w:t>
      </w:r>
      <w:r>
        <w:t>O</w:t>
      </w:r>
      <w:r>
        <w:rPr>
          <w:vertAlign w:val="subscript"/>
        </w:rPr>
        <w:t>5</w:t>
      </w:r>
    </w:p>
    <w:p>
      <w:pPr>
        <w:spacing w:before="0" w:after="200" w:lineRule="auto" w:line="276"/>
      </w:pPr>
      <w:r>
        <w:rPr>
          <w:b/>
        </w:rPr>
        <w:t xml:space="preserve">Abstract (EN): </w:t>
      </w:r>
      <w:r>
        <w:t>The rapid development of the Internet of Things (IoT) urgently demands high‐performance and process‐compatible integrated micro‐power sources. All‐solid‐state thin‐film batteries (ATFBs), which combine an all‐solid‐state architecture with on‐chip integration capability, are regarded as an ideal on‐chip power solution. However, their practical application is constrained by the low capacity of conventional cathode materials and the high‐temperature annealing process (&amp;gt;500°C) required for crystallization, which is incompatible with temperature‐sensitive integration processes. This study presents an annealing‐free Ag</w:t>
      </w:r>
      <w:r>
        <w:rPr>
          <w:vertAlign w:val="subscript"/>
        </w:rPr>
        <w:t>2</w:t>
      </w:r>
      <w:r>
        <w:t>O/V</w:t>
      </w:r>
      <w:r>
        <w:rPr>
          <w:vertAlign w:val="subscript"/>
        </w:rPr>
        <w:t>2</w:t>
      </w:r>
      <w:r>
        <w:t>O</w:t>
      </w:r>
      <w:r>
        <w:rPr>
          <w:vertAlign w:val="subscript"/>
        </w:rPr>
        <w:t>5</w:t>
      </w:r>
      <w:r>
        <w:t>composite thin‐film cathode, fabricated at room temperature by magnetron co‐sputtering, in which the nanoconfinement effect of the amorphous V</w:t>
      </w:r>
      <w:r>
        <w:rPr>
          <w:vertAlign w:val="subscript"/>
        </w:rPr>
        <w:t>2</w:t>
      </w:r>
      <w:r>
        <w:t>O</w:t>
      </w:r>
      <w:r>
        <w:rPr>
          <w:vertAlign w:val="subscript"/>
        </w:rPr>
        <w:t>5</w:t>
      </w:r>
      <w:r>
        <w:t>matrix effectively suppresses Ag</w:t>
      </w:r>
      <w:r>
        <w:rPr>
          <w:vertAlign w:val="subscript"/>
        </w:rPr>
        <w:t>2</w:t>
      </w:r>
      <w:r>
        <w:t>O particle agglomeration to endow the electrode with satisfactory cycling stability. The composite thin‐film cathode demonstrates excellent lithium storage performance, delivering an initial discharge capacity as high as 171.0 µAh cm</w:t>
      </w:r>
      <w:r>
        <w:t xml:space="preserve"> </w:t>
      </w:r>
      <w:r>
        <w:t>−2</w:t>
      </w:r>
      <w:r>
        <w:t xml:space="preserve"> </w:t>
      </w:r>
      <w:r>
        <w:t>µm</w:t>
      </w:r>
      <w:r>
        <w:t xml:space="preserve"> </w:t>
      </w:r>
      <w:r>
        <w:t>−1</w:t>
      </w:r>
      <w:r>
        <w:t xml:space="preserve"> </w:t>
      </w:r>
      <w:r>
        <w:t>(406.5 µWh cm</w:t>
      </w:r>
      <w:r>
        <w:t xml:space="preserve"> </w:t>
      </w:r>
      <w:r>
        <w:t>−2</w:t>
      </w:r>
      <w:r>
        <w:t xml:space="preserve"> </w:t>
      </w:r>
      <w:r>
        <w:t>µm</w:t>
      </w:r>
      <w:r>
        <w:t xml:space="preserve"> </w:t>
      </w:r>
      <w:r>
        <w:t>−1</w:t>
      </w:r>
      <w:r>
        <w:t xml:space="preserve"> </w:t>
      </w:r>
      <w:r>
        <w:t>), which is approximately 2–3 times that of LiCoO</w:t>
      </w:r>
      <w:r>
        <w:rPr>
          <w:vertAlign w:val="subscript"/>
        </w:rPr>
        <w:t>2</w:t>
      </w:r>
      <w:r>
        <w:t>, while maintaining 73% capacity retention after 1000 cycles. When integrated into ATFBs, this cathode achieves 71% retention over 400 cycles and can successfully power an LED sensor and a motion sensor. This work provides a new pathway to overcome the challenges of energy density and process compatibility in microelectronic applications.</w:t>
      </w:r>
    </w:p>
    <w:p>
      <w:pPr>
        <w:spacing w:before="120" w:after="120"/>
      </w:pPr>
      <w:r>
        <w:rPr>
          <w:sz w:val="18"/>
        </w:rPr>
        <w:t>——————————————————————————————————————————————————————————————————————</w:t>
      </w:r>
    </w:p>
    <w:p>
      <w:pPr>
        <w:spacing w:before="160" w:after="40" w:line="240" w:lineRule="auto"/>
      </w:pPr>
      <w:r>
        <w:rPr>
          <w:b/>
        </w:rPr>
        <w:t xml:space="preserve">[2] </w:t>
      </w:r>
      <w:hyperlink r:id="rId35">
        <w:r>
          <w:rPr>
            <w:color w:val="1155CC"/>
            <w:u w:val="single"/>
          </w:rPr>
          <w:t>可持续的全锰基层状阴极，具有动态结构稳定性，用于耐用的钠离子电池</w:t>
        </w:r>
      </w:hyperlink>
    </w:p>
    <w:p>
      <w:pPr>
        <w:spacing w:before="0" w:after="80"/>
      </w:pPr>
      <w:r>
        <w:rPr>
          <w:i/>
          <w:sz w:val="20"/>
        </w:rPr>
        <w:t>EN: Sustainable All‐Mn‐Based Layered Cathode with Dynamic Structural Stability for Durable Sodium‐Ion Batteries</w:t>
      </w:r>
    </w:p>
    <w:p>
      <w:pPr>
        <w:spacing w:before="0" w:after="120"/>
      </w:pPr>
      <w:r>
        <w:rPr>
          <w:b/>
        </w:rPr>
        <w:t xml:space="preserve">Source: </w:t>
      </w:r>
      <w:r>
        <w:t>Wiley: Advanced Materials: Table of Contents</w:t>
      </w:r>
      <w:r>
        <w:t xml:space="preserve">    </w:t>
      </w:r>
      <w:r>
        <w:rPr>
          <w:b/>
        </w:rPr>
        <w:t xml:space="preserve">Pub date: </w:t>
      </w:r>
      <w:r>
        <w:t>2026-04-11 07:22:56+00:00</w:t>
      </w:r>
      <w:r>
        <w:t xml:space="preserve">    </w:t>
      </w:r>
      <w:r>
        <w:rPr>
          <w:b/>
        </w:rPr>
        <w:t xml:space="preserve">DOI: </w:t>
      </w:r>
      <w:hyperlink r:id="rId36">
        <w:r>
          <w:rPr>
            <w:color w:val="1155CC"/>
            <w:u w:val="single"/>
          </w:rPr>
          <w:t>10.1002/adma.73049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层状全锰基氧化物材料在循环过程中受到[MnO</w:t>
      </w:r>
      <w:r>
        <w:rPr>
          <w:vertAlign w:val="subscript"/>
        </w:rPr>
        <w:t>6</w:t>
      </w:r>
      <w:r>
        <w:t>]层滑动和高自旋Mn</w:t>
      </w:r>
      <w:r>
        <w:t xml:space="preserve"> </w:t>
      </w:r>
      <w:r>
        <w:t>3+</w:t>
      </w:r>
      <w:r>
        <w:t xml:space="preserve"> </w:t>
      </w:r>
      <w:r>
        <w:t>的Jahn–Teller（J–T）畸变引起的不可逆动态结构退化的挑战。尽管传统策略通常主要集中于减少原始材料中的Mn</w:t>
      </w:r>
      <w:r>
        <w:t xml:space="preserve"> </w:t>
      </w:r>
      <w:r>
        <w:t>3+</w:t>
      </w:r>
      <w:r>
        <w:t xml:space="preserve"> </w:t>
      </w:r>
      <w:r>
        <w:t>含量，但我们揭示这种静态价态控制不足以确保长期结构完整性。相反，我们证明动态结构调控有效地将锰氧化态变化与退化路径解耦。通过设计一种P’2型[Na</w:t>
      </w:r>
      <w:r>
        <w:t xml:space="preserve"> </w:t>
      </w:r>
      <w:r>
        <w:t>0.64</w:t>
      </w:r>
      <w:r>
        <w:t xml:space="preserve"> </w:t>
      </w:r>
      <w:r>
        <w:t>Z</w:t>
      </w:r>
    </w:p>
    <w:p>
      <w:pPr>
        <w:spacing w:before="0" w:after="200" w:lineRule="auto" w:line="276"/>
      </w:pPr>
      <w:r>
        <w:rPr>
          <w:b/>
        </w:rPr>
        <w:t xml:space="preserve">Abstract (EN): </w:t>
      </w:r>
      <w:r>
        <w:t>Layered sodium all‐Mn‐based oxide materials are confronted with irreversible dynamic structural degradation induced by [MnO</w:t>
      </w:r>
      <w:r>
        <w:rPr>
          <w:vertAlign w:val="subscript"/>
        </w:rPr>
        <w:t>6</w:t>
      </w:r>
      <w:r>
        <w:t>] layers gliding and Jahn–Teller (J–T) distortion of high‐spin Mn</w:t>
      </w:r>
      <w:r>
        <w:t xml:space="preserve"> </w:t>
      </w:r>
      <w:r>
        <w:t>3+</w:t>
      </w:r>
      <w:r>
        <w:t xml:space="preserve"> </w:t>
      </w:r>
      <w:r>
        <w:t>during cycling. Although conventional strategies often focus primarily on reducing Mn</w:t>
      </w:r>
      <w:r>
        <w:t xml:space="preserve"> </w:t>
      </w:r>
      <w:r>
        <w:t>3+</w:t>
      </w:r>
      <w:r>
        <w:t xml:space="preserve"> </w:t>
      </w:r>
      <w:r>
        <w:t>content in the pristine material, we reveal that such static valence control is insufficient to ensure long‐term structural integrity. Instead, we demonstrate that dynamic structural regulation effectively decouples the Mn oxidation state changes from degradation pathways. By designing a P’2‐type [Na</w:t>
      </w:r>
      <w:r>
        <w:t xml:space="preserve"> </w:t>
      </w:r>
      <w:r>
        <w:t>0.64</w:t>
      </w:r>
      <w:r>
        <w:t xml:space="preserve"> </w:t>
      </w:r>
      <w:r>
        <w:t>Zn</w:t>
      </w:r>
      <w:r>
        <w:t xml:space="preserve"> </w:t>
      </w:r>
      <w:r>
        <w:t>0.07</w:t>
      </w:r>
      <w:r>
        <w:t xml:space="preserve"> </w:t>
      </w:r>
      <w:r>
        <w:t>]Mn</w:t>
      </w:r>
      <w:r>
        <w:t xml:space="preserve"> </w:t>
      </w:r>
      <w:r>
        <w:t>0.92</w:t>
      </w:r>
      <w:r>
        <w:t xml:space="preserve"> </w:t>
      </w:r>
      <w:r>
        <w:t>Cu</w:t>
      </w:r>
      <w:r>
        <w:t xml:space="preserve"> </w:t>
      </w:r>
      <w:r>
        <w:t>0.08</w:t>
      </w:r>
      <w:r>
        <w:t xml:space="preserve"> </w:t>
      </w:r>
      <w:r>
        <w:t>O</w:t>
      </w:r>
      <w:r>
        <w:rPr>
          <w:vertAlign w:val="subscript"/>
        </w:rPr>
        <w:t>2</w:t>
      </w:r>
      <w:r>
        <w:t>(NZMCO) cathode, which maintains the same initial Mn oxidation state as Na</w:t>
      </w:r>
      <w:r>
        <w:t xml:space="preserve"> </w:t>
      </w:r>
      <w:r>
        <w:t>0.67</w:t>
      </w:r>
      <w:r>
        <w:t xml:space="preserve"> </w:t>
      </w:r>
      <w:r>
        <w:t>MnO</w:t>
      </w:r>
      <w:r>
        <w:rPr>
          <w:vertAlign w:val="subscript"/>
        </w:rPr>
        <w:t>2</w:t>
      </w:r>
      <w:r>
        <w:t>(NMO), we achieve exceptional cycling stability via a hierarchical damping‐like mechanism. The designed framework integrates two synergistic stabilization pathways: (i) intralayer coordination tuning by counterbalancing Mn─O bond anisotropy, and (ii) interlayer electrostatic shielding to alleviate gliding between adjacent [MnO</w:t>
      </w:r>
      <w:r>
        <w:rPr>
          <w:vertAlign w:val="subscript"/>
        </w:rPr>
        <w:t>6</w:t>
      </w:r>
      <w:r>
        <w:t>] layers. This strategic configuration effectively alleviates lattice strain and stress accumulation, suppresses microcrack formation, and significantly reduces transition metal dissolution. Consequently, NZMCO delivers a high specific capacity of 194.95 mAh g</w:t>
      </w:r>
      <w:r>
        <w:t xml:space="preserve"> </w:t>
      </w:r>
      <w:r>
        <w:t>−1</w:t>
      </w:r>
      <w:r>
        <w:t xml:space="preserve"> </w:t>
      </w:r>
      <w:r>
        <w:t>at 20 mA g</w:t>
      </w:r>
      <w:r>
        <w:t xml:space="preserve"> </w:t>
      </w:r>
      <w:r>
        <w:t>−1</w:t>
      </w:r>
      <w:r>
        <w:t xml:space="preserve"> </w:t>
      </w:r>
      <w:r>
        <w:t>, retaining 87.53% of its initial capacity after 1500 cycles at 2000 mA g</w:t>
      </w:r>
      <w:r>
        <w:t xml:space="preserve"> </w:t>
      </w:r>
      <w:r>
        <w:t>−1</w:t>
      </w:r>
      <w:r>
        <w:t xml:space="preserve"> </w:t>
      </w:r>
      <w:r>
        <w:t>. This work shifts the design paradigm from static Mn valence engineering toward dynamic structural adaptation, offering a sustainable pathway for all‐Mn‐based layered cathodes.</w:t>
      </w:r>
    </w:p>
    <w:p>
      <w:pPr>
        <w:spacing w:before="120" w:after="120"/>
      </w:pPr>
      <w:r>
        <w:rPr>
          <w:sz w:val="18"/>
        </w:rPr>
        <w:t>——————————————————————————————————————————————————————————————————————</w:t>
      </w:r>
    </w:p>
    <w:p>
      <w:pPr>
        <w:spacing w:before="160" w:after="40" w:line="240" w:lineRule="auto"/>
      </w:pPr>
      <w:r>
        <w:rPr>
          <w:b/>
        </w:rPr>
        <w:t xml:space="preserve">[3] </w:t>
      </w:r>
      <w:hyperlink r:id="rId37">
        <w:r>
          <w:rPr>
            <w:color w:val="1155CC"/>
            <w:u w:val="single"/>
          </w:rPr>
          <w:t>基于无定形聚酰亚胺的正极用于高容量和耐用的铝双离子电池</w:t>
        </w:r>
      </w:hyperlink>
    </w:p>
    <w:p>
      <w:pPr>
        <w:spacing w:before="0" w:after="80"/>
      </w:pPr>
      <w:r>
        <w:rPr>
          <w:i/>
          <w:sz w:val="20"/>
        </w:rPr>
        <w:t>EN: An Amorphous Polyimide‐Based Positive Electrode for High‐Capacity and Durable Aluminum Dual‐Ion Batteries</w:t>
      </w:r>
    </w:p>
    <w:p>
      <w:pPr>
        <w:spacing w:before="0" w:after="120"/>
      </w:pPr>
      <w:r>
        <w:rPr>
          <w:b/>
        </w:rPr>
        <w:t xml:space="preserve">Source: </w:t>
      </w:r>
      <w:r>
        <w:t>Wiley: Angewandte Chemie International Edition: Table of Contents</w:t>
      </w:r>
      <w:r>
        <w:t xml:space="preserve">    </w:t>
      </w:r>
      <w:r>
        <w:rPr>
          <w:b/>
        </w:rPr>
        <w:t xml:space="preserve">Pub date: </w:t>
      </w:r>
      <w:r>
        <w:t>2026-04-11 16:46:11+00:00</w:t>
      </w:r>
      <w:r>
        <w:t xml:space="preserve">    </w:t>
      </w:r>
      <w:r>
        <w:rPr>
          <w:b/>
        </w:rPr>
        <w:t xml:space="preserve">DOI: </w:t>
      </w:r>
      <w:hyperlink r:id="rId38">
        <w:r>
          <w:rPr>
            <w:color w:val="1155CC"/>
            <w:u w:val="single"/>
          </w:rPr>
          <w:t>10.1002/anie.2153127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还原活性有机电极材料已成为高性能可充电铝离子电池（RABs）的有前途且可持续的候选材料。然而，由于密集堆积的晶格中体积庞大的氯铝酸根离子的巨大空间位阻导致的扩散动力学缓慢，以及电解质中不良的结构稳定性引起的严重容量衰减，限制了其实际应用。在此，我们提出了一种无定形聚合策略，通过合理的亚胺化分子结构设计，构建高容量的聚酰亚胺基正极材料，用于稳定的铝聚合物电池。得益于具有大表面积的无定形结构，增强了</w:t>
      </w:r>
    </w:p>
    <w:p>
      <w:pPr>
        <w:spacing w:before="0" w:after="200" w:lineRule="auto" w:line="276"/>
      </w:pPr>
      <w:r>
        <w:rPr>
          <w:b/>
        </w:rPr>
        <w:t xml:space="preserve">Abstract (EN): </w:t>
      </w:r>
      <w:r>
        <w:t>Redox‐active organic electrode materials have emerged as promising and sustainable candidates for high‐performance rechargeable aluminum‐ion batteries (RABs). However, their practical applications are hindered by sluggish diffusion kinetics stemming from the large steric hindrance of bulky chloroaluminate ions within the densely packed crystalline lattices, as well as severe capacity fading caused by undesirable structural stability in the electrolyte. Herein, we present an amorphous polymerization strategy to construct high‐capacity polyimide‐based positive electrode materials for stable aluminum‐polymer batteries via rational imidization molecular structure design. Benefiting from the amorphous structure with a large surface area, enhanced active site accessibility, and improved structural stability, the polyimide‐based positive electrodes deliver a high specific capacity (191 mAh g</w:t>
      </w:r>
      <w:r>
        <w:t xml:space="preserve"> </w:t>
      </w:r>
      <w:r>
        <w:t>−1</w:t>
      </w:r>
      <w:r>
        <w:t xml:space="preserve"> </w:t>
      </w:r>
      <w:r>
        <w:t>at 50 mA g</w:t>
      </w:r>
      <w:r>
        <w:t xml:space="preserve"> </w:t>
      </w:r>
      <w:r>
        <w:t>−1</w:t>
      </w:r>
      <w:r>
        <w:t xml:space="preserve"> </w:t>
      </w:r>
      <w:r>
        <w:t>), an improved rate capability (135 mAh g</w:t>
      </w:r>
      <w:r>
        <w:t xml:space="preserve"> </w:t>
      </w:r>
      <w:r>
        <w:t>−1</w:t>
      </w:r>
      <w:r>
        <w:t xml:space="preserve"> </w:t>
      </w:r>
      <w:r>
        <w:t>at 500 mA g</w:t>
      </w:r>
      <w:r>
        <w:t xml:space="preserve"> </w:t>
      </w:r>
      <w:r>
        <w:t>−1</w:t>
      </w:r>
      <w:r>
        <w:t xml:space="preserve"> </w:t>
      </w:r>
      <w:r>
        <w:t>), and prolonged long‐term cycling stability (95% capacity retention over 2400 cycles at 1 A g</w:t>
      </w:r>
      <w:r>
        <w:t xml:space="preserve"> </w:t>
      </w:r>
      <w:r>
        <w:t>−1</w:t>
      </w:r>
      <w:r>
        <w:t xml:space="preserve"> </w:t>
      </w:r>
      <w:r>
        <w:t>). The superior electrochemical performance is attributed to the amorphization‐facilitated bipolar‐redox charge storage mechanism, in which imide carbonyl groups (AlCl</w:t>
      </w:r>
      <w:r>
        <w:rPr>
          <w:vertAlign w:val="subscript"/>
        </w:rPr>
        <w:t>2</w:t>
      </w:r>
      <w:r>
        <w:t>+</w:t>
      </w:r>
      <w:r>
        <w:t xml:space="preserve"> </w:t>
      </w:r>
      <w:r>
        <w:t>coordination mechanism) and extended conjugated polycyclic aromatic hydrocarbons (AlCl</w:t>
      </w:r>
      <w:r>
        <w:rPr>
          <w:vertAlign w:val="subscript"/>
        </w:rPr>
        <w:t>4</w:t>
      </w:r>
      <w:r>
        <w:t>−</w:t>
      </w:r>
      <w:r>
        <w:t>adsorption mechanism) alternately serve as redox‐active sites within the polyimide segments. These findings highlight a molecular imidization strategy for designing active polymeric materials to construct robust polymer‐based RABs for safe energy storage.</w:t>
      </w:r>
    </w:p>
    <w:p>
      <w:pPr>
        <w:spacing w:before="120" w:after="120"/>
      </w:pPr>
      <w:r>
        <w:rPr>
          <w:sz w:val="18"/>
        </w:rPr>
        <w:t>——————————————————————————————————————————————————————————————————————</w:t>
      </w:r>
    </w:p>
    <w:p>
      <w:pPr>
        <w:spacing w:before="160" w:after="40" w:line="240" w:lineRule="auto"/>
      </w:pPr>
      <w:r>
        <w:rPr>
          <w:b/>
        </w:rPr>
        <w:t xml:space="preserve">[4] </w:t>
      </w:r>
      <w:hyperlink r:id="rId39">
        <w:r>
          <w:rPr>
            <w:color w:val="1155CC"/>
            <w:u w:val="single"/>
          </w:rPr>
          <w:t>机械-热解耦工程解锁超稳定干燥厚碘阴极用于安时级锌基软包电池</w:t>
        </w:r>
      </w:hyperlink>
    </w:p>
    <w:p>
      <w:pPr>
        <w:spacing w:before="0" w:after="80"/>
      </w:pPr>
      <w:r>
        <w:rPr>
          <w:i/>
          <w:sz w:val="20"/>
        </w:rPr>
        <w:t>EN: Mechanical‐Thermal Decoupling Engineering Unlocks Ultra‐Stable Dry Thick Iodine Cathodes for Ah‐Level Zinc‐Based Pouch Batteries</w:t>
      </w:r>
    </w:p>
    <w:p>
      <w:pPr>
        <w:spacing w:before="0" w:after="120"/>
      </w:pPr>
      <w:r>
        <w:rPr>
          <w:b/>
        </w:rPr>
        <w:t xml:space="preserve">Source: </w:t>
      </w:r>
      <w:r>
        <w:t>Wiley: Advanced Materials: Table of Contents</w:t>
      </w:r>
      <w:r>
        <w:t xml:space="preserve">    </w:t>
      </w:r>
      <w:r>
        <w:rPr>
          <w:b/>
        </w:rPr>
        <w:t xml:space="preserve">Pub date: </w:t>
      </w:r>
      <w:r>
        <w:t>2026-04-11 17:25:32+00:00</w:t>
      </w:r>
      <w:r>
        <w:t xml:space="preserve">    </w:t>
      </w:r>
      <w:r>
        <w:rPr>
          <w:b/>
        </w:rPr>
        <w:t xml:space="preserve">DOI: </w:t>
      </w:r>
      <w:hyperlink r:id="rId40">
        <w:r>
          <w:rPr>
            <w:color w:val="1155CC"/>
            <w:u w:val="single"/>
          </w:rPr>
          <w:t>10.1002/adma.73037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溶剂干法加工是制造厚碘电极的理想方法，但受限于缓慢的动力学和较差的循环稳定性。在此，我们揭示了在连续高剪切加工下，不受控的机械应力和摩擦加热的耦合效应破坏了质量传输通道并导致无声的碘损失。受呼吸系统中低频温和机械驱动的启发，提出了一种基于水冷脉冲剪切的目标能量间歇释放策略，以实现机械力和摩擦热积累的精确解耦和调节。研究表明，将能量输入保持在碳宿主结构损坏和碘脱附的阈值以下，可以避免微观尺度的“</w:t>
      </w:r>
    </w:p>
    <w:p>
      <w:pPr>
        <w:spacing w:before="0" w:after="200" w:lineRule="auto" w:line="276"/>
      </w:pPr>
      <w:r>
        <w:rPr>
          <w:b/>
        </w:rPr>
        <w:t xml:space="preserve">Abstract (EN): </w:t>
      </w:r>
      <w:r>
        <w:t>Solvent‐free dry processing is ideal for fabricating thick iodine electrodes, but limited by slow kinetics and poor cycling stability. Herein, we reveal that, under continuous high‐shear processing, the coupled effects of uncontrolled mechanical stress and frictional heating destroy mass‐transport channels and induce silent iodine loss. Inspired by low‐frequency mild mechanical actuation in respiratory systems, a targeted energy intermittent release strategy based on water‐cooled pulse shearing is proposed to achieve precise decoupling and regulation of mechanical force and frictional heat accumulation. It is revealed that maintaining energy input below the thresholds of carbon host structure damage and iodine desorption, avoids micro‐scale “pore‐like” structure exposed to the cracking of low‐crystallinity carbon, thereby preserving strong van der Waals confinement between carbon and iodine, fundamentally preventing abnormal iodine migration. Concurrently, regulating the energy within the window between PTFE fiber formation and fracture, contrasts a uniform and stable thick iodine electrode at the micro‐macro scale, which enables over 50000 stable cycles at 100 C and an ultra‐high area capacity of 16.27 mAh cm</w:t>
      </w:r>
      <w:r>
        <w:t xml:space="preserve"> </w:t>
      </w:r>
      <w:r>
        <w:t>−2</w:t>
      </w:r>
      <w:r>
        <w:t xml:space="preserve"> </w:t>
      </w:r>
      <w:r>
        <w:t>based on 82.84 mg</w:t>
      </w:r>
      <w:r>
        <w:t xml:space="preserve"> </w:t>
      </w:r>
      <w:r>
        <w:t>iodine</w:t>
      </w:r>
      <w:r>
        <w:t xml:space="preserve"> </w:t>
      </w:r>
      <w:r>
        <w:t>cm</w:t>
      </w:r>
      <w:r>
        <w:t xml:space="preserve"> </w:t>
      </w:r>
      <w:r>
        <w:t>−2</w:t>
      </w:r>
      <w:r>
        <w:t xml:space="preserve"> </w:t>
      </w:r>
      <w:r>
        <w:t>iodine loading. Importantly, a ≈1.2 Ah pouch cell even retains 98.5% capacity after 300 cycles at 2 C, demonstrating the scalability and practical viability of the strategy.</w:t>
      </w:r>
    </w:p>
    <w:p>
      <w:pPr>
        <w:spacing w:before="120" w:after="120"/>
      </w:pPr>
      <w:r>
        <w:rPr>
          <w:sz w:val="18"/>
        </w:rPr>
        <w:t>——————————————————————————————————————————————————————————————————————</w:t>
      </w:r>
    </w:p>
    <w:p>
      <w:pPr>
        <w:spacing w:before="160" w:after="40" w:line="240" w:lineRule="auto"/>
      </w:pPr>
      <w:r>
        <w:rPr>
          <w:b/>
        </w:rPr>
        <w:t xml:space="preserve">[5] </w:t>
      </w:r>
      <w:hyperlink r:id="rId41">
        <w:r>
          <w:rPr>
            <w:color w:val="1155CC"/>
            <w:u w:val="single"/>
          </w:rPr>
          <w:t>[ASAP] 高钠P2型钠离子电池正极的合理设计：揭示相形成原理和成分-结构-性能相关性</w:t>
        </w:r>
      </w:hyperlink>
    </w:p>
    <w:p>
      <w:pPr>
        <w:spacing w:before="0" w:after="80"/>
      </w:pPr>
      <w:r>
        <w:rPr>
          <w:i/>
          <w:sz w:val="20"/>
        </w:rPr>
        <w:t>EN: [ASAP] Rational Design of High-Na P2-Type Cathodes for Sodium-Ion Batteries: Unveiling Phase Formation Principles and Composition–Structure–Performance Correlations</w:t>
      </w:r>
    </w:p>
    <w:p>
      <w:pPr>
        <w:spacing w:before="0" w:after="120"/>
      </w:pPr>
      <w:r>
        <w:rPr>
          <w:b/>
        </w:rPr>
        <w:t xml:space="preserve">Source: </w:t>
      </w:r>
      <w:r>
        <w:t>Journal of the American Chemical Society: Latest Articles (ACS Publications)</w:t>
      </w:r>
      <w:r>
        <w:t xml:space="preserve">    </w:t>
      </w:r>
      <w:r>
        <w:rPr>
          <w:b/>
        </w:rPr>
        <w:t xml:space="preserve">Pub date: </w:t>
      </w:r>
      <w:r>
        <w:t>2026-04-12 18:34:25+00:00</w:t>
      </w:r>
      <w:r>
        <w:t xml:space="preserve">    </w:t>
      </w:r>
      <w:r>
        <w:rPr>
          <w:b/>
        </w:rPr>
        <w:t xml:space="preserve">DOI: </w:t>
      </w:r>
      <w:hyperlink r:id="rId42">
        <w:r>
          <w:rPr>
            <w:color w:val="1155CC"/>
            <w:u w:val="single"/>
          </w:rPr>
          <w:t>10.1021/jacs.5c20111</w:t>
        </w:r>
      </w:hyperlink>
    </w:p>
    <w:p>
      <w:pPr>
        <w:spacing w:before="0" w:after="120"/>
      </w:pPr>
      <w:r>
        <w:rPr>
          <w:b/>
        </w:rPr>
        <w:t xml:space="preserve">Notes: </w:t>
      </w:r>
      <w:r>
        <w:t>abstract_source=pubmed</w:t>
      </w:r>
    </w:p>
    <w:p>
      <w:pPr>
        <w:spacing w:before="0" w:after="80" w:lineRule="auto" w:line="276"/>
      </w:pPr>
      <w:r>
        <w:rPr>
          <w:b/>
        </w:rPr>
        <w:t xml:space="preserve">摘要（ZH）: </w:t>
      </w:r>
      <w:r>
        <w:t>高性能正极对于推进钠离子电池至关重要，其中Na含量和过渡金属（TM）组成显著影响电化学性能。这项工作提出了一种P2型层状氧化物的合理设计策略，结合了增加的Na含量、降低的Ni/Fe浓度、平衡的Mn3+/Mn4+比率和Li掺入。在该方法的指导下，开发了一系列高Na含量的P2型正极，并揭示了含Fe组成的关键相形成原则。相关性分析表明，Na0.8Li0.07Fe0.12Ni0.11Mn0.7O2这种超低Ni含量的最佳组成表现出增强的结构稳定性和Na+扩散动力学。原位XRD分析证实了其卓越的结构弹性</w:t>
      </w:r>
    </w:p>
    <w:p>
      <w:pPr>
        <w:spacing w:before="0" w:after="200" w:lineRule="auto" w:line="276"/>
      </w:pPr>
      <w:r>
        <w:rPr>
          <w:b/>
        </w:rPr>
        <w:t xml:space="preserve">Abstract (EN): </w:t>
      </w:r>
      <w:r>
        <w:t>High-performance cathodes are required for advancing sodium-ion batteries, where both the Na content and transition metal (TM) composition significantly influence electrochemical performance. This work presents a rational design strategy for P2-type layered oxides, integrating increased Na content, reduced Ni/Fe concentration, balanced Mn3+/Mn4+ ratio, and Li incorporation. Guided by this approach, a series of high-Na-content P2-type cathodes was developed, and the key phase formation principles for Fe-containing compositions were revealed. Correlation analysis suggested an optimal composition, Na0.8Li0.07Fe0.12Ni0.11Mn0.7O2, featuring ultralow Ni content, demonstrated enhanced structural stability and Na+ diffusion kinetics. In situ XRD analysis confirmed exceptional structural resilience during cycling, exhibiting minimal lattice strain (1.5% volume variation) attributed to sufficient Na at the Naf site, mitigating TM layer gliding. Electrochemical evaluation revealed outstanding performance: a high reversible capacity (125.8 mAh g-1 at 0.1 C, 2.5-4.5 V), excellent cycling stability (81.6% capacity retention after 500 cycles at 1 C), and superior energy density in full cells (268.1 Wh kg-1). It also exhibited remarkable air stability, retaining structural integrity and 96.9% initial capacity after 10 days of air exposure. This design-oriented strategy not only clarifies the intrinsic phase formation rules but also establishes a paradigm for compositionally guided cathode engineering, bridging fundamental understanding and practical material design.</w:t>
      </w:r>
    </w:p>
    <w:p>
      <w:pPr>
        <w:spacing w:before="120" w:after="120"/>
      </w:pPr>
      <w:r>
        <w:rPr>
          <w:sz w:val="18"/>
        </w:rPr>
        <w:t>——————————————————————————————————————————————————————————————————————</w:t>
      </w:r>
    </w:p>
    <w:p>
      <w:pPr>
        <w:spacing w:before="160" w:after="40" w:line="240" w:lineRule="auto"/>
      </w:pPr>
      <w:r>
        <w:rPr>
          <w:b/>
        </w:rPr>
        <w:t xml:space="preserve">[6] </w:t>
      </w:r>
      <w:hyperlink r:id="rId43">
        <w:r>
          <w:rPr>
            <w:color w:val="1155CC"/>
            <w:u w:val="single"/>
          </w:rPr>
          <w:t>仿生梯度多孔碳通过调节多硫化物化学实现可持续高负载锂硫电池</w:t>
        </w:r>
      </w:hyperlink>
    </w:p>
    <w:p>
      <w:pPr>
        <w:spacing w:before="0" w:after="80"/>
      </w:pPr>
      <w:r>
        <w:rPr>
          <w:i/>
          <w:sz w:val="20"/>
        </w:rPr>
        <w:t>EN: Biomimetic Gradient‐Porous Carbon Enables Sustainable High‐Loading Lithium–Sulfur Batteries by Regulating Polysulfide Chemistry</w:t>
      </w:r>
    </w:p>
    <w:p>
      <w:pPr>
        <w:spacing w:before="0" w:after="120"/>
      </w:pPr>
      <w:r>
        <w:rPr>
          <w:b/>
        </w:rPr>
        <w:t xml:space="preserve">Source: </w:t>
      </w:r>
      <w:r>
        <w:t>Wiley: Angewandte Chemie International Edition: Table of Contents</w:t>
      </w:r>
      <w:r>
        <w:t xml:space="preserve">    </w:t>
      </w:r>
      <w:r>
        <w:rPr>
          <w:b/>
        </w:rPr>
        <w:t xml:space="preserve">Pub date: </w:t>
      </w:r>
      <w:r>
        <w:t>2026-04-13 12:25:37+00:00</w:t>
      </w:r>
      <w:r>
        <w:t xml:space="preserve">    </w:t>
      </w:r>
      <w:r>
        <w:rPr>
          <w:b/>
        </w:rPr>
        <w:t xml:space="preserve">DOI: </w:t>
      </w:r>
      <w:hyperlink r:id="rId44">
        <w:r>
          <w:rPr>
            <w:color w:val="1155CC"/>
            <w:u w:val="single"/>
          </w:rPr>
          <w:t>10.1002/anie.5836599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实现锂-硫（Li-S）电池的商业可行性，必须大幅增加阴极的面硫负载量以实现更高的能量密度。然而，增加硫负载不可避免地会降低电荷传输效率并减缓电化学反应动力学，导致速率能力和循环稳定性显著下降。为了解决这些关键挑战，采用仿生策略来设计梯度多孔氮掺杂碳纳米材料（Bio-N-CNTs），其具有径向梯度孔结构，使其成为高效硫宿主材料。原位拉曼光谱和DFT揭示了这种独特结构促进了高效的质量传输。</w:t>
      </w:r>
    </w:p>
    <w:p>
      <w:pPr>
        <w:spacing w:before="0" w:after="200" w:lineRule="auto" w:line="276"/>
      </w:pPr>
      <w:r>
        <w:rPr>
          <w:b/>
        </w:rPr>
        <w:t xml:space="preserve">Abstract (EN): </w:t>
      </w:r>
      <w:r>
        <w:t>To realize the commercial viability of lithium–sulfur (Li–S) batteries, it is imperative to substantially increase the areal sulfur loading of the cathode to achieve higher energy density. However, increasing sulfur loading inevitably deteriorates charge‐transport efficiency and slows electrochemical reaction kinetics, leading to pronounced degradation in rate capability and cycling stability. To address these critical challenges, a biomimetic strategy is adopted to engineer gradient‐porous nitrogen‐doped carbon nanomaterials (Bio‐N‐CNTs) with radially graded pore architectures, enabling their use as highly effective sulfur host materials. In situ Raman spectroscopy and DFT reveal that such unique structures facilitate efficient mass transport, ion diffusion, sulfur conversion, and high sulfur loading simultaneously, as well as enable gradient confinement catalytic conversion of LiPSs. As a result, the Bio‐N‐CNT/S cathode exhibits a capacity decay rate of only 0.178% after 100 cycles at a 0.1 C rate. Even under high sulfur loading conditions of 8.6 mg cm</w:t>
      </w:r>
      <w:r>
        <w:t xml:space="preserve"> </w:t>
      </w:r>
      <w:r>
        <w:t>−2</w:t>
      </w:r>
      <w:r>
        <w:t xml:space="preserve"> </w:t>
      </w:r>
      <w:r>
        <w:t>, this cathode material maintains 71% capacity retention after 100 cycles. Additionally, a sustainable “precipitation‐enrichment‐reduction‐regeneration” silver recovery strategy with a 93% recovery rate, enhancing economic feasibility. This work demonstrates an innovative, scalable, and sustainable biomimetic Bio‐N‐CNT host for practical Li–S batteries.</w:t>
      </w:r>
    </w:p>
    <w:p>
      <w:pPr>
        <w:spacing w:before="120" w:after="120"/>
      </w:pPr>
      <w:r>
        <w:rPr>
          <w:sz w:val="18"/>
        </w:rPr>
        <w:t>——————————————————————————————————————————————————————————————————————</w:t>
      </w:r>
    </w:p>
    <w:p>
      <w:pPr>
        <w:spacing w:before="160" w:after="40" w:line="240" w:lineRule="auto"/>
      </w:pPr>
      <w:r>
        <w:rPr>
          <w:b/>
        </w:rPr>
        <w:t xml:space="preserve">[7] </w:t>
      </w:r>
      <w:hyperlink r:id="rId45">
        <w:r>
          <w:rPr>
            <w:color w:val="1155CC"/>
            <w:u w:val="single"/>
          </w:rPr>
          <w:t>海绵仿生多孔碳用于高性能锂硫电池阴极</w:t>
        </w:r>
      </w:hyperlink>
    </w:p>
    <w:p>
      <w:pPr>
        <w:spacing w:before="0" w:after="80"/>
      </w:pPr>
      <w:r>
        <w:rPr>
          <w:i/>
          <w:sz w:val="20"/>
        </w:rPr>
        <w:t>EN: Biomimetic Porous Carbon of Marine Sponge for High Performance Cathode of Li‐S Battery</w:t>
      </w:r>
    </w:p>
    <w:p>
      <w:pPr>
        <w:spacing w:before="0" w:after="120"/>
      </w:pPr>
      <w:r>
        <w:rPr>
          <w:b/>
        </w:rPr>
        <w:t xml:space="preserve">Source: </w:t>
      </w:r>
      <w:r>
        <w:t>Wiley: Advanced Materials: Table of Contents</w:t>
      </w:r>
      <w:r>
        <w:t xml:space="preserve">    </w:t>
      </w:r>
      <w:r>
        <w:rPr>
          <w:b/>
        </w:rPr>
        <w:t xml:space="preserve">Pub date: </w:t>
      </w:r>
      <w:r>
        <w:t>2026-04-14 12:46:32+00:00</w:t>
      </w:r>
      <w:r>
        <w:t xml:space="preserve">    </w:t>
      </w:r>
      <w:r>
        <w:rPr>
          <w:b/>
        </w:rPr>
        <w:t xml:space="preserve">DOI: </w:t>
      </w:r>
      <w:hyperlink r:id="rId46">
        <w:r>
          <w:rPr>
            <w:color w:val="1155CC"/>
            <w:u w:val="single"/>
          </w:rPr>
          <w:t>10.1002/adma.73073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电池的电化学性能受到锂多硫化物穿梭效应、硫的电导率差以及硫物种的缓慢氧化还原动力学的阻碍。通过模拟海绵的高效质量传输、优异的营养捕获能力和快速催化转化特性，构建了一种多功能双连续介孔碳质硫宿主，掺入Co单原子（称为bimeso-CoNC），作为Li-S电池的正极材料。bimeso-CoNC中的3D互连介孔通道增强了Li</w:t>
      </w:r>
      <w:r>
        <w:t xml:space="preserve"> </w:t>
      </w:r>
      <w:r>
        <w:t>+</w:t>
      </w:r>
      <w:r>
        <w:t xml:space="preserve"> </w:t>
      </w:r>
      <w:r>
        <w:t>传输和硫负载，而掺入的Co单原子表现出强的多硫化物吸附能力。</w:t>
      </w:r>
    </w:p>
    <w:p>
      <w:pPr>
        <w:spacing w:before="0" w:after="200" w:lineRule="auto" w:line="276"/>
      </w:pPr>
      <w:r>
        <w:rPr>
          <w:b/>
        </w:rPr>
        <w:t xml:space="preserve">Abstract (EN): </w:t>
      </w:r>
      <w:r>
        <w:t>The electrochemical performance of lithium‐sulfur batteries is hindered by the shuttle effect of lithium polysulfides, the poor electrical conductivity of sulfur, and sluggish redox kinetics of sulfur species. By mimicking the high‐efficiency mass transport, excellent nutriment capture capability, and rapid catalytic conversion properties of marine sponges, a multifunctional bicontinuous mesoporous carbonaceous sulfur host incorporated with Co single atoms (denoted as bimeso‐CoNC) is constructed as a cathode material for Li‐S batteries. The 3D interconnected mesochannels in bimeso‐CoNC enhance the Li</w:t>
      </w:r>
      <w:r>
        <w:t xml:space="preserve"> </w:t>
      </w:r>
      <w:r>
        <w:t>+</w:t>
      </w:r>
      <w:r>
        <w:t xml:space="preserve"> </w:t>
      </w:r>
      <w:r>
        <w:t>transport and sulfur loading, while the incorporated Co single atoms exhibit strong polysulfide adsorption and accelerate the kinetics of polysulfide conversion. Remarkably, the bimeso‐CoNC/S‐based cathode delivers a high capability of 570.0 mAh g</w:t>
      </w:r>
      <w:r>
        <w:t xml:space="preserve"> </w:t>
      </w:r>
      <w:r>
        <w:t>−1</w:t>
      </w:r>
      <w:r>
        <w:t xml:space="preserve"> </w:t>
      </w:r>
      <w:r>
        <w:t>at 6 C, a high areal capacity of 11.6 mAh cm</w:t>
      </w:r>
      <w:r>
        <w:t xml:space="preserve"> </w:t>
      </w:r>
      <w:r>
        <w:t>−2</w:t>
      </w:r>
      <w:r>
        <w:t xml:space="preserve"> </w:t>
      </w:r>
      <w:r>
        <w:t>at an ultrahigh sulfur loading of 13.5 mg cm</w:t>
      </w:r>
      <w:r>
        <w:t xml:space="preserve"> </w:t>
      </w:r>
      <w:r>
        <w:t>−2</w:t>
      </w:r>
      <w:r>
        <w:t xml:space="preserve"> </w:t>
      </w:r>
      <w:r>
        <w:t>, and remarkable long‐term stability (over 1200 cycles with 0.039% capacity decay per cycle). The comprehensive performance ranks among the best of the reported carbon‐based cathode materials for Li‐S batteries. This study presents a pore engineering strategy to improve the loading and adsorption of sulfur as well as accelerate the sulfur redox kinetics in Li‐S batteries, which remarkably suppresses the shuttling effect and thus enhances the performance of Li‐S batteries.</w:t>
      </w:r>
    </w:p>
    <w:p>
      <w:pPr>
        <w:spacing w:before="120" w:after="120"/>
      </w:pPr>
      <w:r>
        <w:rPr>
          <w:sz w:val="18"/>
        </w:rPr>
        <w:t>——————————————————————————————————————————————————————————————————————</w:t>
      </w:r>
    </w:p>
    <w:p>
      <w:pPr>
        <w:spacing w:before="160" w:after="40" w:line="240" w:lineRule="auto"/>
      </w:pPr>
      <w:r>
        <w:rPr>
          <w:b/>
        </w:rPr>
        <w:t xml:space="preserve">[8] </w:t>
      </w:r>
      <w:hyperlink r:id="rId47">
        <w:r>
          <w:rPr>
            <w:color w:val="1155CC"/>
            <w:u w:val="single"/>
          </w:rPr>
          <w:t>[ASAP] 球磨过程中原位X射线衍射揭示无序岩盐氧氟化物形成过程中的低结晶度亚稳态中间体</w:t>
        </w:r>
      </w:hyperlink>
    </w:p>
    <w:p>
      <w:pPr>
        <w:spacing w:before="0" w:after="80"/>
      </w:pPr>
      <w:r>
        <w:rPr>
          <w:i/>
          <w:sz w:val="20"/>
        </w:rPr>
        <w:t>EN: [ASAP] In Situ X-ray Diffraction during Ball Milling Reveals Poorly Crystalline Metastable Intermediates during the Formation of Disordered Rocksalt Oxyfluorides</w:t>
      </w:r>
    </w:p>
    <w:p>
      <w:pPr>
        <w:spacing w:before="0" w:after="120"/>
      </w:pPr>
      <w:r>
        <w:rPr>
          <w:b/>
        </w:rPr>
        <w:t xml:space="preserve">Source: </w:t>
      </w:r>
      <w:r>
        <w:t>Journal of the American Chemical Society: Latest Articles (ACS Publications)</w:t>
      </w:r>
      <w:r>
        <w:t xml:space="preserve">    </w:t>
      </w:r>
      <w:r>
        <w:rPr>
          <w:b/>
        </w:rPr>
        <w:t xml:space="preserve">Pub date: </w:t>
      </w:r>
      <w:r>
        <w:t>2026-04-15 13:55:23+00:00</w:t>
      </w:r>
      <w:r>
        <w:t xml:space="preserve">    </w:t>
      </w:r>
      <w:r>
        <w:rPr>
          <w:b/>
        </w:rPr>
        <w:t xml:space="preserve">DOI: </w:t>
      </w:r>
      <w:hyperlink r:id="rId48">
        <w:r>
          <w:rPr>
            <w:color w:val="1155CC"/>
            <w:u w:val="single"/>
          </w:rPr>
          <w:t>10.1021/jacs.6c01486</w:t>
        </w:r>
      </w:hyperlink>
    </w:p>
    <w:p>
      <w:pPr>
        <w:spacing w:before="0" w:after="120"/>
      </w:pPr>
      <w:r>
        <w:rPr>
          <w:b/>
        </w:rPr>
        <w:t xml:space="preserve">Notes: </w:t>
      </w:r>
      <w:r>
        <w:t>abstract_source=openalex</w:t>
      </w:r>
    </w:p>
    <w:p>
      <w:pPr>
        <w:spacing w:before="0" w:after="80" w:lineRule="auto" w:line="276"/>
      </w:pPr>
      <w:r>
        <w:rPr>
          <w:b/>
        </w:rPr>
        <w:t xml:space="preserve">摘要（ZH）: </w:t>
      </w:r>
      <w:r>
        <w:t>锂过量过渡金属无序岩盐氧氟化物继续吸引作为下一代锂离子电池正极材料的关注，这些材料提供了卓越的容量，同时避免了昂贵的过渡金属如钴和镍。性能最佳的岩盐含有高氟含量（&gt;10%），通常只能通过高能球磨合成获得。然而，机械化学合成路线难以规模化，并产生高表面积颗粒，这些颗粒与电解质发生寄生副反应。对机械化学反应缺乏理解阻碍了开发可规模化生产这些顶级无序岩盐氧氟化物的替代合成方法。在此，我们使用&lt;i&gt;原位&lt;/i&gt;粉末X射线衍射，进行</w:t>
      </w:r>
    </w:p>
    <w:p>
      <w:pPr>
        <w:spacing w:before="0" w:after="200" w:lineRule="auto" w:line="276"/>
      </w:pPr>
      <w:r>
        <w:rPr>
          <w:b/>
        </w:rPr>
        <w:t xml:space="preserve">Abstract (EN): </w:t>
      </w:r>
      <w:r>
        <w:t>Li-excess transition-metal-disordered rocksalt oxyfluorides continue to attract attention as next-generation cathode materials for Li-ion batteries that offer exceptional capacity while avoiding costly transition metals like Co and Ni. The best-performing rocksalts contain high fluorine contents (&gt;10%), usually only accessible via high-energy ball-milling synthesis. However, mechanochemical synthesis routes are difficult to scale and produce high-surface-area particles that suffer from parasitic side reactions with the electrolyte. A lack of understanding of mechanochemical reactions hinders the development of alternate synthetic approaches that enable scalable production of these best-in-class disordered rocksalt oxyfluorides. Here, we use &lt;i&gt;in situ&lt;/i&gt; powder X-ray diffraction, performed during mechanochemical synthesis, to provide insight into the formation mechanisms of four different Mn-based disordered rocksalt oxyfluorides. Regardless of the targeted composition, we see that all reactions pass through a similar poorly crystalline intermediate structure that reacts slowly with the Mn precursor, indicating that this is a common node to rocksalt formation. &lt;i&gt;Ex situ&lt;/i&gt; neutron and X-ray scattering, alongside solid-state nuclear magnetic resonance (NMR) spectroscopy, suggest that the intermediate is thermodynamically unstable, decomposing into a collection of crystalline compounds. While diffraction indicates that precursors like LiF and Li&lt;sub&gt;2&lt;/sub&gt;O are expelled from the intermediate during milling breaks, NMR relaxometry suggests that both of these phases contain small quantities of Mn impurities. These data point to an unreported intermediate accessible only in the ball mill critical for rocksalt formation. This study highlights both the unique chemistry of mechanochemical reactions as well as parallels with high temperature synthesis routes, which may ultimately direct synthetic approaches that enable a wider range of fluorination for disordered rocksalt cathodes.</w:t>
      </w:r>
    </w:p>
    <w:p>
      <w:pPr>
        <w:spacing w:before="120" w:after="120"/>
      </w:pPr>
      <w:r>
        <w:rPr>
          <w:sz w:val="18"/>
        </w:rPr>
        <w:t>——————————————————————————————————————————————————————————————————————</w:t>
      </w:r>
    </w:p>
    <w:p>
      <w:pPr>
        <w:spacing w:before="160" w:after="40" w:line="240" w:lineRule="auto"/>
      </w:pPr>
      <w:r>
        <w:rPr>
          <w:b/>
        </w:rPr>
        <w:t xml:space="preserve">[9] </w:t>
      </w:r>
      <w:hyperlink r:id="rId49">
        <w:r>
          <w:rPr>
            <w:color w:val="1155CC"/>
            <w:u w:val="single"/>
          </w:rPr>
          <w:t>利用有机阴极驯服全固态电池中的活性材料-固体电解质界面</w:t>
        </w:r>
      </w:hyperlink>
    </w:p>
    <w:p>
      <w:pPr>
        <w:spacing w:before="0" w:after="80"/>
      </w:pPr>
      <w:r>
        <w:rPr>
          <w:i/>
          <w:sz w:val="20"/>
        </w:rPr>
        <w:t>EN: Taming Active Material-Solid Electrolyte Interfaces with Organic Cathode for All-Solid-State Batteries</w:t>
      </w:r>
    </w:p>
    <w:p>
      <w:pPr>
        <w:spacing w:before="0" w:after="120"/>
      </w:pPr>
      <w:r>
        <w:rPr>
          <w:b/>
        </w:rPr>
        <w:t xml:space="preserve">Source: </w:t>
      </w:r>
      <w:r>
        <w:t>Joule</w:t>
      </w:r>
      <w:r>
        <w:t xml:space="preserve">    </w:t>
      </w:r>
      <w:r>
        <w:rPr>
          <w:b/>
        </w:rPr>
        <w:t xml:space="preserve">Pub date: </w:t>
      </w:r>
      <w:r>
        <w:t>2026-04-16 00:00:00+00:00</w:t>
      </w:r>
      <w:r>
        <w:t xml:space="preserve">    </w:t>
      </w:r>
      <w:r>
        <w:rPr>
          <w:b/>
        </w:rPr>
        <w:t xml:space="preserve">DOI: </w:t>
      </w:r>
      <w:hyperlink r:id="rId50">
        <w:r>
          <w:rPr>
            <w:color w:val="1155CC"/>
            <w:u w:val="single"/>
          </w:rPr>
          <w:t>10.1016/j.joule.2026.102472</w:t>
        </w:r>
      </w:hyperlink>
    </w:p>
    <w:p>
      <w:pPr>
        <w:spacing w:before="0" w:after="120"/>
      </w:pPr>
      <w:r>
        <w:rPr>
          <w:b/>
        </w:rPr>
        <w:t xml:space="preserve">Notes: </w:t>
      </w:r>
      <w:r>
        <w:t>abstract_source=rss_cell</w:t>
      </w:r>
    </w:p>
    <w:p>
      <w:pPr>
        <w:spacing w:before="0" w:after="80" w:lineRule="auto" w:line="276"/>
      </w:pPr>
      <w:r>
        <w:rPr>
          <w:b/>
        </w:rPr>
        <w:t xml:space="preserve">摘要（ZH）: </w:t>
      </w:r>
      <w:r>
        <w:t>(Joule 3, 1349–1359; 2019年5月15日)</w:t>
      </w:r>
    </w:p>
    <w:p>
      <w:pPr>
        <w:spacing w:before="0" w:after="200" w:lineRule="auto" w:line="276"/>
      </w:pPr>
      <w:r>
        <w:rPr>
          <w:b/>
        </w:rPr>
        <w:t xml:space="preserve">Abstract (EN): </w:t>
      </w:r>
      <w:r>
        <w:t>(Joule 3, 1349–1359; May 15, 2019)</w:t>
      </w:r>
    </w:p>
    <w:p>
      <w:pPr>
        <w:spacing w:before="120" w:after="120"/>
      </w:pPr>
      <w:r>
        <w:rPr>
          <w:sz w:val="18"/>
        </w:rPr>
        <w:t>——————————————————————————————————————————————————————————————————————</w:t>
      </w:r>
    </w:p>
    <w:p>
      <w:pPr>
        <w:spacing w:before="160" w:after="40" w:line="240" w:lineRule="auto"/>
      </w:pPr>
      <w:r>
        <w:rPr>
          <w:b/>
        </w:rPr>
        <w:t xml:space="preserve">[10] </w:t>
      </w:r>
      <w:hyperlink r:id="rId51">
        <w:r>
          <w:rPr>
            <w:color w:val="1155CC"/>
            <w:u w:val="single"/>
          </w:rPr>
          <w:t>基于多磷酸盐的4.65 V LiCoO2阴极-电解质界面</w:t>
        </w:r>
      </w:hyperlink>
    </w:p>
    <w:p>
      <w:pPr>
        <w:spacing w:before="0" w:after="80"/>
      </w:pPr>
      <w:r>
        <w:rPr>
          <w:i/>
          <w:sz w:val="20"/>
        </w:rPr>
        <w:t>EN: Polyphosphates‐Based Cathode‐Electrolyte Interphase for 4.65 V LiCoO2</w:t>
      </w:r>
    </w:p>
    <w:p>
      <w:pPr>
        <w:spacing w:before="0" w:after="120"/>
      </w:pPr>
      <w:r>
        <w:rPr>
          <w:b/>
        </w:rPr>
        <w:t xml:space="preserve">Source: </w:t>
      </w:r>
      <w:r>
        <w:t>Wiley: Advanced Materials: Table of Contents</w:t>
      </w:r>
      <w:r>
        <w:t xml:space="preserve">    </w:t>
      </w:r>
      <w:r>
        <w:rPr>
          <w:b/>
        </w:rPr>
        <w:t xml:space="preserve">Pub date: </w:t>
      </w:r>
      <w:r>
        <w:t>2026-04-16 07:25:56+00:00</w:t>
      </w:r>
      <w:r>
        <w:t xml:space="preserve">    </w:t>
      </w:r>
      <w:r>
        <w:rPr>
          <w:b/>
        </w:rPr>
        <w:t xml:space="preserve">DOI: </w:t>
      </w:r>
      <w:hyperlink r:id="rId52">
        <w:r>
          <w:rPr>
            <w:color w:val="1155CC"/>
            <w:u w:val="single"/>
          </w:rPr>
          <w:t>10.1002/adma.73065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LiCoO</w:t>
      </w:r>
      <w:r>
        <w:rPr>
          <w:vertAlign w:val="subscript"/>
        </w:rPr>
        <w:t>2</w:t>
      </w:r>
      <w:r>
        <w:t>（LCO）的稳定界面化学是其高电压操作的基石。然而，源于Co/O催化位点的界面副反应导致乙烯碳酸酯（EC）氧化、六氟磷酸锂（LiPF</w:t>
      </w:r>
      <w:r>
        <w:rPr>
          <w:vertAlign w:val="subscript"/>
        </w:rPr>
        <w:t>6</w:t>
      </w:r>
      <w:r>
        <w:t>）水解和LCO表面降解。在此，我们提出在电解液中形成功能性磷酸盐衍生物（FPD），这些衍生物是由三（三甲基硅基）磷酸酯（TMSP）与PF</w:t>
      </w:r>
      <w:r>
        <w:rPr>
          <w:vertAlign w:val="subscript"/>
        </w:rPr>
        <w:t>6</w:t>
      </w:r>
      <w:r>
        <w:t>−</w:t>
      </w:r>
      <w:r>
        <w:t>阴离子反应生成的，可以实现对多磷酸盐阴极-电解液界面（CEI）的定向调控。在循环过程中</w:t>
      </w:r>
    </w:p>
    <w:p>
      <w:pPr>
        <w:spacing w:before="0" w:after="200" w:lineRule="auto" w:line="276"/>
      </w:pPr>
      <w:r>
        <w:rPr>
          <w:b/>
        </w:rPr>
        <w:t xml:space="preserve">Abstract (EN): </w:t>
      </w:r>
      <w:r>
        <w:t>The stable interfacial chemistry of LiCoO</w:t>
      </w:r>
      <w:r>
        <w:rPr>
          <w:vertAlign w:val="subscript"/>
        </w:rPr>
        <w:t>2</w:t>
      </w:r>
      <w:r>
        <w:t>(LCO) is the cornerstone for its high‐voltage operation. However, interfacial side reactions, originating from the Co/O catalytic sites, lead to ethylene carbonate (EC) oxidation, lithium hexafluorophosphate (LiPF</w:t>
      </w:r>
      <w:r>
        <w:rPr>
          <w:vertAlign w:val="subscript"/>
        </w:rPr>
        <w:t>6</w:t>
      </w:r>
      <w:r>
        <w:t>) hydrolysis, and LCO surface degradation. Herein, we propose that the formation of functional phosphate derivatives (FPD) in the electrolyte, which are generated from the reaction between tris(trimethylsilyl) phosphate (TMSP) and PF</w:t>
      </w:r>
      <w:r>
        <w:rPr>
          <w:vertAlign w:val="subscript"/>
        </w:rPr>
        <w:t>6</w:t>
      </w:r>
      <w:r>
        <w:t>−</w:t>
      </w:r>
      <w:r>
        <w:t>anions, can achieve targeted regulation of the polyphosphates cathode‐electrolyte interphase (CEI). During cycling, the FPD spontaneously forms covalent interactions with surface Co/O sites, triggering in situ polymerization that constructs a robust and full‐coverage CEI on LCO. The resulting CEI is enriched with polyphosphates and LiF/Li</w:t>
      </w:r>
      <w:r>
        <w:rPr>
          <w:vertAlign w:val="subscript"/>
        </w:rPr>
        <w:t>2</w:t>
      </w:r>
      <w:r>
        <w:t>O, which ensures high thermodynamic stability and fast Li</w:t>
      </w:r>
      <w:r>
        <w:t xml:space="preserve"> </w:t>
      </w:r>
      <w:r>
        <w:t>+</w:t>
      </w:r>
      <w:r>
        <w:t xml:space="preserve"> </w:t>
      </w:r>
      <w:r>
        <w:t>transport kinetics simultaneously. Consequently, the LCO with optimized electrolyte (1.0 M LiPF</w:t>
      </w:r>
      <w:r>
        <w:rPr>
          <w:vertAlign w:val="subscript"/>
        </w:rPr>
        <w:t>6</w:t>
      </w:r>
      <w:r>
        <w:t>in fluoroethylene carbonate (FEC)‐based solvents with 2.0 wt.% TMSP) demonstrates exceptional cell performance with a high capacity retention of 81.0% after 3000 cycles within 3.0–4.6 V (vs. Li/Li</w:t>
      </w:r>
      <w:r>
        <w:t xml:space="preserve"> </w:t>
      </w:r>
      <w:r>
        <w:t>+</w:t>
      </w:r>
      <w:r>
        <w:t xml:space="preserve"> </w:t>
      </w:r>
      <w:r>
        <w:t>), 81.6% after 2000 cycles within 3.0–4.65 V, and shows the feasibility in the LCO||graphite pouch cell with a retention of 80.0% after 500 cycles. This work provides a new insight into the uniform CEI construction for high‐voltage LCO cathodes through functional electrolyte engineering.</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53">
        <w:r>
          <w:rPr>
            <w:color w:val="1155CC"/>
            <w:u w:val="single"/>
          </w:rPr>
          <w:t>超微孔工程在硬碳中弥合钠离子电池的容量-动力学差距</w:t>
        </w:r>
      </w:hyperlink>
    </w:p>
    <w:p>
      <w:pPr>
        <w:spacing w:before="0" w:after="80"/>
      </w:pPr>
      <w:r>
        <w:rPr>
          <w:i/>
          <w:sz w:val="20"/>
        </w:rPr>
        <w:t>EN: Ultramicropore Engineering Bridges the Capacity–Kinetics Gap in Hard Carbon for Sodium‐Ion Battery</w:t>
      </w:r>
    </w:p>
    <w:p>
      <w:pPr>
        <w:spacing w:before="0" w:after="120"/>
      </w:pPr>
      <w:r>
        <w:rPr>
          <w:b/>
        </w:rPr>
        <w:t xml:space="preserve">Source: </w:t>
      </w:r>
      <w:r>
        <w:t>Wiley: Advanced Energy Materials: Table of Contents</w:t>
      </w:r>
      <w:r>
        <w:t xml:space="preserve">    </w:t>
      </w:r>
      <w:r>
        <w:rPr>
          <w:b/>
        </w:rPr>
        <w:t xml:space="preserve">Pub date: </w:t>
      </w:r>
      <w:r>
        <w:t>2026-04-11 07:16:00+00:00</w:t>
      </w:r>
      <w:r>
        <w:t xml:space="preserve">    </w:t>
      </w:r>
      <w:r>
        <w:rPr>
          <w:b/>
        </w:rPr>
        <w:t xml:space="preserve">DOI: </w:t>
      </w:r>
      <w:hyperlink r:id="rId54">
        <w:r>
          <w:rPr>
            <w:color w:val="1155CC"/>
            <w:u w:val="single"/>
          </w:rPr>
          <w:t>10.1002/aenm.70935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硬碳（HC）是钠离子电池的理想负极，但其在平台区域的主要容量贡献常常受到缓慢动力学的阻碍，限制了其在高功率应用中的使用。在这项工作中，将木质素引入纤维素前体中以修改热解路径，结果产生了丰富的C═O官能团、优化的石墨域和一个富含封闭孔和超微孔的定制孔系统。关键是，超微孔在解决平台容量和动力学之间的权衡中起着关键作用，因为它们促进了快速钠吸附，抑制了电解质在孔内的分解，并部分贡献于平台区域的容量。优化的</w:t>
      </w:r>
    </w:p>
    <w:p>
      <w:pPr>
        <w:spacing w:before="0" w:after="200" w:lineRule="auto" w:line="276"/>
      </w:pPr>
      <w:r>
        <w:rPr>
          <w:b/>
        </w:rPr>
        <w:t xml:space="preserve">Abstract (EN): </w:t>
      </w:r>
      <w:r>
        <w:t>Although, hard carbon (HC), is an ideal anode for sodium‐ion batteries, its major capacity contribution in the plateau region is often hindered by sluggish kinetics, which limits the use in high‐power applications. In this work, lignin is introduced into the cellulose precursor to modify the pyrolysis pathway and results in abundant C═O functional groups, optimized graphite domains, and a tailored pore system rich in both closed pores and ultramicropores. Crucially, ultramicropores play a pivotal role in resolving the trade‐off between plateau capacity and kinetics, as they facilitate rapid sodium adsorption, inhibit the decomposition of the electrolyte within the pores, and partially contribute to the capacity of the plateau region. The optimized HC exhibits a high reversible capacity of 353.9 mAh g</w:t>
      </w:r>
      <w:r>
        <w:t xml:space="preserve"> </w:t>
      </w:r>
      <w:r>
        <w:t>−</w:t>
      </w:r>
      <w:r>
        <w:rPr>
          <w:vertAlign w:val="subscript"/>
        </w:rPr>
        <w:t>1</w:t>
      </w:r>
      <w:r>
        <w:t>with an initial coulombic efficiency of 86.3%, excellent rate performance, and stable long‐term cycling at room temperature (82.1% retention after 2500th at 1 A g</w:t>
      </w:r>
      <w:r>
        <w:t xml:space="preserve"> </w:t>
      </w:r>
      <w:r>
        <w:t>‒1</w:t>
      </w:r>
      <w:r>
        <w:t xml:space="preserve"> </w:t>
      </w:r>
      <w:r>
        <w:t>) and −40°C (80.9% retention after 100th at 37.2 mA g</w:t>
      </w:r>
      <w:r>
        <w:t xml:space="preserve"> </w:t>
      </w:r>
      <w:r>
        <w:t>‒1</w:t>
      </w:r>
      <w:r>
        <w:t xml:space="preserve"> </w:t>
      </w:r>
      <w:r>
        <w:t>). Based on the electrochemical performance and in situ characterization, the “adsorption‐intercalation‐pore filling” mechanism of HC anodes is confirmed, and the role of the ultramicropores in enhancing transport kinetics is demonstrated, which provides novel insights for designing high‐power anodes of sodium‐ion batteries.</w:t>
      </w:r>
    </w:p>
    <w:p>
      <w:pPr>
        <w:spacing w:before="120" w:after="120"/>
      </w:pPr>
      <w:r>
        <w:rPr>
          <w:sz w:val="18"/>
        </w:rPr>
        <w:t>——————————————————————————————————————————————————————————————————————</w:t>
      </w:r>
    </w:p>
    <w:p>
      <w:pPr>
        <w:spacing w:before="160" w:after="40" w:line="240" w:lineRule="auto"/>
      </w:pPr>
      <w:r>
        <w:rPr>
          <w:b/>
        </w:rPr>
        <w:t xml:space="preserve">[2] </w:t>
      </w:r>
      <w:hyperlink r:id="rId55">
        <w:r>
          <w:rPr>
            <w:color w:val="1155CC"/>
            <w:u w:val="single"/>
          </w:rPr>
          <w:t>具有静电屏蔽效应和亲锂位点的阳离子有机聚合物用于无枝晶锂金属电池</w:t>
        </w:r>
      </w:hyperlink>
    </w:p>
    <w:p>
      <w:pPr>
        <w:spacing w:before="0" w:after="80"/>
      </w:pPr>
      <w:r>
        <w:rPr>
          <w:i/>
          <w:sz w:val="20"/>
        </w:rPr>
        <w:t>EN: Cationic Organic Polymers With Electrostatic Shielding Effect and Lithiophilic Sites for Dendrite‐Free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2026-04-11 07:18:57+00:00</w:t>
      </w:r>
      <w:r>
        <w:t xml:space="preserve">    </w:t>
      </w:r>
      <w:r>
        <w:rPr>
          <w:b/>
        </w:rPr>
        <w:t xml:space="preserve">DOI: </w:t>
      </w:r>
      <w:hyperlink r:id="rId56">
        <w:r>
          <w:rPr>
            <w:color w:val="1155CC"/>
            <w:u w:val="single"/>
          </w:rPr>
          <w:t>10.1002/anie.3142983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不受控的锂枝晶生长和持续的电解质分解带来了主要的安全挑战，限制了锂金属电池（LMBs）的实际部署。在这项研究中，设计了一种独特的有机聚合物（Ni-HAT CN），富含亲锂位点和阳离子基团，作为锂金属负极（LMAs）的保护层，以实现均匀的锂沉积并增强Li</w:t>
      </w:r>
      <w:r>
        <w:t xml:space="preserve"> </w:t>
      </w:r>
      <w:r>
        <w:t>+</w:t>
      </w:r>
      <w:r>
        <w:t xml:space="preserve"> </w:t>
      </w:r>
      <w:r>
        <w:t>通量。一方面，聚合物中带正电的Ni</w:t>
      </w:r>
      <w:r>
        <w:t xml:space="preserve"> </w:t>
      </w:r>
      <w:r>
        <w:t>2+</w:t>
      </w:r>
      <w:r>
        <w:t xml:space="preserve"> </w:t>
      </w:r>
      <w:r>
        <w:t>位点修改了电子结构，并提供了强大的静电屏蔽以抑制不利的副反应。另一方面，HAT CN中的密集亲锂位点（C═N、C≡N等）促进Li</w:t>
      </w:r>
    </w:p>
    <w:p>
      <w:pPr>
        <w:spacing w:before="0" w:after="200" w:lineRule="auto" w:line="276"/>
      </w:pPr>
      <w:r>
        <w:rPr>
          <w:b/>
        </w:rPr>
        <w:t xml:space="preserve">Abstract (EN): </w:t>
      </w:r>
      <w:r>
        <w:t>Uncontrolled lithium dendrite growth and persistent electrolyte breakdown present major safety challenges, limiting the practical deployment of lithium metal batteries (LMBs). In this study, a unique organic polymer (Ni‐HAT CN), rich in lithiophilic sites and cationic groups, is designed as a protective layer for lithium metal anodes (LMAs) to enable uniform lithium deposition and enhance Li</w:t>
      </w:r>
      <w:r>
        <w:t xml:space="preserve"> </w:t>
      </w:r>
      <w:r>
        <w:t>+</w:t>
      </w:r>
      <w:r>
        <w:t xml:space="preserve"> </w:t>
      </w:r>
      <w:r>
        <w:t>flux. On one hand, the positively charged Ni</w:t>
      </w:r>
      <w:r>
        <w:t xml:space="preserve"> </w:t>
      </w:r>
      <w:r>
        <w:t>2+</w:t>
      </w:r>
      <w:r>
        <w:t xml:space="preserve"> </w:t>
      </w:r>
      <w:r>
        <w:t>sites in the polymer modify the electronic structure and provide robust electrostatic shielding to suppress adverse side reactions. On the other hand, the dense lithiophilic sites (C═N, C≡N, etc.) in HAT CN facilitate Li</w:t>
      </w:r>
      <w:r>
        <w:t xml:space="preserve"> </w:t>
      </w:r>
      <w:r>
        <w:t>+</w:t>
      </w:r>
      <w:r>
        <w:t xml:space="preserve"> </w:t>
      </w:r>
      <w:r>
        <w:t>diffusion and accelerate the desolvation process of Li</w:t>
      </w:r>
      <w:r>
        <w:t xml:space="preserve"> </w:t>
      </w:r>
      <w:r>
        <w:t>+</w:t>
      </w:r>
      <w:r>
        <w:t xml:space="preserve"> </w:t>
      </w:r>
      <w:r>
        <w:t>. Furthermore, the in‐depth working mechanisms behind these effects are revealed through a variety of in situ/ex situ characterizations and theoretical calculations. As a result, the Li</w:t>
      </w:r>
      <w:r>
        <w:t xml:space="preserve"> </w:t>
      </w:r>
      <w:r>
        <w:t>+</w:t>
      </w:r>
      <w:r>
        <w:t xml:space="preserve"> </w:t>
      </w:r>
      <w:r>
        <w:t>transference number of the Ni‐HAT CN‐protected battery increases to 0.76, and it exhibits stable cycling for over 3000 h (3 mA cm</w:t>
      </w:r>
      <w:r>
        <w:t xml:space="preserve"> </w:t>
      </w:r>
      <w:r>
        <w:t>−2</w:t>
      </w:r>
      <w:r>
        <w:t xml:space="preserve"> </w:t>
      </w:r>
      <w:r>
        <w:t>). The full cell maintains high capacity after 900 stable cycles at 1 C, with an average ultra‐low degradation rate of just 0.047% per cycle. This work offers a novel strategy for stabilizing LMAs by uniquely combining electrostatic field construction with the regulation of solvation structures.</w:t>
      </w:r>
    </w:p>
    <w:p>
      <w:pPr>
        <w:spacing w:before="120" w:after="120"/>
      </w:pPr>
      <w:r>
        <w:rPr>
          <w:sz w:val="18"/>
        </w:rPr>
        <w:t>——————————————————————————————————————————————————————————————————————</w:t>
      </w:r>
    </w:p>
    <w:p>
      <w:pPr>
        <w:spacing w:before="160" w:after="40" w:line="240" w:lineRule="auto"/>
      </w:pPr>
      <w:r>
        <w:rPr>
          <w:b/>
        </w:rPr>
        <w:t xml:space="preserve">[3] </w:t>
      </w:r>
      <w:hyperlink r:id="rId57">
        <w:r>
          <w:rPr>
            <w:color w:val="1155CC"/>
            <w:u w:val="single"/>
          </w:rPr>
          <w:t>平衡锂化动力学诱导的应变分配设计，最小化锂离子电池块状合金型负极的体积变化</w:t>
        </w:r>
      </w:hyperlink>
    </w:p>
    <w:p>
      <w:pPr>
        <w:spacing w:before="0" w:after="80"/>
      </w:pPr>
      <w:r>
        <w:rPr>
          <w:i/>
          <w:sz w:val="20"/>
        </w:rPr>
        <w:t>EN: Equilibrium Lithiation Dynamics Induced Strain Partitioning Design Minimizing Volume Change of Bulk Alloy Type Anode for Lithium Ion Battery</w:t>
      </w:r>
    </w:p>
    <w:p>
      <w:pPr>
        <w:spacing w:before="0" w:after="120"/>
      </w:pPr>
      <w:r>
        <w:rPr>
          <w:b/>
        </w:rPr>
        <w:t xml:space="preserve">Source: </w:t>
      </w:r>
      <w:r>
        <w:t>Wiley: Advanced Materials: Table of Contents</w:t>
      </w:r>
      <w:r>
        <w:t xml:space="preserve">    </w:t>
      </w:r>
      <w:r>
        <w:rPr>
          <w:b/>
        </w:rPr>
        <w:t xml:space="preserve">Pub date: </w:t>
      </w:r>
      <w:r>
        <w:t>2026-04-11 07:23:39+00:00</w:t>
      </w:r>
      <w:r>
        <w:t xml:space="preserve">    </w:t>
      </w:r>
      <w:r>
        <w:rPr>
          <w:b/>
        </w:rPr>
        <w:t xml:space="preserve">DOI: </w:t>
      </w:r>
      <w:hyperlink r:id="rId58">
        <w:r>
          <w:rPr>
            <w:color w:val="1155CC"/>
            <w:u w:val="single"/>
          </w:rPr>
          <w:t>10.1002/adma.202520735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金型阳极具有超高的理论容量，但在循环过程中会遭受严重的体积膨胀和机械降解，阻碍了其在锂离子电池（LIBs）中的实际应用。在此，本文提出了一种平衡锂化动力学策略，设计了一种铟（In）-锡（Sn）合金型箔阳极，通过内在应变分配有效缓解体积应变。In的引入通过形成具有高Li</w:t>
      </w:r>
      <w:r>
        <w:t xml:space="preserve"> </w:t>
      </w:r>
      <w:r>
        <w:t>+</w:t>
      </w:r>
      <w:r>
        <w:t xml:space="preserve"> </w:t>
      </w:r>
      <w:r>
        <w:t>扩散率的LiInSn中间相来调节Sn的锂化路径，从而促进平衡和均匀的相变。这种动力学优化的锂化过程显著减少了局部应力积累，并使</w:t>
      </w:r>
    </w:p>
    <w:p>
      <w:pPr>
        <w:spacing w:before="0" w:after="200" w:lineRule="auto" w:line="276"/>
      </w:pPr>
      <w:r>
        <w:rPr>
          <w:b/>
        </w:rPr>
        <w:t xml:space="preserve">Abstract (EN): </w:t>
      </w:r>
      <w:r>
        <w:t>Alloy‐type anodes possess ultrahigh theoretical capacities but suffer from severe volume expansion and mechanical degradation during cycling, impeding their practical application in lithium‐ion batteries (LIBs). Here, this work proposes an equilibrium lithiation dynamics strategy to design an indium (In)‐tin (Sn) alloy‐type foil anode that effectively mitigates bulk strain through intrinsic strain partitioning. The incorporation of In regulates the lithiation pathway of Sn by forming a LiInSn intermediate phase with high Li</w:t>
      </w:r>
      <w:r>
        <w:t xml:space="preserve"> </w:t>
      </w:r>
      <w:r>
        <w:t>+</w:t>
      </w:r>
      <w:r>
        <w:t xml:space="preserve"> </w:t>
      </w:r>
      <w:r>
        <w:t>diffusivity, which promotes a balanced and homogeneous phase transition. This kinetically optimized lithiation process significantly reduces localized stress accumulation and enables uniform strain distribution throughout the electrode. Benefiting from this synergistic mechanism, the InSn foil exhibits only 27.2% volumetric expansion under practically relevant conditions (2 mAh cm</w:t>
      </w:r>
      <w:r>
        <w:t xml:space="preserve"> </w:t>
      </w:r>
      <w:r>
        <w:t>−2</w:t>
      </w:r>
      <w:r>
        <w:t xml:space="preserve"> </w:t>
      </w:r>
      <w:r>
        <w:t>, 100 cycles), setting a benchmark in strain management for alloy anodes. Its interlocking structure forms a stable solid‐solid interface that dissipates stress efficiently, ensuring mechanical robustness and fast Li</w:t>
      </w:r>
      <w:r>
        <w:t xml:space="preserve"> </w:t>
      </w:r>
      <w:r>
        <w:t>+</w:t>
      </w:r>
      <w:r>
        <w:t xml:space="preserve"> </w:t>
      </w:r>
      <w:r>
        <w:t>transport. The anode delivers high Coulombic efficiency (&amp;gt;99.5%) and excellent cycling stability. Full cells (InSn‐E||LFP, InSn‐E||NCM811) achieve 96.9% capacity retention after 500 cycles and over 1300 Wh L</w:t>
      </w:r>
      <w:r>
        <w:t xml:space="preserve"> </w:t>
      </w:r>
      <w:r>
        <w:t>−1</w:t>
      </w:r>
      <w:r>
        <w:t xml:space="preserve"> </w:t>
      </w:r>
      <w:r>
        <w:t>. This work establishes a paradigm of equilibrium‐driven strain partitioning for alloy‐type anodes, offering both mechanistic insight and a practical pathway toward high‐energy‐density LIBs.</w:t>
      </w:r>
    </w:p>
    <w:p>
      <w:pPr>
        <w:spacing w:before="120" w:after="120"/>
      </w:pPr>
      <w:r>
        <w:rPr>
          <w:sz w:val="18"/>
        </w:rPr>
        <w:t>——————————————————————————————————————————————————————————————————————</w:t>
      </w:r>
    </w:p>
    <w:p>
      <w:pPr>
        <w:spacing w:before="160" w:after="40" w:line="240" w:lineRule="auto"/>
      </w:pPr>
      <w:r>
        <w:rPr>
          <w:b/>
        </w:rPr>
        <w:t xml:space="preserve">[4] </w:t>
      </w:r>
      <w:hyperlink r:id="rId59">
        <w:r>
          <w:rPr>
            <w:color w:val="1155CC"/>
            <w:u w:val="single"/>
          </w:rPr>
          <w:t>苯并噁嗪化学引导的微球硬碳闭孔工程用于超快钠能量存储</w:t>
        </w:r>
      </w:hyperlink>
    </w:p>
    <w:p>
      <w:pPr>
        <w:spacing w:before="0" w:after="80"/>
      </w:pPr>
      <w:r>
        <w:rPr>
          <w:i/>
          <w:sz w:val="20"/>
        </w:rPr>
        <w:t>EN: Benzoxazine Chemistry‐Directed Closed‐Pore Engineering in Microspheric Hard Carbon toward Ultrafast Sodium Energy Storage</w:t>
      </w:r>
    </w:p>
    <w:p>
      <w:pPr>
        <w:spacing w:before="0" w:after="120"/>
      </w:pPr>
      <w:r>
        <w:rPr>
          <w:b/>
        </w:rPr>
        <w:t xml:space="preserve">Source: </w:t>
      </w:r>
      <w:r>
        <w:t>Wiley: Advanced Energy Materials: Table of Contents</w:t>
      </w:r>
      <w:r>
        <w:t xml:space="preserve">    </w:t>
      </w:r>
      <w:r>
        <w:rPr>
          <w:b/>
        </w:rPr>
        <w:t xml:space="preserve">Pub date: </w:t>
      </w:r>
      <w:r>
        <w:t>2026-04-11 16:59:44+00:00</w:t>
      </w:r>
      <w:r>
        <w:t xml:space="preserve">    </w:t>
      </w:r>
      <w:r>
        <w:rPr>
          <w:b/>
        </w:rPr>
        <w:t xml:space="preserve">DOI: </w:t>
      </w:r>
      <w:hyperlink r:id="rId60">
        <w:r>
          <w:rPr>
            <w:color w:val="1155CC"/>
            <w:u w:val="single"/>
          </w:rPr>
          <w:t>10.1002/aenm.70934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封闭孔工程提高钠存储平台容量仍然是高性能硬碳负极的关键挑战。在此，提出了一种苯并噁嗪化学导向的交联策略，通过天然茶多酚、谷氨酸和甲醛的单体聚合合成基于聚苯并噁嗪的聚合物球体（G-FT）。我们揭示了二羧酸胺结构的谷氨酸可以通过多位点连接机制同时触发原位Mannich反应和与茶多酚的酯化反应。这种高度交联和独特的Mannich桥框架在基于聚苯并噁嗪的前体中促进了石墨微域的有序生长</w:t>
      </w:r>
    </w:p>
    <w:p>
      <w:pPr>
        <w:spacing w:before="0" w:after="200" w:lineRule="auto" w:line="276"/>
      </w:pPr>
      <w:r>
        <w:rPr>
          <w:b/>
        </w:rPr>
        <w:t xml:space="preserve">Abstract (EN): </w:t>
      </w:r>
      <w:r>
        <w:t>The enhancement of sodium‐storage plateau capacity through closed‐pore engineering remains a crucial challenge in high‐performance hard carbon anodes. Herein, ạ benzoxazine chemistry‐directed cross‐linking strategy is proposed to synthesize polybenzoxazine‐based polymer spheres (G‐FT) through the polymerization of monomers among natural tea polyphenol, glutamic acid, and formaldehyde. We unveil that the dicarboxylic amine‐structured glutamic acid can simultaneously trigger in‐situ Mannich reaction and esterification with tea polyphenols through a multi‐site linkage mechanism. Such highly cross‐linked and unique Mannich bridge frameworks in the polybenzoxazine‐based precursors facilitate the ordered growth of graphitic microdomains during subsequent carbonization process, resulting in abundant nanoscale closed pores within the derived hard carbon microspheres (G‐FT‐HC). For sodium‐ion storage, G‐FT‐HC delivers a boosted initial Coulombic efficiency (90.6%) and a high capacity (325.7 mAh g</w:t>
      </w:r>
      <w:r>
        <w:t xml:space="preserve"> </w:t>
      </w:r>
      <w:r>
        <w:t>−1</w:t>
      </w:r>
      <w:r>
        <w:t xml:space="preserve"> </w:t>
      </w:r>
      <w:r>
        <w:t>) along with 68.2% plateau capacity contribution. Meanwhile, the optimized carbon microstructure and inorganic‐rich solid‐electrolyte interphase endow the G‐FT‐HC with superb high‐rate capability (78.9 mAh g</w:t>
      </w:r>
      <w:r>
        <w:t xml:space="preserve"> </w:t>
      </w:r>
      <w:r>
        <w:t>−1</w:t>
      </w:r>
      <w:r>
        <w:t xml:space="preserve"> </w:t>
      </w:r>
      <w:r>
        <w:t>at 15 A g</w:t>
      </w:r>
      <w:r>
        <w:t xml:space="preserve"> </w:t>
      </w:r>
      <w:r>
        <w:t>−1</w:t>
      </w:r>
      <w:r>
        <w:t xml:space="preserve"> </w:t>
      </w:r>
      <w:r>
        <w:t>, ≈16 s to full charge or discharge). Theoretical calculations reveal that in the G‐FT‐HC, nitrogen‐doped pseudo‐graphitic domains together with expanded carbon layers and moderate planar defects favor rapid Na</w:t>
      </w:r>
      <w:r>
        <w:t xml:space="preserve"> </w:t>
      </w:r>
      <w:r>
        <w:t>+</w:t>
      </w:r>
      <w:r>
        <w:t xml:space="preserve"> </w:t>
      </w:r>
      <w:r>
        <w:t>diffusion kinetics, while the formed closed‐pore structure promotes Na cluster aggregation, thereby enhancing the Na‐storage at low‐voltage plateau.</w:t>
      </w:r>
    </w:p>
    <w:p>
      <w:pPr>
        <w:spacing w:before="120" w:after="120"/>
      </w:pPr>
      <w:r>
        <w:rPr>
          <w:sz w:val="18"/>
        </w:rPr>
        <w:t>——————————————————————————————————————————————————————————————————————</w:t>
      </w:r>
    </w:p>
    <w:p>
      <w:pPr>
        <w:spacing w:before="160" w:after="40" w:line="240" w:lineRule="auto"/>
      </w:pPr>
      <w:r>
        <w:rPr>
          <w:b/>
        </w:rPr>
        <w:t xml:space="preserve">[5] </w:t>
      </w:r>
      <w:hyperlink r:id="rId61">
        <w:r>
          <w:rPr>
            <w:color w:val="1155CC"/>
            <w:u w:val="single"/>
          </w:rPr>
          <w:t>将空间电荷存储与合金化反应阳极结合用于超快和高能量存储</w:t>
        </w:r>
      </w:hyperlink>
    </w:p>
    <w:p>
      <w:pPr>
        <w:spacing w:before="0" w:after="80"/>
      </w:pPr>
      <w:r>
        <w:rPr>
          <w:i/>
          <w:sz w:val="20"/>
        </w:rPr>
        <w:t>EN: Coupling Space Charge Storage With Alloying Reactions Anode for Ultrafast and High Energy Storage</w:t>
      </w:r>
    </w:p>
    <w:p>
      <w:pPr>
        <w:spacing w:before="0" w:after="120"/>
      </w:pPr>
      <w:r>
        <w:rPr>
          <w:b/>
        </w:rPr>
        <w:t xml:space="preserve">Source: </w:t>
      </w:r>
      <w:r>
        <w:t>Wiley: Angewandte Chemie International Edition: Table of Contents</w:t>
      </w:r>
      <w:r>
        <w:t xml:space="preserve">    </w:t>
      </w:r>
      <w:r>
        <w:rPr>
          <w:b/>
        </w:rPr>
        <w:t xml:space="preserve">Pub date: </w:t>
      </w:r>
      <w:r>
        <w:t>2026-04-11 17:07:26+00:00</w:t>
      </w:r>
      <w:r>
        <w:t xml:space="preserve">    </w:t>
      </w:r>
      <w:r>
        <w:rPr>
          <w:b/>
        </w:rPr>
        <w:t xml:space="preserve">DOI: </w:t>
      </w:r>
      <w:hyperlink r:id="rId62">
        <w:r>
          <w:rPr>
            <w:color w:val="1155CC"/>
            <w:u w:val="single"/>
          </w:rPr>
          <w:t>10.1002/anie.4965130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在单一电极中实现高能量密度和高功率密度的双重目标长期以来被视为锂离子电池的“圣杯”。在此，成功开发了一种混合电子/离子/合金导体材料（Fe/Li</w:t>
      </w:r>
      <w:r>
        <w:rPr>
          <w:vertAlign w:val="subscript"/>
        </w:rPr>
        <w:t>2</w:t>
      </w:r>
      <w:r>
        <w:t>O-Sn），通过结合空间电荷存储机制与合金化反应来解决这一挑战。金属铁与Li</w:t>
      </w:r>
      <w:r>
        <w:rPr>
          <w:vertAlign w:val="subscript"/>
        </w:rPr>
        <w:t>2</w:t>
      </w:r>
      <w:r>
        <w:t>O之间的强亲和力和丰富的界面促进了锂离子在整个电极中的超快扩散。通过混合电子和离子导电网络，锡（Sn）的合金化反应不仅表现出超快的反应动力学，还</w:t>
      </w:r>
    </w:p>
    <w:p>
      <w:pPr>
        <w:spacing w:before="0" w:after="200" w:lineRule="auto" w:line="276"/>
      </w:pPr>
      <w:r>
        <w:rPr>
          <w:b/>
        </w:rPr>
        <w:t xml:space="preserve">Abstract (EN): </w:t>
      </w:r>
      <w:r>
        <w:t>Achieving the dual objectives of high‐energy‐density and high‐power‐density within a single electrode has long been regarded as the “holy grail” for lithium‐ion batteries. Herein, a mixed electronic/ionic/alloy conductor material (Fe/Li</w:t>
      </w:r>
      <w:r>
        <w:rPr>
          <w:vertAlign w:val="subscript"/>
        </w:rPr>
        <w:t>2</w:t>
      </w:r>
      <w:r>
        <w:t>O‐Sn) is successfully developed to address this challenge by coupling the space charge storage mechanism with alloying reaction. The strong affinity and abundant interfaces between the metallic iron and the Li</w:t>
      </w:r>
      <w:r>
        <w:rPr>
          <w:vertAlign w:val="subscript"/>
        </w:rPr>
        <w:t>2</w:t>
      </w:r>
      <w:r>
        <w:t>O facilitates ultrafast lithium‐ion diffusion throughout the electrode. By the mixed electronic and ionic conducting networks, the alloying reaction of tin (Sn) not only demonstrates ultrafast reaction kinetics but also fully utilizes its high theoretical capacity. Benefiting from the unique structure, the Fe/Li</w:t>
      </w:r>
      <w:r>
        <w:rPr>
          <w:vertAlign w:val="subscript"/>
        </w:rPr>
        <w:t>2</w:t>
      </w:r>
      <w:r>
        <w:t>O‐Sn electrode delivers an outstanding electrochemical performance, including an ultrafast charging/discharging rate of 40 A g</w:t>
      </w:r>
      <w:r>
        <w:t xml:space="preserve"> </w:t>
      </w:r>
      <w:r>
        <w:t>−</w:t>
      </w:r>
      <w:r>
        <w:rPr>
          <w:vertAlign w:val="subscript"/>
        </w:rPr>
        <w:t>1</w:t>
      </w:r>
      <w:r>
        <w:t>, a high‐energy‐density of 1242 Wh kg</w:t>
      </w:r>
      <w:r>
        <w:t xml:space="preserve"> </w:t>
      </w:r>
      <w:r>
        <w:t>−1</w:t>
      </w:r>
      <w:r>
        <w:t xml:space="preserve"> </w:t>
      </w:r>
      <w:r>
        <w:t>, and an exceptional cycling ability of over 20,000 cycles. This synergistic integration of the space charge effect with alloying reactions in anode materials holds significant potential for the development of lithium‐ion batteries with high energy‐density, high power‐density and long‐term cycling stability.</w:t>
      </w:r>
    </w:p>
    <w:p>
      <w:pPr>
        <w:spacing w:before="120" w:after="120"/>
      </w:pPr>
      <w:r>
        <w:rPr>
          <w:sz w:val="18"/>
        </w:rPr>
        <w:t>——————————————————————————————————————————————————————————————————————</w:t>
      </w:r>
    </w:p>
    <w:p>
      <w:pPr>
        <w:spacing w:before="160" w:after="40" w:line="240" w:lineRule="auto"/>
      </w:pPr>
      <w:r>
        <w:rPr>
          <w:b/>
        </w:rPr>
        <w:t xml:space="preserve">[6] </w:t>
      </w:r>
      <w:hyperlink r:id="rId63">
        <w:r>
          <w:rPr>
            <w:color w:val="1155CC"/>
            <w:u w:val="single"/>
          </w:rPr>
          <w:t>[ASAP] 通过分析工作锂电池中电化学阻抗谱的响应对锂镀层形貌进行定量诊断</w:t>
        </w:r>
      </w:hyperlink>
    </w:p>
    <w:p>
      <w:pPr>
        <w:spacing w:before="0" w:after="80"/>
      </w:pPr>
      <w:r>
        <w:rPr>
          <w:i/>
          <w:sz w:val="20"/>
        </w:rPr>
        <w:t>EN: [ASAP] Quantitative Diagnosis of Li Plating Morphology by Analyzing Response of Electrochemical Impedance Spectroscopy in Working Li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2026-04-12 18:33:45+00:00</w:t>
      </w:r>
      <w:r>
        <w:t xml:space="preserve">    </w:t>
      </w:r>
      <w:r>
        <w:rPr>
          <w:b/>
        </w:rPr>
        <w:t xml:space="preserve">DOI: </w:t>
      </w:r>
      <w:hyperlink r:id="rId64">
        <w:r>
          <w:rPr>
            <w:color w:val="1155CC"/>
            <w:u w:val="single"/>
          </w:rPr>
          <w:t>10.1021/jacs.5c23170</w:t>
        </w:r>
      </w:hyperlink>
    </w:p>
    <w:p>
      <w:pPr>
        <w:spacing w:before="0" w:after="120"/>
      </w:pPr>
      <w:r>
        <w:rPr>
          <w:b/>
        </w:rPr>
        <w:t xml:space="preserve">Notes: </w:t>
      </w:r>
      <w:r>
        <w:t>abstract_source=pubmed</w:t>
      </w:r>
    </w:p>
    <w:p>
      <w:pPr>
        <w:spacing w:before="0" w:after="80" w:lineRule="auto" w:line="276"/>
      </w:pPr>
      <w:r>
        <w:rPr>
          <w:b/>
        </w:rPr>
        <w:t xml:space="preserve">摘要（ZH）: </w:t>
      </w:r>
      <w:r>
        <w:t>锂（Li）镀层是锂离子电池（LIBs）容量退化和安全风险的主要原因之一，在LIBs中仍然是一个关键挑战。具有不同形态的Li镀层在枝晶生长动力学、界面稳定性和“死锂”形成方面表现出根本差异，这些因素直接决定了电池的安全阈值和退化速率，但预测沉积形态的能力仍然难以捉摸。本研究开发了一种通过定量分析电荷转移电阻（Rct）演变的原位、无损诊断方法来研究Li沉积形态。我们通过不同的电解质和电流密度系统地控制沉积形态。动态松弛时间分布（DRT）分析揭示了一个强烈的相关性</w:t>
      </w:r>
    </w:p>
    <w:p>
      <w:pPr>
        <w:spacing w:before="0" w:after="200" w:lineRule="auto" w:line="276"/>
      </w:pPr>
      <w:r>
        <w:rPr>
          <w:b/>
        </w:rPr>
        <w:t xml:space="preserve">Abstract (EN): </w:t>
      </w:r>
      <w:r>
        <w:t>Lithium (Li) plating, a major cause of capacity degradation and safety risks in Li-ion batteries (LIBs), remains a critical challenge in LIBs. Li plating with distinct morphologies exhibits fundamental differences in dendrite growth kinetics, interfacial stability, and "dead Li" formation─factors that directly determine a battery's safety threshold and degradation rate, yet the ability to predict deposition morphology has remained elusive. This study develops an in situ, nondestructive diagnostic method for Li deposition morphology through quantitative analysis of charge transfer resistance (Rct) evolution. We systematically controlled deposition morphology through different electrolytes and current densities. Dynamic distribution of relaxation times (DRT) analysis revealed a strong correlation between Rct decay rates and deposition morphology, quantified through the exponential parameter b in the fitting equation y = axb. Based on the distinct decreasing rates of Rct, we defined the Li Growth Factor (LGF) as a quantitative indicator for characterizing deposition morphology. Dendritic deposits exhibited rapid Rct reduction (LGF &gt; 2.0) due to their large electrochemically active surface area (ECSA), while compact spherical or nodule-like Li showed gradual changes (LGF &lt; 1.7). The established methodology provides both fundamental insights into Li deposition processes and a practical tool for battery safety monitoring, offering significant potential for optimizing fast-charging protocols and improving battery management systems.</w:t>
      </w:r>
    </w:p>
    <w:p>
      <w:pPr>
        <w:spacing w:before="120" w:after="120"/>
      </w:pPr>
      <w:r>
        <w:rPr>
          <w:sz w:val="18"/>
        </w:rPr>
        <w:t>——————————————————————————————————————————————————————————————————————</w:t>
      </w:r>
    </w:p>
    <w:p>
      <w:pPr>
        <w:spacing w:before="160" w:after="40" w:line="240" w:lineRule="auto"/>
      </w:pPr>
      <w:r>
        <w:rPr>
          <w:b/>
        </w:rPr>
        <w:t xml:space="preserve">[7] </w:t>
      </w:r>
      <w:hyperlink r:id="rId65">
        <w:r>
          <w:rPr>
            <w:color w:val="1155CC"/>
            <w:u w:val="single"/>
          </w:rPr>
          <w:t>电镀锌复合材料在水系锌电池中的三维和纳米级分辨率分层结构</w:t>
        </w:r>
      </w:hyperlink>
    </w:p>
    <w:p>
      <w:pPr>
        <w:spacing w:before="0" w:after="80"/>
      </w:pPr>
      <w:r>
        <w:rPr>
          <w:i/>
          <w:sz w:val="20"/>
        </w:rPr>
        <w:t>EN: Three-dimensional and nanoscale resolved hierarchical structure of electroplated zinc complex in aqueous zinc battery</w:t>
      </w:r>
    </w:p>
    <w:p>
      <w:pPr>
        <w:spacing w:before="0" w:after="120"/>
      </w:pPr>
      <w:r>
        <w:rPr>
          <w:b/>
        </w:rPr>
        <w:t xml:space="preserve">Source: </w:t>
      </w:r>
      <w:r>
        <w:t>National Science Review Advance Access</w:t>
      </w:r>
      <w:r>
        <w:t xml:space="preserve">    </w:t>
      </w:r>
      <w:r>
        <w:rPr>
          <w:b/>
        </w:rPr>
        <w:t xml:space="preserve">Pub date: </w:t>
      </w:r>
      <w:r>
        <w:t>2026-04-13 00:00:00+00:00</w:t>
      </w:r>
      <w:r>
        <w:t xml:space="preserve">    </w:t>
      </w:r>
      <w:r>
        <w:rPr>
          <w:b/>
        </w:rPr>
        <w:t xml:space="preserve">DOI: </w:t>
      </w:r>
      <w:hyperlink r:id="rId66">
        <w:r>
          <w:rPr>
            <w:color w:val="1155CC"/>
            <w:u w:val="single"/>
          </w:rPr>
          <w:t>10.1093/nsr/nwag114</w:t>
        </w:r>
      </w:hyperlink>
    </w:p>
    <w:p>
      <w:pPr>
        <w:spacing w:before="0" w:after="120"/>
      </w:pPr>
      <w:r>
        <w:rPr>
          <w:b/>
        </w:rPr>
        <w:t xml:space="preserve">Notes: </w:t>
      </w:r>
      <w:r>
        <w:t>abstract_source=rss_oup</w:t>
      </w:r>
    </w:p>
    <w:p>
      <w:pPr>
        <w:spacing w:before="0" w:after="80" w:lineRule="auto" w:line="276"/>
      </w:pPr>
      <w:r>
        <w:rPr>
          <w:b/>
        </w:rPr>
        <w:t xml:space="preserve">摘要（ZH）: </w:t>
      </w:r>
      <w:r>
        <w:t>水系锌电池为电网规模的能量存储提供了安全性和成本效益，尽管锌在水中的电化学和化学腐蚀导致复杂的Zn物种和三维（3D）形态，最终降低了电池性能。迄今为止，电镀锌复合物的原子和纳米级3D结构仍不清楚。在此，通过采用先进的透射电子显微镜，特别是低温电子断层扫描，我们解析了电镀锌的保留3D结构。一个分层的固体电解质界面（SEI）由两个可能影响电池性能的关键结构组成——在锌纳米板上的外延ZnO纳米层作为内SEI，以及从边缘出现的花瓣状锌氢氧化硫酸盐（ZHS）薄片</w:t>
      </w:r>
    </w:p>
    <w:p>
      <w:pPr>
        <w:spacing w:before="0" w:after="200" w:lineRule="auto" w:line="276"/>
      </w:pPr>
      <w:r>
        <w:rPr>
          <w:b/>
        </w:rPr>
        <w:t xml:space="preserve">Abstract (EN): </w:t>
      </w:r>
      <w:r>
        <w:t>Aqueous zinc batteries offer safety and cost-effectiveness for grid-scale energy storage although the electrochemical and chemical corrosion of zinc in water results in complex Zn species and three-dimensional (3D) morphology, ultimately degrading battery performance. Thus far the atomic and nanoscale 3D structure of electroplated Zn complex remains unclear. Here, by employing advanced transmission electron microscopy, particularly cryogenic electron tomography, we resolve the preserved 3D architecture of electroplated zinc. A hierarchical solid electrolyte interphase (SEI) comprising two critical structures that could impact battery performance is delineated—an epitaxial ZnO nanolayer on Zn nanoplate as the inner SEI and petal-like zinc hydroxide sulfate (ZHS) flakes emerging from the edges of Zn-ZnO crystal as the extended SEI. We discovered three epitaxial conditions of ZnO on electrochemically plated Zn nanocrystals: (0001)ZnO ∥ (0001)Zn, (101¯0)ZnO ∥ (101¯0)Zn, and (0001)ZnO ∥ (101¯0)Zn. This complex Zn-ZnO-ZHS structure implies a correlation between zinc crystal edges and the heterogeneous chemical environment, which can be correlated with the zinc texture-dependent battery performance.</w:t>
      </w:r>
    </w:p>
    <w:p>
      <w:pPr>
        <w:spacing w:before="120" w:after="120"/>
      </w:pPr>
      <w:r>
        <w:rPr>
          <w:sz w:val="18"/>
        </w:rPr>
        <w:t>——————————————————————————————————————————————————————————————————————</w:t>
      </w:r>
    </w:p>
    <w:p>
      <w:pPr>
        <w:spacing w:before="160" w:after="40" w:line="240" w:lineRule="auto"/>
      </w:pPr>
      <w:r>
        <w:rPr>
          <w:b/>
        </w:rPr>
        <w:t xml:space="preserve">[8] </w:t>
      </w:r>
      <w:hyperlink r:id="rId67">
        <w:r>
          <w:rPr>
            <w:color w:val="1155CC"/>
            <w:u w:val="single"/>
          </w:rPr>
          <w:t>[ASAP] 去质子化诱导的强共价界面键合稳定固态电解质界面并提高锂离子电池性能</w:t>
        </w:r>
      </w:hyperlink>
    </w:p>
    <w:p>
      <w:pPr>
        <w:spacing w:before="0" w:after="80"/>
      </w:pPr>
      <w:r>
        <w:rPr>
          <w:i/>
          <w:sz w:val="20"/>
        </w:rPr>
        <w:t>EN: [ASAP] Deprotonation-Induced Strong Covalent Interfacial Bonding Stabilizes the Solid Electrolyte Interphase and Raises the Performance of Lithium-Ion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2026-04-13 08:32:27+00:00</w:t>
      </w:r>
      <w:r>
        <w:t xml:space="preserve">    </w:t>
      </w:r>
      <w:r>
        <w:rPr>
          <w:b/>
        </w:rPr>
        <w:t xml:space="preserve">DOI: </w:t>
      </w:r>
      <w:hyperlink r:id="rId68">
        <w:r>
          <w:rPr>
            <w:color w:val="1155CC"/>
            <w:u w:val="single"/>
          </w:rPr>
          <w:t>10.1021/jacs.5c23319</w:t>
        </w:r>
      </w:hyperlink>
    </w:p>
    <w:p>
      <w:pPr>
        <w:spacing w:before="0" w:after="120"/>
      </w:pPr>
      <w:r>
        <w:rPr>
          <w:b/>
        </w:rPr>
        <w:t xml:space="preserve">Notes: </w:t>
      </w:r>
      <w:r>
        <w:t>abstract_source=pubmed</w:t>
      </w:r>
    </w:p>
    <w:p>
      <w:pPr>
        <w:spacing w:before="0" w:after="80" w:lineRule="auto" w:line="276"/>
      </w:pPr>
      <w:r>
        <w:rPr>
          <w:b/>
        </w:rPr>
        <w:t xml:space="preserve">摘要（ZH）: </w:t>
      </w:r>
      <w:r>
        <w:t>电极中化学稳定的界面对于维持稳健的电化学界面演变以确保锂离子电池的长期循环稳定性是不可或缺的。然而，水溶性粘合剂（例如PAA，CMC/SBR）中与羧基和羟基相关的残留质子对界面化学的潜在影响，在电极浆料铸造制造过程中不可避免地引入，受到了有限的关注。在此，我们发现化学活性质子触发了环氧乙烷环开反应，从而破坏了固体电解质界面（SEI）的形成和稳定性，最终降低了电池性能。基于这一新见解，设计了一种化学稳定的去质子化电极（DE），其特征是</w:t>
      </w:r>
    </w:p>
    <w:p>
      <w:pPr>
        <w:spacing w:before="0" w:after="200" w:lineRule="auto" w:line="276"/>
      </w:pPr>
      <w:r>
        <w:rPr>
          <w:b/>
        </w:rPr>
        <w:t xml:space="preserve">Abstract (EN): </w:t>
      </w:r>
      <w:r>
        <w:t>Chemically stable interfaces in electrodes are indispensable for maintaining the robust electrochemical interphase evolution to ensure long-term cycling stability of lithium-ion batteries. However, the potential impact on interfacial chemistry by residual protons in association with carboxyl and hydroxyl groups in water-soluble binders (e.g., PAA, CMC/SBR), which are inevitably introduced during the slurry-casting fabrication of electrodes, has received limited attention. Herein, we uncover that the chemically reactive protons trigger ethylene carbonate ring-opening reactions, thereby disrupting the solid electrolyte interphase (SEI) formation and stability, ultimately degrading battery performance. Building on this new insight, a chemically stable, deprotonated electrode (DE) featuring much reinforced interfaces arising from heterogeneous carbon-oxygen covalent bonds is developed, which enables stronger chemical anchoring than the hydrogen bond interactions by carboxyl and hydroxyl groups. In addition, the thus-developed oxygen-rich deprotonated interface reshapes the formation of an inner Li2O-dominated SEI. This deprotonation approach demonstrates broad compatibility with several anode active materials, including microsized SiO, Si, graphite, and their composites. For example, DEs with 86 wt·% SiO/graphite and 80 wt·% 5 μm-sized Si deliver 5.14 mAh·cm-2 over 500 cycles and 4.32 mAh·cm-2 over 200 cycles, respectively. With the new DEs, two Ah-level cells paired with LiNi0.6Co0.2Mn0.2O2 and LiNi0.8Co0.1Mn0.2 cathodes achieve the respective gravimetric energy densities of 288 Wh·kg-1 and 424 Wh·kg-1, while maintaining the capacity retention of 81% over 300 and 78% over 600 cycles. The present work reveals the deprotonation-driven interphase stability mechanism and establishes active-component regulation as a new paradigm for high-energy density lithium-ion batteries.</w:t>
      </w:r>
    </w:p>
    <w:p>
      <w:pPr>
        <w:spacing w:before="120" w:after="120"/>
      </w:pPr>
      <w:r>
        <w:rPr>
          <w:sz w:val="18"/>
        </w:rPr>
        <w:t>——————————————————————————————————————————————————————————————————————</w:t>
      </w:r>
    </w:p>
    <w:p>
      <w:pPr>
        <w:spacing w:before="160" w:after="40" w:line="240" w:lineRule="auto"/>
      </w:pPr>
      <w:r>
        <w:rPr>
          <w:b/>
        </w:rPr>
        <w:t xml:space="preserve">[9] </w:t>
      </w:r>
      <w:hyperlink r:id="rId69">
        <w:r>
          <w:rPr>
            <w:color w:val="1155CC"/>
            <w:u w:val="single"/>
          </w:rPr>
          <w:t>通过相变工程铁电偶极超结构以实现稳定的锌阳极</w:t>
        </w:r>
      </w:hyperlink>
    </w:p>
    <w:p>
      <w:pPr>
        <w:spacing w:before="0" w:after="80"/>
      </w:pPr>
      <w:r>
        <w:rPr>
          <w:i/>
          <w:sz w:val="20"/>
        </w:rPr>
        <w:t>EN: Engineering Ferroelectric Dipole Superstructure via Phase Transformation for Stable Zinc Anodes</w:t>
      </w:r>
    </w:p>
    <w:p>
      <w:pPr>
        <w:spacing w:before="0" w:after="120"/>
      </w:pPr>
      <w:r>
        <w:rPr>
          <w:b/>
        </w:rPr>
        <w:t xml:space="preserve">Source: </w:t>
      </w:r>
      <w:r>
        <w:t>Wiley: Angewandte Chemie International Edition: Table of Contents</w:t>
      </w:r>
      <w:r>
        <w:t xml:space="preserve">    </w:t>
      </w:r>
      <w:r>
        <w:rPr>
          <w:b/>
        </w:rPr>
        <w:t xml:space="preserve">Pub date: </w:t>
      </w:r>
      <w:r>
        <w:t>2026-04-13 12:59:24+00:00</w:t>
      </w:r>
      <w:r>
        <w:t xml:space="preserve">    </w:t>
      </w:r>
      <w:r>
        <w:rPr>
          <w:b/>
        </w:rPr>
        <w:t xml:space="preserve">DOI: </w:t>
      </w:r>
      <w:hyperlink r:id="rId70">
        <w:r>
          <w:rPr>
            <w:color w:val="1155CC"/>
            <w:u w:val="single"/>
          </w:rPr>
          <w:t>10.1002/anie.3795510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s）的商业化受到锌负极界面热力学不稳定性的严重阻碍，这导致不可控的枝晶生长和寄生副反应。虽然铁电聚合物如聚偏氟乙烯（PVDF）在通过其内置电场调节离子通量方面显示出前景，但常见的α相PVDF表现出随机偶极排列，导致宏观极化效应可忽略不计。本研究表明，加入硫化锌（ZnS）作为多功能填料是实现PVDF基体内从非极性α相到高度极性β相关键相变的有效策略。由此产生的偶极增强混合层（</w:t>
      </w:r>
    </w:p>
    <w:p>
      <w:pPr>
        <w:spacing w:before="0" w:after="200" w:lineRule="auto" w:line="276"/>
      </w:pPr>
      <w:r>
        <w:rPr>
          <w:b/>
        </w:rPr>
        <w:t xml:space="preserve">Abstract (EN): </w:t>
      </w:r>
      <w:r>
        <w:t>The commercialization of aqueous zinc ion batteries (AZIBs) is severely hindered by the thermodynamic instability of the Zn anode interface, which leads to uncontrollable dendrite growth and parasitic side reactions. While ferroelectric polymers like poly(vinylidene fluoride) (PVDF) show promise for regulating ion flux via their built‐in electric field, the common α‐phase PVDF exhibits random dipole alignment, resulting in a negligible macroscopic polarization effect. This work demonstrates that incorporating zinc sulfide (ZnS) as a multifunctional filler is an effective strategy to actuate a crucial phase transformation from the non‐polar α‐phase to the highly polar β‐phase within the PVDF matrix. The resulting dipole‐enhanced hybrid layer (DEHL) features a structure where β‐phase nanocrystalline domains are aligned akin to “dipole superstructures,” generating a strong and homogeneous built‐in electric field. This field functions as an intelligent regulator, steering Zn</w:t>
      </w:r>
      <w:r>
        <w:t xml:space="preserve"> </w:t>
      </w:r>
      <w:r>
        <w:t>2+</w:t>
      </w:r>
      <w:r>
        <w:t xml:space="preserve"> </w:t>
      </w:r>
      <w:r>
        <w:t>ions toward uniform nucleation and dense deposition while simultaneously repelling SO</w:t>
      </w:r>
      <w:r>
        <w:rPr>
          <w:vertAlign w:val="subscript"/>
        </w:rPr>
        <w:t>4</w:t>
      </w:r>
      <w:r>
        <w:t>2−</w:t>
      </w:r>
      <w:r>
        <w:t>anions, thus synergistically suppressing zinc dendrites and inhibiting byproduct formation. Consequently, the DEHL‐protected Zn anode (DEHL@Zn) achieves exceptional cycling stability over 1800 h in a Zn//Zn symmetric cell at 5 mA cm</w:t>
      </w:r>
      <w:r>
        <w:t xml:space="preserve"> </w:t>
      </w:r>
      <w:r>
        <w:t>−2</w:t>
      </w:r>
      <w:r>
        <w:t xml:space="preserve"> </w:t>
      </w:r>
      <w:r>
        <w:t>. When paired with NVO and I</w:t>
      </w:r>
      <w:r>
        <w:rPr>
          <w:vertAlign w:val="subscript"/>
        </w:rPr>
        <w:t>2</w:t>
      </w:r>
      <w:r>
        <w:t>cathodes, the full batteries also deliver remarkable longevity, exceeding 2300 and 11 000 cycles with high specific capacities, respectively.</w:t>
      </w:r>
    </w:p>
    <w:p>
      <w:pPr>
        <w:spacing w:before="120" w:after="120"/>
      </w:pPr>
      <w:r>
        <w:rPr>
          <w:sz w:val="18"/>
        </w:rPr>
        <w:t>——————————————————————————————————————————————————————————————————————</w:t>
      </w:r>
    </w:p>
    <w:p>
      <w:pPr>
        <w:spacing w:before="160" w:after="40" w:line="240" w:lineRule="auto"/>
      </w:pPr>
      <w:r>
        <w:rPr>
          <w:b/>
        </w:rPr>
        <w:t xml:space="preserve">[10] </w:t>
      </w:r>
      <w:hyperlink r:id="rId71">
        <w:r>
          <w:rPr>
            <w:color w:val="1155CC"/>
            <w:u w:val="single"/>
          </w:rPr>
          <w:t>质子-互变异构驱动共价有机框架中电子云密度的重新分布以实现高效钠离子存储</w:t>
        </w:r>
      </w:hyperlink>
    </w:p>
    <w:p>
      <w:pPr>
        <w:spacing w:before="0" w:after="80"/>
      </w:pPr>
      <w:r>
        <w:rPr>
          <w:i/>
          <w:sz w:val="20"/>
        </w:rPr>
        <w:t>EN: Proton‐Tautomerism Drives Redistribution of Electron Cloud Density in Covalent Organic Framework for Efficient Sodium‐Ion Storage</w:t>
      </w:r>
    </w:p>
    <w:p>
      <w:pPr>
        <w:spacing w:before="0" w:after="120"/>
      </w:pPr>
      <w:r>
        <w:rPr>
          <w:b/>
        </w:rPr>
        <w:t xml:space="preserve">Source: </w:t>
      </w:r>
      <w:r>
        <w:t>Wiley: Angewandte Chemie International Edition: Table of Contents</w:t>
      </w:r>
      <w:r>
        <w:t xml:space="preserve">    </w:t>
      </w:r>
      <w:r>
        <w:rPr>
          <w:b/>
        </w:rPr>
        <w:t xml:space="preserve">Pub date: </w:t>
      </w:r>
      <w:r>
        <w:t>2026-04-14 07:29:13+00:00</w:t>
      </w:r>
      <w:r>
        <w:t xml:space="preserve">    </w:t>
      </w:r>
      <w:r>
        <w:rPr>
          <w:b/>
        </w:rPr>
        <w:t xml:space="preserve">DOI: </w:t>
      </w:r>
      <w:hyperlink r:id="rId72">
        <w:r>
          <w:rPr>
            <w:color w:val="1155CC"/>
            <w:u w:val="single"/>
          </w:rPr>
          <w:t>10.1002/anie.5954907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互变异构是一种普遍存在的现象，涉及通过质子迁移的结构异构体的动态互转换，但在电极设计中很少被利用。一个已知的未开发潜力的例子是共轭杂环中的亚胺-烯胺（─NH─/═N─）平衡。在此，可逆过程被用于调节共价有机框架（COFs）中的电荷传输。通过亲核芳香取代（SNAr）构建了两个π共轭COFs，HATBQ和HATPT，它们将密集的C═N/C═O氧化还原活性位点整合到化学稳定的骨架中。通过亲核芳香取代形成的共轭亚胺键使得能够形成广泛的分子内氢键网络。</w:t>
      </w:r>
    </w:p>
    <w:p>
      <w:pPr>
        <w:spacing w:before="0" w:after="200" w:lineRule="auto" w:line="276"/>
      </w:pPr>
      <w:r>
        <w:rPr>
          <w:b/>
        </w:rPr>
        <w:t xml:space="preserve">Abstract (EN): </w:t>
      </w:r>
      <w:r>
        <w:t>Proton tautomerism, a ubiquitous phenomenon involving the dynamic interconversion of structural isomers through proton migration, has seldom been utilized in electrode design. One known example of this untapped potential is the imine‐enamine (─NH─/═N─) equilibrium in conjugated heterocycles. Herein, this reversible process is harnessed to regulate charge transport in covalent organic frameworks (COFs). Two π‐conjugated COFs, HATBQ and HATPT, were constructed via nucleophilic aromatic substitution (SNAr), which integrate dense C═N/C═O redox‐active sites into chemically stable skeletons. The conjugated imine bonds, formed via nucleophilic aromatic substitution, enable the formation of an extensive network of intramolecular hydrogen bonds. This network enhances the crystallinity of the COFs without compromising the reversible proton tautomerism. These combined characteristics endow the COFs, particularly HATPT, with exceptional long‐term cycling stability and rate performance. As a result, HATPT delivers outstanding durability in Sodium‐ ion batteries (SIBs), retaining 225 mAh g</w:t>
      </w:r>
      <w:r>
        <w:t xml:space="preserve"> </w:t>
      </w:r>
      <w:r>
        <w:t>−1</w:t>
      </w:r>
      <w:r>
        <w:t xml:space="preserve"> </w:t>
      </w:r>
      <w:r>
        <w:t>after 5000 cycles at 10 A g</w:t>
      </w:r>
      <w:r>
        <w:t xml:space="preserve"> </w:t>
      </w:r>
      <w:r>
        <w:t>−1</w:t>
      </w:r>
      <w:r>
        <w:t xml:space="preserve"> </w:t>
      </w:r>
      <w:r>
        <w:t>, and exhibits strong compatibility in full‐cell configurations with Na</w:t>
      </w:r>
      <w:r>
        <w:rPr>
          <w:vertAlign w:val="subscript"/>
        </w:rPr>
        <w:t>3</w:t>
      </w:r>
      <w:r>
        <w:t>V</w:t>
      </w:r>
      <w:r>
        <w:rPr>
          <w:vertAlign w:val="subscript"/>
        </w:rPr>
        <w:t>2</w:t>
      </w:r>
      <w:r>
        <w:t>(PO</w:t>
      </w:r>
      <w:r>
        <w:rPr>
          <w:vertAlign w:val="subscript"/>
        </w:rPr>
        <w:t>4</w:t>
      </w:r>
      <w:r>
        <w:t>)</w:t>
      </w:r>
      <w:r>
        <w:rPr>
          <w:vertAlign w:val="subscript"/>
        </w:rPr>
        <w:t>3</w:t>
      </w:r>
      <w:r>
        <w:t>(NVP). This tautomerism‐driven electronic modulation significantly lowers the activation energy for redox reactions, thereby facilitating efficient Na</w:t>
      </w:r>
      <w:r>
        <w:t xml:space="preserve"> </w:t>
      </w:r>
      <w:r>
        <w:t>+</w:t>
      </w:r>
      <w:r>
        <w:t xml:space="preserve"> </w:t>
      </w:r>
      <w:r>
        <w:t>storage kinetics.</w:t>
      </w:r>
    </w:p>
    <w:p>
      <w:pPr>
        <w:spacing w:before="120" w:after="120"/>
      </w:pPr>
      <w:r>
        <w:rPr>
          <w:sz w:val="18"/>
        </w:rPr>
        <w:t>——————————————————————————————————————————————————————————————————————</w:t>
      </w:r>
    </w:p>
    <w:p>
      <w:pPr>
        <w:spacing w:before="160" w:after="40" w:line="240" w:lineRule="auto"/>
      </w:pPr>
      <w:r>
        <w:rPr>
          <w:b/>
        </w:rPr>
        <w:t xml:space="preserve">[11] </w:t>
      </w:r>
      <w:hyperlink r:id="rId73">
        <w:r>
          <w:rPr>
            <w:color w:val="1155CC"/>
            <w:u w:val="single"/>
          </w:rPr>
          <w:t>具有噻二唑诱导的电子-离子解耦的共轭C≡C连接有机聚合物用于长寿命锂金属阳极</w:t>
        </w:r>
      </w:hyperlink>
    </w:p>
    <w:p>
      <w:pPr>
        <w:spacing w:before="0" w:after="80"/>
      </w:pPr>
      <w:r>
        <w:rPr>
          <w:i/>
          <w:sz w:val="20"/>
        </w:rPr>
        <w:t>EN: Conjugated C≡C Linked Organic Polymers With Thiadiazole‐Induced Electron‐Ion Decoupling Toward Long‐Life Lithium Metal Anode</w:t>
      </w:r>
    </w:p>
    <w:p>
      <w:pPr>
        <w:spacing w:before="0" w:after="120"/>
      </w:pPr>
      <w:r>
        <w:rPr>
          <w:b/>
        </w:rPr>
        <w:t xml:space="preserve">Source: </w:t>
      </w:r>
      <w:r>
        <w:t>Wiley: Angewandte Chemie International Edition: Table of Contents</w:t>
      </w:r>
      <w:r>
        <w:t xml:space="preserve">    </w:t>
      </w:r>
      <w:r>
        <w:rPr>
          <w:b/>
        </w:rPr>
        <w:t xml:space="preserve">Pub date: </w:t>
      </w:r>
      <w:r>
        <w:t>2026-04-14 11:46:08+00:00</w:t>
      </w:r>
      <w:r>
        <w:t xml:space="preserve">    </w:t>
      </w:r>
      <w:r>
        <w:rPr>
          <w:b/>
        </w:rPr>
        <w:t xml:space="preserve">DOI: </w:t>
      </w:r>
      <w:hyperlink r:id="rId74">
        <w:r>
          <w:rPr>
            <w:color w:val="1155CC"/>
            <w:u w:val="single"/>
          </w:rPr>
          <w:t>10.1002/anie.3330575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s）中，锂离子（Li+）的显著反应性以及与电解质的不可控副反应带来了相当大的安全隐患。在此，设计了一种独特的共轭有机聚合物（Alkynyl-COP-TD），其特征是碳-碳三键（C≡C）作为π桥，并具有噻二唑诱导的电子-离子解耦效应，以稳定锂金属负极界面。通过调节其带隙，分子优化的Alkynyl-COP-TD电子结构不仅加速了聚合物内的电子传输，还建立了“电子屏蔽层”，进一步防止电子逃逸进入电解质，同时增强了机械性能。</w:t>
      </w:r>
    </w:p>
    <w:p>
      <w:pPr>
        <w:spacing w:before="0" w:after="200" w:lineRule="auto" w:line="276"/>
      </w:pPr>
      <w:r>
        <w:rPr>
          <w:b/>
        </w:rPr>
        <w:t xml:space="preserve">Abstract (EN): </w:t>
      </w:r>
      <w:r>
        <w:t>The pronounced reactivity of Li</w:t>
      </w:r>
      <w:r>
        <w:t xml:space="preserve"> </w:t>
      </w:r>
      <w:r>
        <w:t>+</w:t>
      </w:r>
      <w:r>
        <w:t xml:space="preserve"> </w:t>
      </w:r>
      <w:r>
        <w:t>, coupled with the uncontrollable side reactions with the electrolyte, presents considerable safety hazards in lithium‐metal batteries (LMBs). Herein, a unique conjugated organic polymer (Alkynyl‐COP‐TD) featuring carbon–carbon triple bonds (C≡C) as π‐bridges and thiadiazole‐induced electron–ion decoupling effect is designed to stabilize the lithium‐metal anode interface. By tuning its bandgap, the molecularly optimized electronic structure of Alkynyl‐COP‐TD not only accelerates electron transport within the polymer but also establishes “electronic shielding layer” that further prevents electron escape into the electrolyte, while simultaneously enhancing the mechanical stability of the interface. Furthermore, the incorporation of thiadiazole units in Alkynyl‐COP‐TD further facilitates the interactions between lithophilic sites (C≡C, aromatic ring) and Li</w:t>
      </w:r>
      <w:r>
        <w:t xml:space="preserve"> </w:t>
      </w:r>
      <w:r>
        <w:t>+</w:t>
      </w:r>
      <w:r>
        <w:t xml:space="preserve"> </w:t>
      </w:r>
      <w:r>
        <w:t>, accelerating Li</w:t>
      </w:r>
      <w:r>
        <w:t xml:space="preserve"> </w:t>
      </w:r>
      <w:r>
        <w:t>+</w:t>
      </w:r>
      <w:r>
        <w:t xml:space="preserve"> </w:t>
      </w:r>
      <w:r>
        <w:t>diffusion–deposition kinetics and charge transfer, as determined by a variety of advanced in‐situ/</w:t>
      </w:r>
      <w:r>
        <w:t>ex‐situ</w:t>
      </w:r>
      <w:r>
        <w:t xml:space="preserve"> </w:t>
      </w:r>
      <w:r>
        <w:t>characterizations. Consequently, compared with thiadiazole‐free Alkynyl‐COP, Alkynyl‐COP‐TD–based symmetric cell exhibits an extraordinarily extended cycle life, surpassing 2500 h at 5 mA cm</w:t>
      </w:r>
      <w:r>
        <w:t xml:space="preserve"> </w:t>
      </w:r>
      <w:r>
        <w:t>−2</w:t>
      </w:r>
      <w:r>
        <w:t xml:space="preserve"> </w:t>
      </w:r>
      <w:r>
        <w:t>. In addition, the full cell assembled with the Alkynyl‐COP‐TD‐based electrode remains stable after 1600 cycles with an average capacity degradation rate of only 0.015% per cycle and demonstrates improved rate performance. This work brings an intriguing insight of the molecular design of multifunctional artificial interfacial layers for LMBs.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5">
        <w:r>
          <w:rPr>
            <w:color w:val="1155CC"/>
            <w:u w:val="single"/>
          </w:rPr>
          <w:t>硫化物电解质在全固态电池中的界面稳定性和动力学</w:t>
        </w:r>
      </w:hyperlink>
    </w:p>
    <w:p>
      <w:pPr>
        <w:spacing w:before="0" w:after="80"/>
      </w:pPr>
      <w:r>
        <w:rPr>
          <w:i/>
          <w:sz w:val="20"/>
        </w:rPr>
        <w:t>EN: Interface Stability and Kinetics of Sulfide Electrolytes in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2026-04-11 05:28:43+00:00</w:t>
      </w:r>
      <w:r>
        <w:t xml:space="preserve">    </w:t>
      </w:r>
      <w:r>
        <w:rPr>
          <w:b/>
        </w:rPr>
        <w:t xml:space="preserve">DOI: </w:t>
      </w:r>
      <w:hyperlink r:id="rId76">
        <w:r>
          <w:rPr>
            <w:color w:val="1155CC"/>
            <w:u w:val="single"/>
          </w:rPr>
          <w:t>10.1002/anie.202519663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电池（ASSBs）被认为是下一代储能系统的有前途的候选者，与传统的液态电池相比，具有更高的安全性和能量密度。然而，由于复杂的界面反应，实现稳定的长期循环仍然是一个重大挑战，因此界面稳定性已成为ASSBs设计和开发中的关键焦点。在这项研究中，我们对基于硫化物的固体电解质（SEs）及其在ASSBs中的各种界面进行了全面的计算热力学分析，特别强调了阴极/SE、SE/中间层、SE/涂层、阴极/中间层、阴极/涂层和锂硅合金/SE阳极界面。</w:t>
      </w:r>
    </w:p>
    <w:p>
      <w:pPr>
        <w:spacing w:before="0" w:after="200" w:lineRule="auto" w:line="276"/>
      </w:pPr>
      <w:r>
        <w:rPr>
          <w:b/>
        </w:rPr>
        <w:t xml:space="preserve">Abstract (EN): </w:t>
      </w:r>
      <w:r>
        <w:t>All‐solid‐state batteries (ASSBs) are considered promising candidates for next‐generation energy storage systems, offering superior safety and energy density compared to conventional liquid‐based batteries. However, achieving stable long‐term cycling remains a significant challenge due to complex interfacial reactions, so interfacial stability has become a critical focus in the design and development of ASSBs. In this study, we present a comprehensive computational thermodynamic analysis of sulfide‐based solid electrolytes (SEs) and their various interfaces in ASSBs, with particular emphasis on cathode/SE, SE/interlayer, SE/coating, cathode/interlayer, cathode/coating and lithium‐silicon alloy/SE anode interfaces. The (electro)chemical stabilities of these interfaces are systematically evaluated. Our findings reveal that phosphate and sulfide‐type cathodes exhibit high thermodynamic stability when paired with sulfide SEs owing to favorable chemical bonding and compatibility. Furthermore, interlayers and coatings of cathode materials, such as phosphates and binary halides, notably improve interface stability by mitigating detrimental side reactions, making them particularly advantageous for long‐term cycling. For the lithium‐alloy anode, incorporation of silicon markedly improves stability by lowering the reaction energy, with the stabilization effect intensifying as the Si content increases. Kinetic analyses reveal that the interphase at Li</w:t>
      </w:r>
      <w:r>
        <w:t xml:space="preserve"> </w:t>
      </w:r>
      <w:r>
        <w:t>x</w:t>
      </w:r>
      <w:r>
        <w:t xml:space="preserve"> </w:t>
      </w:r>
      <w:r>
        <w:t>Si/Li</w:t>
      </w:r>
      <w:r>
        <w:rPr>
          <w:vertAlign w:val="subscript"/>
        </w:rPr>
        <w:t>6</w:t>
      </w:r>
      <w:r>
        <w:t>PS</w:t>
      </w:r>
      <w:r>
        <w:rPr>
          <w:vertAlign w:val="subscript"/>
        </w:rPr>
        <w:t>5</w:t>
      </w:r>
      <w:r>
        <w:t>Cl interface exhibits lower activation energy barriers for lithium‐ion migration compared to the bulk phases, thereby enhancing ionic transport.</w:t>
      </w:r>
    </w:p>
    <w:p>
      <w:pPr>
        <w:spacing w:before="120" w:after="120"/>
      </w:pPr>
      <w:r>
        <w:rPr>
          <w:sz w:val="18"/>
        </w:rPr>
        <w:t>——————————————————————————————————————————————————————————————————————</w:t>
      </w:r>
    </w:p>
    <w:p>
      <w:pPr>
        <w:spacing w:before="160" w:after="40" w:line="240" w:lineRule="auto"/>
      </w:pPr>
      <w:r>
        <w:rPr>
          <w:b/>
        </w:rPr>
        <w:t xml:space="preserve">[2] </w:t>
      </w:r>
      <w:hyperlink r:id="rId77">
        <w:r>
          <w:rPr>
            <w:color w:val="1155CC"/>
            <w:u w:val="single"/>
          </w:rPr>
          <w:t>[ASAP] 非易燃电解质中气相和凝聚相协同作用用于高稳定性钠离子电池</w:t>
        </w:r>
      </w:hyperlink>
    </w:p>
    <w:p>
      <w:pPr>
        <w:spacing w:before="0" w:after="80"/>
      </w:pPr>
      <w:r>
        <w:rPr>
          <w:i/>
          <w:sz w:val="20"/>
        </w:rPr>
        <w:t>EN: [ASAP] Gas-Phase and Condensed-Phase Synergy in a Nonflammable Electrolyte for Highly Stable Sodium-Ion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2026-04-13 08:29:27+00:00</w:t>
      </w:r>
      <w:r>
        <w:t xml:space="preserve">    </w:t>
      </w:r>
      <w:r>
        <w:rPr>
          <w:b/>
        </w:rPr>
        <w:t xml:space="preserve">DOI: </w:t>
      </w:r>
      <w:hyperlink r:id="rId78">
        <w:r>
          <w:rPr>
            <w:color w:val="1155CC"/>
            <w:u w:val="single"/>
          </w:rPr>
          <w:t>10.1021/jacs.6c05618</w:t>
        </w:r>
      </w:hyperlink>
    </w:p>
    <w:p>
      <w:pPr>
        <w:spacing w:before="0" w:after="120"/>
      </w:pPr>
      <w:r>
        <w:rPr>
          <w:b/>
        </w:rPr>
        <w:t xml:space="preserve">Notes: </w:t>
      </w:r>
      <w:r>
        <w:t>abstract_source=pubmed</w:t>
      </w:r>
    </w:p>
    <w:p>
      <w:pPr>
        <w:spacing w:before="0" w:after="80" w:lineRule="auto" w:line="276"/>
      </w:pPr>
      <w:r>
        <w:rPr>
          <w:b/>
        </w:rPr>
        <w:t xml:space="preserve">摘要（ZH）: </w:t>
      </w:r>
      <w:r>
        <w:t>缓解电解质引起的热失控以确保安全，同时保持优越的电化学性能，仍然是二次电池，尤其是电动车应用中的一个关键挑战。在此，我们设计了一种协同电解质，在传统商业碳酸酯电解质中添加三甲基磷酸酯（TMP）和乙氧基五氟环三磷腈（PFPN），通过在电解质溶解结构中进行功能区分，实现气相和凝聚相的双重阻燃性。这种不可燃电解质同时增强了电池的安全性和电化学性能。Na0.75Li0.15Mg0.05Ni0.1Mn0.7O2||HC全电池在0.02 A g-1下提供了102.9 mAh g-1的改进比容量，并在75%容量保持率后</w:t>
      </w:r>
    </w:p>
    <w:p>
      <w:pPr>
        <w:spacing w:before="0" w:after="200" w:lineRule="auto" w:line="276"/>
      </w:pPr>
      <w:r>
        <w:rPr>
          <w:b/>
        </w:rPr>
        <w:t xml:space="preserve">Abstract (EN): </w:t>
      </w:r>
      <w:r>
        <w:t>Mitigating electrolyte-induced thermal runaway to ensure safety while preserving superior electrochemical performance remains a critical challenge for secondary batteries, especially in electric vehicle applications. Herein, we design a synergistic electrolyte with trimethyl phosphate (TMP) and ethoxy-pentafluorocyclotriphosphazene (PFPN) as additives in a conventional commercial carbonate electrolyte, enabling dual gas-phase and condensed-phase flame retardancy via functional zone partitioning in the electrolyte solvation structure. This nonflammable electrolyte simultaneously enhances the battery safety and electrochemical properties. The Na0.75Li0.15Mg0.05Ni0.1Mn0.7O2||HC full cell delivers an improved specific capacity of 102.9 mAh g-1 at 0.02 A g-1 and a capacity retention of 75% after 1000 cycles at 0.1 A g-1. The capacity retention rate of a single-stack pouch cell is 80% after 500 cycles, which also proves the applicability of the electrolyte. Specifically, TMP preferentially coordinates in the inner solvation sheath to suppress gas-phase flame propagation via radical scavenging, which is confirmed by differential electrochemical mass spectrometry (DEMS) through its effective suppression of H2 release and interruption of the combustion chain reaction. In contrast, PFPN achieves condensed-phase flame retardancy by forming a dense protective carbon layer at high temperatures, with in-depth X-ray photoelectron spectroscopy (XPS) analysis revealing that P-N/P-F functional groups enable it to act as both a "fire barrier" and an "interfacial stabilizer", thereby preventing continuous decomposition of flammable components. This work provides novel insights for flame-retardant electrolyte design.</w:t>
      </w:r>
    </w:p>
    <w:p>
      <w:pPr>
        <w:spacing w:before="120" w:after="120"/>
      </w:pPr>
      <w:r>
        <w:rPr>
          <w:sz w:val="18"/>
        </w:rPr>
        <w:t>——————————————————————————————————————————————————————————————————————</w:t>
      </w:r>
    </w:p>
    <w:p>
      <w:pPr>
        <w:spacing w:before="160" w:after="40" w:line="240" w:lineRule="auto"/>
      </w:pPr>
      <w:r>
        <w:rPr>
          <w:b/>
        </w:rPr>
        <w:t xml:space="preserve">[3] </w:t>
      </w:r>
      <w:hyperlink r:id="rId79">
        <w:r>
          <w:rPr>
            <w:color w:val="1155CC"/>
            <w:u w:val="single"/>
          </w:rPr>
          <w:t>[ASAP] 三维共价有机框架中的大型多通道结构用于高效客体扩散</w:t>
        </w:r>
      </w:hyperlink>
    </w:p>
    <w:p>
      <w:pPr>
        <w:spacing w:before="0" w:after="80"/>
      </w:pPr>
      <w:r>
        <w:rPr>
          <w:i/>
          <w:sz w:val="20"/>
        </w:rPr>
        <w:t>EN: [ASAP] Large Multichannel Architectures in Three-Dimensional Covalent Organic Frameworks for Efficient Guest Diffusion</w:t>
      </w:r>
    </w:p>
    <w:p>
      <w:pPr>
        <w:spacing w:before="0" w:after="120"/>
      </w:pPr>
      <w:r>
        <w:rPr>
          <w:b/>
        </w:rPr>
        <w:t xml:space="preserve">Source: </w:t>
      </w:r>
      <w:r>
        <w:t>Journal of the American Chemical Society: Latest Articles (ACS Publications)</w:t>
      </w:r>
      <w:r>
        <w:t xml:space="preserve">    </w:t>
      </w:r>
      <w:r>
        <w:rPr>
          <w:b/>
        </w:rPr>
        <w:t xml:space="preserve">Pub date: </w:t>
      </w:r>
      <w:r>
        <w:t>2026-04-13 15:01:54+00:00</w:t>
      </w:r>
      <w:r>
        <w:t xml:space="preserve">    </w:t>
      </w:r>
      <w:r>
        <w:rPr>
          <w:b/>
        </w:rPr>
        <w:t xml:space="preserve">DOI: </w:t>
      </w:r>
      <w:hyperlink r:id="rId80">
        <w:r>
          <w:rPr>
            <w:color w:val="1155CC"/>
            <w:u w:val="single"/>
          </w:rPr>
          <w:t>10.1021/jacs.6c01500</w:t>
        </w:r>
      </w:hyperlink>
    </w:p>
    <w:p>
      <w:pPr>
        <w:spacing w:before="0" w:after="120"/>
      </w:pPr>
      <w:r>
        <w:rPr>
          <w:b/>
        </w:rPr>
        <w:t xml:space="preserve">Notes: </w:t>
      </w:r>
      <w:r>
        <w:t>abstract_source=openalex</w:t>
      </w:r>
    </w:p>
    <w:p>
      <w:pPr>
        <w:spacing w:before="0" w:after="80" w:lineRule="auto" w:line="276"/>
      </w:pPr>
      <w:r>
        <w:rPr>
          <w:b/>
        </w:rPr>
        <w:t xml:space="preserve">摘要（ZH）: </w:t>
      </w:r>
      <w:r>
        <w:t>客体在块状共价有机框架（COFs）中的扩散受到二维（2D）框架中未对齐层和跨晶粒边界的2D和3D COFs中不连续1D通道的根本限制。在此，我们报告了新的基于三苯并三环烯的3D COFs，HKU-2-PEG&lt;i&gt;n&lt;/i&gt;（HKU：香港大学；&lt;i&gt;n&lt;/i&gt; = 2或4），其特征是正交互连的通道和可调的聚乙二醇（PEG）功能性，缓解了扩散限制。这些COFs包含宽度达4.8 nm的通道，以及总共67个大于5 Å（13个晶体学上独特）的通道，沿多个晶体学方向分布，促进了随机取向晶粒之间的通道连接。这些COFs块状样品中的锂离子（Li&lt;sup&gt;+&lt;/sup&gt;）传输</w:t>
      </w:r>
    </w:p>
    <w:p>
      <w:pPr>
        <w:spacing w:before="0" w:after="200" w:lineRule="auto" w:line="276"/>
      </w:pPr>
      <w:r>
        <w:rPr>
          <w:b/>
        </w:rPr>
        <w:t xml:space="preserve">Abstract (EN): </w:t>
      </w:r>
      <w:r>
        <w:t>Guest diffusion in bulk covalent organic frameworks (COFs) is fundamentally limited by misaligned layers in two-dimensional (2D) frameworks and discontinuous 1D channels in 2D and 3D COFs across crystallite boundaries. Here, we report new triptycene-based 3D COFs, HKU-2-PEG&lt;i&gt;n&lt;/i&gt; (HKU: The University of Hong Kong; &lt;i&gt;n&lt;/i&gt; = 2 or 4), featuring orthogonally interconnected channels and tunable polyethylene glycol (PEG) functionality that mitigate the diffusion limitations. These COFs contain channels up to 4.8 nm in width and a total of 67 channels larger than 5 Å (13 crystallographically unique) distributed along multiple crystallographic directions, facilitating channel connectivity between randomly oriented crystallites. Lithium-ion (Li&lt;sup&gt;+&lt;/sup&gt;) transport in bulk samples of these COFs exhibits high diffusion coefficients across a wide range of Li&lt;sup&gt;+&lt;/sup&gt; concentrations, comparable to those of commercial liquid electrolytes, demonstrating that large, multichannel crystalline architectures effectively mitigate the diffusion anisotropy inherent to low-dimensional channels in COFs.</w:t>
      </w:r>
    </w:p>
    <w:p>
      <w:pPr>
        <w:spacing w:before="120" w:after="120"/>
      </w:pPr>
      <w:r>
        <w:rPr>
          <w:sz w:val="18"/>
        </w:rPr>
        <w:t>——————————————————————————————————————————————————————————————————————</w:t>
      </w:r>
    </w:p>
    <w:p>
      <w:pPr>
        <w:spacing w:before="160" w:after="40" w:line="240" w:lineRule="auto"/>
      </w:pPr>
      <w:r>
        <w:rPr>
          <w:b/>
        </w:rPr>
        <w:t xml:space="preserve">[4] </w:t>
      </w:r>
      <w:hyperlink r:id="rId81">
        <w:r>
          <w:rPr>
            <w:color w:val="1155CC"/>
            <w:u w:val="single"/>
          </w:rPr>
          <w:t>软氧卤化物与石榴石之间的共形异质电解质界面实现无锂储层的低压固态电池</w:t>
        </w:r>
      </w:hyperlink>
    </w:p>
    <w:p>
      <w:pPr>
        <w:spacing w:before="0" w:after="80"/>
      </w:pPr>
      <w:r>
        <w:rPr>
          <w:i/>
          <w:sz w:val="20"/>
        </w:rPr>
        <w:t>EN: Conformal Hetero-Electrolyte Interface between Soft Oxyhalides and Garnet Enables Low-Pressure Lithium Reservoir-Free Solid-State Batteries</w:t>
      </w:r>
    </w:p>
    <w:p>
      <w:pPr>
        <w:spacing w:before="0" w:after="120"/>
      </w:pPr>
      <w:r>
        <w:rPr>
          <w:b/>
        </w:rPr>
        <w:t xml:space="preserve">Source: </w:t>
      </w:r>
      <w:r>
        <w:t>RSC - Energy Environ. Sci. latest articles</w:t>
      </w:r>
      <w:r>
        <w:t xml:space="preserve">    </w:t>
      </w:r>
      <w:r>
        <w:rPr>
          <w:b/>
        </w:rPr>
        <w:t xml:space="preserve">Pub date: </w:t>
      </w:r>
      <w:r>
        <w:t>2026-04-13 23:00:00+00:00</w:t>
      </w:r>
    </w:p>
    <w:p>
      <w:pPr>
        <w:spacing w:before="0" w:after="120"/>
      </w:pPr>
      <w:r>
        <w:rPr>
          <w:b/>
        </w:rPr>
        <w:t xml:space="preserve">Notes: </w:t>
      </w:r>
      <w:r>
        <w:t>abstract_source=rsc_html</w:t>
      </w:r>
    </w:p>
    <w:p>
      <w:pPr>
        <w:spacing w:before="0" w:after="80" w:lineRule="auto" w:line="276"/>
      </w:pPr>
      <w:r>
        <w:rPr>
          <w:b/>
        </w:rPr>
        <w:t xml:space="preserve">摘要（ZH）: </w:t>
      </w:r>
      <w:r>
        <w:t>固态电池的运行需要使用锂金属阳极和高电压阴极，这要求固态电解质（SE）在化学上与锂稳定，具有宽的电化学窗口，并能适应电极的体积变化。不幸的是，到目前为止，没有SE表现出符合这些要求的令人满意的机械和电化学性能。使用不同SE作为阳极电解质和阴极电解质的双固态电解质系统提供了一种可行的解决方案。在这里，我们专注于表现出优越离子导电性和阴极兼容性的氧卤化物SE，并且其锂金属反应性和较差的还原稳定性可以通过使用锂石榴石（Li6.5La3Zr1.5Ta0.5O12, LLZTO）隔膜来解决。然而，这引入了一个新的异质电解质（H-E）界面</w:t>
      </w:r>
    </w:p>
    <w:p>
      <w:pPr>
        <w:spacing w:before="0" w:after="200" w:lineRule="auto" w:line="276"/>
      </w:pPr>
      <w:r>
        <w:rPr>
          <w:b/>
        </w:rPr>
        <w:t xml:space="preserve">Abstract (EN): </w:t>
      </w:r>
      <w:r>
        <w:t>Operation of solid-state batteries with a lithium metal anode and a high voltage cathode requires solid electrolytes (SE) to be chemically stable with lithium, have a wide electrochemical window, and accommodate volume changes of the electrodes. Unfortunately, no SE exhibits satisfactory mechanical and electrochemical properties that fit these requirements to date. Dual solid electrolyte systems that use a different SE for the anolyte and catholyte present a viable solution. Here, we focus on oxyhalide SEs that demonstrate superior ionic conductivity and cathode compatibility, and where their lithium metal reactivity and poor reduction stability can be resolved using a lithium garnet (Li6.5La3Zr1.5Ta0.5O12, LLZTO) separator. Nonetheless, this imposes a new hetero-electrolyte (H-E) interface at the anolyte|catholyte contact that defines ion transport across the boundary. We report its promising properties, deconvoluted from the electrical measurements of bilayer symmetric cells, for three representative oxyhalide catholytes - LiNbOCl4, LiTaOCl4, and Li3Al3O2Cl8. Pressure-dependent measurements reveal that the relative softness of the oxyhalides (≤ 0.4 GPa) enable H-E resistances lower than 150 Ω cm2 at 2-3 MPa. Mesoscale modeling reveals that the transfer-active interface of oxyhalides with LLZTO is about 2-3 fold higher compared to the argyrodite Li6PS5Cl. The low H-E resistance of the LiNbOCl4|Li6.5La3Zr1.5Ta0.5O12 dual electrolyte enables cycling of a LiNi0.82Mn0.07Co0.11O2|Li full cell with a high discharge capacity (200 mAh g-1) at 60 °C and ~7 MPa.</w:t>
      </w:r>
    </w:p>
    <w:p>
      <w:pPr>
        <w:spacing w:before="120" w:after="120"/>
      </w:pPr>
      <w:r>
        <w:rPr>
          <w:sz w:val="18"/>
        </w:rPr>
        <w:t>——————————————————————————————————————————————————————————————————————</w:t>
      </w:r>
    </w:p>
    <w:p>
      <w:pPr>
        <w:spacing w:before="160" w:after="40" w:line="240" w:lineRule="auto"/>
      </w:pPr>
      <w:r>
        <w:rPr>
          <w:b/>
        </w:rPr>
        <w:t xml:space="preserve">[5] </w:t>
      </w:r>
      <w:hyperlink r:id="rId82">
        <w:r>
          <w:rPr>
            <w:color w:val="1155CC"/>
            <w:u w:val="single"/>
          </w:rPr>
          <w:t>通过α‐H甲基取代羧酸酯电解质调节动态固态电解质界面演变以实现20 Ah宽温度（−60°C∼70°C）锂离子软包电池</w:t>
        </w:r>
      </w:hyperlink>
    </w:p>
    <w:p>
      <w:pPr>
        <w:spacing w:before="0" w:after="80"/>
      </w:pPr>
      <w:r>
        <w:rPr>
          <w:i/>
          <w:sz w:val="20"/>
        </w:rPr>
        <w:t>EN: Regulating Dynamic Solid Electrolyte Interfacial Evolution via α‐H Methyl Substitution Carboxylate Ester Electrolytes Toward 20 Ah Wide‐Temperature (−60°C∼70°C) Li‐Ion Pouch Cells</w:t>
      </w:r>
    </w:p>
    <w:p>
      <w:pPr>
        <w:spacing w:before="0" w:after="120"/>
      </w:pPr>
      <w:r>
        <w:rPr>
          <w:b/>
        </w:rPr>
        <w:t xml:space="preserve">Source: </w:t>
      </w:r>
      <w:r>
        <w:t>Wiley: Angewandte Chemie International Edition: Table of Contents</w:t>
      </w:r>
      <w:r>
        <w:t xml:space="preserve">    </w:t>
      </w:r>
      <w:r>
        <w:rPr>
          <w:b/>
        </w:rPr>
        <w:t xml:space="preserve">Pub date: </w:t>
      </w:r>
      <w:r>
        <w:t>2026-04-14 06:35:51+00:00</w:t>
      </w:r>
      <w:r>
        <w:t xml:space="preserve">    </w:t>
      </w:r>
      <w:r>
        <w:rPr>
          <w:b/>
        </w:rPr>
        <w:t xml:space="preserve">DOI: </w:t>
      </w:r>
      <w:hyperlink r:id="rId83">
        <w:r>
          <w:rPr>
            <w:color w:val="1155CC"/>
            <w:u w:val="single"/>
          </w:rPr>
          <w:t>10.1002/anie.202521079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羧酸盐中α-H位点的高反应性是惰性界面演变的根本原因，其中溶剂共嵌入和α-H介导的氧化物氢化导致不可恢复的容量损失和有限的日历循环寿命，特别是对于宽温度范围的应用。在此，为了调节动态界面演变，我们巧妙地设计了一种基于乙基异丁酸酯（EI）的电解质，通过α-H甲基取代用于实际的LiCoO</w:t>
      </w:r>
      <w:r>
        <w:rPr>
          <w:vertAlign w:val="subscript"/>
        </w:rPr>
        <w:t>2</w:t>
      </w:r>
      <w:r>
        <w:t>/石墨（LCO||Gr）袋式电池。通过用惰性甲基取代强电子吸引的α-H基团，保留了固有的溶剂亲核性，同时ESP</w:t>
      </w:r>
      <w:r>
        <w:t xml:space="preserve"> </w:t>
      </w:r>
      <w:r>
        <w:t>min</w:t>
      </w:r>
      <w:r>
        <w:t xml:space="preserve"> </w:t>
      </w:r>
      <w:r>
        <w:t>显著</w:t>
      </w:r>
    </w:p>
    <w:p>
      <w:pPr>
        <w:spacing w:before="0" w:after="200" w:lineRule="auto" w:line="276"/>
      </w:pPr>
      <w:r>
        <w:rPr>
          <w:b/>
        </w:rPr>
        <w:t xml:space="preserve">Abstract (EN): </w:t>
      </w:r>
      <w:r>
        <w:t>High reactivity of the α‐H sites in carboxylates is the root cause of inert interfacial evolution, where the resultant solvent co‐intercalation and α‐H‐mediated oxide hydrogenation contribute to non‐recover capacity loss and limited calendar cycle life, especially for wide‐temperature‐range applications. Herein, to regulate dynamic interfacial evolution, we ingeniously designed an ethyl isobutyrate (EI) based electrolyte via α‐H methyl substitution for practical LiCoO</w:t>
      </w:r>
      <w:r>
        <w:rPr>
          <w:vertAlign w:val="subscript"/>
        </w:rPr>
        <w:t>2</w:t>
      </w:r>
      <w:r>
        <w:t>/graphite (LCO||Gr) pouch cells. By replacing the strongly electron‐withdrawing α‐H group with an inert methyl group, the inherent solvent nucleophilicity is preserved, while the ESP</w:t>
      </w:r>
      <w:r>
        <w:t xml:space="preserve"> </w:t>
      </w:r>
      <w:r>
        <w:t>min</w:t>
      </w:r>
      <w:r>
        <w:t xml:space="preserve"> </w:t>
      </w:r>
      <w:r>
        <w:t>is significantly enhanced. Such specific solvation structure evolution can facilitate the involvement of EI in inner solvation sheath and further induce a dense, stable interface which can suppress the hydrogenation‐initiated capacity loss of delithiated LCO cathodes. Employing electrochemical DRT and ToF‐SIMS techniques, we demonstrate that EI can interrupt the solvent co‐intercalation process at Gr anode by stabilizing interfacial dynamics and suppress anodic self‐discharge. Consequently, the 2 Ah LCO||EI||Gr pouch cell retains approximately 96.4% capacity after 700 cycles at −20°C and exhibits overseeding 250 cycles at 45°C. Furthermore, the commercial 20 Ah LCO||EI||Gr pouch cells deliver high energy densities of 160.3 Wh kg</w:t>
      </w:r>
      <w:r>
        <w:t xml:space="preserve"> </w:t>
      </w:r>
      <w:r>
        <w:t>−1</w:t>
      </w:r>
      <w:r>
        <w:t xml:space="preserve"> </w:t>
      </w:r>
      <w:r>
        <w:t>at −60°C and 229.1 Wh kg</w:t>
      </w:r>
      <w:r>
        <w:t xml:space="preserve"> </w:t>
      </w:r>
      <w:r>
        <w:t>−1</w:t>
      </w:r>
      <w:r>
        <w:t xml:space="preserve"> </w:t>
      </w:r>
      <w:r>
        <w:t>at 70°C, which exhibit superior temperature resistance.</w:t>
      </w:r>
    </w:p>
    <w:p>
      <w:pPr>
        <w:spacing w:before="120" w:after="120"/>
      </w:pPr>
      <w:r>
        <w:rPr>
          <w:sz w:val="18"/>
        </w:rPr>
        <w:t>——————————————————————————————————————————————————————————————————————</w:t>
      </w:r>
    </w:p>
    <w:p>
      <w:pPr>
        <w:spacing w:before="160" w:after="40" w:line="240" w:lineRule="auto"/>
      </w:pPr>
      <w:r>
        <w:rPr>
          <w:b/>
        </w:rPr>
        <w:t xml:space="preserve">[6] </w:t>
      </w:r>
      <w:hyperlink r:id="rId84">
        <w:r>
          <w:rPr>
            <w:color w:val="1155CC"/>
            <w:u w:val="single"/>
          </w:rPr>
          <w:t>压电共价有机框架作为动态“离子泵”促进固态电池中Li+的传输</w:t>
        </w:r>
      </w:hyperlink>
    </w:p>
    <w:p>
      <w:pPr>
        <w:spacing w:before="0" w:after="80"/>
      </w:pPr>
      <w:r>
        <w:rPr>
          <w:i/>
          <w:sz w:val="20"/>
        </w:rPr>
        <w:t>EN: Piezoelectric COFs Function as Dynamic “Ion Pumps” to Facilitate Li+ Transport in 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2026-04-14 11:34:15+00:00</w:t>
      </w:r>
      <w:r>
        <w:t xml:space="preserve">    </w:t>
      </w:r>
      <w:r>
        <w:rPr>
          <w:b/>
        </w:rPr>
        <w:t xml:space="preserve">DOI: </w:t>
      </w:r>
      <w:hyperlink r:id="rId85">
        <w:r>
          <w:rPr>
            <w:color w:val="1155CC"/>
            <w:u w:val="single"/>
          </w:rPr>
          <w:t>10.1002/anie.7452057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解质的发展受到离子传输缓慢和电极-电解质界面不稳定的限制。为了解决这个问题，我们引入了一种范式转变的方法，主动将循环引起的机械应力转化为离子迁移的电化学驱动力。通过战略性地结构工程化共价有机框架（COF），我们创造了一个具有破坏结构对称性的压电COF（CityU-57），在机械应力下实现内建电场（压电场）。这种结构改性不仅降低了HOMO能级以提高氧化稳定性，还增强了Li+</w:t>
      </w:r>
      <w:r>
        <w:t xml:space="preserve"> </w:t>
      </w:r>
      <w:r>
        <w:t>亲和性并降低了迁移障碍。</w:t>
      </w:r>
    </w:p>
    <w:p>
      <w:pPr>
        <w:spacing w:before="0" w:after="200" w:lineRule="auto" w:line="276"/>
      </w:pPr>
      <w:r>
        <w:rPr>
          <w:b/>
        </w:rPr>
        <w:t xml:space="preserve">Abstract (EN): </w:t>
      </w:r>
      <w:r>
        <w:t>The development of solid‐state electrolytes is restricted by sluggish ion transport and unstable electrode‐electrolyte interfaces. To address this issue, we introduce a paradigm‐shifting approach that actively converts cycling‐induced mechanical stress into an electrochemical driving force for ion migration. Through strategically structural engineering of a covalent organic framework (COF), we create a piezoelectric COF (CityU‐57) with a broken structural symmetry, enabling a built‐in electric field under mechanical stress (piezoelectric field). This structural modification not only decreases the HOMO energy level to improve oxidative stability but also enhances Li</w:t>
      </w:r>
      <w:r>
        <w:t xml:space="preserve"> </w:t>
      </w:r>
      <w:r>
        <w:t>+</w:t>
      </w:r>
      <w:r>
        <w:t xml:space="preserve"> </w:t>
      </w:r>
      <w:r>
        <w:t>affinity and reduces migration barriers, especially under a piezoelectric field. When implemented as a solid electrolyte, CityU‐57 achieves exceptional performance, including a high Li</w:t>
      </w:r>
      <w:r>
        <w:t xml:space="preserve"> </w:t>
      </w:r>
      <w:r>
        <w:t>+</w:t>
      </w:r>
      <w:r>
        <w:t xml:space="preserve"> </w:t>
      </w:r>
      <w:r>
        <w:t>transference number (0.539), low interfacial resistance, and unprecedented cycling stability exceeding 5000 h in symmetric cells. Comprehensive characterization through piezo‐response force microscopy, electrochemical analysis, and theoretical calculations, we verify a “mechano‐electric coupling” mechanism where mechanically induced piezoelectric fields function as a dynamic “ion pump” to facilitate Li</w:t>
      </w:r>
      <w:r>
        <w:t xml:space="preserve"> </w:t>
      </w:r>
      <w:r>
        <w:t>+</w:t>
      </w:r>
      <w:r>
        <w:t xml:space="preserve"> </w:t>
      </w:r>
      <w:r>
        <w:t>transport and homogenize the deposition.</w:t>
      </w:r>
    </w:p>
    <w:p>
      <w:pPr>
        <w:spacing w:before="120" w:after="120"/>
      </w:pPr>
      <w:r>
        <w:rPr>
          <w:sz w:val="18"/>
        </w:rPr>
        <w:t>——————————————————————————————————————————————————————————————————————</w:t>
      </w:r>
    </w:p>
    <w:p>
      <w:pPr>
        <w:spacing w:before="160" w:after="40" w:line="240" w:lineRule="auto"/>
      </w:pPr>
      <w:r>
        <w:rPr>
          <w:b/>
        </w:rPr>
        <w:t xml:space="preserve">[7] </w:t>
      </w:r>
      <w:hyperlink r:id="rId86">
        <w:r>
          <w:rPr>
            <w:color w:val="1155CC"/>
            <w:u w:val="single"/>
          </w:rPr>
          <w:t>用于高电压和宽温度范围工作的锂离子电池的溶剂锚定电解质</w:t>
        </w:r>
      </w:hyperlink>
    </w:p>
    <w:p>
      <w:pPr>
        <w:spacing w:before="0" w:after="80"/>
      </w:pPr>
      <w:r>
        <w:rPr>
          <w:i/>
          <w:sz w:val="20"/>
        </w:rPr>
        <w:t>EN: Solvent Anchored Electrolytes for Lithium‐Ion Batteries Working at High Voltage and Wide Temperature</w:t>
      </w:r>
    </w:p>
    <w:p>
      <w:pPr>
        <w:spacing w:before="0" w:after="120"/>
      </w:pPr>
      <w:r>
        <w:rPr>
          <w:b/>
        </w:rPr>
        <w:t xml:space="preserve">Source: </w:t>
      </w:r>
      <w:r>
        <w:t>Wiley: Angewandte Chemie International Edition: Table of Contents</w:t>
      </w:r>
      <w:r>
        <w:t xml:space="preserve">    </w:t>
      </w:r>
      <w:r>
        <w:rPr>
          <w:b/>
        </w:rPr>
        <w:t xml:space="preserve">Pub date: </w:t>
      </w:r>
      <w:r>
        <w:t>2026-04-14 11:41:54+00:00</w:t>
      </w:r>
      <w:r>
        <w:t xml:space="preserve">    </w:t>
      </w:r>
      <w:r>
        <w:rPr>
          <w:b/>
        </w:rPr>
        <w:t xml:space="preserve">DOI: </w:t>
      </w:r>
      <w:hyperlink r:id="rId87">
        <w:r>
          <w:rPr>
            <w:color w:val="1155CC"/>
            <w:u w:val="single"/>
          </w:rPr>
          <w:t>10.1002/anie.2731926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锂离子电池（LIBs）在高电压和宽温度耦合条件下性能严重衰退，因为低温阻碍了Li</w:t>
      </w:r>
      <w:r>
        <w:t xml:space="preserve"> </w:t>
      </w:r>
      <w:r>
        <w:t>+</w:t>
      </w:r>
      <w:r>
        <w:t xml:space="preserve"> </w:t>
      </w:r>
      <w:r>
        <w:t>迁移和去溶剂化动力学，而高温或高电压加剧了副反应和电极不稳定性。在此，我们提出了一种通过静电势匹配进行电解质设计的溶剂锚定范式，以实现电池在苛刻的电压-温度矩阵下的稳定运行。精细调节的电解质由匹配良好的三氟乙酰胺溶剂和氟甲苯稀释剂组成，具有以阴离子为主的内壳和溶剂锚定的外簇的位点特异性溶剂化结构。</w:t>
      </w:r>
    </w:p>
    <w:p>
      <w:pPr>
        <w:spacing w:before="0" w:after="200" w:lineRule="auto" w:line="276"/>
      </w:pPr>
      <w:r>
        <w:rPr>
          <w:b/>
        </w:rPr>
        <w:t xml:space="preserve">Abstract (EN): </w:t>
      </w:r>
      <w:r>
        <w:t>Lithium‐ion batteries (LIBs) suffer from severe performance fading under coupled conditions of high voltage and wide temperature because cold retards Li</w:t>
      </w:r>
      <w:r>
        <w:t xml:space="preserve"> </w:t>
      </w:r>
      <w:r>
        <w:t>+</w:t>
      </w:r>
      <w:r>
        <w:t xml:space="preserve"> </w:t>
      </w:r>
      <w:r>
        <w:t>migration and desolvation kinetics while heat or high voltage exacerbates parasitic reactions and electrode destabilization. Herein, we propose a solvent‐anchored paradigm for electrolyte design via electrostatic potential matching to enable stable battery operation across the demanding voltage‐temperature matrix. The fine‐tuned electrolyte, which is composed of well‐matched dimethyltrifluoroacetamide solvent and fluorotoluene diluent, features a site‐specific solvation structure with anion‐dominated inner shell and solvent‐anchored outer cluster. This unique configuration facilitates fast Li</w:t>
      </w:r>
      <w:r>
        <w:t xml:space="preserve"> </w:t>
      </w:r>
      <w:r>
        <w:t>+</w:t>
      </w:r>
      <w:r>
        <w:t xml:space="preserve"> </w:t>
      </w:r>
      <w:r>
        <w:t>desolvation and robust interphase formation on both the lithium/graphite anode and LiCoO</w:t>
      </w:r>
      <w:r>
        <w:rPr>
          <w:vertAlign w:val="subscript"/>
        </w:rPr>
        <w:t>2</w:t>
      </w:r>
      <w:r>
        <w:t>cathode. Remarkably, the formulated electrolyte enables stable operation of graphite||LiCoO</w:t>
      </w:r>
      <w:r>
        <w:rPr>
          <w:vertAlign w:val="subscript"/>
        </w:rPr>
        <w:t>2</w:t>
      </w:r>
      <w:r>
        <w:t>full cells up to a charging voltage of 4.5 V from −60°C to 80°C, indicating its promising applicability to fortify LIB performance under harsh conditions.</w:t>
      </w:r>
    </w:p>
    <w:p>
      <w:pPr>
        <w:spacing w:before="120" w:after="120"/>
      </w:pPr>
      <w:r>
        <w:rPr>
          <w:sz w:val="18"/>
        </w:rPr>
        <w:t>——————————————————————————————————————————————————————————————————————</w:t>
      </w:r>
    </w:p>
    <w:p>
      <w:pPr>
        <w:spacing w:before="160" w:after="40" w:line="240" w:lineRule="auto"/>
      </w:pPr>
      <w:r>
        <w:rPr>
          <w:b/>
        </w:rPr>
        <w:t xml:space="preserve">[8] </w:t>
      </w:r>
      <w:hyperlink r:id="rId88">
        <w:r>
          <w:rPr>
            <w:color w:val="1155CC"/>
            <w:u w:val="single"/>
          </w:rPr>
          <w:t>[ASAP] 通过质谱和电化学反应网络联合表征锂离子电池化学识别固态电解质界面物种</w:t>
        </w:r>
      </w:hyperlink>
    </w:p>
    <w:p>
      <w:pPr>
        <w:spacing w:before="0" w:after="80"/>
      </w:pPr>
      <w:r>
        <w:rPr>
          <w:i/>
          <w:sz w:val="20"/>
        </w:rPr>
        <w:t>EN: [ASAP] Identification of Solid-Electrolyte Interphase Species by Joint Characterization of Li-Ion Battery Chemistry by Mass Spectrometry and Electrochemical Reaction Networks</w:t>
      </w:r>
    </w:p>
    <w:p>
      <w:pPr>
        <w:spacing w:before="0" w:after="120"/>
      </w:pPr>
      <w:r>
        <w:rPr>
          <w:b/>
        </w:rPr>
        <w:t xml:space="preserve">Source: </w:t>
      </w:r>
      <w:r>
        <w:t>Journal of the American Chemical Society: Latest Articles (ACS Publications)</w:t>
      </w:r>
      <w:r>
        <w:t xml:space="preserve">    </w:t>
      </w:r>
      <w:r>
        <w:rPr>
          <w:b/>
        </w:rPr>
        <w:t xml:space="preserve">Pub date: </w:t>
      </w:r>
      <w:r>
        <w:t>2026-04-14 14:38:10+00:00</w:t>
      </w:r>
      <w:r>
        <w:t xml:space="preserve">    </w:t>
      </w:r>
      <w:r>
        <w:rPr>
          <w:b/>
        </w:rPr>
        <w:t xml:space="preserve">DOI: </w:t>
      </w:r>
      <w:hyperlink r:id="rId89">
        <w:r>
          <w:rPr>
            <w:color w:val="1155CC"/>
            <w:u w:val="single"/>
          </w:rPr>
          <w:t>10.1021/jacs.6c04755</w:t>
        </w:r>
      </w:hyperlink>
    </w:p>
    <w:p>
      <w:pPr>
        <w:spacing w:before="0" w:after="120"/>
      </w:pPr>
      <w:r>
        <w:rPr>
          <w:b/>
        </w:rPr>
        <w:t xml:space="preserve">Notes: </w:t>
      </w:r>
      <w:r>
        <w:t>abstract_source=pubmed</w:t>
      </w:r>
    </w:p>
    <w:p>
      <w:pPr>
        <w:spacing w:before="0" w:after="80" w:lineRule="auto" w:line="276"/>
      </w:pPr>
      <w:r>
        <w:rPr>
          <w:b/>
        </w:rPr>
        <w:t xml:space="preserve">摘要（ZH）: </w:t>
      </w:r>
      <w:r>
        <w:t>固体电解质界面（SEI）的形成和稳定性在决定现代电化学储能系统的长期性能和安全性方面起着核心作用。尽管经过数十年的研究，SEI的异质性、动态性和多相性仍然难以进行全面的分子水平表征，造成了限制理性电池设计的关键知识缺口。在这项工作中，我们引入了一个计算-实验框架，该框架整合了高通量量子化学计算、数据驱动的电化学反应网络（eCRNs）、随机算法和激光解吸/电离傅里叶变换离子回旋共振质谱（LDI-FTICR-MS），以在不施加预设条件的情况下揭示碳酸酯基电解质中的SEI形成</w:t>
      </w:r>
    </w:p>
    <w:p>
      <w:pPr>
        <w:spacing w:before="0" w:after="200" w:lineRule="auto" w:line="276"/>
      </w:pPr>
      <w:r>
        <w:rPr>
          <w:b/>
        </w:rPr>
        <w:t xml:space="preserve">Abstract (EN): </w:t>
      </w:r>
      <w:r>
        <w:t>The formation and stability of the solid-electrolyte interphase (SEI) play central roles in determining the long-term performance and safety of modern electrochemical energy storage systems. Despite decades of research, the SEI's heterogeneous, dynamic, and multiphase nature has defied comprehensive molecular-level characterization, creating a critical knowledge gap that limits rational battery design. In this work, we introduce a computational-experimental framework that integrates high-throughput quantum chemistry calculations, data-driven electrochemical reaction networks (eCRNs), stochastic algorithms, and laser desorption/ionization Fourier transform ion cyclotron resonance mass spectrometry (LDI-FTICR-MS) to unravel SEI formation in carbonate-based electrolytes without imposing predefined mechanisms. We constructed the most comprehensive eCRN to date, spanning over 10,000 species and 209 million reactions. Through stochastic network analysis, we successfully recovered 27 species that were previously reported in the literature and predicted 28 novel SEI species─nearly doubling our scientific knowledge in this area. Each new species was rigorously confirmed through advanced mass spectral analysis of its distinct molecular and isotopic signatures. We kinetically refined the formation pathways for a select set of both previously reported and novel SEI products, revealing kinetically feasible elementary reaction mechanisms with activation barriers below 1 eV. This computational-experimental approach deepens our molecular-level understanding of SEI chemistry by resolving which species form and through which decomposition mechanisms they emerge. Such knowledge provides the foundation necessary to connect electrolyte composition to the resulting SEI components, a critical step toward a more informed electrolyte development in next-generation lithium-based batteries.</w:t>
      </w:r>
    </w:p>
    <w:p>
      <w:pPr>
        <w:spacing w:before="120" w:after="120"/>
      </w:pPr>
      <w:r>
        <w:rPr>
          <w:sz w:val="18"/>
        </w:rPr>
        <w:t>——————————————————————————————————————————————————————————————————————</w:t>
      </w:r>
    </w:p>
    <w:p>
      <w:pPr>
        <w:spacing w:before="160" w:after="40" w:line="240" w:lineRule="auto"/>
      </w:pPr>
      <w:r>
        <w:rPr>
          <w:b/>
        </w:rPr>
        <w:t xml:space="preserve">[9] </w:t>
      </w:r>
      <w:hyperlink r:id="rId90">
        <w:r>
          <w:rPr>
            <w:color w:val="1155CC"/>
            <w:u w:val="single"/>
          </w:rPr>
          <w:t>用于高性能固态锂电池的二维模板诱导超密固态聚合物电解质</w:t>
        </w:r>
      </w:hyperlink>
    </w:p>
    <w:p>
      <w:pPr>
        <w:spacing w:before="0" w:after="80"/>
      </w:pPr>
      <w:r>
        <w:rPr>
          <w:i/>
          <w:sz w:val="20"/>
        </w:rPr>
        <w:t>EN: Two‐Dimensional Template Induced Ultradense Solid Polymer Electrolytes for High‐Performance Solid‐State Lithium Batteries</w:t>
      </w:r>
    </w:p>
    <w:p>
      <w:pPr>
        <w:spacing w:before="0" w:after="120"/>
      </w:pPr>
      <w:r>
        <w:rPr>
          <w:b/>
        </w:rPr>
        <w:t xml:space="preserve">Source: </w:t>
      </w:r>
      <w:r>
        <w:t>Wiley: Advanced Energy Materials: Table of Contents</w:t>
      </w:r>
      <w:r>
        <w:t xml:space="preserve">    </w:t>
      </w:r>
      <w:r>
        <w:rPr>
          <w:b/>
        </w:rPr>
        <w:t xml:space="preserve">Pub date: </w:t>
      </w:r>
      <w:r>
        <w:t>2026-04-15 06:16:24+00:00</w:t>
      </w:r>
      <w:r>
        <w:t xml:space="preserve">    </w:t>
      </w:r>
      <w:r>
        <w:rPr>
          <w:b/>
        </w:rPr>
        <w:t xml:space="preserve">DOI: </w:t>
      </w:r>
      <w:hyperlink r:id="rId91">
        <w:r>
          <w:rPr>
            <w:color w:val="1155CC"/>
            <w:u w:val="single"/>
          </w:rPr>
          <w:t>10.1002/aenm.70943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基于PVDF-HFP的固体聚合物电解质（SPEs）在固态锂金属电池（SSLMBs）的应用中具有巨大潜力。然而，相分离引起的机械强度不足和锂</w:t>
      </w:r>
      <w:r>
        <w:t xml:space="preserve"> </w:t>
      </w:r>
      <w:r>
        <w:t>+</w:t>
      </w:r>
      <w:r>
        <w:t xml:space="preserve"> </w:t>
      </w:r>
      <w:r>
        <w:t>传输动力学受损显著阻碍了其工业应用。在此，引入了带负电荷的Ti</w:t>
      </w:r>
      <w:r>
        <w:t xml:space="preserve"> </w:t>
      </w:r>
      <w:r>
        <w:t>0.87</w:t>
      </w:r>
      <w:r>
        <w:t xml:space="preserve"> </w:t>
      </w:r>
      <w:r>
        <w:t>O</w:t>
      </w:r>
      <w:r>
        <w:rPr>
          <w:vertAlign w:val="subscript"/>
        </w:rPr>
        <w:t>2</w:t>
      </w:r>
      <w:r>
        <w:t>单层纳米片作为互连模板，以抑制相分离并引导形成具有增强机械性能的超密PVDF-HFP电解质（UDSPE）。此外，Ti</w:t>
      </w:r>
      <w:r>
        <w:t xml:space="preserve"> </w:t>
      </w:r>
      <w:r>
        <w:t>0.87</w:t>
      </w:r>
      <w:r>
        <w:t xml:space="preserve"> </w:t>
      </w:r>
      <w:r>
        <w:t>O</w:t>
      </w:r>
    </w:p>
    <w:p>
      <w:pPr>
        <w:spacing w:before="0" w:after="200" w:lineRule="auto" w:line="276"/>
      </w:pPr>
      <w:r>
        <w:rPr>
          <w:b/>
        </w:rPr>
        <w:t xml:space="preserve">Abstract (EN): </w:t>
      </w:r>
      <w:r>
        <w:t>Solid polymer electrolytes based on PVDF‐HFP (SPEs) hold great promise in the application of solid‐state Li metal batteries (SSLMBs). However, phase‐separation‐induced inadequate mechanical robustness and compromised Li</w:t>
      </w:r>
      <w:r>
        <w:t xml:space="preserve"> </w:t>
      </w:r>
      <w:r>
        <w:t>+</w:t>
      </w:r>
      <w:r>
        <w:t xml:space="preserve"> </w:t>
      </w:r>
      <w:r>
        <w:t>transport kinetics significantly hinder their industrial application. Herein, negatively charged Ti</w:t>
      </w:r>
      <w:r>
        <w:t xml:space="preserve"> </w:t>
      </w:r>
      <w:r>
        <w:t>0.87</w:t>
      </w:r>
      <w:r>
        <w:t xml:space="preserve"> </w:t>
      </w:r>
      <w:r>
        <w:t>O</w:t>
      </w:r>
      <w:r>
        <w:rPr>
          <w:vertAlign w:val="subscript"/>
        </w:rPr>
        <w:t>2</w:t>
      </w:r>
      <w:r>
        <w:t>monolayer nanosheets were introduced as an interconnected template to suppress phase separation and guide the formation of an ultradense PVDF‐HFP electrolyte (UDSPE) with enhanced mechanical properties. Besides, the strong interaction between Ti</w:t>
      </w:r>
      <w:r>
        <w:t xml:space="preserve"> </w:t>
      </w:r>
      <w:r>
        <w:t>0.87</w:t>
      </w:r>
      <w:r>
        <w:t xml:space="preserve"> </w:t>
      </w:r>
      <w:r>
        <w:t>O</w:t>
      </w:r>
      <w:r>
        <w:rPr>
          <w:vertAlign w:val="subscript"/>
        </w:rPr>
        <w:t>2</w:t>
      </w:r>
      <w:r>
        <w:t>nanosheets and Li</w:t>
      </w:r>
      <w:r>
        <w:t xml:space="preserve"> </w:t>
      </w:r>
      <w:r>
        <w:t>+</w:t>
      </w:r>
      <w:r>
        <w:t xml:space="preserve"> </w:t>
      </w:r>
      <w:r>
        <w:t>enables the rapid Li</w:t>
      </w:r>
      <w:r>
        <w:t xml:space="preserve"> </w:t>
      </w:r>
      <w:r>
        <w:t>+</w:t>
      </w:r>
      <w:r>
        <w:t xml:space="preserve"> </w:t>
      </w:r>
      <w:r>
        <w:t>migration through the interface, resulting in high ionic conductivity (0.87 mS cm</w:t>
      </w:r>
      <w:r>
        <w:t xml:space="preserve"> </w:t>
      </w:r>
      <w:r>
        <w:t>−1</w:t>
      </w:r>
      <w:r>
        <w:t xml:space="preserve"> </w:t>
      </w:r>
      <w:r>
        <w:t>). The homogeneously dispersed LiTFSI facilitates the formation of an inorganic solid electrolyte interphase, thus effectively suppressing interfacial side reactions and enhancing the interface stability. Consequently, the symmetric cell exhibits a 2300 h stable cycling, and the Li||LiFePO</w:t>
      </w:r>
      <w:r>
        <w:rPr>
          <w:vertAlign w:val="subscript"/>
        </w:rPr>
        <w:t>4</w:t>
      </w:r>
      <w:r>
        <w:t>full cell with UDSPE demonstrates a stable cycling performance for more than 2000 cycles. Remarkably, Ah level solid state pouch cell with a high energy density of 386 Wh kg</w:t>
      </w:r>
      <w:r>
        <w:t xml:space="preserve"> </w:t>
      </w:r>
      <w:r>
        <w:t>−1</w:t>
      </w:r>
      <w:r>
        <w:t xml:space="preserve"> </w:t>
      </w:r>
      <w:r>
        <w:t>was assembled and worked without any liquid addition. This work provides a rational strategy for designing high‐aspect‐ratio nanosheet templates to achieve homogeneous polymer electrolytes and enable high‐performance SSLMBs.</w:t>
      </w:r>
    </w:p>
    <w:p>
      <w:pPr>
        <w:spacing w:before="120" w:after="120"/>
      </w:pPr>
      <w:r>
        <w:rPr>
          <w:sz w:val="18"/>
        </w:rPr>
        <w:t>——————————————————————————————————————————————————————————————————————</w:t>
      </w:r>
    </w:p>
    <w:p>
      <w:pPr>
        <w:spacing w:before="160" w:after="40" w:line="240" w:lineRule="auto"/>
      </w:pPr>
      <w:r>
        <w:rPr>
          <w:b/>
        </w:rPr>
        <w:t xml:space="preserve">[10] </w:t>
      </w:r>
      <w:hyperlink r:id="rId92">
        <w:r>
          <w:rPr>
            <w:color w:val="1155CC"/>
            <w:u w:val="single"/>
          </w:rPr>
          <w:t>溶剂诱导的共价键软化提升电池电压</w:t>
        </w:r>
      </w:hyperlink>
    </w:p>
    <w:p>
      <w:pPr>
        <w:spacing w:before="0" w:after="80"/>
      </w:pPr>
      <w:r>
        <w:rPr>
          <w:i/>
          <w:sz w:val="20"/>
        </w:rPr>
        <w:t>EN: Solvent‐Induced Covalent Bond Softening Boosts Battery Voltage</w:t>
      </w:r>
    </w:p>
    <w:p>
      <w:pPr>
        <w:spacing w:before="0" w:after="120"/>
      </w:pPr>
      <w:r>
        <w:rPr>
          <w:b/>
        </w:rPr>
        <w:t xml:space="preserve">Source: </w:t>
      </w:r>
      <w:r>
        <w:t>Wiley: Angewandte Chemie International Edition: Table of Contents</w:t>
      </w:r>
      <w:r>
        <w:t xml:space="preserve">    </w:t>
      </w:r>
      <w:r>
        <w:rPr>
          <w:b/>
        </w:rPr>
        <w:t xml:space="preserve">Pub date: </w:t>
      </w:r>
      <w:r>
        <w:t>2026-04-15 06:39:31+00:00</w:t>
      </w:r>
      <w:r>
        <w:t xml:space="preserve">    </w:t>
      </w:r>
      <w:r>
        <w:rPr>
          <w:b/>
        </w:rPr>
        <w:t xml:space="preserve">DOI: </w:t>
      </w:r>
      <w:hyperlink r:id="rId93">
        <w:r>
          <w:rPr>
            <w:color w:val="1155CC"/>
            <w:u w:val="single"/>
          </w:rPr>
          <w:t>10.1002/anie.9887882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电池电压是增强锂电池能量密度的关键策略。以前，这主要通过调整过渡金属基阴极材料的氧化还原电位来实现，通过诱导效应改变金属—氧键的共价性。在此，我们提出了一种增加电池电压的新策略，通过与电解质的电荷转移作用于电化学活性电极的氧化还原电位。为了证明这一新概念，我们使用了CF</w:t>
      </w:r>
      <w:r>
        <w:t xml:space="preserve"> </w:t>
      </w:r>
      <w:r>
        <w:t>x</w:t>
      </w:r>
      <w:r>
        <w:t xml:space="preserve"> </w:t>
      </w:r>
      <w:r>
        <w:t>型电极，这在商业一次电池中可以找到，并成功实现了氧化还原电位的显著提高</w:t>
      </w:r>
    </w:p>
    <w:p>
      <w:pPr>
        <w:spacing w:before="0" w:after="200" w:lineRule="auto" w:line="276"/>
      </w:pPr>
      <w:r>
        <w:rPr>
          <w:b/>
        </w:rPr>
        <w:t xml:space="preserve">Abstract (EN): </w:t>
      </w:r>
      <w:r>
        <w:t>Increasing cell voltage is a key strategy for enhancing the energy density of lithium batteries. Previously, this was mainly achieved by adjusting the redox potentials of transition‐metal‐based cathode materials through inductive effects that altered the covalency of metal—oxygen bonds. Here, we present a novel strategy for increasing battery voltage that consists of acting on the redox potential of the electrochemically active electrode through charge transfer with the electrolyte. To demonstrate this new concept, we used CF</w:t>
      </w:r>
      <w:r>
        <w:t xml:space="preserve"> </w:t>
      </w:r>
      <w:r>
        <w:t>x</w:t>
      </w:r>
      <w:r>
        <w:t xml:space="preserve"> </w:t>
      </w:r>
      <w:r>
        <w:t>‐type electrodes, which are found in commercial primary batteries, and successfully achieved an impressive increase in redox potential of over 250 mV. This was done by increasing the ionicity of the C─F bond via a lactam‐based electrolyte with high electron‐donating capability. This finding, which was extended to other electrodes, namely I</w:t>
      </w:r>
      <w:r>
        <w:rPr>
          <w:vertAlign w:val="subscript"/>
        </w:rPr>
        <w:t>2</w:t>
      </w:r>
      <w:r>
        <w:t>, was rationalized through an array of analytical techniques and computational methods. Contrary to common belief, we clearly demonstrate that the electrolyte itself can significantly impact the bulk redox properties of electrodes, such as voltage. The new proposed inductive effect, driven by interactions between the solvent and the redox center, opens up new avenues of research in chemical bond regulation. It would also be highly valuable in energy‐related systems, including electrocatalyst and beyond.</w:t>
      </w:r>
    </w:p>
    <w:p>
      <w:pPr>
        <w:spacing w:before="120" w:after="120"/>
      </w:pPr>
      <w:r>
        <w:rPr>
          <w:sz w:val="18"/>
        </w:rPr>
        <w:t>——————————————————————————————————————————————————————————————————————</w:t>
      </w:r>
    </w:p>
    <w:p>
      <w:pPr>
        <w:spacing w:before="160" w:after="40" w:line="240" w:lineRule="auto"/>
      </w:pPr>
      <w:r>
        <w:rPr>
          <w:b/>
        </w:rPr>
        <w:t xml:space="preserve">[11] </w:t>
      </w:r>
      <w:hyperlink r:id="rId94">
        <w:r>
          <w:rPr>
            <w:color w:val="1155CC"/>
            <w:u w:val="single"/>
          </w:rPr>
          <w:t>通过水的能量学解释电解质溶液中的结构形成和破坏</w:t>
        </w:r>
      </w:hyperlink>
    </w:p>
    <w:p>
      <w:pPr>
        <w:spacing w:before="0" w:after="80"/>
      </w:pPr>
      <w:r>
        <w:rPr>
          <w:i/>
          <w:sz w:val="20"/>
        </w:rPr>
        <w:t>EN: Structure making and breaking in electrolyte solutions explained by water energetics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95">
        <w:r>
          <w:rPr>
            <w:color w:val="1155CC"/>
            <w:u w:val="single"/>
          </w:rPr>
          <w:t>10.1073/pnas.2531352123</w:t>
        </w:r>
      </w:hyperlink>
    </w:p>
    <w:p>
      <w:pPr>
        <w:spacing w:before="0" w:after="120"/>
      </w:pPr>
      <w:r>
        <w:rPr>
          <w:b/>
        </w:rPr>
        <w:t xml:space="preserve">Notes: </w:t>
      </w:r>
      <w:r>
        <w:t>abstract_source=crossref</w:t>
      </w:r>
    </w:p>
    <w:p>
      <w:pPr>
        <w:spacing w:before="0" w:after="80" w:lineRule="auto" w:line="276"/>
      </w:pPr>
      <w:r>
        <w:rPr>
          <w:b/>
        </w:rPr>
        <w:t xml:space="preserve">摘要（ZH）: </w:t>
      </w:r>
      <w:r>
        <w:t>通过采用精确的Madrid-2019力场的先进分子动力学模拟，长期以来将离子分类为水的“结构制造者”或“结构破坏者”的观点被从根本上重新评估。我们定量研究了1 m LiCl、NaCl和KCl水溶液的局部水合结构（通过局部熵和Kullback-Leibler (KL) 散度分析）。我们证明所有离子都是水四面体网络的净破坏者，这种变化在高电荷密度离子溶液中更为严重。虽然在离子的第一水合壳（FHS）内氢键（HB）减少，但在其之外恢复到类似于体相的水平。从能量角度来看，溶液中的水-水相互作用比纯水不稳定约15%，</w:t>
      </w:r>
    </w:p>
    <w:p>
      <w:pPr>
        <w:spacing w:before="0" w:after="200" w:lineRule="auto" w:line="276"/>
      </w:pPr>
      <w:r>
        <w:rPr>
          <w:b/>
        </w:rPr>
        <w:t xml:space="preserve">Abstract (EN): </w:t>
      </w:r>
      <w:r>
        <w:t>The long-standing classification of ions as water “structure-makers” or “structure-breakers” is fundamentally reevaluated through advanced Molecular Dynamics simulations employing the accurate Madrid-2019 force field. We quantitatively study the local hydration structures of 1 m aqueous solutions of LiCl, NaCl, and KCl (through local entropy and Kullback-Leibler (KL)-divergence analysis). We demonstrate that all ions act as net disruptors of water’s tetrahedral network, this change being more severe in solutions with high charge density ions. While hydrogen bonding (HB) is diminished within the first hydration shell (FHS) of ions, it returns to bulk-like levels beyond it. From an energetic viewpoint, water–water interactions in solution are destabilized by about 15% compared to pure water, confirming all ions as “structure-breakers” in this regard. Two factors contribute to the energy loss of water: Roughly half arises from a 5% reduction in the total number of HBs, localized primarily within the ions’ hydration shells (plus a small contribution from HB distortion); whereas the other half originates from the destabilization of dipole–dipole correlations beyond the FHS. This latter effect, which scales with ionic charge density, is absent for uncharged solutes. Finally, we identify a correlation between the total energy of water (including the ion–water contribution) in solution and the Jones-Dole B coefficient—a correlation that also holds for divalent cations and hydrophobic solutes. The transition from “structure-maker” to “structure-breaker” (i.e., the change of sign in the B coefficient) occurs near the locus where the total energy of water in the solution is similar to that of pure water.</w:t>
      </w:r>
    </w:p>
    <w:p>
      <w:pPr>
        <w:spacing w:before="120" w:after="120"/>
      </w:pPr>
      <w:r>
        <w:rPr>
          <w:sz w:val="18"/>
        </w:rPr>
        <w:t>——————————————————————————————————————————————————————————————————————</w:t>
      </w:r>
    </w:p>
    <w:p>
      <w:pPr>
        <w:spacing w:before="160" w:after="40" w:line="240" w:lineRule="auto"/>
      </w:pPr>
      <w:r>
        <w:rPr>
          <w:b/>
        </w:rPr>
        <w:t xml:space="preserve">[12] </w:t>
      </w:r>
      <w:hyperlink r:id="rId96">
        <w:r>
          <w:rPr>
            <w:color w:val="1155CC"/>
            <w:u w:val="single"/>
          </w:rPr>
          <w:t>启用一种新途径快速生成有效的固态电解质界面层，灵感来自tRNA工作机制</w:t>
        </w:r>
      </w:hyperlink>
    </w:p>
    <w:p>
      <w:pPr>
        <w:spacing w:before="0" w:after="80"/>
      </w:pPr>
      <w:r>
        <w:rPr>
          <w:i/>
          <w:sz w:val="20"/>
        </w:rPr>
        <w:t>EN: Unlocking a Novel Pathway for Rapidly Generating Effective Solid Electrolyte Interface Layer Inspired by tRNA Working Mechanism</w:t>
      </w:r>
    </w:p>
    <w:p>
      <w:pPr>
        <w:spacing w:before="0" w:after="120"/>
      </w:pPr>
      <w:r>
        <w:rPr>
          <w:b/>
        </w:rPr>
        <w:t xml:space="preserve">Source: </w:t>
      </w:r>
      <w:r>
        <w:t>Wiley: Advanced Materials: Table of Contents</w:t>
      </w:r>
      <w:r>
        <w:t xml:space="preserve">    </w:t>
      </w:r>
      <w:r>
        <w:rPr>
          <w:b/>
        </w:rPr>
        <w:t xml:space="preserve">Pub date: </w:t>
      </w:r>
      <w:r>
        <w:t>2026-04-15 07:11:12+00:00</w:t>
      </w:r>
      <w:r>
        <w:t xml:space="preserve">    </w:t>
      </w:r>
      <w:r>
        <w:rPr>
          <w:b/>
        </w:rPr>
        <w:t xml:space="preserve">DOI: </w:t>
      </w:r>
      <w:hyperlink r:id="rId97">
        <w:r>
          <w:rPr>
            <w:color w:val="1155CC"/>
            <w:u w:val="single"/>
          </w:rPr>
          <w:t>10.1002/adma.73079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原位构建及时的固态电解质界面（SEI）层是提高水系锌金属电池（AZMBs）充电存储性能的战略方法。受转运RNA（tRNA）识别和传递机制的启发，SEI层在电池运行初期通过构建OTf</w:t>
      </w:r>
      <w:r>
        <w:t xml:space="preserve"> </w:t>
      </w:r>
      <w:r>
        <w:t>−</w:t>
      </w:r>
      <w:r>
        <w:t>阴离子载体迅速原位构建，优化了锌阳极的界面化学。具体而言，将苄基三乙基铵四氟硼酸盐（BT）引入1 M锌三氟甲磺酸盐（Zn(OTf)</w:t>
      </w:r>
      <w:r>
        <w:rPr>
          <w:vertAlign w:val="subscript"/>
        </w:rPr>
        <w:t>2</w:t>
      </w:r>
      <w:r>
        <w:t>）电解液中，带正电的BT阳离子与OTf</w:t>
      </w:r>
      <w:r>
        <w:t xml:space="preserve"> </w:t>
      </w:r>
      <w:r>
        <w:t>−</w:t>
      </w:r>
    </w:p>
    <w:p>
      <w:pPr>
        <w:spacing w:before="0" w:after="200" w:lineRule="auto" w:line="276"/>
      </w:pPr>
      <w:r>
        <w:rPr>
          <w:b/>
        </w:rPr>
        <w:t xml:space="preserve">Abstract (EN): </w:t>
      </w:r>
      <w:r>
        <w:t>In situ fabrication of a timely Solid Electrolyte Interface (SEI) layer serves as a strategic approach for improving the charge storage performance in aqueous zinc‐metal batteries (AZMBs). Inspired by the recognition and delivery mechanism of transfer RNA (tRNA), the SEI layer was swiftly in situ fabricated during the initial stage of battery operation by the constructing OTf</w:t>
      </w:r>
      <w:r>
        <w:t xml:space="preserve"> </w:t>
      </w:r>
      <w:r>
        <w:t>−</w:t>
      </w:r>
      <w:r>
        <w:t>anion‐porters, optimizing the interfacial chemistry of the Zn anode. Specifically, benzyltriethylammonium tetrafluoroborate (BT) was introduced into 1 M Zinc trifluoromethanesulfonate (Zn(OTf)</w:t>
      </w:r>
      <w:r>
        <w:rPr>
          <w:vertAlign w:val="subscript"/>
        </w:rPr>
        <w:t>2</w:t>
      </w:r>
      <w:r>
        <w:t>) electrolyte, the positively charged BT cations interacted with OTf</w:t>
      </w:r>
      <w:r>
        <w:t xml:space="preserve"> </w:t>
      </w:r>
      <w:r>
        <w:t>−</w:t>
      </w:r>
      <w:r>
        <w:t>anions through electrostatic attraction. Where this BT@OTf</w:t>
      </w:r>
      <w:r>
        <w:t xml:space="preserve"> </w:t>
      </w:r>
      <w:r>
        <w:t>−</w:t>
      </w:r>
      <w:r>
        <w:t>group reduced the Coulomb repulsion between OTf</w:t>
      </w:r>
      <w:r>
        <w:t xml:space="preserve"> </w:t>
      </w:r>
      <w:r>
        <w:t>−</w:t>
      </w:r>
      <w:r>
        <w:t>and the Zn anode, favoring the decomposition of OTf</w:t>
      </w:r>
      <w:r>
        <w:t xml:space="preserve"> </w:t>
      </w:r>
      <w:r>
        <w:t>−</w:t>
      </w:r>
      <w:r>
        <w:t>anions into a robust SEI layer at Zn</w:t>
      </w:r>
      <w:r>
        <w:t xml:space="preserve"> </w:t>
      </w:r>
      <w:r>
        <w:t>2+</w:t>
      </w:r>
      <w:r>
        <w:t xml:space="preserve"> </w:t>
      </w:r>
      <w:r>
        <w:t>plating process. The thus‐derived Zn‖Zn symmetric cell delivered a high cumulative capacity of 7 Ah cm</w:t>
      </w:r>
      <w:r>
        <w:t xml:space="preserve"> </w:t>
      </w:r>
      <w:r>
        <w:t>−2</w:t>
      </w:r>
      <w:r>
        <w:t xml:space="preserve"> </w:t>
      </w:r>
      <w:r>
        <w:t>under 10 mAh cm</w:t>
      </w:r>
      <w:r>
        <w:t xml:space="preserve"> </w:t>
      </w:r>
      <w:r>
        <w:t>−2</w:t>
      </w:r>
      <w:r>
        <w:t xml:space="preserve"> </w:t>
      </w:r>
      <w:r>
        <w:t>, while demonstrated stable operation for over 3600 h at 1 mA cm</w:t>
      </w:r>
      <w:r>
        <w:t xml:space="preserve"> </w:t>
      </w:r>
      <w:r>
        <w:t>−2</w:t>
      </w:r>
      <w:r>
        <w:t xml:space="preserve"> </w:t>
      </w:r>
      <w:r>
        <w:t>for 1 mAh cm</w:t>
      </w:r>
      <w:r>
        <w:t xml:space="preserve"> </w:t>
      </w:r>
      <w:r>
        <w:t>−2</w:t>
      </w:r>
      <w:r>
        <w:t xml:space="preserve"> </w:t>
      </w:r>
      <w:r>
        <w:t>. Additionally, the Zn‐Br</w:t>
      </w:r>
      <w:r>
        <w:rPr>
          <w:vertAlign w:val="subscript"/>
        </w:rPr>
        <w:t>2</w:t>
      </w:r>
      <w:r>
        <w:t>full battery demonstrated an excellent capacity retention rate of 97.4% after 2000 cycles, as well as achieved long‐term lifespan over 1500 cycles at Negative/Potisive (N/P) ratio of 2.7. This work presented a biomimetic mechanism for fabricating SEI layer tailored in viable zinc‐metal battery applications.</w:t>
      </w:r>
    </w:p>
    <w:p>
      <w:pPr>
        <w:spacing w:before="120" w:after="120"/>
      </w:pPr>
      <w:r>
        <w:rPr>
          <w:sz w:val="18"/>
        </w:rPr>
        <w:t>——————————————————————————————————————————————————————————————————————</w:t>
      </w:r>
    </w:p>
    <w:p>
      <w:pPr>
        <w:spacing w:before="160" w:after="40" w:line="240" w:lineRule="auto"/>
      </w:pPr>
      <w:r>
        <w:rPr>
          <w:b/>
        </w:rPr>
        <w:t xml:space="preserve">[13] </w:t>
      </w:r>
      <w:hyperlink r:id="rId98">
        <w:r>
          <w:rPr>
            <w:color w:val="1155CC"/>
            <w:u w:val="single"/>
          </w:rPr>
          <w:t>用于高压锂金属电池的氟化羧酸盐基电解质的拓扑设计</w:t>
        </w:r>
      </w:hyperlink>
    </w:p>
    <w:p>
      <w:pPr>
        <w:spacing w:before="0" w:after="80"/>
      </w:pPr>
      <w:r>
        <w:rPr>
          <w:i/>
          <w:sz w:val="20"/>
        </w:rPr>
        <w:t>EN: Topological Design of Fluorinated Carboxylate‐Based Electrolytes for High‐Voltage Lithium Metal Batteries</w:t>
      </w:r>
    </w:p>
    <w:p>
      <w:pPr>
        <w:spacing w:before="0" w:after="120"/>
      </w:pPr>
      <w:r>
        <w:rPr>
          <w:b/>
        </w:rPr>
        <w:t xml:space="preserve">Source: </w:t>
      </w:r>
      <w:r>
        <w:t>Wiley: Advanced Materials: Table of Contents</w:t>
      </w:r>
      <w:r>
        <w:t xml:space="preserve">    </w:t>
      </w:r>
      <w:r>
        <w:rPr>
          <w:b/>
        </w:rPr>
        <w:t xml:space="preserve">Pub date: </w:t>
      </w:r>
      <w:r>
        <w:t>2026-04-15 09:14:51+00:00</w:t>
      </w:r>
      <w:r>
        <w:t xml:space="preserve">    </w:t>
      </w:r>
      <w:r>
        <w:rPr>
          <w:b/>
        </w:rPr>
        <w:t xml:space="preserve">DOI: </w:t>
      </w:r>
      <w:hyperlink r:id="rId99">
        <w:r>
          <w:rPr>
            <w:color w:val="1155CC"/>
            <w:u w:val="single"/>
          </w:rPr>
          <w:t>10.1002/adma.202518771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高能锂金属电池（LMBs）需要能够同时稳定锂金属负极和高电压正极（&gt;4.5 V vs. Li/Li+）的电解质。传统的碳酸酯电解质由于在如此苛刻条件下形成的不稳定有机界面而失效。我们通过设计氟化羧酸酯（FCEs）作为电解质共溶剂，并结合合理设计的三元盐配置来解决这些挑战。关键是，我们系统地操控FCEs的氟化拓扑结构和烷基链长度，建立了分子结构与Li+之间的描述符指导的相关性。</w:t>
      </w:r>
    </w:p>
    <w:p>
      <w:pPr>
        <w:spacing w:before="0" w:after="200" w:lineRule="auto" w:line="276"/>
      </w:pPr>
      <w:r>
        <w:rPr>
          <w:b/>
        </w:rPr>
        <w:t xml:space="preserve">Abstract (EN): </w:t>
      </w:r>
      <w:r>
        <w:t>High‐energy lithium metal batteries (LMBs) require electrolytes that simultaneously stabilize the lithium metal anodes and high‐voltage cathodes (&amp;gt;4.5 V vs. Li/Li</w:t>
      </w:r>
      <w:r>
        <w:t xml:space="preserve"> </w:t>
      </w:r>
      <w:r>
        <w:t>+</w:t>
      </w:r>
      <w:r>
        <w:t xml:space="preserve"> </w:t>
      </w:r>
      <w:r>
        <w:t>). Conventional carbonate electrolytes fail due to the unstable organic interphases formed under such aggressive conditions. Here we address these challenges through the topological design of fluorinated carboxylate esters (FCEs) as electrolyte co‐solvents, combined with a rationally designed ternary‐salt configuration. Critically, our systematic manipulation of the fluorination topology and alkyl chain length of FCEs establishes the descriptor‐guided correlations between the molecular structure, Li</w:t>
      </w:r>
      <w:r>
        <w:t xml:space="preserve"> </w:t>
      </w:r>
      <w:r>
        <w:t>+</w:t>
      </w:r>
      <w:r>
        <w:t xml:space="preserve"> </w:t>
      </w:r>
      <w:r>
        <w:t>solvation thermodynamics, and interphase formation behaviors within the studied FCE family. Furthermore, the interplay between weakly and strongly coordinating anions in the FCE electrolytes regulates ion transport while promoting inorganic‐rich interphases at both electrodes. The designed electrolyte with carbonate as the baseline solvent enables 98.8% Coulombic efficiency for the lithium metal anode and 4.6‐V cycling of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full cells over 100 cycles with a capacity retention of 88.9% at a current density of 2.20 mA cm</w:t>
      </w:r>
      <w:r>
        <w:t xml:space="preserve"> </w:t>
      </w:r>
      <w:r>
        <w:t>−2</w:t>
      </w:r>
      <w:r>
        <w:t xml:space="preserve"> </w:t>
      </w:r>
      <w:r>
        <w:t>. This work reveals the molecular‐level structure–performance relationship that provides useful guidance on the co‐solvents and salts for LMB electrolytes, paving the way for the engineering of next‐generation high‐energy LMBs.</w:t>
      </w:r>
    </w:p>
    <w:p>
      <w:pPr>
        <w:spacing w:before="120" w:after="120"/>
      </w:pPr>
      <w:r>
        <w:rPr>
          <w:sz w:val="18"/>
        </w:rPr>
        <w:t>——————————————————————————————————————————————————————————————————————</w:t>
      </w:r>
    </w:p>
    <w:p>
      <w:pPr>
        <w:spacing w:before="160" w:after="40" w:line="240" w:lineRule="auto"/>
      </w:pPr>
      <w:r>
        <w:rPr>
          <w:b/>
        </w:rPr>
        <w:t xml:space="preserve">[14] </w:t>
      </w:r>
      <w:hyperlink r:id="rId100">
        <w:r>
          <w:rPr>
            <w:color w:val="1155CC"/>
            <w:u w:val="single"/>
          </w:rPr>
          <w:t>[ASAP] 氧卤化物基全固态锂金属电池界面的设计</w:t>
        </w:r>
      </w:hyperlink>
    </w:p>
    <w:p>
      <w:pPr>
        <w:spacing w:before="0" w:after="80"/>
      </w:pPr>
      <w:r>
        <w:rPr>
          <w:i/>
          <w:sz w:val="20"/>
        </w:rPr>
        <w:t>EN: [ASAP] Design for an Interface in Oxyhalide-Based All-Solid-State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2026-04-15 13:59:05+00:00</w:t>
      </w:r>
      <w:r>
        <w:t xml:space="preserve">    </w:t>
      </w:r>
      <w:r>
        <w:rPr>
          <w:b/>
        </w:rPr>
        <w:t xml:space="preserve">DOI: </w:t>
      </w:r>
      <w:hyperlink r:id="rId101">
        <w:r>
          <w:rPr>
            <w:color w:val="1155CC"/>
            <w:u w:val="single"/>
          </w:rPr>
          <w:t>10.1021/jacs.5c21351</w:t>
        </w:r>
      </w:hyperlink>
    </w:p>
    <w:p>
      <w:pPr>
        <w:spacing w:before="0" w:after="120"/>
      </w:pPr>
      <w:r>
        <w:rPr>
          <w:b/>
        </w:rPr>
        <w:t xml:space="preserve">Notes: </w:t>
      </w:r>
      <w:r>
        <w:t>abstract_source=pubmed</w:t>
      </w:r>
    </w:p>
    <w:p>
      <w:pPr>
        <w:spacing w:before="0" w:after="80" w:lineRule="auto" w:line="276"/>
      </w:pPr>
      <w:r>
        <w:rPr>
          <w:b/>
        </w:rPr>
        <w:t xml:space="preserve">摘要（ZH）: </w:t>
      </w:r>
      <w:r>
        <w:t>氧卤化物固态电解质（SSEs）表现出高离子电导率和与高电压正极的良好兼容性，具有显著的应用前景。然而，氧卤化物SSEs与锂金属负极的界面兼容性较差，限制了其在全固态锂金属电池（ASSLMBs）中的应用。在本研究中，我们利用SSEs与锂金属的自发反应来调节固态电解质界面（SEI）的组成和结构。通过调整SSEs的组成，我们促进了高度稳定且动力学上有利的SEI的&lt;i&gt;原位&lt;/i&gt;形成。&lt;i&gt;原位&lt;/i&gt;SEI表现出均匀性和致密性，而LiCl、LiF和Y2O3的协同效应增强了界面稳定性。锂对称电池（Li|LT</w:t>
      </w:r>
    </w:p>
    <w:p>
      <w:pPr>
        <w:spacing w:before="0" w:after="200" w:lineRule="auto" w:line="276"/>
      </w:pPr>
      <w:r>
        <w:rPr>
          <w:b/>
        </w:rPr>
        <w:t xml:space="preserve">Abstract (EN): </w:t>
      </w:r>
      <w:r>
        <w:t>Oxyhalide solid-state electrolytes (SSEs) exhibit high ionic conductivity and good compatibility with high-voltage cathodes, presenting notable application prospects. However, the oxyhalide SSEs exhibit poor interface compatibility with lithium metal anodes, which limits their use in all-solid-state lithium metal batteries (ASSLMBs). In this study, we utilized the spontaneous reactions of SSEs with lithium metal to regulate the composition and structure of the solid electrolyte interface (SEI). By adjusting the composition of the SSEs, we promoted the in situ formation of a highly stable and kinetically favorable SEI. The in situ SEI demonstrated uniformity and compactness, while the synergistic effects of LiCl, LiF, and Y2O3 enhanced interface stability. The lithium symmetric cells (Li|LTOC-YF3|Li) stably cycled for over 11,000 h (10.0 mA/cm2, 10.0 mAh/cm2) and achieved a high critical current density (CCD) of 12.7 mA/cm2 at a capacity of 12.7 mAh/cm2. The Li|LTOC-YF3|NCM88 ASSLMB maintained over 150 cycles with 92% capacity retention at 25 °C. Meanwhile, it exhibits excellent electrochemical stability at 50 °C. Notably, the Li|LTOC-YF3|LCO ASSLMB at 0.1 C (2.5-4.6 V) displayed a high specific capacity of 108 mAh/g at -50 °C while maintaining a stable cycling performance. Overall, the use of the LTOC-YF3 SSE in the ASSLMB demonstrates its remarkable electrochemical performance across a broad temperature range.</w:t>
      </w:r>
    </w:p>
    <w:p>
      <w:pPr>
        <w:spacing w:before="120" w:after="120"/>
      </w:pPr>
      <w:r>
        <w:rPr>
          <w:sz w:val="18"/>
        </w:rPr>
        <w:t>——————————————————————————————————————————————————————————————————————</w:t>
      </w:r>
    </w:p>
    <w:p>
      <w:pPr>
        <w:spacing w:before="160" w:after="40" w:line="240" w:lineRule="auto"/>
      </w:pPr>
      <w:r>
        <w:rPr>
          <w:b/>
        </w:rPr>
        <w:t xml:space="preserve">[15] </w:t>
      </w:r>
      <w:hyperlink r:id="rId102">
        <w:r>
          <w:rPr>
            <w:color w:val="1155CC"/>
            <w:u w:val="single"/>
          </w:rPr>
          <w:t>[ASAP] 片段工程均匀化离子流以克服固体聚合物电解质中的微相分离诱导失效</w:t>
        </w:r>
      </w:hyperlink>
    </w:p>
    <w:p>
      <w:pPr>
        <w:spacing w:before="0" w:after="80"/>
      </w:pPr>
      <w:r>
        <w:rPr>
          <w:i/>
          <w:sz w:val="20"/>
        </w:rPr>
        <w:t>EN: [ASAP] Segment Engineering Homogenizes Ion Flux to Overcome Microphase-Separation-Induced Failure in Solid Polymer Electrolytes</w:t>
      </w:r>
    </w:p>
    <w:p>
      <w:pPr>
        <w:spacing w:before="0" w:after="120"/>
      </w:pPr>
      <w:r>
        <w:rPr>
          <w:b/>
        </w:rPr>
        <w:t xml:space="preserve">Source: </w:t>
      </w:r>
      <w:r>
        <w:t>ACS Energy Letters: Latest Articles (ACS Publications)</w:t>
      </w:r>
      <w:r>
        <w:t xml:space="preserve">    </w:t>
      </w:r>
      <w:r>
        <w:rPr>
          <w:b/>
        </w:rPr>
        <w:t xml:space="preserve">Pub date: </w:t>
      </w:r>
      <w:r>
        <w:t>2026-04-15 17:52:48+00:00</w:t>
      </w:r>
      <w:r>
        <w:t xml:space="preserve">    </w:t>
      </w:r>
      <w:r>
        <w:rPr>
          <w:b/>
        </w:rPr>
        <w:t xml:space="preserve">DOI: </w:t>
      </w:r>
      <w:hyperlink r:id="rId103">
        <w:r>
          <w:rPr>
            <w:color w:val="1155CC"/>
            <w:u w:val="single"/>
          </w:rPr>
          <w:t>10.1021/acsenergylett.6c00632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104">
        <w:r>
          <w:rPr>
            <w:color w:val="1155CC"/>
            <w:u w:val="single"/>
          </w:rPr>
          <w:t>[ASAP] 局部深共晶电解质用于耐用的 4.8 V 锂金属电池</w:t>
        </w:r>
      </w:hyperlink>
    </w:p>
    <w:p>
      <w:pPr>
        <w:spacing w:before="0" w:after="80"/>
      </w:pPr>
      <w:r>
        <w:rPr>
          <w:i/>
          <w:sz w:val="20"/>
        </w:rPr>
        <w:t>EN: [ASAP] Localized Deep Eutectic Electrolytes for Durable 4.8 V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2026-04-15 19:21:45+00:00</w:t>
      </w:r>
      <w:r>
        <w:t xml:space="preserve">    </w:t>
      </w:r>
      <w:r>
        <w:rPr>
          <w:b/>
        </w:rPr>
        <w:t xml:space="preserve">DOI: </w:t>
      </w:r>
      <w:hyperlink r:id="rId105">
        <w:r>
          <w:rPr>
            <w:color w:val="1155CC"/>
            <w:u w:val="single"/>
          </w:rPr>
          <w:t>10.1021/jacs.6c04977</w:t>
        </w:r>
      </w:hyperlink>
    </w:p>
    <w:p>
      <w:pPr>
        <w:spacing w:before="0" w:after="120"/>
      </w:pPr>
      <w:r>
        <w:rPr>
          <w:b/>
        </w:rPr>
        <w:t xml:space="preserve">Notes: </w:t>
      </w:r>
      <w:r>
        <w:t>abstract_source=pubmed</w:t>
      </w:r>
    </w:p>
    <w:p>
      <w:pPr>
        <w:spacing w:before="0" w:after="80" w:lineRule="auto" w:line="276"/>
      </w:pPr>
      <w:r>
        <w:rPr>
          <w:b/>
        </w:rPr>
        <w:t xml:space="preserve">摘要（ZH）: </w:t>
      </w:r>
      <w:r>
        <w:t>采用富锂锰基氧化物（LRMO）正极的锂金属电池承诺超高能量密度（超过500 Wh kg-1），为电动汽车和低空飞行器等电源提供了一条颠覆性路线。然而，传统电解质由于阴离子-溶剂相互作用较弱，无法在高电压LRMO正极和高反应性锂金属负极上形成稳健的界面。在此，我们通过将高度氟化的醚稀释剂引入深共晶电解质（DEE）中设计了一种局部深共晶电解质（LDEE）。这种稀释剂触发了氢键供体内的电子重新分布，重新定位并增强了氢键活性位点。因此，在保持强Li+溶剂化的同时，阴离子-溶剂相互作用得以</w:t>
      </w:r>
    </w:p>
    <w:p>
      <w:pPr>
        <w:spacing w:before="0" w:after="200" w:lineRule="auto" w:line="276"/>
      </w:pPr>
      <w:r>
        <w:rPr>
          <w:b/>
        </w:rPr>
        <w:t xml:space="preserve">Abstract (EN): </w:t>
      </w:r>
      <w:r>
        <w:t>Lithium metal batteries employing lithium-rich manganese-based oxide (LRMO) cathode promise ultrahigh energy density (more than 500 Wh kg-1), offering a disruptive route for power sources of electric vehicles and low-altitude aircraft, etc. Nevertheless, conventional electrolytes with weak anion-solvent interactions fail to form robust interfaces on both high-voltage LRMO cathodes and highly reactive lithium metal anodes. Here, we design a localized deep eutectic electrolyte (LDEE) by introducing a highly fluorinated ether diluent into a deep eutectic electrolyte (DEE). This diluent triggers electronic redistribution within hydrogen bond donors, relocating and intensifying hydrogen-bonding active sites. As a result, while maintaining strong Li+ solvation, the anion-solvent interactions are reinforced, and the anionic solvation structure is locally compacted. Both the cathodic interface and the anodic interphase are derived from anions, suppressing parasitic reactions at the lithium anode and mitigating lattice-oxygen release from the LRMO cathode. The battery with LDEE maintains 80% capacity after 200 cycles within 2-4.8 V. Benefiting from this electrolyte, the as-assembled 12.8 Ah LRMO||Li pouch cell delivers a high energy density of 616.2 Wh kg-1 and exhibits excellent safety under nail penetration and 130 °C oven tests. This work provides a viable strategy for achieving high energy density and long cycling stability in lithium metal batteries.</w:t>
      </w:r>
    </w:p>
    <w:p>
      <w:pPr>
        <w:spacing w:before="120" w:after="120"/>
      </w:pPr>
      <w:r>
        <w:rPr>
          <w:sz w:val="18"/>
        </w:rPr>
        <w:t>——————————————————————————————————————————————————————————————————————</w:t>
      </w:r>
    </w:p>
    <w:p>
      <w:pPr>
        <w:spacing w:before="160" w:after="40" w:line="240" w:lineRule="auto"/>
      </w:pPr>
      <w:r>
        <w:rPr>
          <w:b/>
        </w:rPr>
        <w:t xml:space="preserve">[17] </w:t>
      </w:r>
      <w:hyperlink r:id="rId49">
        <w:r>
          <w:rPr>
            <w:color w:val="1155CC"/>
            <w:u w:val="single"/>
          </w:rPr>
          <w:t>利用有机阴极驯服全固态电池中的活性材料-固体电解质界面</w:t>
        </w:r>
      </w:hyperlink>
    </w:p>
    <w:p>
      <w:pPr>
        <w:spacing w:before="0" w:after="80"/>
      </w:pPr>
      <w:r>
        <w:rPr>
          <w:i/>
          <w:sz w:val="20"/>
        </w:rPr>
        <w:t>EN: Taming Active Material-Solid Electrolyte Interfaces with Organic Cathode for All-Solid-State Batteries</w:t>
      </w:r>
    </w:p>
    <w:p>
      <w:pPr>
        <w:spacing w:before="0" w:after="120"/>
      </w:pPr>
      <w:r>
        <w:rPr>
          <w:b/>
        </w:rPr>
        <w:t xml:space="preserve">Source: </w:t>
      </w:r>
      <w:r>
        <w:t>Joule</w:t>
      </w:r>
      <w:r>
        <w:t xml:space="preserve">    </w:t>
      </w:r>
      <w:r>
        <w:rPr>
          <w:b/>
        </w:rPr>
        <w:t xml:space="preserve">Pub date: </w:t>
      </w:r>
      <w:r>
        <w:t>2026-04-16 00:00:00+00:00</w:t>
      </w:r>
      <w:r>
        <w:t xml:space="preserve">    </w:t>
      </w:r>
      <w:r>
        <w:rPr>
          <w:b/>
        </w:rPr>
        <w:t xml:space="preserve">DOI: </w:t>
      </w:r>
      <w:hyperlink r:id="rId50">
        <w:r>
          <w:rPr>
            <w:color w:val="1155CC"/>
            <w:u w:val="single"/>
          </w:rPr>
          <w:t>10.1016/j.joule.2026.102472</w:t>
        </w:r>
      </w:hyperlink>
    </w:p>
    <w:p>
      <w:pPr>
        <w:spacing w:before="0" w:after="120"/>
      </w:pPr>
      <w:r>
        <w:rPr>
          <w:b/>
        </w:rPr>
        <w:t xml:space="preserve">Notes: </w:t>
      </w:r>
      <w:r>
        <w:t>abstract_source=rss_cell</w:t>
      </w:r>
    </w:p>
    <w:p>
      <w:pPr>
        <w:spacing w:before="0" w:after="80" w:lineRule="auto" w:line="276"/>
      </w:pPr>
      <w:r>
        <w:rPr>
          <w:b/>
        </w:rPr>
        <w:t xml:space="preserve">摘要（ZH）: </w:t>
      </w:r>
      <w:r>
        <w:t>(Joule 3, 1349–1359; 2019年5月15日)</w:t>
      </w:r>
    </w:p>
    <w:p>
      <w:pPr>
        <w:spacing w:before="0" w:after="200" w:lineRule="auto" w:line="276"/>
      </w:pPr>
      <w:r>
        <w:rPr>
          <w:b/>
        </w:rPr>
        <w:t xml:space="preserve">Abstract (EN): </w:t>
      </w:r>
      <w:r>
        <w:t>(Joule 3, 1349–1359; May 15, 2019)</w:t>
      </w:r>
    </w:p>
    <w:p>
      <w:pPr>
        <w:spacing w:before="120" w:after="120"/>
      </w:pPr>
      <w:r>
        <w:rPr>
          <w:sz w:val="18"/>
        </w:rPr>
        <w:t>——————————————————————————————————————————————————————————————————————</w:t>
      </w:r>
    </w:p>
    <w:p>
      <w:pPr>
        <w:spacing w:before="160" w:after="40" w:line="240" w:lineRule="auto"/>
      </w:pPr>
      <w:r>
        <w:rPr>
          <w:b/>
        </w:rPr>
        <w:t xml:space="preserve">[18] </w:t>
      </w:r>
      <w:hyperlink r:id="rId51">
        <w:r>
          <w:rPr>
            <w:color w:val="1155CC"/>
            <w:u w:val="single"/>
          </w:rPr>
          <w:t>基于多磷酸盐的4.65 V LiCoO2阴极-电解质界面</w:t>
        </w:r>
      </w:hyperlink>
    </w:p>
    <w:p>
      <w:pPr>
        <w:spacing w:before="0" w:after="80"/>
      </w:pPr>
      <w:r>
        <w:rPr>
          <w:i/>
          <w:sz w:val="20"/>
        </w:rPr>
        <w:t>EN: Polyphosphates‐Based Cathode‐Electrolyte Interphase for 4.65 V LiCoO2</w:t>
      </w:r>
    </w:p>
    <w:p>
      <w:pPr>
        <w:spacing w:before="0" w:after="120"/>
      </w:pPr>
      <w:r>
        <w:rPr>
          <w:b/>
        </w:rPr>
        <w:t xml:space="preserve">Source: </w:t>
      </w:r>
      <w:r>
        <w:t>Wiley: Advanced Materials: Table of Contents</w:t>
      </w:r>
      <w:r>
        <w:t xml:space="preserve">    </w:t>
      </w:r>
      <w:r>
        <w:rPr>
          <w:b/>
        </w:rPr>
        <w:t xml:space="preserve">Pub date: </w:t>
      </w:r>
      <w:r>
        <w:t>2026-04-16 07:25:56+00:00</w:t>
      </w:r>
      <w:r>
        <w:t xml:space="preserve">    </w:t>
      </w:r>
      <w:r>
        <w:rPr>
          <w:b/>
        </w:rPr>
        <w:t xml:space="preserve">DOI: </w:t>
      </w:r>
      <w:hyperlink r:id="rId52">
        <w:r>
          <w:rPr>
            <w:color w:val="1155CC"/>
            <w:u w:val="single"/>
          </w:rPr>
          <w:t>10.1002/adma.73065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LiCoO</w:t>
      </w:r>
      <w:r>
        <w:rPr>
          <w:vertAlign w:val="subscript"/>
        </w:rPr>
        <w:t>2</w:t>
      </w:r>
      <w:r>
        <w:t>（LCO）的稳定界面化学是其高电压操作的基石。然而，源于Co/O催化位点的界面副反应导致乙烯碳酸酯（EC）氧化、六氟磷酸锂（LiPF</w:t>
      </w:r>
      <w:r>
        <w:rPr>
          <w:vertAlign w:val="subscript"/>
        </w:rPr>
        <w:t>6</w:t>
      </w:r>
      <w:r>
        <w:t>）水解和LCO表面降解。在此，我们提出在电解液中形成功能性磷酸盐衍生物（FPD），这些衍生物是由三（三甲基硅基）磷酸酯（TMSP）与PF</w:t>
      </w:r>
      <w:r>
        <w:rPr>
          <w:vertAlign w:val="subscript"/>
        </w:rPr>
        <w:t>6</w:t>
      </w:r>
      <w:r>
        <w:t>−</w:t>
      </w:r>
      <w:r>
        <w:t>阴离子反应生成的，可以实现对多磷酸盐阴极-电解液界面（CEI）的定向调控。在循环过程中</w:t>
      </w:r>
    </w:p>
    <w:p>
      <w:pPr>
        <w:spacing w:before="0" w:after="200" w:lineRule="auto" w:line="276"/>
      </w:pPr>
      <w:r>
        <w:rPr>
          <w:b/>
        </w:rPr>
        <w:t xml:space="preserve">Abstract (EN): </w:t>
      </w:r>
      <w:r>
        <w:t>The stable interfacial chemistry of LiCoO</w:t>
      </w:r>
      <w:r>
        <w:rPr>
          <w:vertAlign w:val="subscript"/>
        </w:rPr>
        <w:t>2</w:t>
      </w:r>
      <w:r>
        <w:t>(LCO) is the cornerstone for its high‐voltage operation. However, interfacial side reactions, originating from the Co/O catalytic sites, lead to ethylene carbonate (EC) oxidation, lithium hexafluorophosphate (LiPF</w:t>
      </w:r>
      <w:r>
        <w:rPr>
          <w:vertAlign w:val="subscript"/>
        </w:rPr>
        <w:t>6</w:t>
      </w:r>
      <w:r>
        <w:t>) hydrolysis, and LCO surface degradation. Herein, we propose that the formation of functional phosphate derivatives (FPD) in the electrolyte, which are generated from the reaction between tris(trimethylsilyl) phosphate (TMSP) and PF</w:t>
      </w:r>
      <w:r>
        <w:rPr>
          <w:vertAlign w:val="subscript"/>
        </w:rPr>
        <w:t>6</w:t>
      </w:r>
      <w:r>
        <w:t>−</w:t>
      </w:r>
      <w:r>
        <w:t>anions, can achieve targeted regulation of the polyphosphates cathode‐electrolyte interphase (CEI). During cycling, the FPD spontaneously forms covalent interactions with surface Co/O sites, triggering in situ polymerization that constructs a robust and full‐coverage CEI on LCO. The resulting CEI is enriched with polyphosphates and LiF/Li</w:t>
      </w:r>
      <w:r>
        <w:rPr>
          <w:vertAlign w:val="subscript"/>
        </w:rPr>
        <w:t>2</w:t>
      </w:r>
      <w:r>
        <w:t>O, which ensures high thermodynamic stability and fast Li</w:t>
      </w:r>
      <w:r>
        <w:t xml:space="preserve"> </w:t>
      </w:r>
      <w:r>
        <w:t>+</w:t>
      </w:r>
      <w:r>
        <w:t xml:space="preserve"> </w:t>
      </w:r>
      <w:r>
        <w:t>transport kinetics simultaneously. Consequently, the LCO with optimized electrolyte (1.0 M LiPF</w:t>
      </w:r>
      <w:r>
        <w:rPr>
          <w:vertAlign w:val="subscript"/>
        </w:rPr>
        <w:t>6</w:t>
      </w:r>
      <w:r>
        <w:t>in fluoroethylene carbonate (FEC)‐based solvents with 2.0 wt.% TMSP) demonstrates exceptional cell performance with a high capacity retention of 81.0% after 3000 cycles within 3.0–4.6 V (vs. Li/Li</w:t>
      </w:r>
      <w:r>
        <w:t xml:space="preserve"> </w:t>
      </w:r>
      <w:r>
        <w:t>+</w:t>
      </w:r>
      <w:r>
        <w:t xml:space="preserve"> </w:t>
      </w:r>
      <w:r>
        <w:t>), 81.6% after 2000 cycles within 3.0–4.65 V, and shows the feasibility in the LCO||graphite pouch cell with a retention of 80.0% after 500 cycles. This work provides a new insight into the uniform CEI construction for high‐voltage LCO cathodes through functional electrolyte engineering.</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06">
        <w:r>
          <w:rPr>
            <w:color w:val="1155CC"/>
            <w:u w:val="single"/>
          </w:rPr>
          <w:t>电动汽车电池的第二生命和回收路径：经济性如何依赖于化学、加工和应用</w:t>
        </w:r>
      </w:hyperlink>
    </w:p>
    <w:p>
      <w:pPr>
        <w:spacing w:before="0" w:after="80"/>
      </w:pPr>
      <w:r>
        <w:rPr>
          <w:i/>
          <w:sz w:val="20"/>
        </w:rPr>
        <w:t>EN: Electric-vehicle battery second-life and recycling pathways: How economics depend on chemistry, processing, and application</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7">
        <w:r>
          <w:rPr>
            <w:color w:val="1155CC"/>
            <w:u w:val="single"/>
          </w:rPr>
          <w:t>基于特征温度概率建模的锂离子电池热失控传播新研究范式</w:t>
        </w:r>
      </w:hyperlink>
    </w:p>
    <w:p>
      <w:pPr>
        <w:spacing w:before="0" w:after="80"/>
      </w:pPr>
      <w:r>
        <w:rPr>
          <w:i/>
          <w:sz w:val="20"/>
        </w:rPr>
        <w:t>EN: A new research paradigm for lithium-ion battery thermal runaway propagation based on characteristic temperature probabilistic modeling</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08">
        <w:r>
          <w:rPr>
            <w:color w:val="1155CC"/>
            <w:u w:val="single"/>
          </w:rPr>
          <w:t>通过MOF改性隔膜提高镍富锂离子电池的热安全性</w:t>
        </w:r>
      </w:hyperlink>
    </w:p>
    <w:p>
      <w:pPr>
        <w:spacing w:before="0" w:after="80"/>
      </w:pPr>
      <w:r>
        <w:rPr>
          <w:i/>
          <w:sz w:val="20"/>
        </w:rPr>
        <w:t>EN: Improved Thermal Safety of Nickel‐Rich Lithium‐Ion Batteries Enabled by MOF Modified Separator</w:t>
      </w:r>
    </w:p>
    <w:p>
      <w:pPr>
        <w:spacing w:before="0" w:after="120"/>
      </w:pPr>
      <w:r>
        <w:rPr>
          <w:b/>
        </w:rPr>
        <w:t xml:space="preserve">Source: </w:t>
      </w:r>
      <w:r>
        <w:t>Wiley: Advanced Energy Materials: Table of Contents</w:t>
      </w:r>
      <w:r>
        <w:t xml:space="preserve">    </w:t>
      </w:r>
      <w:r>
        <w:rPr>
          <w:b/>
        </w:rPr>
        <w:t xml:space="preserve">Pub date: </w:t>
      </w:r>
      <w:r>
        <w:t>2026-04-14 07:37:52+00:00</w:t>
      </w:r>
      <w:r>
        <w:t xml:space="preserve">    </w:t>
      </w:r>
      <w:r>
        <w:rPr>
          <w:b/>
        </w:rPr>
        <w:t xml:space="preserve">DOI: </w:t>
      </w:r>
      <w:hyperlink r:id="rId109">
        <w:r>
          <w:rPr>
            <w:color w:val="1155CC"/>
            <w:u w:val="single"/>
          </w:rPr>
          <w:t>10.1002/aenm.70938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高比能锂离子电池，仅依赖热稳定性的传统隔膜不足以确保安全。化学串扰常在热失效后发生，导致持续的自加热，最终引发热失控。在此，我们设计了一种基于ZIF‐67的功能隔膜，作为双向化学拦截器，有效捕获来自阳极的还原气体和来自阴极的氧化物质，从而在源头切断自加热链。对2.0 Ah NMC811||Gr软包电池的测试表明，PI@ZIF‐67@Al</w:t>
      </w:r>
      <w:r>
        <w:rPr>
          <w:vertAlign w:val="subscript"/>
        </w:rPr>
        <w:t>2</w:t>
      </w:r>
      <w:r>
        <w:t>O</w:t>
      </w:r>
      <w:r>
        <w:rPr>
          <w:vertAlign w:val="subscript"/>
        </w:rPr>
        <w:t>3</w:t>
      </w:r>
      <w:r>
        <w:t>隔膜将加速自加热的起始温度从62.8°</w:t>
      </w:r>
    </w:p>
    <w:p>
      <w:pPr>
        <w:spacing w:before="0" w:after="200" w:lineRule="auto" w:line="276"/>
      </w:pPr>
      <w:r>
        <w:rPr>
          <w:b/>
        </w:rPr>
        <w:t xml:space="preserve">Abstract (EN): </w:t>
      </w:r>
      <w:r>
        <w:t>For high‐specific‐energy lithium‐ion batteries, conventional separators relying solely on thermal stability are insufficient for ensuring safety. Chemical crosstalk often occurs after thermal failure, leads to continuous self‐heating that ultimately triggers thermal runaway. Here, we design a ZIF‐67‐based functional separator that acts as a two‐way chemical interceptor, efficiently capturing both reductive gases from the anode and oxidative species from the cathode, thereby severing the self‐heating chain at its origin. Tests on 2.0 Ah NMC811||Gr pouch cells show the PI@ZIF‐67@Al</w:t>
      </w:r>
      <w:r>
        <w:rPr>
          <w:vertAlign w:val="subscript"/>
        </w:rPr>
        <w:t>2</w:t>
      </w:r>
      <w:r>
        <w:t>O</w:t>
      </w:r>
      <w:r>
        <w:rPr>
          <w:vertAlign w:val="subscript"/>
        </w:rPr>
        <w:t>3</w:t>
      </w:r>
      <w:r>
        <w:t>separator elevates the onset temperature of accelerated self‐heating from 62.8°C to 160.5°C. Remarkably, in extreme hot box test up to 300°C, pouch cells with a pure ZIF‐67 coated separator did not undergo thermal runaway, catch fire, or explode. Density functional theory calculations, gas analysis, and in situ characterization collectively confirm ZIF‐67's efficient capture of harmful species and its suppression of crosstalk‐induced reactions at the cathode. This work provides a new separator design strategy for developing high‐safety lithium‐ion batteries.</w:t>
      </w:r>
    </w:p>
    <w:p>
      <w:pPr>
        <w:spacing w:before="120" w:after="120"/>
      </w:pPr>
      <w:r>
        <w:rPr>
          <w:sz w:val="18"/>
        </w:rPr>
        <w:t>——————————————————————————————————————————————————————————————————————</w:t>
      </w:r>
    </w:p>
    <w:p>
      <w:pPr>
        <w:spacing w:before="160" w:after="40" w:line="240" w:lineRule="auto"/>
      </w:pPr>
      <w:r>
        <w:rPr>
          <w:b/>
        </w:rPr>
        <w:t xml:space="preserve">[4] </w:t>
      </w:r>
      <w:hyperlink r:id="rId110">
        <w:r>
          <w:rPr>
            <w:color w:val="1155CC"/>
            <w:u w:val="single"/>
          </w:rPr>
          <w:t>具有限制结合-跳跃策略的离子阱膜用于高效直接锂提取</w:t>
        </w:r>
      </w:hyperlink>
    </w:p>
    <w:p>
      <w:pPr>
        <w:spacing w:before="0" w:after="80"/>
      </w:pPr>
      <w:r>
        <w:rPr>
          <w:i/>
          <w:sz w:val="20"/>
        </w:rPr>
        <w:t>EN: Ion trap membrane with confined bind-jump strategy for high-efficiency direct lithium extraction</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111">
        <w:r>
          <w:rPr>
            <w:color w:val="1155CC"/>
            <w:u w:val="single"/>
          </w:rPr>
          <w:t>10.1126/sciadv.aea5077</w:t>
        </w:r>
      </w:hyperlink>
    </w:p>
    <w:p>
      <w:pPr>
        <w:spacing w:before="0" w:after="120"/>
      </w:pPr>
      <w:r>
        <w:rPr>
          <w:b/>
        </w:rPr>
        <w:t xml:space="preserve">Notes: </w:t>
      </w:r>
      <w:r>
        <w:t>abstract_source=crossref</w:t>
      </w:r>
    </w:p>
    <w:p>
      <w:pPr>
        <w:spacing w:before="0" w:after="80" w:lineRule="auto" w:line="276"/>
      </w:pPr>
      <w:r>
        <w:rPr>
          <w:b/>
        </w:rPr>
        <w:t xml:space="preserve">摘要（ZH）: </w:t>
      </w:r>
      <w:r>
        <w:t>能源存储技术中对锂的需求迅速增长，迫切需要更高效的盐湖锂提取方法。直接锂提取（DLE）引起了关注，因为它解决了传统盐池工艺中超过50%的锂损失。然而，由于锂离子与钠离子或钾离子的电荷和水合半径相似，分离仍然具有挑战性。为了解决这个问题，我们开发了一种基于共价有机框架的离子捕集膜，通过将亲锂的二酮分子[2-噻吩甲酰三氟乙酰丙酮（HTTA）]嵌入亚纳米通道中，实现了“结合-跳跃”传输机制。HTTA位点选择性结合锂离子，协助其部分脱水（结合步骤），并促进跳跃到相邻的HTTA位点（跳跃步骤）。该操作</w:t>
      </w:r>
    </w:p>
    <w:p>
      <w:pPr>
        <w:spacing w:before="0" w:after="200" w:lineRule="auto" w:line="276"/>
      </w:pPr>
      <w:r>
        <w:rPr>
          <w:b/>
        </w:rPr>
        <w:t xml:space="preserve">Abstract (EN): </w:t>
      </w:r>
      <w:r>
        <w:t>The rapidly growing demand for lithium in energy storage technologies necessitates more efficient lithium extraction methods from salt lakes. Direct lithium extraction (DLE) has gained attention, as it addresses more than 50% lithium losses in traditional salt-pond–based processes. However, separating lithium ion from sodium ion or potassium ion remains challenging due to their similar charge and hydration radii. To overcome this, we developed a covalent organic framework–based ion trap membrane by embedding lithiophilic diketone molecules [2-thenoyltrifluoroacetone (HTTA)] into subnanometer channels, enabling a “bind-jump” transport mechanism. HTTA sites selectively bind lithium ion, assist its partial dehydration (bind step), and promote hopping to adjacent HTTA sites (jump step). The optimized HTTA</w:t>
      </w:r>
      <w:r>
        <w:rPr>
          <w:vertAlign w:val="subscript"/>
        </w:rPr>
        <w:t>1</w:t>
      </w:r>
      <w:r>
        <w:t>–1,3,5-triformylphloroglucinol–tris(4-aminophenyl)amine/polyacrylonitrile membrane exhibited high lithium ion/sodium ion selectivity (&amp;gt;320) and lithium ion permeance (~143 millimoles per square meter per hour) under electrodialysis, outperforming leading membranes. The membrane also showed stable performance over 10 cycles. This work demonstrates a scalable strategy combining thermodynamic and kinetic modulation for efficient lithium ion extraction from complex brines.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2">
        <w:r>
          <w:rPr>
            <w:color w:val="1155CC"/>
            <w:u w:val="single"/>
          </w:rPr>
          <w:t>高可逆性水系无阳极镉-溴电池</w:t>
        </w:r>
      </w:hyperlink>
    </w:p>
    <w:p>
      <w:pPr>
        <w:spacing w:before="0" w:after="80"/>
      </w:pPr>
      <w:r>
        <w:rPr>
          <w:i/>
          <w:sz w:val="20"/>
        </w:rPr>
        <w:t>EN: Highly Reversible Aqueous Anode‐Free Cadmium–Bromine Batteries</w:t>
      </w:r>
    </w:p>
    <w:p>
      <w:pPr>
        <w:spacing w:before="0" w:after="120"/>
      </w:pPr>
      <w:r>
        <w:rPr>
          <w:b/>
        </w:rPr>
        <w:t xml:space="preserve">Source: </w:t>
      </w:r>
      <w:r>
        <w:t>Wiley: Angewandte Chemie International Edition: Table of Contents</w:t>
      </w:r>
      <w:r>
        <w:t xml:space="preserve">    </w:t>
      </w:r>
      <w:r>
        <w:rPr>
          <w:b/>
        </w:rPr>
        <w:t xml:space="preserve">Pub date: </w:t>
      </w:r>
      <w:r>
        <w:t>2026-04-11 17:35:39+00:00</w:t>
      </w:r>
      <w:r>
        <w:t xml:space="preserve">    </w:t>
      </w:r>
      <w:r>
        <w:rPr>
          <w:b/>
        </w:rPr>
        <w:t xml:space="preserve">DOI: </w:t>
      </w:r>
      <w:hyperlink r:id="rId113">
        <w:r>
          <w:rPr>
            <w:color w:val="1155CC"/>
            <w:u w:val="single"/>
          </w:rPr>
          <w:t>10.1002/anie.1396057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无阳极锌（Zn）基电池承诺高能量密度；然而，其可逆性和寿命受到枝晶生长、氢气演化和锌利用率低（&lt;20%）的阻碍。镉（Cd）作为锌的近似类似物，提供了一种可行的替代方案。在此，我们系统地比较了水系介质中的Zn和Cd阳极，显示Cd具有无枝晶沉积、抑制副反应和在阳极利用率高达75%时的稳定循环。受益于这些进展，我们展示了首个水系无阳极镉-溴（Cd–Br）电池。为了提高无阳极Cd–Br电池中Cd</w:t>
      </w:r>
      <w:r>
        <w:t xml:space="preserve"> </w:t>
      </w:r>
      <w:r>
        <w:t>2+</w:t>
      </w:r>
      <w:r>
        <w:t xml:space="preserve"> </w:t>
      </w:r>
      <w:r>
        <w:t>电镀动力学，LiCl被引入到CdSO</w:t>
      </w:r>
      <w:r>
        <w:rPr>
          <w:vertAlign w:val="subscript"/>
        </w:rPr>
        <w:t>4</w:t>
      </w:r>
    </w:p>
    <w:p>
      <w:pPr>
        <w:spacing w:before="0" w:after="200" w:lineRule="auto" w:line="276"/>
      </w:pPr>
      <w:r>
        <w:rPr>
          <w:b/>
        </w:rPr>
        <w:t xml:space="preserve">Abstract (EN): </w:t>
      </w:r>
      <w:r>
        <w:t>Aqueous anode‐free zinc (Zn)‐based batteries promise high energy density; however, their reversibility and lifespan are hampered by dendritic growth, hydrogen evolution, and poor Zn utilization (&amp;lt;20%). Cadmium (Cd), a close analogue of Zn, presents a viable alternative. Here, we systematically compare both Zn and Cd anodes in aqueous media, showing that Cd features dendrite‐free deposition, suppressed side reactions, and stable cycling at anode utilization up to 75%. Benefiting from these advances, we demonstrate the first aqueous anode‐free cadmium–bromine (Cd–Br) battery. To boost Cd</w:t>
      </w:r>
      <w:r>
        <w:t xml:space="preserve"> </w:t>
      </w:r>
      <w:r>
        <w:t>2+</w:t>
      </w:r>
      <w:r>
        <w:t xml:space="preserve"> </w:t>
      </w:r>
      <w:r>
        <w:t>plating kinetics in an anode‐free Cd–Br battery, LiCl is introduced into CdSO</w:t>
      </w:r>
      <w:r>
        <w:rPr>
          <w:vertAlign w:val="subscript"/>
        </w:rPr>
        <w:t>4</w:t>
      </w:r>
      <w:r>
        <w:t>electrolyte to reconstruct the Cd</w:t>
      </w:r>
      <w:r>
        <w:t xml:space="preserve"> </w:t>
      </w:r>
      <w:r>
        <w:t>2+</w:t>
      </w:r>
      <w:r>
        <w:t xml:space="preserve"> </w:t>
      </w:r>
      <w:r>
        <w:t>solvation shell, resulting in accelerated desolvation and deposition kinetics. Consequently, anode‐free Cd–Br coin cells achieve 87.6% capacity retention after 2000 cycles at 4 C, significantly superior to the anode‐free Zn–Br coin cells with 12.4% retention after only 50 cycles and outperforming other reported aqueous anode‐free systems. Moreover, scaled‐up aqueous anode‐free Cd–Br pouch cells exhibit stable cycling over 1250 cycles with capacity retention of 83.8% and high energy density of 157 Wh kg</w:t>
      </w:r>
      <w:r>
        <w:t xml:space="preserve"> </w:t>
      </w:r>
      <w:r>
        <w:t>−1</w:t>
      </w:r>
      <w:r>
        <w:t xml:space="preserve"> </w:t>
      </w:r>
      <w:r>
        <w:t>, far exceeding that of state‐of‐the‐art Zn–Mn and Zn–V pouch cells. This work establishes anode‐free Cd–Br chemistry as a new paradigm in developing high‐energy and highly reversible aqueous batteries.</w:t>
      </w:r>
    </w:p>
    <w:p>
      <w:pPr>
        <w:spacing w:before="120" w:after="120"/>
      </w:pPr>
      <w:r>
        <w:rPr>
          <w:sz w:val="18"/>
        </w:rPr>
        <w:t>——————————————————————————————————————————————————————————————————————</w:t>
      </w:r>
    </w:p>
    <w:p>
      <w:pPr>
        <w:spacing w:before="160" w:after="40" w:line="240" w:lineRule="auto"/>
      </w:pPr>
      <w:r>
        <w:rPr>
          <w:b/>
        </w:rPr>
        <w:t xml:space="preserve">[2] </w:t>
      </w:r>
      <w:hyperlink r:id="rId114">
        <w:r>
          <w:rPr>
            <w:color w:val="1155CC"/>
            <w:u w:val="single"/>
          </w:rPr>
          <w:t>[ASAP] 控制电极-电解质相互作用以增强电容</w:t>
        </w:r>
      </w:hyperlink>
    </w:p>
    <w:p>
      <w:pPr>
        <w:spacing w:before="0" w:after="80"/>
      </w:pPr>
      <w:r>
        <w:rPr>
          <w:i/>
          <w:sz w:val="20"/>
        </w:rPr>
        <w:t>EN: [ASAP] Controlling Electrode–Electrolyte Interactions to Enhance Capacitance</w:t>
      </w:r>
    </w:p>
    <w:p>
      <w:pPr>
        <w:spacing w:before="0" w:after="120"/>
      </w:pPr>
      <w:r>
        <w:rPr>
          <w:b/>
        </w:rPr>
        <w:t xml:space="preserve">Source: </w:t>
      </w:r>
      <w:r>
        <w:t>Journal of the American Chemical Society: Latest Articles (ACS Publications)</w:t>
      </w:r>
      <w:r>
        <w:t xml:space="preserve">    </w:t>
      </w:r>
      <w:r>
        <w:rPr>
          <w:b/>
        </w:rPr>
        <w:t xml:space="preserve">Pub date: </w:t>
      </w:r>
      <w:r>
        <w:t>2026-04-12 16:39:36+00:00</w:t>
      </w:r>
      <w:r>
        <w:t xml:space="preserve">    </w:t>
      </w:r>
      <w:r>
        <w:rPr>
          <w:b/>
        </w:rPr>
        <w:t xml:space="preserve">DOI: </w:t>
      </w:r>
      <w:hyperlink r:id="rId115">
        <w:r>
          <w:rPr>
            <w:color w:val="1155CC"/>
            <w:u w:val="single"/>
          </w:rPr>
          <w:t>10.1021/jacs.5c20988</w:t>
        </w:r>
      </w:hyperlink>
    </w:p>
    <w:p>
      <w:pPr>
        <w:spacing w:before="0" w:after="120"/>
      </w:pPr>
      <w:r>
        <w:rPr>
          <w:b/>
        </w:rPr>
        <w:t xml:space="preserve">Notes: </w:t>
      </w:r>
      <w:r>
        <w:t>abstract_source=pubmed</w:t>
      </w:r>
    </w:p>
    <w:p>
      <w:pPr>
        <w:spacing w:before="0" w:after="80" w:lineRule="auto" w:line="276"/>
      </w:pPr>
      <w:r>
        <w:rPr>
          <w:b/>
        </w:rPr>
        <w:t xml:space="preserve">摘要（ZH）: </w:t>
      </w:r>
      <w:r>
        <w:t>理解离子在分子水平上与电极表面相互作用对于提高储能设备和电催化剂的性能至关重要。然而，由于传统碳基电极的结构无序和表面化学性质不明确，进展受到限制。在这项工作中，我们使用层状金属有机框架（MOFs）作为模型系统来研究不同官能团如何影响电双层电容。我们发现，与四乙基铵（TEA+）相比，具有去质子化的M-O和M-S基团的电极在与碱金属阳离子（尤其是Li+）的相互作用中表现出显著增强的容量，而对于具有质子化M-NH基团的MOFs则没有观察到增强。对于MOF电极，容量增加最大的是</w:t>
      </w:r>
    </w:p>
    <w:p>
      <w:pPr>
        <w:spacing w:before="0" w:after="200" w:lineRule="auto" w:line="276"/>
      </w:pPr>
      <w:r>
        <w:rPr>
          <w:b/>
        </w:rPr>
        <w:t xml:space="preserve">Abstract (EN): </w:t>
      </w:r>
      <w:r>
        <w:t>Understanding how ions interact with electrode surfaces at the molecular level is essential for improving the performance of energy storage devices and electrocatalysts. However, progress has been limited by the structural disorder and poorly defined surface chemistries of conventional carbon-based electrodes. In this work, we use layered metal-organic frameworks (MOFs) as model systems to investigate how different functional groups influence electric double-layer capacitance. We find that electrodes with deprotonated M-O and M-S groups exhibit significantly enhanced capacities with alkali metal cations, most notably Li+, compared to tetraethylammonium (TEA+), while no enhancement is observed for MOFs with protonated M-NH groups. The largest capacity increase is seen for MOF electrodes with metal-hydroxy linkages paired with Li+ electrolytes, which we attribute to strong Li-O interactions and improved charge screening. This mechanism is supported by solid-state nuclear magnetic resonance spectroscopy experiments and molecular simulations, which reveal specific Li+ binding at oxygen-rich sites, while operando X-ray techniques rule out cation intercalation as a contributing factor. Overall, these results highlight a chemically tunable strategy for enhancing charge storage in porous electrodes and offer new insights into how surface functionality impacts electric double-layer behavior.</w:t>
      </w:r>
    </w:p>
    <w:p>
      <w:pPr>
        <w:spacing w:before="120" w:after="120"/>
      </w:pPr>
      <w:r>
        <w:rPr>
          <w:sz w:val="18"/>
        </w:rPr>
        <w:t>——————————————————————————————————————————————————————————————————————</w:t>
      </w:r>
    </w:p>
    <w:p>
      <w:pPr>
        <w:spacing w:before="160" w:after="40" w:line="240" w:lineRule="auto"/>
      </w:pPr>
      <w:r>
        <w:rPr>
          <w:b/>
        </w:rPr>
        <w:t xml:space="preserve">[3] </w:t>
      </w:r>
      <w:hyperlink r:id="rId116">
        <w:r>
          <w:rPr>
            <w:color w:val="1155CC"/>
            <w:u w:val="single"/>
          </w:rPr>
          <w:t>新兴沉积-溶解化学用于下一代金属基混合流动电池：进展与展望</w:t>
        </w:r>
      </w:hyperlink>
    </w:p>
    <w:p>
      <w:pPr>
        <w:spacing w:before="0" w:after="80"/>
      </w:pPr>
      <w:r>
        <w:rPr>
          <w:i/>
          <w:sz w:val="20"/>
        </w:rPr>
        <w:t>EN: Emerging deposition–dissolution chemistry for next-generation metal-based hybrid flow batteries: progress and perspectives</w:t>
      </w:r>
    </w:p>
    <w:p>
      <w:pPr>
        <w:spacing w:before="0" w:after="120"/>
      </w:pPr>
      <w:r>
        <w:rPr>
          <w:b/>
        </w:rPr>
        <w:t xml:space="preserve">Source: </w:t>
      </w:r>
      <w:r>
        <w:t>RSC - Chem. Soc. Rev. latest articles</w:t>
      </w:r>
      <w:r>
        <w:t xml:space="preserve">    </w:t>
      </w:r>
      <w:r>
        <w:rPr>
          <w:b/>
        </w:rPr>
        <w:t xml:space="preserve">Pub date: </w:t>
      </w:r>
      <w:r>
        <w:t>2026-04-12 23:00:00+00:00</w:t>
      </w:r>
    </w:p>
    <w:p>
      <w:pPr>
        <w:spacing w:before="0" w:after="120"/>
      </w:pPr>
      <w:r>
        <w:rPr>
          <w:b/>
        </w:rPr>
        <w:t xml:space="preserve">Notes: </w:t>
      </w:r>
      <w:r>
        <w:t>abstract_source=rsc_html</w:t>
      </w:r>
    </w:p>
    <w:p>
      <w:pPr>
        <w:spacing w:before="0" w:after="80" w:lineRule="auto" w:line="276"/>
      </w:pPr>
      <w:r>
        <w:rPr>
          <w:b/>
        </w:rPr>
        <w:t xml:space="preserve">摘要（ZH）: </w:t>
      </w:r>
      <w:r>
        <w:t>随着化石燃料的枯竭和环境污染的加剧，有效利用间歇性可再生能源需要大规模长时间的储能技术。基于金属的混合流动电池（MBHFBs）在能量密度和成本效率方面具有相当大的潜力，这归因于其独特的沉积–溶解化学和丰富的金属资源。然而，MBHFBs的部署和理解仍处于起步阶段。此外，不同金属之间的差异导致各种MBHFBs面临不同的挑战。为了系统地解决这些挑战，本综述采用沉积–溶解化学作为中心主题，并从全方位的角度对MBHFBs进行了全面分析。横向上，MBHFBs根据n</w:t>
      </w:r>
    </w:p>
    <w:p>
      <w:pPr>
        <w:spacing w:before="0" w:after="200" w:lineRule="auto" w:line="276"/>
      </w:pPr>
      <w:r>
        <w:rPr>
          <w:b/>
        </w:rPr>
        <w:t xml:space="preserve">Abstract (EN): </w:t>
      </w:r>
      <w:r>
        <w:t>As fossil fuels deplete and environmental pollution intensifies, the effective utilization of intermittent renewables calls for large-scale long-duration energy storage technologies. Metal-based hybrid flow batteries (MBHFBs) have considerable potential in energy density and cost efficiency, attributed to unique deposition–dissolution chemistry and abundant metal resources. However, the deployment and understanding of MBHFBs remain in their infancy. Moreover, the variation among metals leads to distinct challenges across various MBHFBs. To systematically address these challenges, this review adopts deposition–dissolution chemistry as a central theme and provides a comprehensive analysis of MBHFBs from an all-round perspective. Horizontally, MBHFBs are categorized into two groups based on non-aqueous/aqueous electrolyte, and further subdivided into eleven subcategories according to the anodic metals, evaluated in terms of principles, architectures, advantages, challenges, and corresponding strategies. Vertically, the advances and limitations of four core components (electrolytes, electrodes, membranes, and bipolar plates) are examined, aiming to reveal underlying interconnections and synergistic effects. Finally, we propose ten promising future research directions for MBHFBs. This review aims to improve the understanding of design principles and optimization strategies for MBHFBs, support the establishment of a unified theoretical framework for deposition–dissolution chemistry, and offer relevant insights for developing next-generation low-cost and high-energy-density energy storage technologies.</w:t>
      </w:r>
    </w:p>
    <w:p>
      <w:pPr>
        <w:spacing w:before="120" w:after="120"/>
      </w:pPr>
      <w:r>
        <w:rPr>
          <w:sz w:val="18"/>
        </w:rPr>
        <w:t>——————————————————————————————————————————————————————————————————————</w:t>
      </w:r>
    </w:p>
    <w:p>
      <w:pPr>
        <w:spacing w:before="160" w:after="40" w:line="240" w:lineRule="auto"/>
      </w:pPr>
      <w:r>
        <w:rPr>
          <w:b/>
        </w:rPr>
        <w:t xml:space="preserve">[4] </w:t>
      </w:r>
      <w:hyperlink r:id="rId117">
        <w:r>
          <w:rPr>
            <w:color w:val="1155CC"/>
            <w:u w:val="single"/>
          </w:rPr>
          <w:t>超低负载伪单晶介孔PtPd催化剂用于高性能氢气电池</w:t>
        </w:r>
      </w:hyperlink>
    </w:p>
    <w:p>
      <w:pPr>
        <w:spacing w:before="0" w:after="80"/>
      </w:pPr>
      <w:r>
        <w:rPr>
          <w:i/>
          <w:sz w:val="20"/>
        </w:rPr>
        <w:t>EN: Ultra‐Low Loading Pseudo‐Single‐Crystal Mesoporous PtPd Catalysts for High‐Performance Hydrogen Gas Batteries</w:t>
      </w:r>
    </w:p>
    <w:p>
      <w:pPr>
        <w:spacing w:before="0" w:after="120"/>
      </w:pPr>
      <w:r>
        <w:rPr>
          <w:b/>
        </w:rPr>
        <w:t xml:space="preserve">Source: </w:t>
      </w:r>
      <w:r>
        <w:t>Wiley: Advanced Materials: Table of Contents</w:t>
      </w:r>
      <w:r>
        <w:t xml:space="preserve">    </w:t>
      </w:r>
      <w:r>
        <w:rPr>
          <w:b/>
        </w:rPr>
        <w:t xml:space="preserve">Pub date: </w:t>
      </w:r>
      <w:r>
        <w:t>2026-04-13 12:32:33+00:00</w:t>
      </w:r>
      <w:r>
        <w:t xml:space="preserve">    </w:t>
      </w:r>
      <w:r>
        <w:rPr>
          <w:b/>
        </w:rPr>
        <w:t xml:space="preserve">DOI: </w:t>
      </w:r>
      <w:hyperlink r:id="rId118">
        <w:r>
          <w:rPr>
            <w:color w:val="1155CC"/>
            <w:u w:val="single"/>
          </w:rPr>
          <w:t>10.1002/adma.72849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氢气电池由于其高安全性、环保性、高效率和长循环寿命，在大规模储能方面显示出巨大潜力。然而，阳极用于氢氧化/演化反应（HOR/HER）的昂贵催化剂阻碍了其实用性。在此，我们报道了一种具有高HOR/HER双功能活性的伪单晶介孔（PSCM）PtPd催化剂，用于高性能氢气电池。它表现出卓越的HOR活性，具有3.10 A mg</w:t>
      </w:r>
      <w:r>
        <w:t xml:space="preserve"> </w:t>
      </w:r>
      <w:r>
        <w:t>−1</w:t>
      </w:r>
      <w:r>
        <w:t xml:space="preserve"> </w:t>
      </w:r>
      <w:r>
        <w:t>的动力学电流密度和在10 mA cm</w:t>
      </w:r>
      <w:r>
        <w:t xml:space="preserve"> </w:t>
      </w:r>
      <w:r>
        <w:t>−2</w:t>
      </w:r>
      <w:r>
        <w:t xml:space="preserve"> </w:t>
      </w:r>
      <w:r>
        <w:t>下34.8 mV的HER过电位，性能优于商业Pt/C（0.42 A mg</w:t>
      </w:r>
      <w:r>
        <w:t xml:space="preserve"> </w:t>
      </w:r>
      <w:r>
        <w:t>−1</w:t>
      </w:r>
    </w:p>
    <w:p>
      <w:pPr>
        <w:spacing w:before="0" w:after="200" w:lineRule="auto" w:line="276"/>
      </w:pPr>
      <w:r>
        <w:rPr>
          <w:b/>
        </w:rPr>
        <w:t xml:space="preserve">Abstract (EN): </w:t>
      </w:r>
      <w:r>
        <w:t>Rechargeable hydrogen gas batteries show a great promise for large‐scale energy storage due to their high safety, environmental friendliness, high efficiency and long‐cycle life. However, the costly catalysts at the anode for hydrogen oxidation/evolution reactions (HOR/HER) hinder the practicability. Here, we report a pseudo‐single‐crystal mesoporous (PSCM) PtPd catalyst with high HOR/HER bifunctional activities for high‐performance hydrogen gas batteries. It exhibits an outstanding HOR activity with a kinetic current density of 3.10 A mg</w:t>
      </w:r>
      <w:r>
        <w:t xml:space="preserve"> </w:t>
      </w:r>
      <w:r>
        <w:t>−1</w:t>
      </w:r>
      <w:r>
        <w:t xml:space="preserve"> </w:t>
      </w:r>
      <w:r>
        <w:t>and an HER overpotential of 34.8 mV at 10 mA cm</w:t>
      </w:r>
      <w:r>
        <w:t xml:space="preserve"> </w:t>
      </w:r>
      <w:r>
        <w:t>−2</w:t>
      </w:r>
      <w:r>
        <w:t xml:space="preserve"> </w:t>
      </w:r>
      <w:r>
        <w:t>, outperforming commercial Pt/C (0.42 A mg</w:t>
      </w:r>
      <w:r>
        <w:t xml:space="preserve"> </w:t>
      </w:r>
      <w:r>
        <w:t>−1</w:t>
      </w:r>
      <w:r>
        <w:t xml:space="preserve"> </w:t>
      </w:r>
      <w:r>
        <w:t>, 79.3 mV). When assembling Ni‐H</w:t>
      </w:r>
      <w:r>
        <w:rPr>
          <w:vertAlign w:val="subscript"/>
        </w:rPr>
        <w:t>2</w:t>
      </w:r>
      <w:r>
        <w:t>battery with a low PSCM‐PtPd catalyst loading of ∼45 µg cm</w:t>
      </w:r>
      <w:r>
        <w:t xml:space="preserve"> </w:t>
      </w:r>
      <w:r>
        <w:t>−2</w:t>
      </w:r>
      <w:r>
        <w:t xml:space="preserve"> </w:t>
      </w:r>
      <w:r>
        <w:t>, it displays a high energy efficiency of ∼85% and cycling stability of &amp;gt;1000 cycles. Even at an ultra‐low catalyst loading of ∼10 µg cm</w:t>
      </w:r>
      <w:r>
        <w:t xml:space="preserve"> </w:t>
      </w:r>
      <w:r>
        <w:t>−2</w:t>
      </w:r>
      <w:r>
        <w:t xml:space="preserve"> </w:t>
      </w:r>
      <w:r>
        <w:t>, the Ni‐H</w:t>
      </w:r>
      <w:r>
        <w:rPr>
          <w:vertAlign w:val="subscript"/>
        </w:rPr>
        <w:t>2</w:t>
      </w:r>
      <w:r>
        <w:t>(PSCM‐PtPd) battery still exhibits an energy density of ~135 Wh kg</w:t>
      </w:r>
      <w:r>
        <w:t xml:space="preserve"> </w:t>
      </w:r>
      <w:r>
        <w:t>−1</w:t>
      </w:r>
      <w:r>
        <w:t xml:space="preserve"> </w:t>
      </w:r>
      <w:r>
        <w:t>and durability of &amp;gt;1000 cycles with a cell cost of ~105 $ kWh</w:t>
      </w:r>
      <w:r>
        <w:t xml:space="preserve"> </w:t>
      </w:r>
      <w:r>
        <w:t>−1</w:t>
      </w:r>
      <w:r>
        <w:t xml:space="preserve"> </w:t>
      </w:r>
      <w:r>
        <w:t>, much better than that of Pt/C‐based battery (&amp;gt;700 $ kWh</w:t>
      </w:r>
      <w:r>
        <w:t xml:space="preserve"> </w:t>
      </w:r>
      <w:r>
        <w:t>−1</w:t>
      </w:r>
      <w:r>
        <w:t xml:space="preserve"> </w:t>
      </w:r>
      <w:r>
        <w:t>). We demonstrate that the superior activity of the PSCM‐PtPd catalyst originates from the charge transfer from Pd to Pt and lattice distortion caused by Pd incorporation, and the enhanced stability is attributed to its fewer grain boundaries and stable attachment to the electrode. This work offers a promising pathway toward designing cost‐effective and scalable energy storage systems.</w:t>
      </w:r>
    </w:p>
    <w:p>
      <w:pPr>
        <w:spacing w:before="120" w:after="120"/>
      </w:pPr>
      <w:r>
        <w:rPr>
          <w:sz w:val="18"/>
        </w:rPr>
        <w:t>——————————————————————————————————————————————————————————————————————</w:t>
      </w:r>
    </w:p>
    <w:p>
      <w:pPr>
        <w:spacing w:before="160" w:after="40" w:line="240" w:lineRule="auto"/>
      </w:pPr>
      <w:r>
        <w:rPr>
          <w:b/>
        </w:rPr>
        <w:t xml:space="preserve">[5] </w:t>
      </w:r>
      <w:hyperlink r:id="rId119">
        <w:r>
          <w:rPr>
            <w:color w:val="1155CC"/>
            <w:u w:val="single"/>
          </w:rPr>
          <w:t>反铁电样高熵超顺电体实现多层电容器中的超高能量存储</w:t>
        </w:r>
      </w:hyperlink>
    </w:p>
    <w:p>
      <w:pPr>
        <w:spacing w:before="0" w:after="80"/>
      </w:pPr>
      <w:r>
        <w:rPr>
          <w:i/>
          <w:sz w:val="20"/>
        </w:rPr>
        <w:t>EN: Antiferroelectric‐like High‐entropy Superparaelectric Enables Ultrahigh Energy‐storage in Multilayer Capacitors</w:t>
      </w:r>
    </w:p>
    <w:p>
      <w:pPr>
        <w:spacing w:before="0" w:after="120"/>
      </w:pPr>
      <w:r>
        <w:rPr>
          <w:b/>
        </w:rPr>
        <w:t xml:space="preserve">Source: </w:t>
      </w:r>
      <w:r>
        <w:t>Wiley: Advanced Materials: Table of Contents</w:t>
      </w:r>
      <w:r>
        <w:t xml:space="preserve">    </w:t>
      </w:r>
      <w:r>
        <w:rPr>
          <w:b/>
        </w:rPr>
        <w:t xml:space="preserve">Pub date: </w:t>
      </w:r>
      <w:r>
        <w:t>2026-04-13 12:54:30+00:00</w:t>
      </w:r>
      <w:r>
        <w:t xml:space="preserve">    </w:t>
      </w:r>
      <w:r>
        <w:rPr>
          <w:b/>
        </w:rPr>
        <w:t xml:space="preserve">DOI: </w:t>
      </w:r>
      <w:hyperlink r:id="rId120">
        <w:r>
          <w:rPr>
            <w:color w:val="1155CC"/>
            <w:u w:val="single"/>
          </w:rPr>
          <w:t>10.1002/adma.73066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层陶瓷电容器（MLCCs）由于其高功率密度和快速放电能力，是微型化先进电子系统的有前途的候选者。然而，同时实现高能量密度和接近零能量损失仍然是一个长期存在的挑战，阻碍了其作为下一代储能设备的应用潜力。在此，我们提出了一种在无序 (Sr 0.2 Ca 0.2 Pb 0.2 Na 0.2 La 0.2 )TiO 3 高熵陶瓷材料中的自下而上的自组装策略。</w:t>
      </w:r>
    </w:p>
    <w:p>
      <w:pPr>
        <w:spacing w:before="0" w:after="200" w:lineRule="auto" w:line="276"/>
      </w:pPr>
      <w:r>
        <w:rPr>
          <w:b/>
        </w:rPr>
        <w:t xml:space="preserve">Abstract (EN): </w:t>
      </w:r>
      <w:r>
        <w:t>Multilayer ceramic capacitors (MLCCs) are promising candidates for miniaturizing advanced electronic systems, owing to their high‐power density and rapid discharge capabilities. However, simultaneously achieving high energy density and near‐zero energy loss remains a long‐standing challenge, hindering their application potential as next‐generation energy‐storage devices. Here, we propose a bottom‐up self‐assembly strategy within a disordered (Sr</w:t>
      </w:r>
      <w:r>
        <w:t xml:space="preserve"> </w:t>
      </w:r>
      <w:r>
        <w:t>0.2</w:t>
      </w:r>
      <w:r>
        <w:t xml:space="preserve"> </w:t>
      </w:r>
      <w:r>
        <w:t>Ca</w:t>
      </w:r>
      <w:r>
        <w:t xml:space="preserve"> </w:t>
      </w:r>
      <w:r>
        <w:t>0.2</w:t>
      </w:r>
      <w:r>
        <w:t xml:space="preserve"> </w:t>
      </w:r>
      <w:r>
        <w:t>Pb</w:t>
      </w:r>
      <w:r>
        <w:t xml:space="preserve"> </w:t>
      </w:r>
      <w:r>
        <w:t>0.2</w:t>
      </w:r>
      <w:r>
        <w:t xml:space="preserve"> </w:t>
      </w:r>
      <w:r>
        <w:t>Na</w:t>
      </w:r>
      <w:r>
        <w:t xml:space="preserve"> </w:t>
      </w:r>
      <w:r>
        <w:t>0.2</w:t>
      </w:r>
      <w:r>
        <w:t xml:space="preserve"> </w:t>
      </w:r>
      <w:r>
        <w:t>La</w:t>
      </w:r>
      <w:r>
        <w:t xml:space="preserve"> </w:t>
      </w:r>
      <w:r>
        <w:t>0.2</w:t>
      </w:r>
      <w:r>
        <w:t xml:space="preserve"> </w:t>
      </w:r>
      <w:r>
        <w:t>)TiO</w:t>
      </w:r>
      <w:r>
        <w:rPr>
          <w:vertAlign w:val="subscript"/>
        </w:rPr>
        <w:t>3</w:t>
      </w:r>
      <w:r>
        <w:t>high‐entropy ceramic matrix to construct a nanodomain configuration. The high‐entropy design guarantees a locally compositional inhomogeneous platform with fully lowered energy barrier for dipole switching, and the subsequent substitution of strong polar Bi effectively facilitates the progress of nanodomain assembly. The synergistic regulation of lattice structure and anisotropic domain configuration gives rise to relaxor antiferroelectric‐like polarization behavior, simultaneously enabling high polarization intensity and fast dipole switching. Consequently, a concurrent breakthrough with a high energy density of 24.7 J cm</w:t>
      </w:r>
      <w:r>
        <w:t xml:space="preserve"> </w:t>
      </w:r>
      <w:r>
        <w:t>−3</w:t>
      </w:r>
      <w:r>
        <w:t xml:space="preserve"> </w:t>
      </w:r>
      <w:r>
        <w:t>and an ultrahigh efficiency of 96.5% is achieved in the antiferroelectric‐like high‐entropy superparaelectric MLCCs. This work establishes a new opportunity for manipulating polarization profiles and designing high‐performance energy storage dielectrics.</w:t>
      </w:r>
    </w:p>
    <w:p>
      <w:pPr>
        <w:spacing w:before="120" w:after="120"/>
      </w:pPr>
      <w:r>
        <w:rPr>
          <w:sz w:val="18"/>
        </w:rPr>
        <w:t>——————————————————————————————————————————————————————————————————————</w:t>
      </w:r>
    </w:p>
    <w:p>
      <w:pPr>
        <w:spacing w:before="160" w:after="40" w:line="240" w:lineRule="auto"/>
      </w:pPr>
      <w:r>
        <w:rPr>
          <w:b/>
        </w:rPr>
        <w:t xml:space="preserve">[6] </w:t>
      </w:r>
      <w:hyperlink r:id="rId121">
        <w:r>
          <w:rPr>
            <w:color w:val="1155CC"/>
            <w:u w:val="single"/>
          </w:rPr>
          <w:t>氧化还原液流电池测试中的可重复性挑战：来自多机构研究的见解</w:t>
        </w:r>
      </w:hyperlink>
    </w:p>
    <w:p>
      <w:pPr>
        <w:spacing w:before="0" w:after="80"/>
      </w:pPr>
      <w:r>
        <w:rPr>
          <w:i/>
          <w:sz w:val="20"/>
        </w:rPr>
        <w:t>EN: Replicability challenges in redox flow cell testing: Insights from a multi-institutional study</w:t>
      </w:r>
    </w:p>
    <w:p>
      <w:pPr>
        <w:spacing w:before="0" w:after="120"/>
      </w:pPr>
      <w:r>
        <w:rPr>
          <w:b/>
        </w:rPr>
        <w:t xml:space="preserve">Source: </w:t>
      </w:r>
      <w:r>
        <w:t>RSC - Energy Environ. Sci. latest articles</w:t>
      </w:r>
      <w:r>
        <w:t xml:space="preserve">    </w:t>
      </w:r>
      <w:r>
        <w:rPr>
          <w:b/>
        </w:rPr>
        <w:t xml:space="preserve">Pub date: </w:t>
      </w:r>
      <w:r>
        <w:t>2026-04-14 23:00:00+00:00</w:t>
      </w:r>
    </w:p>
    <w:p>
      <w:pPr>
        <w:spacing w:before="0" w:after="120"/>
      </w:pPr>
      <w:r>
        <w:rPr>
          <w:b/>
        </w:rPr>
        <w:t xml:space="preserve">Notes: </w:t>
      </w:r>
      <w:r>
        <w:t>abstract_source=rsc_html</w:t>
      </w:r>
    </w:p>
    <w:p>
      <w:pPr>
        <w:spacing w:before="0" w:after="80" w:lineRule="auto" w:line="276"/>
      </w:pPr>
      <w:r>
        <w:rPr>
          <w:b/>
        </w:rPr>
        <w:t xml:space="preserve">摘要（ZH）: </w:t>
      </w:r>
      <w:r>
        <w:t>流电池研究正在快速增长，因为全球对更长时间储能技术的需求不断增加。流电池研究位于多个科学和工程学科的交汇处，涉及显著的实验复杂性，这些复杂性在评估性能时成为变异的来源。实验误差可能来自于流动电池组装实践的变化、电化学技术协议的差异、材料性质的不均匀性或环境条件的不受控——所有这些都会影响各实验室报告的指标。然而，典型电化学技术的性能指标变异程度很少被评估。这种缺乏可重复性测试的情况给实验室间的比较带来了挑战。</w:t>
      </w:r>
    </w:p>
    <w:p>
      <w:pPr>
        <w:spacing w:before="0" w:after="200" w:lineRule="auto" w:line="276"/>
      </w:pPr>
      <w:r>
        <w:rPr>
          <w:b/>
        </w:rPr>
        <w:t xml:space="preserve">Abstract (EN): </w:t>
      </w:r>
      <w:r>
        <w:t>Flow battery research is growing at pace, given the global need for longer-duration energy storage technologies. Positioned at the intersection of several scientific and engineering disciplines, flow battery studies involve significant experimental complexity that serve as sources of variability when assessing performance. Experimental errors arise from variable flow cell assembly practices, discrepancies in electrochemical technique protocols, inhomogeneous material properties, or uncontrolled environmental conditions—all influencing the metrics reported across laboratories. Nonetheless, the magnitude of this variability in performance indicators from typical electrochemical techniques is rarely assessed. This lack of replicability testing presents challenges for interlaboratory comparison, reducing research confidence in performance ascription. We therefore performed a round-robin study involving eight participant groups (seven academic institutions) on a model flow cell system, comprising a well-studied electrolyte, in a symmetric flow-cell configuration, using the same flow cell. Despite identical cell hardware, electrolyte chemistry, and experimental prompts, appreciable differences were observed in the charge discharge profiles, polarisation curves, and Nyquist plots resulting from participant data acquisition. The study identifies that protocol differences have clear and non-negligible effects on reported performance metrics and provides an indication of the magnitude of variabilities that can be observed for a single system. Athough definitive attribution may require a larger number of participants, several plausible sources of variability were identified, and targeted follow-up testing was undertaken at the coordinating institutions to inform protocol refinement. Both electrical connections and electrolyte homogeneity in the reservoirs were observed to be non-negligible sources of variability in ohmic resistance and electrolyte utilisation, respectively. Overall, the data and insights from this well-controlled, single-electrolyte system highlight the need for greater methodological transparency, shared protocols, and standard operating procedures to reduce significant replicability error in systems of interest. Additionally, the methodology presented may guide further multi institution studies to address sources of variance across systems and chemistries.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2">
        <w:r>
          <w:rPr>
            <w:color w:val="1155CC"/>
            <w:u w:val="single"/>
          </w:rPr>
          <w:t>基于监测建筑数据的瑞士建筑自下而上热泵灵活性估算</w:t>
        </w:r>
      </w:hyperlink>
    </w:p>
    <w:p>
      <w:pPr>
        <w:spacing w:before="0" w:after="80"/>
      </w:pPr>
      <w:r>
        <w:rPr>
          <w:i/>
          <w:sz w:val="20"/>
        </w:rPr>
        <w:t>EN: Bottom-up heat pump flexibility estimation for Swiss buildings considering monitored building data</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3">
        <w:r>
          <w:rPr>
            <w:color w:val="1155CC"/>
            <w:u w:val="single"/>
          </w:rPr>
          <w:t>氢气生产的废热增值：技术、挑战和通向净零路径的元分析综述</w:t>
        </w:r>
      </w:hyperlink>
    </w:p>
    <w:p>
      <w:pPr>
        <w:spacing w:before="0" w:after="80"/>
      </w:pPr>
      <w:r>
        <w:rPr>
          <w:i/>
          <w:sz w:val="20"/>
        </w:rPr>
        <w:t>EN: Waste heat valorization for hydrogen production: a meta-analytic review of technologies, challenges, and paths to net-zero</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4">
        <w:r>
          <w:rPr>
            <w:color w:val="1155CC"/>
            <w:u w:val="single"/>
          </w:rPr>
          <w:t>用于高性能有机热电材料的聚合物纳米线的限域组装</w:t>
        </w:r>
      </w:hyperlink>
    </w:p>
    <w:p>
      <w:pPr>
        <w:spacing w:before="0" w:after="80"/>
      </w:pPr>
      <w:r>
        <w:rPr>
          <w:i/>
          <w:sz w:val="20"/>
        </w:rPr>
        <w:t>EN: Confined Assembly of Polymer Nanowires for High‐Performance Organic Thermoelectrics</w:t>
      </w:r>
    </w:p>
    <w:p>
      <w:pPr>
        <w:spacing w:before="0" w:after="120"/>
      </w:pPr>
      <w:r>
        <w:rPr>
          <w:b/>
        </w:rPr>
        <w:t xml:space="preserve">Source: </w:t>
      </w:r>
      <w:r>
        <w:t>Wiley: Advanced Materials: Table of Contents</w:t>
      </w:r>
      <w:r>
        <w:t xml:space="preserve">    </w:t>
      </w:r>
      <w:r>
        <w:rPr>
          <w:b/>
        </w:rPr>
        <w:t xml:space="preserve">Pub date: </w:t>
      </w:r>
      <w:r>
        <w:t>2026-04-14 07:42:38+00:00</w:t>
      </w:r>
      <w:r>
        <w:t xml:space="preserve">    </w:t>
      </w:r>
      <w:r>
        <w:rPr>
          <w:b/>
        </w:rPr>
        <w:t xml:space="preserve">DOI: </w:t>
      </w:r>
      <w:hyperlink r:id="rId125">
        <w:r>
          <w:rPr>
            <w:color w:val="1155CC"/>
            <w:u w:val="single"/>
          </w:rPr>
          <w:t>10.1002/adma.73071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热电材料提供了一种轻量且本质上灵活的平台，用于将普遍存在的低品位废热转化为可持续的电力。然而，其实际应用受到低无量纲优值（ZT）和对复杂加工路线高性能依赖的阻碍。在此，我们介绍了一种简单且可控的溶剂辅助软光刻方法，用于制造具有卓越热电性能的聚合物纳米线。1D限制驱动有序链组装，提高电荷迁移率（µ），同时增强的声子边界散射抑制晶格热导率（κL）。</w:t>
      </w:r>
    </w:p>
    <w:p>
      <w:pPr>
        <w:spacing w:before="0" w:after="200" w:lineRule="auto" w:line="276"/>
      </w:pPr>
      <w:r>
        <w:rPr>
          <w:b/>
        </w:rPr>
        <w:t xml:space="preserve">Abstract (EN): </w:t>
      </w:r>
      <w:r>
        <w:t>Polymeric thermoelectrics provide a lightweight and intrinsically flexible platform for converting ubiquitous low‐grade waste heat into sustainable electricity. However, their practical deployment has been hindered by a low dimensionless figure of merit (ZT) and the reliance on high performance on complex processing routes. Here, we introduce a simple and controllable solvent‐assisted soft lithography approach for fabricating polymeric nanowires with exceptional thermoelectric performance. 1D confinement drives ordered chain assembly, boosting charge mobility (</w:t>
      </w:r>
      <w:r>
        <w:t xml:space="preserve"> </w:t>
      </w:r>
      <w:r>
        <w:t>µ</w:t>
      </w:r>
      <w:r>
        <w:t xml:space="preserve"> </w:t>
      </w:r>
      <w:r>
        <w:t>), while enhanced phonon‐boundary scattering suppresses lattice thermal conductivity (</w:t>
      </w:r>
      <w:r>
        <w:t xml:space="preserve"> </w:t>
      </w:r>
      <w:r>
        <w:t>κ</w:t>
      </w:r>
      <w:r>
        <w:t xml:space="preserve"> </w:t>
      </w:r>
      <w:r>
        <w:t>L</w:t>
      </w:r>
      <w:r>
        <w:t xml:space="preserve"> </w:t>
      </w:r>
      <w:r>
        <w:t>). Compared with spin‐coated films, the nanowires achieve a 274% increase in</w:t>
      </w:r>
      <w:r>
        <w:t xml:space="preserve"> </w:t>
      </w:r>
      <w:r>
        <w:t>µ</w:t>
      </w:r>
      <w:r>
        <w:t xml:space="preserve"> </w:t>
      </w:r>
      <w:r>
        <w:t>and a 63% reduction in</w:t>
      </w:r>
      <w:r>
        <w:t xml:space="preserve"> </w:t>
      </w:r>
      <w:r>
        <w:t>κ</w:t>
      </w:r>
      <w:r>
        <w:t xml:space="preserve"> </w:t>
      </w:r>
      <w:r>
        <w:t>L</w:t>
      </w:r>
      <w:r>
        <w:t xml:space="preserve"> </w:t>
      </w:r>
      <w:r>
        <w:t>, culminating in a peak ZT of 1.02 at 353 K. This nanowire‐based strategy is broadly applicable to diverse polymers, providing a robust route to nanostructure‐engineered plastic thermoelectrics with both high performance and scalable manufacturability, and opening new opportunities for practical organic thermoelectric devices.</w:t>
      </w:r>
    </w:p>
    <w:p>
      <w:pPr>
        <w:spacing w:before="120" w:after="120"/>
      </w:pPr>
      <w:r>
        <w:rPr>
          <w:sz w:val="18"/>
        </w:rPr>
        <w:t>——————————————————————————————————————————————————————————————————————</w:t>
      </w:r>
    </w:p>
    <w:p>
      <w:pPr>
        <w:spacing w:before="160" w:after="40" w:line="240" w:lineRule="auto"/>
      </w:pPr>
      <w:r>
        <w:rPr>
          <w:b/>
        </w:rPr>
        <w:t xml:space="preserve">[4] </w:t>
      </w:r>
      <w:hyperlink r:id="rId126">
        <w:r>
          <w:rPr>
            <w:color w:val="1155CC"/>
            <w:u w:val="single"/>
          </w:rPr>
          <w:t>可组合的神经仿真器加速热电发电机设计</w:t>
        </w:r>
      </w:hyperlink>
    </w:p>
    <w:p>
      <w:pPr>
        <w:spacing w:before="0" w:after="80"/>
      </w:pPr>
      <w:r>
        <w:rPr>
          <w:i/>
          <w:sz w:val="20"/>
        </w:rPr>
        <w:t>EN: Composable neural emulators accelerate thermoelectric generator design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127">
        <w:r>
          <w:rPr>
            <w:color w:val="1155CC"/>
            <w:u w:val="single"/>
          </w:rPr>
          <w:t>10.1038/s41586-026-10223-1</w:t>
        </w:r>
      </w:hyperlink>
    </w:p>
    <w:p>
      <w:pPr>
        <w:spacing w:before="0" w:after="120"/>
      </w:pPr>
      <w:r>
        <w:rPr>
          <w:b/>
        </w:rPr>
        <w:t xml:space="preserve">Notes: </w:t>
      </w:r>
      <w:r>
        <w:t>abstract_source=nature_html</w:t>
      </w:r>
    </w:p>
    <w:p>
      <w:pPr>
        <w:spacing w:before="0" w:after="80" w:lineRule="auto" w:line="276"/>
      </w:pPr>
      <w:r>
        <w:rPr>
          <w:b/>
        </w:rPr>
        <w:t xml:space="preserve">摘要（ZH）: </w:t>
      </w:r>
      <w:r>
        <w:t>设计高性能热电（TE）设备具有挑战性，因为这不仅需要先进的材料，还需要最佳的配置，这对于最大化设备性能至关重要，但仍然耗时且资源密集1,2,3,4,5。在此，我们开发了TEGNet，这是一种神经网络仿真器，可以在仅使用商业有限元求解器所需计算时间的0.01%的情况下，以超过99%的准确性预测TE发电机性能。TEGNet在各种材料系统中表现出强大的架构通用性，并允许灵活组合特定材料的仿真器，从而快速准确地探索多样化的设备架构。使用TEGNet，我们实验优化了MgAgSb/Bi0.4Sb1.6Te3分段和Mg3Bi1.4Sb0.6–</w:t>
      </w:r>
    </w:p>
    <w:p>
      <w:pPr>
        <w:spacing w:before="0" w:after="200" w:lineRule="auto" w:line="276"/>
      </w:pPr>
      <w:r>
        <w:rPr>
          <w:b/>
        </w:rPr>
        <w:t xml:space="preserve">Abstract (EN): </w:t>
      </w:r>
      <w:r>
        <w:t>Designing high-performance thermoelectric (TE) devices is challenging because it requires not only advanced materials but also optimal configurations, which are critical for maximizing device performance but remain time-consuming and resource-intensive to identify1,2,3,4,5. Here we develop TEGNet, a neural network emulator that predicts TE generator performance with greater than 99% accuracy while using only 0.01% of the computational time required by commercial finite-element solvers. TEGNet exhibits strong architectural generality across various material systems and allows flexible combinations of material-specific emulators, unlocking rapid and accurate exploration of diverse device architectures. Using TEGNet, we experimentally optimize MgAgSb/Bi0.4Sb1.6Te3 segmented and Mg3Bi1.4Sb0.6–MgAgSb n–p paired TE generators, achieving conversion efficiencies of 9.3% and 8.7%, respectively, ranking competitively high among those previously reported6,7,8,9,10. This work demonstrates the power of artificial intelligence (AI) in TE generator design, inspiring further research on AI for thermoelectrics.</w:t>
      </w:r>
    </w:p>
    <w:p>
      <w:pPr>
        <w:spacing w:before="120" w:after="120"/>
      </w:pPr>
      <w:r>
        <w:rPr>
          <w:sz w:val="18"/>
        </w:rPr>
        <w:t>——————————————————————————————————————————————————————————————————————</w:t>
      </w:r>
    </w:p>
    <w:p>
      <w:pPr>
        <w:spacing w:before="160" w:after="40" w:line="240" w:lineRule="auto"/>
      </w:pPr>
      <w:r>
        <w:rPr>
          <w:b/>
        </w:rPr>
        <w:t xml:space="preserve">[5] </w:t>
      </w:r>
      <w:hyperlink r:id="rId128">
        <w:r>
          <w:rPr>
            <w:color w:val="1155CC"/>
            <w:u w:val="single"/>
          </w:rPr>
          <w:t>AI加速设计将废热转化为电能的装置</w:t>
        </w:r>
      </w:hyperlink>
    </w:p>
    <w:p>
      <w:pPr>
        <w:spacing w:before="0" w:after="80"/>
      </w:pPr>
      <w:r>
        <w:rPr>
          <w:i/>
          <w:sz w:val="20"/>
        </w:rPr>
        <w:t>EN: AI speeds up design of devices that turn waste heat into electricity</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129">
        <w:r>
          <w:rPr>
            <w:color w:val="1155CC"/>
            <w:u w:val="single"/>
          </w:rPr>
          <w:t>10.1038/d41586-026-00907-z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0">
        <w:r>
          <w:rPr>
            <w:color w:val="1155CC"/>
            <w:u w:val="single"/>
          </w:rPr>
          <w:t>具有高热电性能的本征弹性三维结构Bi2Te3基复合材料</w:t>
        </w:r>
      </w:hyperlink>
    </w:p>
    <w:p>
      <w:pPr>
        <w:spacing w:before="0" w:after="80"/>
      </w:pPr>
      <w:r>
        <w:rPr>
          <w:i/>
          <w:sz w:val="20"/>
        </w:rPr>
        <w:t>EN: Intrinsically elastic three-dimensional architected Bi2Te3-based composites with high thermoelectric performance</w:t>
      </w:r>
    </w:p>
    <w:p>
      <w:pPr>
        <w:spacing w:before="0" w:after="120"/>
      </w:pPr>
      <w:r>
        <w:rPr>
          <w:b/>
        </w:rPr>
        <w:t xml:space="preserve">Source: </w:t>
      </w:r>
      <w:r>
        <w:t>Matter</w:t>
      </w:r>
      <w:r>
        <w:t xml:space="preserve">    </w:t>
      </w:r>
      <w:r>
        <w:rPr>
          <w:b/>
        </w:rPr>
        <w:t xml:space="preserve">Pub date: </w:t>
      </w:r>
      <w:r>
        <w:t>2026-04-16 00:00:00+00:00</w:t>
      </w:r>
      <w:r>
        <w:t xml:space="preserve">    </w:t>
      </w:r>
      <w:r>
        <w:rPr>
          <w:b/>
        </w:rPr>
        <w:t xml:space="preserve">DOI: </w:t>
      </w:r>
      <w:hyperlink r:id="rId131">
        <w:r>
          <w:rPr>
            <w:color w:val="1155CC"/>
            <w:u w:val="single"/>
          </w:rPr>
          <w:t>10.1016/j.matt.2026.102776</w:t>
        </w:r>
      </w:hyperlink>
    </w:p>
    <w:p>
      <w:pPr>
        <w:spacing w:before="0" w:after="120"/>
      </w:pPr>
      <w:r>
        <w:rPr>
          <w:b/>
        </w:rPr>
        <w:t xml:space="preserve">Notes: </w:t>
      </w:r>
      <w:r>
        <w:t>abstract_source=rss_cell</w:t>
      </w:r>
    </w:p>
    <w:p>
      <w:pPr>
        <w:spacing w:before="0" w:after="80" w:lineRule="auto" w:line="276"/>
      </w:pPr>
      <w:r>
        <w:rPr>
          <w:b/>
        </w:rPr>
        <w:t xml:space="preserve">摘要（ZH）: </w:t>
      </w:r>
      <w:r>
        <w:t>本研究首次报道了具有相对较高热电性能的高弹性3D结构Bi2Te3基复合材料，超越了大多数已报道的柔性3D结构热电复合材料。由于Ecoflex-Bi2Te3的双网络结构，热电复合材料表现出相对较高的电导率、优异的弹性和低热导率。制造的弹性Bi2Te3基热电复合材料通过收集体热显示出在自供电可穿戴应用中的巨大潜力。</w:t>
      </w:r>
    </w:p>
    <w:p>
      <w:pPr>
        <w:spacing w:before="0" w:after="200" w:lineRule="auto" w:line="276"/>
      </w:pPr>
      <w:r>
        <w:rPr>
          <w:b/>
        </w:rPr>
        <w:t xml:space="preserve">Abstract (EN): </w:t>
      </w:r>
      <w:r>
        <w:t>This work first reports highly elastic 3D-architected Bi2Te3-based composites with relatively high thermoelectric performance, surpassing most reported flexible 3D-architected thermoelectric composites. Owing to the dual-network structure of Ecoflex-Bi2Te3, the thermoelectric composite shows relatively high electrical conductivity, excellent elasticity, and low thermal conductivity. The fabricated elastic Bi2Te3-based thermoelectric composites show huge potential for self-powered wearable applications by harvesting body heat.</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32">
        <w:r>
          <w:rPr>
            <w:color w:val="1155CC"/>
            <w:u w:val="single"/>
          </w:rPr>
          <w:t>燃料电池运行期间可逆降解的定量表征方法研究</w:t>
        </w:r>
      </w:hyperlink>
    </w:p>
    <w:p>
      <w:pPr>
        <w:spacing w:before="0" w:after="80"/>
      </w:pPr>
      <w:r>
        <w:rPr>
          <w:i/>
          <w:sz w:val="20"/>
        </w:rPr>
        <w:t>EN: Study on a quantitative characterization method for reversible degradation during fuel cell operation</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3">
        <w:r>
          <w:rPr>
            <w:color w:val="1155CC"/>
            <w:u w:val="single"/>
          </w:rPr>
          <w:t>在技术和市场不确定性下优先考虑低碳氢气生产技术</w:t>
        </w:r>
      </w:hyperlink>
    </w:p>
    <w:p>
      <w:pPr>
        <w:spacing w:before="0" w:after="80"/>
      </w:pPr>
      <w:r>
        <w:rPr>
          <w:i/>
          <w:sz w:val="20"/>
        </w:rPr>
        <w:t>EN: Prioritizing technologies for low-carbon hydrogen production under technical and market uncertainty</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3">
        <w:r>
          <w:rPr>
            <w:color w:val="1155CC"/>
            <w:u w:val="single"/>
          </w:rPr>
          <w:t>氢气生产的废热增值：技术、挑战和通向净零路径的元分析综述</w:t>
        </w:r>
      </w:hyperlink>
    </w:p>
    <w:p>
      <w:pPr>
        <w:spacing w:before="0" w:after="80"/>
      </w:pPr>
      <w:r>
        <w:rPr>
          <w:i/>
          <w:sz w:val="20"/>
        </w:rPr>
        <w:t>EN: Waste heat valorization for hydrogen production: a meta-analytic review of technologies, challenges, and paths to net-zero</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4">
        <w:r>
          <w:rPr>
            <w:color w:val="1155CC"/>
            <w:u w:val="single"/>
          </w:rPr>
          <w:t>在Zn/Cu单原子合金催化剂上低温甲醇合成的Zn促进证据</w:t>
        </w:r>
      </w:hyperlink>
    </w:p>
    <w:p>
      <w:pPr>
        <w:spacing w:before="0" w:after="80"/>
      </w:pPr>
      <w:r>
        <w:rPr>
          <w:i/>
          <w:sz w:val="20"/>
        </w:rPr>
        <w:t>EN: Evidence for Zn‐Promoted Methanol Synthesis at Low Temperature Over Zn/Cu Single‐Atom Alloy Catalyst</w:t>
      </w:r>
    </w:p>
    <w:p>
      <w:pPr>
        <w:spacing w:before="0" w:after="120"/>
      </w:pPr>
      <w:r>
        <w:rPr>
          <w:b/>
        </w:rPr>
        <w:t xml:space="preserve">Source: </w:t>
      </w:r>
      <w:r>
        <w:t>Wiley: Angewandte Chemie International Edition: Table of Contents</w:t>
      </w:r>
      <w:r>
        <w:t xml:space="preserve">    </w:t>
      </w:r>
      <w:r>
        <w:rPr>
          <w:b/>
        </w:rPr>
        <w:t xml:space="preserve">Pub date: </w:t>
      </w:r>
      <w:r>
        <w:t>2026-04-11 04:56:16+00:00</w:t>
      </w:r>
      <w:r>
        <w:t xml:space="preserve">    </w:t>
      </w:r>
      <w:r>
        <w:rPr>
          <w:b/>
        </w:rPr>
        <w:t xml:space="preserve">DOI: </w:t>
      </w:r>
      <w:hyperlink r:id="rId135">
        <w:r>
          <w:rPr>
            <w:color w:val="1155CC"/>
            <w:u w:val="single"/>
          </w:rPr>
          <w:t>10.1002/anie.2739572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揭示Cu/Zn催化剂在CO2加氢制甲醇中的活性位点仍然是一个基本挑战，特别是在明确Zn助剂的精确作用方面。先前的研究主要强调了Zn的化学状态，而往往忽视了Cu主体的伴随结构变化。在此，我们首次报告了在体相Zn/Cu单原子合金中纳米晶Cu的晶格膨胀的直接观察——一种几何畸变，提升了Cu的d带中心并增加了Cu的原子间距离。通过结合原位实验和密度泛函理论（DFT）计算，这些结构修</w:t>
      </w:r>
    </w:p>
    <w:p>
      <w:pPr>
        <w:spacing w:before="0" w:after="200" w:lineRule="auto" w:line="276"/>
      </w:pPr>
      <w:r>
        <w:rPr>
          <w:b/>
        </w:rPr>
        <w:t xml:space="preserve">Abstract (EN): </w:t>
      </w:r>
      <w:r>
        <w:t>Unraveling the active sites of Cu/Zn catalysts for CO</w:t>
      </w:r>
      <w:r>
        <w:rPr>
          <w:vertAlign w:val="subscript"/>
        </w:rPr>
        <w:t>2</w:t>
      </w:r>
      <w:r>
        <w:t>hydrogenation to methanol continues to pose a fundamental challenge, especially in clarifying the precise role of Zn promoters. Previous studies have predominantly emphasized the chemical state of Zn, while often neglecting accompanying structural changes in the Cu host. Here, we report the first direct observation of lattice expansion in nanocrystalline Cu within a bulk Zn/Cu single‐atom alloy—a geometric distortion that elevates the</w:t>
      </w:r>
      <w:r>
        <w:t xml:space="preserve"> </w:t>
      </w:r>
      <w:r>
        <w:t>d</w:t>
      </w:r>
      <w:r>
        <w:t xml:space="preserve"> </w:t>
      </w:r>
      <w:r>
        <w:t>‐band center of Cu and increases interatomic Cu distances. As evidenced by combined in situ experiments and density functional theory (DFT) calculations, these structural modifications promote the activation of both H</w:t>
      </w:r>
      <w:r>
        <w:rPr>
          <w:vertAlign w:val="subscript"/>
        </w:rPr>
        <w:t>2</w:t>
      </w:r>
      <w:r>
        <w:t>and CO</w:t>
      </w:r>
      <w:r>
        <w:rPr>
          <w:vertAlign w:val="subscript"/>
        </w:rPr>
        <w:t>2</w:t>
      </w:r>
      <w:r>
        <w:t>, steering the reaction toward the *HCOO pathway and substantially enhancing methanol production at notably low temperatures. Our findings deliver unprecedented insight into Zn's promotional mechanism and significantly advance the mechanistic understanding of Cu/Zn catalysts for methanol synthesis.</w:t>
      </w:r>
    </w:p>
    <w:p>
      <w:pPr>
        <w:spacing w:before="120" w:after="120"/>
      </w:pPr>
      <w:r>
        <w:rPr>
          <w:sz w:val="18"/>
        </w:rPr>
        <w:t>——————————————————————————————————————————————————————————————————————</w:t>
      </w:r>
    </w:p>
    <w:p>
      <w:pPr>
        <w:spacing w:before="160" w:after="40" w:line="240" w:lineRule="auto"/>
      </w:pPr>
      <w:r>
        <w:rPr>
          <w:b/>
        </w:rPr>
        <w:t xml:space="preserve">[5] </w:t>
      </w:r>
      <w:hyperlink r:id="rId136">
        <w:r>
          <w:rPr>
            <w:color w:val="1155CC"/>
            <w:u w:val="single"/>
          </w:rPr>
          <w:t>高度分散的碳化钼簇实现高效CO2加氢</w:t>
        </w:r>
      </w:hyperlink>
    </w:p>
    <w:p>
      <w:pPr>
        <w:spacing w:before="0" w:after="80"/>
      </w:pPr>
      <w:r>
        <w:rPr>
          <w:i/>
          <w:sz w:val="20"/>
        </w:rPr>
        <w:t>EN: Highly Dispersed Molybdenum Carbide Clusters Enable Efficient CO2 Hydrogenation</w:t>
      </w:r>
    </w:p>
    <w:p>
      <w:pPr>
        <w:spacing w:before="0" w:after="120"/>
      </w:pPr>
      <w:r>
        <w:rPr>
          <w:b/>
        </w:rPr>
        <w:t xml:space="preserve">Source: </w:t>
      </w:r>
      <w:r>
        <w:t>Wiley: Angewandte Chemie International Edition: Table of Contents</w:t>
      </w:r>
      <w:r>
        <w:t xml:space="preserve">    </w:t>
      </w:r>
      <w:r>
        <w:rPr>
          <w:b/>
        </w:rPr>
        <w:t xml:space="preserve">Pub date: </w:t>
      </w:r>
      <w:r>
        <w:t>2026-04-11 05:10:09+00:00</w:t>
      </w:r>
      <w:r>
        <w:t xml:space="preserve">    </w:t>
      </w:r>
      <w:r>
        <w:rPr>
          <w:b/>
        </w:rPr>
        <w:t xml:space="preserve">DOI: </w:t>
      </w:r>
      <w:hyperlink r:id="rId137">
        <w:r>
          <w:rPr>
            <w:color w:val="1155CC"/>
            <w:u w:val="single"/>
          </w:rPr>
          <w:t>10.1002/anie.1733213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逆水煤气变换（RWGS）提供了一条将CO</w:t>
      </w:r>
      <w:r>
        <w:rPr>
          <w:vertAlign w:val="subscript"/>
        </w:rPr>
        <w:t>2</w:t>
      </w:r>
      <w:r>
        <w:t>转化为CO的有前途的途径，CO是化学合成的重要原料。然而，该反应是强吸热的，仅由边际熵增加驱动，需要高温才能实现显著的CO产率。在这种条件下，非贵金属催化剂活性低，而贵金属虽然更活跃，但容易失活。在此，我们报告了负载在碳上的亚纳米碳化钼（MoC）簇能够在没有贵金属的情况下实现高效且稳定的RWGS催化。该催化剂实现了1.26 mol</w:t>
      </w:r>
      <w:r>
        <w:t xml:space="preserve"> </w:t>
      </w:r>
      <w:r>
        <w:t>CO</w:t>
      </w:r>
      <w:r>
        <w:t xml:space="preserve"> </w:t>
      </w:r>
      <w:r>
        <w:t>mol</w:t>
      </w:r>
      <w:r>
        <w:t xml:space="preserve"> </w:t>
      </w:r>
      <w:r>
        <w:t>Mo</w:t>
      </w:r>
      <w:r>
        <w:t xml:space="preserve"> </w:t>
      </w:r>
      <w:r>
        <w:t>的CO生成速率</w:t>
      </w:r>
    </w:p>
    <w:p>
      <w:pPr>
        <w:spacing w:before="0" w:after="200" w:lineRule="auto" w:line="276"/>
      </w:pPr>
      <w:r>
        <w:rPr>
          <w:b/>
        </w:rPr>
        <w:t xml:space="preserve">Abstract (EN): </w:t>
      </w:r>
      <w:r>
        <w:t>The reverse water–gas shift (RWGS) offers a promising route to convert CO</w:t>
      </w:r>
      <w:r>
        <w:rPr>
          <w:vertAlign w:val="subscript"/>
        </w:rPr>
        <w:t>2</w:t>
      </w:r>
      <w:r>
        <w:t>into CO, a vital feedstock for chemical synthesis. However, the reaction is strongly endothermic and only driven by marginal entropy increasing, requiring high temperature to achieve appreciable CO yields. At such conditions, non‐noble metal catalysts suffer from low activity, and noble metals, though being more active, are prone to deactivation. Here, we report that sub‐nanometer molybdenum carbide (MoC) clusters supported on carbon enable highly efficient and stable RWGS catalysis without noble metals. The catalyst achieves CO formation rate of 1.26 mol</w:t>
      </w:r>
      <w:r>
        <w:t xml:space="preserve"> </w:t>
      </w:r>
      <w:r>
        <w:t>CO</w:t>
      </w:r>
      <w:r>
        <w:t xml:space="preserve"> </w:t>
      </w:r>
      <w:r>
        <w:t>mol</w:t>
      </w:r>
      <w:r>
        <w:t xml:space="preserve"> </w:t>
      </w:r>
      <w:r>
        <w:t>Mo</w:t>
      </w:r>
      <w:r>
        <w:t xml:space="preserve"> </w:t>
      </w:r>
      <w:r>
        <w:t>−1</w:t>
      </w:r>
      <w:r>
        <w:t xml:space="preserve"> </w:t>
      </w:r>
      <w:r>
        <w:t>s</w:t>
      </w:r>
      <w:r>
        <w:t xml:space="preserve"> </w:t>
      </w:r>
      <w:r>
        <w:t>−1</w:t>
      </w:r>
      <w:r>
        <w:t xml:space="preserve"> </w:t>
      </w:r>
      <w:r>
        <w:t>and mass‐specific activity of 1028 µmol</w:t>
      </w:r>
      <w:r>
        <w:t xml:space="preserve"> </w:t>
      </w:r>
      <w:r>
        <w:t>CO</w:t>
      </w:r>
      <w:r>
        <w:t xml:space="preserve"> </w:t>
      </w:r>
      <w:r>
        <w:t>g</w:t>
      </w:r>
      <w:r>
        <w:t xml:space="preserve"> </w:t>
      </w:r>
      <w:r>
        <w:t>cat</w:t>
      </w:r>
      <w:r>
        <w:t xml:space="preserve"> </w:t>
      </w:r>
      <w:r>
        <w:t>−1</w:t>
      </w:r>
      <w:r>
        <w:t xml:space="preserve"> </w:t>
      </w:r>
      <w:r>
        <w:t>s</w:t>
      </w:r>
      <w:r>
        <w:t xml:space="preserve"> </w:t>
      </w:r>
      <w:r>
        <w:t>−1</w:t>
      </w:r>
      <w:r>
        <w:t xml:space="preserve"> </w:t>
      </w:r>
      <w:r>
        <w:t>, with near 100% CO selectivity and exceptional stability. Characterizations reveal that MoC spontaneously disperses as sub‐nanometer clusters on support, maximizing the density of coordinatively unsaturated surface sites. These sites facilitate efficient CO</w:t>
      </w:r>
      <w:r>
        <w:rPr>
          <w:vertAlign w:val="subscript"/>
        </w:rPr>
        <w:t>2</w:t>
      </w:r>
      <w:r>
        <w:t>adsorption/activation, enabling rapid removal of surface oxygen species. Density functional theory calculations show that highly dispersed MoC sites exhibit distinct local environment, which accounts for weak Mo–O binding and enhances overall catalytic power. This work demonstrates a noble‐metal‐free catalyst that couples high activity, selectivity, and stability with exceptional atom efficiency, offering robust and sustainable strategy for CO</w:t>
      </w:r>
      <w:r>
        <w:rPr>
          <w:vertAlign w:val="subscript"/>
        </w:rPr>
        <w:t>2</w:t>
      </w:r>
      <w:r>
        <w:t>valorization.</w:t>
      </w:r>
    </w:p>
    <w:p>
      <w:pPr>
        <w:spacing w:before="120" w:after="120"/>
      </w:pPr>
      <w:r>
        <w:rPr>
          <w:sz w:val="18"/>
        </w:rPr>
        <w:t>——————————————————————————————————————————————————————————————————————</w:t>
      </w:r>
    </w:p>
    <w:p>
      <w:pPr>
        <w:spacing w:before="160" w:after="40" w:line="240" w:lineRule="auto"/>
      </w:pPr>
      <w:r>
        <w:rPr>
          <w:b/>
        </w:rPr>
        <w:t xml:space="preserve">[6] </w:t>
      </w:r>
      <w:hyperlink r:id="rId138">
        <w:r>
          <w:rPr>
            <w:color w:val="1155CC"/>
            <w:u w:val="single"/>
          </w:rPr>
          <w:t>基于承诺的碳排放运行区域的多层次综合电力-氢气-天然气能源系统的低碳运行</w:t>
        </w:r>
      </w:hyperlink>
    </w:p>
    <w:p>
      <w:pPr>
        <w:spacing w:before="0" w:after="80"/>
      </w:pPr>
      <w:r>
        <w:rPr>
          <w:i/>
          <w:sz w:val="20"/>
        </w:rPr>
        <w:t>EN: Low-carbon operation for multi-level integrated electricity-hydrogen-gas energy systems based on committed carbon emission operation region</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39">
        <w:r>
          <w:rPr>
            <w:color w:val="1155CC"/>
            <w:u w:val="single"/>
          </w:rPr>
          <w:t>改进的电力-交通系统平衡调度方法促进电动和氢能车辆混合车队的经常性旅行</w:t>
        </w:r>
      </w:hyperlink>
    </w:p>
    <w:p>
      <w:pPr>
        <w:spacing w:before="0" w:after="80"/>
      </w:pPr>
      <w:r>
        <w:rPr>
          <w:i/>
          <w:sz w:val="20"/>
        </w:rPr>
        <w:t>EN: Improved equilibrium scheduling method for power-transportation systems facilitating recurring travel of mixed fleet of electric and hydrogen vehicles</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0">
        <w:r>
          <w:rPr>
            <w:color w:val="1155CC"/>
            <w:u w:val="single"/>
          </w:rPr>
          <w:t>用于燃料电池和水电解的先进高熵材料</w:t>
        </w:r>
      </w:hyperlink>
    </w:p>
    <w:p>
      <w:pPr>
        <w:spacing w:before="0" w:after="80"/>
      </w:pPr>
      <w:r>
        <w:rPr>
          <w:i/>
          <w:sz w:val="20"/>
        </w:rPr>
        <w:t>EN: Advanced high-entropy materials for fuel cells and water electrolysis</w:t>
      </w:r>
    </w:p>
    <w:p>
      <w:pPr>
        <w:spacing w:before="0" w:after="120"/>
      </w:pPr>
      <w:r>
        <w:rPr>
          <w:b/>
        </w:rPr>
        <w:t xml:space="preserve">Source: </w:t>
      </w:r>
      <w:r>
        <w:t>RSC - Chem. Soc. Rev. latest articles</w:t>
      </w:r>
      <w:r>
        <w:t xml:space="preserve">    </w:t>
      </w:r>
      <w:r>
        <w:rPr>
          <w:b/>
        </w:rPr>
        <w:t xml:space="preserve">Pub date: </w:t>
      </w:r>
      <w:r>
        <w:t>2026-04-12 23:00:00+00:00</w:t>
      </w:r>
    </w:p>
    <w:p>
      <w:pPr>
        <w:spacing w:before="0" w:after="120"/>
      </w:pPr>
      <w:r>
        <w:rPr>
          <w:b/>
        </w:rPr>
        <w:t xml:space="preserve">Notes: </w:t>
      </w:r>
      <w:r>
        <w:t>abstract_source=rsc_html</w:t>
      </w:r>
    </w:p>
    <w:p>
      <w:pPr>
        <w:spacing w:before="0" w:after="80" w:lineRule="auto" w:line="276"/>
      </w:pPr>
      <w:r>
        <w:rPr>
          <w:b/>
        </w:rPr>
        <w:t xml:space="preserve">摘要（ZH）: </w:t>
      </w:r>
      <w:r>
        <w:t>高熵材料（HEMs）代表了在开发质子交换膜燃料电池/水电解和固体氧化物燃料电池/水电解的高效组件方面的范式转变，用于氢能转换和存储。这篇综合性综述总结了HEMs在这些电化学能量设备中的基础性突破和新兴应用，研究了高构型熵和晶格畸变在HEMs中的作用，重点关注它们在极端操作条件下对设备组件热力学稳定性和动力学耐久性的基本增强。现代设计范式——从AI驱动的高通量筛选到多尺度计算建模——与先进的合成技术一起被批判性地分析，</w:t>
      </w:r>
    </w:p>
    <w:p>
      <w:pPr>
        <w:spacing w:before="0" w:after="200" w:lineRule="auto" w:line="276"/>
      </w:pPr>
      <w:r>
        <w:rPr>
          <w:b/>
        </w:rPr>
        <w:t xml:space="preserve">Abstract (EN): </w:t>
      </w:r>
      <w:r>
        <w:t>High-entropy materials (HEMs) represent a paradigm shift in developing efficient components of proton exchange membrane fuel cells/water electrolysis and solid oxide fuel cells/water electrolysis for hydrogen energy conversion and storage. This comprehensive review summarizes foundational breakthroughs and emerging applications of HEMs across those electrochemical energy devices, examines the roles of high configurational entropy and lattice distortion in HEMs, focusing on their fundamental enhancement of the thermodynamic stability and kinetic durability of device components under extreme operational conditions. Modern design paradigms – spanning AI-driven high-throughput screening to multi-scale computational modeling – are critically analyzed alongside advanced synthesis techniques, including solvent-free mechanochemical processing and ultrafast thermal shock methods. The multifunctional roles of HEMs are systematically examined through numerical examples in the literature. The analysis shows that the electrodes leveraging entropy-stabilized active sites demonstrate unprecedented activity for hydrogen oxidation (HOR), oxygen reduction (ORR), and water-splitting reactions (HER/OER) in both solid oxide and proton-exchange membrane systems; the electrolytes with HEMs exhibit tunable O2−/proton conductivities with exceptional interfacial compatibility; and interconnects and coatings with HEMs can mitigate chromium poisoning and degradation through entropy-mediated diffusion barriers. Several technical challenges in the development and application of HEMs are analyzed, and the corresponding research directions for overcoming the challenges are proposed toward the practical application of HEMs. A multidisciplinary roadmap integrating in situ characterization, machine learning optimization, and circular economy principles to accelerate HEM deployment in fuel cells and water electrolysis is also emphasized for energy conversion and storage infrastructure.</w:t>
      </w:r>
    </w:p>
    <w:p>
      <w:pPr>
        <w:spacing w:before="120" w:after="120"/>
      </w:pPr>
      <w:r>
        <w:rPr>
          <w:sz w:val="18"/>
        </w:rPr>
        <w:t>——————————————————————————————————————————————————————————————————————</w:t>
      </w:r>
    </w:p>
    <w:p>
      <w:pPr>
        <w:spacing w:before="160" w:after="40" w:line="240" w:lineRule="auto"/>
      </w:pPr>
      <w:r>
        <w:rPr>
          <w:b/>
        </w:rPr>
        <w:t xml:space="preserve">[9] </w:t>
      </w:r>
      <w:hyperlink r:id="rId141">
        <w:r>
          <w:rPr>
            <w:color w:val="1155CC"/>
            <w:u w:val="single"/>
          </w:rPr>
          <w:t>激光共图案化重新定义高效耐用水电解的界面工程</w:t>
        </w:r>
      </w:hyperlink>
    </w:p>
    <w:p>
      <w:pPr>
        <w:spacing w:before="0" w:after="80"/>
      </w:pPr>
      <w:r>
        <w:rPr>
          <w:i/>
          <w:sz w:val="20"/>
        </w:rPr>
        <w:t>EN: Laser Co‐Patterning Redefines Interface Engineering for High‐Efficiency and Durable Water Electrolysis</w:t>
      </w:r>
    </w:p>
    <w:p>
      <w:pPr>
        <w:spacing w:before="0" w:after="120"/>
      </w:pPr>
      <w:r>
        <w:rPr>
          <w:b/>
        </w:rPr>
        <w:t xml:space="preserve">Source: </w:t>
      </w:r>
      <w:r>
        <w:t>Wiley: Advanced Energy Materials: Table of Contents</w:t>
      </w:r>
      <w:r>
        <w:t xml:space="preserve">    </w:t>
      </w:r>
      <w:r>
        <w:rPr>
          <w:b/>
        </w:rPr>
        <w:t xml:space="preserve">Pub date: </w:t>
      </w:r>
      <w:r>
        <w:t>2026-04-13 04:54:43+00:00</w:t>
      </w:r>
      <w:r>
        <w:t xml:space="preserve">    </w:t>
      </w:r>
      <w:r>
        <w:rPr>
          <w:b/>
        </w:rPr>
        <w:t xml:space="preserve">DOI: </w:t>
      </w:r>
      <w:hyperlink r:id="rId142">
        <w:r>
          <w:rPr>
            <w:color w:val="1155CC"/>
            <w:u w:val="single"/>
          </w:rPr>
          <w:t>10.1002/aenm.70947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水电解是氢气生产的关键途径，但其效率和耐久性受到电池内界面传输限制的制约。然而，传统方法仅关注单个组件或界面。在此，我们引入了一种集成设计策略，通过同时激光刻蚀气体扩散层（GDL）-催化层（CL）和质子交换膜（PEM）-CL界面，建立跨膜电极组件的连续传输路径。计算流体动力学和分子动力学模拟揭示了GDL上的刻蚀促进了明显的动力学和质量传输。同时，激光刻蚀和随后的酸处理</w:t>
      </w:r>
    </w:p>
    <w:p>
      <w:pPr>
        <w:spacing w:before="0" w:after="200" w:lineRule="auto" w:line="276"/>
      </w:pPr>
      <w:r>
        <w:rPr>
          <w:b/>
        </w:rPr>
        <w:t xml:space="preserve">Abstract (EN): </w:t>
      </w:r>
      <w:r>
        <w:t>Proton exchange membrane water electrolysis is a critical pathway for hydrogen production, yet its efficiency and durability are constrained by the interfacial transport limitations within the cell. However, conventional approaches only focus on individual component or interface. Herein, we introduce an integrated design strategy that establishes the continuous transport pathway across the membrane electrode assembly by simultaneously laser patterning of gas diffusion layer (GDL)‐catalytic layer (CL) and proton exchange membrane (PEM)‐CL interface. Computational fluid dynamics and molecular dynamics simulations reveal the patterning on GDL promotes apparent kinetics and mass transport. Concurrently, laser patterning and subsequent acid treatment of the PEM enhance proton transport by facilitating the improved connectivity of water channels. Electrolytic cells assembled with the laser‐patterned GDL and PEM demonstrate an exceptional performance enhancement, achieving 1.90 V at 3 A/cm</w:t>
      </w:r>
      <w:r>
        <w:rPr>
          <w:vertAlign w:val="subscript"/>
        </w:rPr>
        <w:t>2</w:t>
      </w:r>
      <w:r>
        <w:t>—a 37.09% voltage reduction and 28.94% increase in electrolysis efficiency. Furthermore, the laser co‐patterned cells demonstrated a voltage decay rate of only 6.15 µV/h during a 1000‐hour durability test, an order of magnitude lower than unpatterned counterparts. This work establishes a novel design principle for the electrolyzer by creating an integrated mass transport pathway within the cell via laser patterning and demonstrates its transformative performance with a clear mechanistic insight.</w:t>
      </w:r>
    </w:p>
    <w:p>
      <w:pPr>
        <w:spacing w:before="120" w:after="120"/>
      </w:pPr>
      <w:r>
        <w:rPr>
          <w:sz w:val="18"/>
        </w:rPr>
        <w:t>——————————————————————————————————————————————————————————————————————</w:t>
      </w:r>
    </w:p>
    <w:p>
      <w:pPr>
        <w:spacing w:before="160" w:after="40" w:line="240" w:lineRule="auto"/>
      </w:pPr>
      <w:r>
        <w:rPr>
          <w:b/>
        </w:rPr>
        <w:t xml:space="preserve">[10] </w:t>
      </w:r>
      <w:hyperlink r:id="rId143">
        <w:r>
          <w:rPr>
            <w:color w:val="1155CC"/>
            <w:u w:val="single"/>
          </w:rPr>
          <w:t>3D打印CuNi自支撑电催化剂，具有用于氨生产的有序微通道</w:t>
        </w:r>
      </w:hyperlink>
    </w:p>
    <w:p>
      <w:pPr>
        <w:spacing w:before="0" w:after="80"/>
      </w:pPr>
      <w:r>
        <w:rPr>
          <w:i/>
          <w:sz w:val="20"/>
        </w:rPr>
        <w:t>EN: 3D‐Printed CuNi Self‐Supporting Electrocatalysts with Ordered Microchannels for Ammonia Production</w:t>
      </w:r>
    </w:p>
    <w:p>
      <w:pPr>
        <w:spacing w:before="0" w:after="120"/>
      </w:pPr>
      <w:r>
        <w:rPr>
          <w:b/>
        </w:rPr>
        <w:t xml:space="preserve">Source: </w:t>
      </w:r>
      <w:r>
        <w:t>Wiley: Advanced Energy Materials: Table of Contents</w:t>
      </w:r>
      <w:r>
        <w:t xml:space="preserve">    </w:t>
      </w:r>
      <w:r>
        <w:rPr>
          <w:b/>
        </w:rPr>
        <w:t xml:space="preserve">Pub date: </w:t>
      </w:r>
      <w:r>
        <w:t>2026-04-13 04:55:41+00:00</w:t>
      </w:r>
      <w:r>
        <w:t xml:space="preserve">    </w:t>
      </w:r>
      <w:r>
        <w:rPr>
          <w:b/>
        </w:rPr>
        <w:t xml:space="preserve">DOI: </w:t>
      </w:r>
      <w:hyperlink r:id="rId144">
        <w:r>
          <w:rPr>
            <w:color w:val="1155CC"/>
            <w:u w:val="single"/>
          </w:rPr>
          <w:t>10.1002/aenm.70936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支撑催化剂因其优异的导电性和高活性位点利用率在电催化中引起了大量研究兴趣。然而，传统基材如金属泡沫和碳纸由于其不规则孔结构导致结构不稳定和质量传递缓慢，从而降低了催化活性。在此，我们采用选择性激光熔化技术构建了具有微通道阵列的三维（3D）CuNi自支撑电催化剂（CuNi-P）。有序且互连的多孔结构有效促进了质量传递，装饰的纳米颗粒提供了额外的活性位点。获得的CuNi-P还表现出卓越的机械性能</w:t>
      </w:r>
    </w:p>
    <w:p>
      <w:pPr>
        <w:spacing w:before="0" w:after="200" w:lineRule="auto" w:line="276"/>
      </w:pPr>
      <w:r>
        <w:rPr>
          <w:b/>
        </w:rPr>
        <w:t xml:space="preserve">Abstract (EN): </w:t>
      </w:r>
      <w:r>
        <w:t>Self‐supporting catalysts have attracted massive research interest in electrocatalysis because of their excellent conductivity and high utilization of active sites. However, traditional substrates, e.g., metal foams and carbon paper, suffer from structural instability and slow mass transfer due to their irregular pore structure, leading to reduced catalytic activity. Herein, we employ selective laser melting technology to construct a three‐dimensional (3D) CuNi self‐supporting electrocatalyst with a microchannel array (CuNi‐P). The ordered and interconnected porous structure efficiently facilitates mass transfer, and the decorated nanoparticles provide additional active sites. The obtained CuNi‐P also exhibits outstanding mechanical properties, ensuring long‐term durability. Moreover, the surface of CuNi‐P exhibits superhydrophilic and superaerophobic properties, enabling efficient mass transfer across the solid‐liquid‐gas three‐phase interfaces. Cu and Ni act synergistically to enhance NO</w:t>
      </w:r>
      <w:r>
        <w:rPr>
          <w:vertAlign w:val="subscript"/>
        </w:rPr>
        <w:t>3</w:t>
      </w:r>
      <w:r>
        <w:t>−</w:t>
      </w:r>
      <w:r>
        <w:t>reduction to ammonia (NH</w:t>
      </w:r>
      <w:r>
        <w:rPr>
          <w:vertAlign w:val="subscript"/>
        </w:rPr>
        <w:t>3</w:t>
      </w:r>
      <w:r>
        <w:t>), delivering the lowest charge‐transfer resistance and a high NH</w:t>
      </w:r>
      <w:r>
        <w:rPr>
          <w:vertAlign w:val="subscript"/>
        </w:rPr>
        <w:t>3</w:t>
      </w:r>
      <w:r>
        <w:t>yield rate of 10.6 mg h</w:t>
      </w:r>
      <w:r>
        <w:t xml:space="preserve"> </w:t>
      </w:r>
      <w:r>
        <w:t>−1</w:t>
      </w:r>
      <w:r>
        <w:t xml:space="preserve"> </w:t>
      </w:r>
      <w:r>
        <w:t>cm</w:t>
      </w:r>
      <w:r>
        <w:t xml:space="preserve"> </w:t>
      </w:r>
      <w:r>
        <w:t>−2</w:t>
      </w:r>
      <w:r>
        <w:t xml:space="preserve"> </w:t>
      </w:r>
      <w:r>
        <w:t>at −0.55 V. Additionally, CuNi‐P exhibits excellent electrocatalytic performance for glycerol oxidation reaction, enabling a bifunctional electrocatalytic system that couples NH</w:t>
      </w:r>
      <w:r>
        <w:rPr>
          <w:vertAlign w:val="subscript"/>
        </w:rPr>
        <w:t>3</w:t>
      </w:r>
      <w:r>
        <w:t>and formate production. The system can achieve a high NH</w:t>
      </w:r>
      <w:r>
        <w:rPr>
          <w:vertAlign w:val="subscript"/>
        </w:rPr>
        <w:t>3</w:t>
      </w:r>
      <w:r>
        <w:t>Faradaic efficiency of 95.5% at 1.6 V and a current density of 100 mA cm</w:t>
      </w:r>
      <w:r>
        <w:t xml:space="preserve"> </w:t>
      </w:r>
      <w:r>
        <w:t>−2</w:t>
      </w:r>
      <w:r>
        <w:t xml:space="preserve"> </w:t>
      </w:r>
      <w:r>
        <w:t>at only 1.4 V, while maintaining stable performance for 500 h.</w:t>
      </w:r>
    </w:p>
    <w:p>
      <w:pPr>
        <w:spacing w:before="120" w:after="120"/>
      </w:pPr>
      <w:r>
        <w:rPr>
          <w:sz w:val="18"/>
        </w:rPr>
        <w:t>——————————————————————————————————————————————————————————————————————</w:t>
      </w:r>
    </w:p>
    <w:p>
      <w:pPr>
        <w:spacing w:before="160" w:after="40" w:line="240" w:lineRule="auto"/>
      </w:pPr>
      <w:r>
        <w:rPr>
          <w:b/>
        </w:rPr>
        <w:t xml:space="preserve">[11] </w:t>
      </w:r>
      <w:hyperlink r:id="rId145">
        <w:r>
          <w:rPr>
            <w:color w:val="1155CC"/>
            <w:u w:val="single"/>
          </w:rPr>
          <w:t>考虑基于分层多智能体TD3的氨能储存的多能耦合单元的灵活配置和多目标优化</w:t>
        </w:r>
      </w:hyperlink>
    </w:p>
    <w:p>
      <w:pPr>
        <w:spacing w:before="0" w:after="80"/>
      </w:pPr>
      <w:r>
        <w:rPr>
          <w:i/>
          <w:sz w:val="20"/>
        </w:rPr>
        <w:t>EN: Flexible configuration and multi-objective optimization of multi-energy coupling units considering ammonia energy storage based on hierarchical multi-agent TD3</w:t>
      </w:r>
    </w:p>
    <w:p>
      <w:pPr>
        <w:spacing w:before="0" w:after="120"/>
      </w:pPr>
      <w:r>
        <w:rPr>
          <w:b/>
        </w:rPr>
        <w:t xml:space="preserve">Source: </w:t>
      </w:r>
      <w:r>
        <w:t>ScienceDirect Publication: Applied Energy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46">
        <w:r>
          <w:rPr>
            <w:color w:val="1155CC"/>
            <w:u w:val="single"/>
          </w:rPr>
          <w:t>用于太阳能制氢的热电辅助级联微反应器，采用Ti3C2‐CdS异质结构光电催化（Adv. Energy Mater. 15/2026）</w:t>
        </w:r>
      </w:hyperlink>
    </w:p>
    <w:p>
      <w:pPr>
        <w:spacing w:before="0" w:after="80"/>
      </w:pPr>
      <w:r>
        <w:rPr>
          <w:i/>
          <w:sz w:val="20"/>
        </w:rPr>
        <w:t>EN: Thermoelectric Assisted Cascaded Microreactor for Solar Hydrogen Production Using Ti3C2‐CdS Heterostructure Photoelectrocatalysis (Adv. Energy Mater. 15/2026)</w:t>
      </w:r>
    </w:p>
    <w:p>
      <w:pPr>
        <w:spacing w:before="0" w:after="120"/>
      </w:pPr>
      <w:r>
        <w:rPr>
          <w:b/>
        </w:rPr>
        <w:t xml:space="preserve">Source: </w:t>
      </w:r>
      <w:r>
        <w:t>Wiley: Advanced Energy Materials: Table of Contents</w:t>
      </w:r>
      <w:r>
        <w:t xml:space="preserve">    </w:t>
      </w:r>
      <w:r>
        <w:rPr>
          <w:b/>
        </w:rPr>
        <w:t xml:space="preserve">Pub date: </w:t>
      </w:r>
      <w:r>
        <w:t>2026-04-15 07:42:03+00:00</w:t>
      </w:r>
      <w:r>
        <w:t xml:space="preserve">    </w:t>
      </w:r>
      <w:r>
        <w:rPr>
          <w:b/>
        </w:rPr>
        <w:t xml:space="preserve">DOI: </w:t>
      </w:r>
      <w:hyperlink r:id="rId147">
        <w:r>
          <w:rPr>
            <w:color w:val="1155CC"/>
            <w:u w:val="single"/>
          </w:rPr>
          <w:t>10.1002/aenm.70822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48">
        <w:r>
          <w:rPr>
            <w:color w:val="1155CC"/>
            <w:u w:val="single"/>
          </w:rPr>
          <w:t>在碱性聚合物层涂覆的质子交换膜电解槽中进行 CO2 和 H2O 的共电解</w:t>
        </w:r>
      </w:hyperlink>
    </w:p>
    <w:p>
      <w:pPr>
        <w:spacing w:before="0" w:after="80"/>
      </w:pPr>
      <w:r>
        <w:rPr>
          <w:i/>
          <w:sz w:val="20"/>
        </w:rPr>
        <w:t>EN: Co-electrolysis of CO2 and H2O in an alkaline polymer layer-coated proton-exchange-membrane electrolyzer</w:t>
      </w:r>
    </w:p>
    <w:p>
      <w:pPr>
        <w:spacing w:before="0" w:after="120"/>
      </w:pPr>
      <w:r>
        <w:rPr>
          <w:b/>
        </w:rPr>
        <w:t xml:space="preserve">Source: </w:t>
      </w:r>
      <w:r>
        <w:t>Nature Chemical Engineering</w:t>
      </w:r>
      <w:r>
        <w:t xml:space="preserve">    </w:t>
      </w:r>
      <w:r>
        <w:rPr>
          <w:b/>
        </w:rPr>
        <w:t xml:space="preserve">Pub date: </w:t>
      </w:r>
      <w:r>
        <w:t>2026-04-16 00:00:00+00:00</w:t>
      </w:r>
      <w:r>
        <w:t xml:space="preserve">    </w:t>
      </w:r>
      <w:r>
        <w:rPr>
          <w:b/>
        </w:rPr>
        <w:t xml:space="preserve">DOI: </w:t>
      </w:r>
      <w:hyperlink r:id="rId149">
        <w:r>
          <w:rPr>
            <w:color w:val="1155CC"/>
            <w:u w:val="single"/>
          </w:rPr>
          <w:t>10.1038/s44286-026-00381-4</w:t>
        </w:r>
      </w:hyperlink>
    </w:p>
    <w:p>
      <w:pPr>
        <w:spacing w:before="0" w:after="120"/>
      </w:pPr>
      <w:r>
        <w:rPr>
          <w:b/>
        </w:rPr>
        <w:t xml:space="preserve">Notes: </w:t>
      </w:r>
      <w:r>
        <w:t>abstract_source=nature_html</w:t>
      </w:r>
    </w:p>
    <w:p>
      <w:pPr>
        <w:spacing w:before="0" w:after="80" w:lineRule="auto" w:line="276"/>
      </w:pPr>
      <w:r>
        <w:rPr>
          <w:b/>
        </w:rPr>
        <w:t xml:space="preserve">摘要（ZH）: </w:t>
      </w:r>
      <w:r>
        <w:t>碳酸盐形成和交叉导致的盐析和碳损失限制了使用碱性或中性pH电解质的CO2电解的工业规模化。在此，我们构建了一种碱性聚合物层涂覆的质子交换膜电解槽，以抑制CO2交叉和通过纯水进料防止盐析。在有限元模拟的指导下，合成了具有高密度季铵基团的碱性聚合物，以丰富OH−并调节催化剂电双层内的电场，从而增强CO2吸附和界面离子电导率。因此，电解槽实现了62.4%的单程CO2转化率、39.0%的能量效率和约80%的CO2利用率，在200 mA下稳定运行260小时</w:t>
      </w:r>
    </w:p>
    <w:p>
      <w:pPr>
        <w:spacing w:before="0" w:after="200" w:lineRule="auto" w:line="276"/>
      </w:pPr>
      <w:r>
        <w:rPr>
          <w:b/>
        </w:rPr>
        <w:t xml:space="preserve">Abstract (EN): </w:t>
      </w:r>
      <w:r>
        <w:t>Salt precipitation and carbon loss caused by carbonate formation and crossover limit the industrial scalability of CO2 electrolysis using alkaline or pH-neutral electrolytes. Here we constructed an alkaline polymer layer-coated proton-exchange-membrane electrolyzer to suppress CO2 crossover and prevent salt precipitation by pure water feeding. Guided by finite element simulations, alkaline polymers with a high density of quaternary ammonium groups were synthesized to enrich OH− and modulate the electric field within the catalyst electric double layer, thereby enhancing CO2 adsorption and interfacial ionic conductivity. Consequently, the electrolyzer achieved a single-pass CO2 conversion of 62.4%, energy efficiency of 39.0% and ~80% CO2 utilization, with stable operation for 260 h at 200 mA cm−2. In addition, a scaled-up electrolyzer stack comprising 6 × 100 cm2 membrane electrode assemblies produced CO at a maximum rate of 2,054.5 ml min−1 at 70 A.The alt text for this image may have been generated using AI.</w:t>
      </w:r>
    </w:p>
    <w:p>
      <w:pPr>
        <w:spacing w:before="120" w:after="120"/>
      </w:pPr>
      <w:r>
        <w:rPr>
          <w:sz w:val="18"/>
        </w:rPr>
        <w:t>——————————————————————————————————————————————————————————————————————</w:t>
      </w:r>
    </w:p>
    <w:p>
      <w:pPr>
        <w:spacing w:before="160" w:after="40" w:line="240" w:lineRule="auto"/>
      </w:pPr>
      <w:r>
        <w:rPr>
          <w:b/>
        </w:rPr>
        <w:t xml:space="preserve">[14] </w:t>
      </w:r>
      <w:hyperlink r:id="rId150">
        <w:r>
          <w:rPr>
            <w:color w:val="1155CC"/>
            <w:u w:val="single"/>
          </w:rPr>
          <w:t>将氢气整合到可计算的一般均衡模型中</w:t>
        </w:r>
      </w:hyperlink>
    </w:p>
    <w:p>
      <w:pPr>
        <w:spacing w:before="0" w:after="80"/>
      </w:pPr>
      <w:r>
        <w:rPr>
          <w:i/>
          <w:sz w:val="20"/>
        </w:rPr>
        <w:t>EN: Integrating hydrogen into a computable general equilibrium model</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51">
        <w:r>
          <w:rPr>
            <w:color w:val="1155CC"/>
            <w:u w:val="single"/>
          </w:rPr>
          <w:t>揭示氧空位驱动的催化析氢活性和原子层沉积铂簇催化剂的稳定性</w:t>
        </w:r>
      </w:hyperlink>
    </w:p>
    <w:p>
      <w:pPr>
        <w:spacing w:before="0" w:after="80"/>
      </w:pPr>
      <w:r>
        <w:rPr>
          <w:i/>
          <w:sz w:val="20"/>
        </w:rPr>
        <w:t>EN: Unraveling Oxygen Vacancy-Driven Catalytic Hydrogen Evolution Activity and Stability over Atomic-Layer-Deposited Platinum Cluster Catalysts</w:t>
      </w:r>
    </w:p>
    <w:p>
      <w:pPr>
        <w:spacing w:before="0" w:after="120"/>
      </w:pPr>
      <w:r>
        <w:rPr>
          <w:b/>
        </w:rPr>
        <w:t xml:space="preserve">Source: </w:t>
      </w:r>
      <w:r>
        <w:t>RSC - Energy Environ. Sci. latest articles</w:t>
      </w:r>
      <w:r>
        <w:t xml:space="preserve">    </w:t>
      </w:r>
      <w:r>
        <w:rPr>
          <w:b/>
        </w:rPr>
        <w:t xml:space="preserve">Pub date: </w:t>
      </w:r>
      <w:r>
        <w:t>2026-04-16 23:00:00+00:00</w:t>
      </w:r>
    </w:p>
    <w:p>
      <w:pPr>
        <w:spacing w:before="0" w:after="120"/>
      </w:pPr>
      <w:r>
        <w:rPr>
          <w:b/>
        </w:rPr>
        <w:t xml:space="preserve">Notes: </w:t>
      </w:r>
      <w:r>
        <w:t>abstract_source=rsc_html</w:t>
      </w:r>
    </w:p>
    <w:p>
      <w:pPr>
        <w:spacing w:before="0" w:after="80" w:lineRule="auto" w:line="276"/>
      </w:pPr>
      <w:r>
        <w:rPr>
          <w:b/>
        </w:rPr>
        <w:t xml:space="preserve">摘要（ZH）: </w:t>
      </w:r>
      <w:r>
        <w:t>利用金属-氧空位（Ov）协同作用调节催化性能是多相催化中的一种有效途径。然而，关于Ov浓度的定量调节及其与性能关系的建立却鲜有报道。在此，通过结合原子层沉积和设计的氢活化策略，精细构建了具有高分散簇和特定Ov浓度的可还原MoO3纳米棒负载Pt催化剂。沉积在MoO3上的Pt簇（Ptn）可以通过氢溢流效应促进Ov的生成，同时也作为Pt簇的锚定位点，抑制其聚集。我们实现了对MoO3-x的Ov浓度的独立调节，同时保持几乎不变的u</w:t>
      </w:r>
    </w:p>
    <w:p>
      <w:pPr>
        <w:spacing w:before="0" w:after="200" w:lineRule="auto" w:line="276"/>
      </w:pPr>
      <w:r>
        <w:rPr>
          <w:b/>
        </w:rPr>
        <w:t xml:space="preserve">Abstract (EN): </w:t>
      </w:r>
      <w:r>
        <w:t>Utilizing metal-oxygen vacancy (Ov) synergy to modulate catalytic performance is an efficient route in heterogeneous catalysis. While the quantitative tuning toward the Ov concentration and corresponding establishment of Ov concentration-performance relationship have been rarely reported. Herein reducible MoO3 nanorods supported Pt catalysts with high-dispersion cluster and specific Ov concentration were finely constructed by combining atomic layer deposition and the designed hydrogen activation strategy. The Pt clusters (Ptn) deposited on MoO3 can promote Ov generation through the hydrogen spillover effect, which also serve as the anchoring sites of Pt clusters inhibiting their agglomeration. We achieve the independent modulation toward Ov concentration of MoO3-x while preserving nearly unchanged Pt particle size, and the volcano-shape relationship between Ov concentration and catalytic activity is definitely established. The optimized Ptn/MoO3-x-150R cluster catalysts with a mean particle size of 1.41 nm and suitable Ov concentration (5.58×10 13 spin•g -1 ) exhibit optimized H2 evolution activity and durability for hydrolytic dehydrogenation reaction of ammonia borane (AB), whose activity is 5.7-fold higher than that of as-prepared Ptn/MoO3 catalysts. Multiple characterizations and theoretical calculations results indicate that electron-rich Pt cluster is responsible for the activation of AB and Ov affords the adsorption site for H2O molecule, and the synergy of Ptn-Ov dual sites facilitates the adsorption-dissociation of H2O molecules being the rate-determining step. This study would provide deep insights for the rational design of dual-site catalysts by utilizing the synergy between metal cluster and oxygen vacancy with suitable concentration.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52">
        <w:r>
          <w:rPr>
            <w:color w:val="1155CC"/>
            <w:u w:val="single"/>
          </w:rPr>
          <w:t>揭示农村供暖脱碳中的能源公平：一种行为解析的技术经济优化框架</w:t>
        </w:r>
      </w:hyperlink>
    </w:p>
    <w:p>
      <w:pPr>
        <w:spacing w:before="0" w:after="80"/>
      </w:pPr>
      <w:r>
        <w:rPr>
          <w:i/>
          <w:sz w:val="20"/>
        </w:rPr>
        <w:t>EN: Unveiling energy equity in rural heating decarbonisation: a behaviour-resolved techno-economic optimisation framework</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8">
        <w:r>
          <w:rPr>
            <w:color w:val="1155CC"/>
            <w:u w:val="single"/>
          </w:rPr>
          <w:t>基于承诺的碳排放运行区域的多层次综合电力-氢气-天然气能源系统的低碳运行</w:t>
        </w:r>
      </w:hyperlink>
    </w:p>
    <w:p>
      <w:pPr>
        <w:spacing w:before="0" w:after="80"/>
      </w:pPr>
      <w:r>
        <w:rPr>
          <w:i/>
          <w:sz w:val="20"/>
        </w:rPr>
        <w:t>EN: Low-carbon operation for multi-level integrated electricity-hydrogen-gas energy systems based on committed carbon emission operation region</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53">
        <w:r>
          <w:rPr>
            <w:color w:val="1155CC"/>
            <w:u w:val="single"/>
          </w:rPr>
          <w:t>英国高速公路服务区低碳转型下综合能源系统的多维比较：来自经济学、环境性能和弹性的视角</w:t>
        </w:r>
      </w:hyperlink>
    </w:p>
    <w:p>
      <w:pPr>
        <w:spacing w:before="0" w:after="80"/>
      </w:pPr>
      <w:r>
        <w:rPr>
          <w:i/>
          <w:sz w:val="20"/>
        </w:rPr>
        <w:t>EN: Multi-dimensional comparison of integrated energy systems in UK motorway service areas under low-carbon transition: perspectives from economics, environmental performance, and resilience</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54">
        <w:r>
          <w:rPr>
            <w:color w:val="1155CC"/>
            <w:u w:val="single"/>
          </w:rPr>
          <w:t>跨域能流数字孪生：基于三维能量时空图的低碳系统多能流协调调控的动态共生驱动框架</w:t>
        </w:r>
      </w:hyperlink>
    </w:p>
    <w:p>
      <w:pPr>
        <w:spacing w:before="0" w:after="80"/>
      </w:pPr>
      <w:r>
        <w:rPr>
          <w:i/>
          <w:sz w:val="20"/>
        </w:rPr>
        <w:t>EN: Cross-Domain Energy Flow Digital Twin: A Dynamic-Symbiosis-Driven Framework for Multi-Energy-Flow Coordinated Regulation in Low-Carbon Systems Based on Three-Dimensional Energy Spatio-Temporal Graph</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5">
        <w:r>
          <w:rPr>
            <w:color w:val="1155CC"/>
            <w:u w:val="single"/>
          </w:rPr>
          <w:t>在正确的轨道上：去碳化欧洲铁路网络的成本最优选择</w:t>
        </w:r>
      </w:hyperlink>
    </w:p>
    <w:p>
      <w:pPr>
        <w:spacing w:before="0" w:after="80"/>
      </w:pPr>
      <w:r>
        <w:rPr>
          <w:i/>
          <w:sz w:val="20"/>
        </w:rPr>
        <w:t>EN: On the right track: Cost-optimal choices to decarbonize the European railway network</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6">
        <w:r>
          <w:rPr>
            <w:color w:val="1155CC"/>
            <w:u w:val="single"/>
          </w:rPr>
          <w:t>开普敦准公共交通中向电动小巴士的可持续过渡</w:t>
        </w:r>
      </w:hyperlink>
    </w:p>
    <w:p>
      <w:pPr>
        <w:spacing w:before="0" w:after="80"/>
      </w:pPr>
      <w:r>
        <w:rPr>
          <w:i/>
          <w:sz w:val="20"/>
        </w:rPr>
        <w:t>EN: A sustainable transition to electric minibus taxis in Cape Town’s paratransit</w:t>
      </w:r>
    </w:p>
    <w:p>
      <w:pPr>
        <w:spacing w:before="0" w:after="120"/>
      </w:pPr>
      <w:r>
        <w:rPr>
          <w:b/>
        </w:rPr>
        <w:t xml:space="preserve">Source: </w:t>
      </w:r>
      <w:r>
        <w:t>Nature Sustainability</w:t>
      </w:r>
      <w:r>
        <w:t xml:space="preserve">    </w:t>
      </w:r>
      <w:r>
        <w:rPr>
          <w:b/>
        </w:rPr>
        <w:t xml:space="preserve">Pub date: </w:t>
      </w:r>
      <w:r>
        <w:t>2026-04-13 00:00:00+00:00</w:t>
      </w:r>
      <w:r>
        <w:t xml:space="preserve">    </w:t>
      </w:r>
      <w:r>
        <w:rPr>
          <w:b/>
        </w:rPr>
        <w:t xml:space="preserve">DOI: </w:t>
      </w:r>
      <w:hyperlink r:id="rId157">
        <w:r>
          <w:rPr>
            <w:color w:val="1155CC"/>
            <w:u w:val="single"/>
          </w:rPr>
          <w:t>10.1038/s41893-026-01808-9</w:t>
        </w:r>
      </w:hyperlink>
    </w:p>
    <w:p>
      <w:pPr>
        <w:spacing w:before="0" w:after="120"/>
      </w:pPr>
      <w:r>
        <w:rPr>
          <w:b/>
        </w:rPr>
        <w:t xml:space="preserve">Notes: </w:t>
      </w:r>
      <w:r>
        <w:t>abstract_source=nature_html</w:t>
      </w:r>
    </w:p>
    <w:p>
      <w:pPr>
        <w:spacing w:before="0" w:after="80" w:lineRule="auto" w:line="276"/>
      </w:pPr>
      <w:r>
        <w:rPr>
          <w:b/>
        </w:rPr>
        <w:t xml:space="preserve">摘要（ZH）: </w:t>
      </w:r>
      <w:r>
        <w:t>灵活的需求响应公共交通或称为准公共交通在撒哈拉以南非洲的流动性中占主导地位，但其电气化在可持续性讨论中基本缺席。利用开普敦BlueDot计划中671辆小巴士的高分辨率跟踪数据，我们评估了电气化该行业的可行性、能源系统影响和环境结果。政府主导的BlueDot计划为出租车配备了跟踪器以监控驾驶并奖励安全驾驶。利用这些跟踪数据，我们证明在当前的流动模式下，电气化在技术上是可行的，前提是提供车库和家庭充电；然而，快速充电几乎没有额外的好处。然而，充电引入了明显的晚间负荷高峰，与</w:t>
      </w:r>
    </w:p>
    <w:p>
      <w:pPr>
        <w:spacing w:before="0" w:after="200" w:lineRule="auto" w:line="276"/>
      </w:pPr>
      <w:r>
        <w:rPr>
          <w:b/>
        </w:rPr>
        <w:t xml:space="preserve">Abstract (EN): </w:t>
      </w:r>
      <w:r>
        <w:t>Paratransit, or flexible, demand-responsive public transport, dominates mobility in sub-Saharan Africa, yet its electrification has remained largely absent from sustainability debates. Using high-resolution tracking data from 671 minibus taxis in Cape Town’s BlueDot programme, we evaluate the feasibility, energy system impacts and environmental outcomes of electrifying this sector. The government-led BlueDot programme equipped taxis with trackers to monitor driving and reward safe driving. Using this tracking data, we demonstrate that electrification is technically viable under current mobility patterns, provided that both depot and home charging are available; however, fast charging offers little additional benefit. However, charging introduces pronounced evening load peaks that coincide with existing grid stress, underscoring the importance of managed charging strategies and expanded renewable supply. Electrification does not immediately reduce greenhouse gas emissions under South Africa’s coal-heavy grid, but it does eliminate exhaust pipe particulate matter, with substantial implications for urban health. Equity considerations are central: drivers and operators with less access to home charging face lower viability and greater disruption. Our findings demonstrate that with the right infrastructure and planning, electrification of African paratransit can deliver cleaner air and lay the foundations for a just and sustainable mobility transition.</w:t>
      </w:r>
    </w:p>
    <w:p>
      <w:pPr>
        <w:spacing w:before="120" w:after="120"/>
      </w:pPr>
      <w:r>
        <w:rPr>
          <w:sz w:val="18"/>
        </w:rPr>
        <w:t>——————————————————————————————————————————————————————————————————————</w:t>
      </w:r>
    </w:p>
    <w:p>
      <w:pPr>
        <w:spacing w:before="160" w:after="40" w:line="240" w:lineRule="auto"/>
      </w:pPr>
      <w:r>
        <w:rPr>
          <w:b/>
        </w:rPr>
        <w:t xml:space="preserve">[7] </w:t>
      </w:r>
      <w:hyperlink r:id="rId158">
        <w:r>
          <w:rPr>
            <w:color w:val="1155CC"/>
            <w:u w:val="single"/>
          </w:rPr>
          <w:t>探索中国个人碳交易系统中家庭碳排放与福利之间的权衡</w:t>
        </w:r>
      </w:hyperlink>
    </w:p>
    <w:p>
      <w:pPr>
        <w:spacing w:before="0" w:after="80"/>
      </w:pPr>
      <w:r>
        <w:rPr>
          <w:i/>
          <w:sz w:val="20"/>
        </w:rPr>
        <w:t>EN: Exploring the trade-offs between household carbon emissions and welfare of China's personal carbon trading system</w:t>
      </w:r>
    </w:p>
    <w:p>
      <w:pPr>
        <w:spacing w:before="0" w:after="120"/>
      </w:pPr>
      <w:r>
        <w:rPr>
          <w:b/>
        </w:rPr>
        <w:t xml:space="preserve">Source: </w:t>
      </w:r>
      <w:r>
        <w:t>ScienceDirect Publication: Energy Policy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59">
        <w:r>
          <w:rPr>
            <w:color w:val="1155CC"/>
            <w:u w:val="single"/>
          </w:rPr>
          <w:t>通过铜金属光氧化还原催化实现CO2的形式烯丙基C(sp3)−H羧化</w:t>
        </w:r>
      </w:hyperlink>
    </w:p>
    <w:p>
      <w:pPr>
        <w:spacing w:before="0" w:after="80"/>
      </w:pPr>
      <w:r>
        <w:rPr>
          <w:i/>
          <w:sz w:val="20"/>
        </w:rPr>
        <w:t>EN: Formal Allylic C(sp3)−H Carboxylation With CO2 via Copper Metallaphotoredox Catalysis</w:t>
      </w:r>
    </w:p>
    <w:p>
      <w:pPr>
        <w:spacing w:before="0" w:after="120"/>
      </w:pPr>
      <w:r>
        <w:rPr>
          <w:b/>
        </w:rPr>
        <w:t xml:space="preserve">Source: </w:t>
      </w:r>
      <w:r>
        <w:t>Wiley: Angewandte Chemie International Edition: Table of Contents</w:t>
      </w:r>
      <w:r>
        <w:t xml:space="preserve">    </w:t>
      </w:r>
      <w:r>
        <w:rPr>
          <w:b/>
        </w:rPr>
        <w:t xml:space="preserve">Pub date: </w:t>
      </w:r>
      <w:r>
        <w:t>2026-04-11 17:29:58+00:00</w:t>
      </w:r>
      <w:r>
        <w:t xml:space="preserve">    </w:t>
      </w:r>
      <w:r>
        <w:rPr>
          <w:b/>
        </w:rPr>
        <w:t xml:space="preserve">DOI: </w:t>
      </w:r>
      <w:hyperlink r:id="rId160">
        <w:r>
          <w:rPr>
            <w:color w:val="1155CC"/>
            <w:u w:val="single"/>
          </w:rPr>
          <w:t>10.1002/anie.5979629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利用CO</w:t>
      </w:r>
      <w:r>
        <w:rPr>
          <w:vertAlign w:val="subscript"/>
        </w:rPr>
        <w:t>2</w:t>
      </w:r>
      <w:r>
        <w:t>对普遍存在的C─H键进行催化羧化已被证明是一种可持续且简化的合成有价值羧酸的途径。然而，对丰富的烯丙基C(sp</w:t>
      </w:r>
      <w:r>
        <w:rPr>
          <w:vertAlign w:val="subscript"/>
        </w:rPr>
        <w:t>3</w:t>
      </w:r>
      <w:r>
        <w:t>)─H键与CO</w:t>
      </w:r>
      <w:r>
        <w:rPr>
          <w:vertAlign w:val="subscript"/>
        </w:rPr>
        <w:t>2</w:t>
      </w:r>
      <w:r>
        <w:t>进行催化羧化，尽管提供了合成结构多样的3‐丁烯酸的独特机会，仍然具有挑战性。在此，我们报告了首次铜金属光氧化还原催化的形式烯丙基C(sp</w:t>
      </w:r>
      <w:r>
        <w:rPr>
          <w:vertAlign w:val="subscript"/>
        </w:rPr>
        <w:t>3</w:t>
      </w:r>
      <w:r>
        <w:t>)─H羧化与CO</w:t>
      </w:r>
      <w:r>
        <w:rPr>
          <w:vertAlign w:val="subscript"/>
        </w:rPr>
        <w:t>2</w:t>
      </w:r>
      <w:r>
        <w:t>反应，在温和和氧化还原条件下实现了3‐丁烯酸的高效和选择性合成。</w:t>
      </w:r>
    </w:p>
    <w:p>
      <w:pPr>
        <w:spacing w:before="0" w:after="200" w:lineRule="auto" w:line="276"/>
      </w:pPr>
      <w:r>
        <w:rPr>
          <w:b/>
        </w:rPr>
        <w:t xml:space="preserve">Abstract (EN): </w:t>
      </w:r>
      <w:r>
        <w:t>Catalytic carboxylation of ubiquitous C─H bonds with CO</w:t>
      </w:r>
      <w:r>
        <w:rPr>
          <w:vertAlign w:val="subscript"/>
        </w:rPr>
        <w:t>2</w:t>
      </w:r>
      <w:r>
        <w:t>has been demonstrated as a sustainable and streamlined pathway to valuable carboxylic acids. However, the catalytic carboxylation of abundant allylic C(sp</w:t>
      </w:r>
      <w:r>
        <w:rPr>
          <w:vertAlign w:val="subscript"/>
        </w:rPr>
        <w:t>3</w:t>
      </w:r>
      <w:r>
        <w:t>)─H bonds with CO</w:t>
      </w:r>
      <w:r>
        <w:rPr>
          <w:vertAlign w:val="subscript"/>
        </w:rPr>
        <w:t>2</w:t>
      </w:r>
      <w:r>
        <w:t>, which presents a unique opportunity to synthesize structurally diverse 3‐butenoic acids, still remains challenging. Herein, we report the first copper metallaphotoredox‐catalyzed formal allylic C(sp</w:t>
      </w:r>
      <w:r>
        <w:rPr>
          <w:vertAlign w:val="subscript"/>
        </w:rPr>
        <w:t>3</w:t>
      </w:r>
      <w:r>
        <w:t>)─H carboxylation with CO</w:t>
      </w:r>
      <w:r>
        <w:rPr>
          <w:vertAlign w:val="subscript"/>
        </w:rPr>
        <w:t>2</w:t>
      </w:r>
      <w:r>
        <w:t>, enabling efficient and selective synthesis of 3‐butenoic acids under mild and redox‐neutral conditions. This strategy lies in combining highly reducing photocatalysts to generate alkene radical anion intermediates with copper catalysis to orchestrate regioselective elimination, providing a distinct pathway from traditional allylic C(sp</w:t>
      </w:r>
      <w:r>
        <w:rPr>
          <w:vertAlign w:val="subscript"/>
        </w:rPr>
        <w:t>3</w:t>
      </w:r>
      <w:r>
        <w:t>)─H functionalization via forming allyl‐metal intermediates. This method features high atom and step economy, broad substrate scope, good functional group tolerance, facile scalability, and easy access to valuable compounds, including diverse bioactive molecules, natural products, and</w:t>
      </w:r>
      <w:r>
        <w:rPr>
          <w:vertAlign w:val="subscript"/>
        </w:rPr>
        <w:t>13</w:t>
      </w:r>
      <w:r>
        <w:t>C‐labeled anti‐inflammatory drug sulindac.</w:t>
      </w:r>
    </w:p>
    <w:p>
      <w:pPr>
        <w:spacing w:before="120" w:after="120"/>
      </w:pPr>
      <w:r>
        <w:rPr>
          <w:sz w:val="18"/>
        </w:rPr>
        <w:t>——————————————————————————————————————————————————————————————————————</w:t>
      </w:r>
    </w:p>
    <w:p>
      <w:pPr>
        <w:spacing w:before="160" w:after="40" w:line="240" w:lineRule="auto"/>
      </w:pPr>
      <w:r>
        <w:rPr>
          <w:b/>
        </w:rPr>
        <w:t xml:space="preserve">[2] </w:t>
      </w:r>
      <w:hyperlink r:id="rId161">
        <w:r>
          <w:rPr>
            <w:color w:val="1155CC"/>
            <w:u w:val="single"/>
          </w:rPr>
          <w:t>高岭土衍生沸石实现高性能碳捕获，具有千兆吨级潜力</w:t>
        </w:r>
      </w:hyperlink>
    </w:p>
    <w:p>
      <w:pPr>
        <w:spacing w:before="0" w:after="80"/>
      </w:pPr>
      <w:r>
        <w:rPr>
          <w:i/>
          <w:sz w:val="20"/>
        </w:rPr>
        <w:t>EN: Kaolin-derived zeolite enables high-performance carbon capture with gigaton-scale potential</w:t>
      </w:r>
    </w:p>
    <w:p>
      <w:pPr>
        <w:spacing w:before="0" w:after="120"/>
      </w:pPr>
      <w:r>
        <w:rPr>
          <w:b/>
        </w:rPr>
        <w:t xml:space="preserve">Source: </w:t>
      </w:r>
      <w:r>
        <w:t>National Science Review Advance Access</w:t>
      </w:r>
      <w:r>
        <w:t xml:space="preserve">    </w:t>
      </w:r>
      <w:r>
        <w:rPr>
          <w:b/>
        </w:rPr>
        <w:t xml:space="preserve">Pub date: </w:t>
      </w:r>
      <w:r>
        <w:t>2026-04-13 00:00:00+00:00</w:t>
      </w:r>
      <w:r>
        <w:t xml:space="preserve">    </w:t>
      </w:r>
      <w:r>
        <w:rPr>
          <w:b/>
        </w:rPr>
        <w:t xml:space="preserve">DOI: </w:t>
      </w:r>
      <w:hyperlink r:id="rId162">
        <w:r>
          <w:rPr>
            <w:color w:val="1155CC"/>
            <w:u w:val="single"/>
          </w:rPr>
          <w:t>10.1093/nsr/nwag064</w:t>
        </w:r>
      </w:hyperlink>
    </w:p>
    <w:p>
      <w:pPr>
        <w:spacing w:before="0" w:after="120"/>
      </w:pPr>
      <w:r>
        <w:rPr>
          <w:b/>
        </w:rPr>
        <w:t xml:space="preserve">Notes: </w:t>
      </w:r>
      <w:r>
        <w:t>abstract_source=rss_oup</w:t>
      </w:r>
    </w:p>
    <w:p>
      <w:pPr>
        <w:spacing w:before="0" w:after="80" w:lineRule="auto" w:line="276"/>
      </w:pPr>
      <w:r>
        <w:rPr>
          <w:b/>
        </w:rPr>
        <w:t xml:space="preserve">摘要（ZH）: </w:t>
      </w:r>
      <w:r>
        <w:t>千兆吨级二氧化碳（CO2）捕集是实现全球碳中和道路上不可或缺的一部分，但在开发一种同时具有高性能、低成本和可从地球丰富原材料扩展的吸附剂方面一直滞后，并且与工业兼容的合成工艺相结合。在此，我们发现高性能的CO2吸附剂Linda Type A（LTA）沸石可以通过可扩展的工艺从普遍存在的高岭土（储量&gt;30千兆吨）转化而来，并表现出创纪录的高CO2吸附量和良好的循环稳定性。合成路线主要包括煅烧和超热反应，易于与现有工业基础设施兼容，并避免使用复杂或有毒化学品。得益于优化的晶体结构</w:t>
      </w:r>
    </w:p>
    <w:p>
      <w:pPr>
        <w:spacing w:before="0" w:after="200" w:lineRule="auto" w:line="276"/>
      </w:pPr>
      <w:r>
        <w:rPr>
          <w:b/>
        </w:rPr>
        <w:t xml:space="preserve">Abstract (EN): </w:t>
      </w:r>
      <w:r>
        <w:t>Gigaton-scale carbon dioxide (CO2) capture is an indispensable part of the way towards global carbon neutrality, but has lagged in developing an adsorbent that simultaneously has high performance, low cost, and scalability from earth-abundant raw materials coupled with industrially compatible synthesis processes. Here we discover that high performing CO2 adsorbent of Linda Type A (LTA) zeolite can be converted from ubiquitous kaolin clay (reserves &gt; 30 gigatons) via scalable processes and exhibits record high CO2 uptake with good cycling stability. The synthesis route, comprising mainly calcination and a hyperthermal reaction, is readily compatible with existing industrial infrastructure and avoids the use of complex or toxic chemicals. Benefiting from an optimized crystal structure for CO₂ trapping, the material achieves CO₂ adsorption capacities that surpass all previously reported clay-derived zeolites across a wide concentration range, from ambient air (∼400 ppm) to flue gas conditions (&lt;20%). It also maintains stable performance over 50 adsorption–desorption cycles. Beyond material and method development, we provide a proof-of-concept showing that integrating radiative cooling for CO₂ adsorption and solar heating for sorbent regeneration could enable a low-carbon pathway for passive sorbent operation. This study offers a feasible route to explore scalable carbon capture using widely available materials and passive energy strategies.</w:t>
      </w:r>
    </w:p>
    <w:p>
      <w:pPr>
        <w:spacing w:before="120" w:after="120"/>
      </w:pPr>
      <w:r>
        <w:rPr>
          <w:sz w:val="18"/>
        </w:rPr>
        <w:t>——————————————————————————————————————————————————————————————————————</w:t>
      </w:r>
    </w:p>
    <w:p>
      <w:pPr>
        <w:spacing w:before="160" w:after="40" w:line="240" w:lineRule="auto"/>
      </w:pPr>
      <w:r>
        <w:rPr>
          <w:b/>
        </w:rPr>
        <w:t xml:space="preserve">[3] </w:t>
      </w:r>
      <w:hyperlink r:id="rId163">
        <w:r>
          <w:rPr>
            <w:color w:val="1155CC"/>
            <w:u w:val="single"/>
          </w:rPr>
          <w:t>[ASAP] 用于水稀碳捕获的氨化共价有机框架</w:t>
        </w:r>
      </w:hyperlink>
    </w:p>
    <w:p>
      <w:pPr>
        <w:spacing w:before="0" w:after="80"/>
      </w:pPr>
      <w:r>
        <w:rPr>
          <w:i/>
          <w:sz w:val="20"/>
        </w:rPr>
        <w:t>EN: [ASAP] Ammoniated Covalent Organic Frameworks for Water-Lean Carbon Capture</w:t>
      </w:r>
    </w:p>
    <w:p>
      <w:pPr>
        <w:spacing w:before="0" w:after="120"/>
      </w:pPr>
      <w:r>
        <w:rPr>
          <w:b/>
        </w:rPr>
        <w:t xml:space="preserve">Source: </w:t>
      </w:r>
      <w:r>
        <w:t>Journal of the American Chemical Society: Latest Articles (ACS Publications)</w:t>
      </w:r>
      <w:r>
        <w:t xml:space="preserve">    </w:t>
      </w:r>
      <w:r>
        <w:rPr>
          <w:b/>
        </w:rPr>
        <w:t xml:space="preserve">Pub date: </w:t>
      </w:r>
      <w:r>
        <w:t>2026-04-13 19:57:24+00:00</w:t>
      </w:r>
      <w:r>
        <w:t xml:space="preserve">    </w:t>
      </w:r>
      <w:r>
        <w:rPr>
          <w:b/>
        </w:rPr>
        <w:t xml:space="preserve">DOI: </w:t>
      </w:r>
      <w:hyperlink r:id="rId164">
        <w:r>
          <w:rPr>
            <w:color w:val="1155CC"/>
            <w:u w:val="single"/>
          </w:rPr>
          <w:t>10.1021/jacs.5c20124</w:t>
        </w:r>
      </w:hyperlink>
    </w:p>
    <w:p>
      <w:pPr>
        <w:spacing w:before="0" w:after="120"/>
      </w:pPr>
      <w:r>
        <w:rPr>
          <w:b/>
        </w:rPr>
        <w:t xml:space="preserve">Notes: </w:t>
      </w:r>
      <w:r>
        <w:t>abstract_source=pubmed</w:t>
      </w:r>
    </w:p>
    <w:p>
      <w:pPr>
        <w:spacing w:before="0" w:after="80" w:lineRule="auto" w:line="276"/>
      </w:pPr>
      <w:r>
        <w:rPr>
          <w:b/>
        </w:rPr>
        <w:t xml:space="preserve">摘要（ZH）: </w:t>
      </w:r>
      <w:r>
        <w:t>基于胺的二氧化碳（CO2）捕集材料传统上受限于2:1的胺与CO2化学计量比，限制了工作容量并增加了再生成本。虽然水可以通过碳酸氢盐形成促进1:1的化学计量比，但它也加速了胺的降解并增加了热能需求。在此，我们报告了一种使用微孔共价有机框架（COFs）的低水碳捕集（WLCC）策略，NUS-44和NUS-45，通过后合成Mannich接枝功能化为伯胺。具体而言，NUS-44在无水条件下通过羧酸形成化学吸附CO2，这已通过原位漫反射红外傅里叶变换光谱（DRIFTS）和13C/15N标记的固态核磁共振（ssNMR）证实。关键是，</w:t>
      </w:r>
    </w:p>
    <w:p>
      <w:pPr>
        <w:spacing w:before="0" w:after="200" w:lineRule="auto" w:line="276"/>
      </w:pPr>
      <w:r>
        <w:rPr>
          <w:b/>
        </w:rPr>
        <w:t xml:space="preserve">Abstract (EN): </w:t>
      </w:r>
      <w:r>
        <w:t>Amine-based carbon dioxide (CO2) capture materials are traditionally constrained by a 2:1 amine-to-CO2 stoichiometry, limiting working capacity and increasing regeneration costs. While water can promote a 1:1 stoichiometry through bicarbonate formation, it also accelerates amine degradation and increases the thermal energy demand. Here, we report a water-lean carbon capture (WLCC) strategy using microporous covalent organic frameworks (COFs), NUS-44 and NUS-45, functionalized with primary amines via postsynthetic Mannich grafting. Specifically, NUS-44 chemisorbs CO2 via carbamic acid formation in the absence of water, as confirmed by in situ diffuse reflectance infrared Fourier transform spectroscopy (DRIFTS) and 13C/15N-labeled solid-state nuclear magnetic resonance (ssNMR). Crucially, the carbamic acid species are stabilized by intrapore hydrogen bonding, allowing them to persist under dry conditions and enabling each amine to bind one CO2 molecule directly and efficiently─thus overcoming the conventional 2:1 amine-to-CO2 limitation. NUS-44 exhibits high CO2 uptakes at ultralow pressures (0.3 and 30 mmHg), maintains performance in both dry and humid environments, and can be fully regenerated at only 80 °C. Energy analysis based on sensible heat calculations further revealed a 20.6-27.8% reduction in the regeneration heat requirement for NUS-44 compared with the water-containing system, underscoring the intrinsic energy advantage of the WLCC process. These findings establish hydrogen-bond-stabilized carbamic acid as a new chemisorption motif in porous frameworks and position NUS-44 and NUS-45 as a low-energy, moisture-independent sorbent for next-generation carbon capture from dilute CO2 streams.</w:t>
      </w:r>
    </w:p>
    <w:p>
      <w:pPr>
        <w:spacing w:before="120" w:after="120"/>
      </w:pPr>
      <w:r>
        <w:rPr>
          <w:sz w:val="18"/>
        </w:rPr>
        <w:t>——————————————————————————————————————————————————————————————————————</w:t>
      </w:r>
    </w:p>
    <w:p>
      <w:pPr>
        <w:spacing w:before="160" w:after="40" w:line="240" w:lineRule="auto"/>
      </w:pPr>
      <w:r>
        <w:rPr>
          <w:b/>
        </w:rPr>
        <w:t xml:space="preserve">[4] </w:t>
      </w:r>
      <w:hyperlink r:id="rId165">
        <w:r>
          <w:rPr>
            <w:color w:val="1155CC"/>
            <w:u w:val="single"/>
          </w:rPr>
          <w:t>CO2还原系统中各种能量驱动的高附加值氧化反应</w:t>
        </w:r>
      </w:hyperlink>
    </w:p>
    <w:p>
      <w:pPr>
        <w:spacing w:before="0" w:after="80"/>
      </w:pPr>
      <w:r>
        <w:rPr>
          <w:i/>
          <w:sz w:val="20"/>
        </w:rPr>
        <w:t>EN: Various energy-driven high-value-added oxidation reactions in CO2 reduction systems</w:t>
      </w:r>
    </w:p>
    <w:p>
      <w:pPr>
        <w:spacing w:before="0" w:after="120"/>
      </w:pPr>
      <w:r>
        <w:rPr>
          <w:b/>
        </w:rPr>
        <w:t xml:space="preserve">Source: </w:t>
      </w:r>
      <w:r>
        <w:t>RSC - Chem. Soc. Rev. latest articles</w:t>
      </w:r>
      <w:r>
        <w:t xml:space="preserve">    </w:t>
      </w:r>
      <w:r>
        <w:rPr>
          <w:b/>
        </w:rPr>
        <w:t xml:space="preserve">Pub date: </w:t>
      </w:r>
      <w:r>
        <w:t>2026-04-13 23:00:00+00:00</w:t>
      </w:r>
    </w:p>
    <w:p>
      <w:pPr>
        <w:spacing w:before="0" w:after="120"/>
      </w:pPr>
      <w:r>
        <w:rPr>
          <w:b/>
        </w:rPr>
        <w:t xml:space="preserve">Notes: </w:t>
      </w:r>
      <w:r>
        <w:t>abstract_source=rsc_html</w:t>
      </w:r>
    </w:p>
    <w:p>
      <w:pPr>
        <w:spacing w:before="0" w:after="80" w:lineRule="auto" w:line="276"/>
      </w:pPr>
      <w:r>
        <w:rPr>
          <w:b/>
        </w:rPr>
        <w:t xml:space="preserve">摘要（ZH）: </w:t>
      </w:r>
      <w:r>
        <w:t>在许多CO2还原系统中，传统的氧化半反应通常是氧气析出反应（OER）。然而，OER的缓慢动力学及其低价值产物（O2）对这些系统的实际应用和经济可行性构成了关键挑战。因此，开发能够产生高附加值产品的替代氧化反应已成为提高CO2还原技术效率和整体经济吸引力的重要策略。在此，我们系统地总结了将CO2还原与增值氧化反应（如醇、胺、生物质衍生原料和塑料废物的氧化）相结合的最新进展。这种整合涵盖了各种催化类型，包括光催化等。</w:t>
      </w:r>
    </w:p>
    <w:p>
      <w:pPr>
        <w:spacing w:before="0" w:after="200" w:lineRule="auto" w:line="276"/>
      </w:pPr>
      <w:r>
        <w:rPr>
          <w:b/>
        </w:rPr>
        <w:t xml:space="preserve">Abstract (EN): </w:t>
      </w:r>
      <w:r>
        <w:t>In many CO2 reduction systems, the conventional oxidation half-reaction is typically the oxygen evolution reaction (OER). However, the sluggish kinetics of the OER and its low-value product (O2) pose key challenges to the practical implementation and economic feasibility of these systems. Accordingly, developing alternative oxidation reactions that yield high-value-added products has emerged as an essential strategy to enhance both the efficiency and the overall economic attractiveness of CO2 reduction technology. Herein, we systematically summarize recent progress in coupling CO2 reduction with value-added oxidation reactions, such as the oxidation of alcohols, amines, biomass-derived feedstocks and plastic waste. This integration spans various catalytic types, including photocatalysis, electrocatalysis, and multi-energy-driven catalysis of CO2 reduction systems. Finally, future perspectives are proposed, highlighting several promising directions, including the rational design of novel catalysts, in-depth mechanistic studies, and comprehensive system-level analyses of energy efficiency and techno-economic performance.</w:t>
      </w:r>
    </w:p>
    <w:p>
      <w:pPr>
        <w:spacing w:before="120" w:after="120"/>
      </w:pPr>
      <w:r>
        <w:rPr>
          <w:sz w:val="18"/>
        </w:rPr>
        <w:t>——————————————————————————————————————————————————————————————————————</w:t>
      </w:r>
    </w:p>
    <w:p>
      <w:pPr>
        <w:spacing w:before="160" w:after="40" w:line="240" w:lineRule="auto"/>
      </w:pPr>
      <w:r>
        <w:rPr>
          <w:b/>
        </w:rPr>
        <w:t xml:space="preserve">[5] </w:t>
      </w:r>
      <w:hyperlink r:id="rId166">
        <w:r>
          <w:rPr>
            <w:color w:val="1155CC"/>
            <w:u w:val="single"/>
          </w:rPr>
          <w:t>一种相结构控制策略用于在铜基钙钛矿氧化物上实现高性能酸性CO2电甲烷化</w:t>
        </w:r>
      </w:hyperlink>
    </w:p>
    <w:p>
      <w:pPr>
        <w:spacing w:before="0" w:after="80"/>
      </w:pPr>
      <w:r>
        <w:rPr>
          <w:i/>
          <w:sz w:val="20"/>
        </w:rPr>
        <w:t>EN: A Phase‐Structure‐Control Strategy Toward High‐Performance Acidic CO2 Electromethanation on Cu‐Based Perovskite Oxides</w:t>
      </w:r>
    </w:p>
    <w:p>
      <w:pPr>
        <w:spacing w:before="0" w:after="120"/>
      </w:pPr>
      <w:r>
        <w:rPr>
          <w:b/>
        </w:rPr>
        <w:t xml:space="preserve">Source: </w:t>
      </w:r>
      <w:r>
        <w:t>Wiley: Advanced Energy Materials: Table of Contents</w:t>
      </w:r>
      <w:r>
        <w:t xml:space="preserve">    </w:t>
      </w:r>
      <w:r>
        <w:rPr>
          <w:b/>
        </w:rPr>
        <w:t xml:space="preserve">Pub date: </w:t>
      </w:r>
      <w:r>
        <w:t>2026-04-14 07:37:53+00:00</w:t>
      </w:r>
      <w:r>
        <w:t xml:space="preserve">    </w:t>
      </w:r>
      <w:r>
        <w:rPr>
          <w:b/>
        </w:rPr>
        <w:t xml:space="preserve">DOI: </w:t>
      </w:r>
      <w:hyperlink r:id="rId167">
        <w:r>
          <w:rPr>
            <w:color w:val="1155CC"/>
            <w:u w:val="single"/>
          </w:rPr>
          <w:t>10.1002/aenm.70873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铜基催化剂在酸性CO</w:t>
      </w:r>
      <w:r>
        <w:rPr>
          <w:vertAlign w:val="subscript"/>
        </w:rPr>
        <w:t>2</w:t>
      </w:r>
      <w:r>
        <w:t>电催化甲烷化中具有显著潜力，但在工业级电流密度下选择性和稳定性不足。在此，我们报告了一种相结构控制策略，用于高性能酸性CO</w:t>
      </w:r>
      <w:r>
        <w:rPr>
          <w:vertAlign w:val="subscript"/>
        </w:rPr>
        <w:t>2</w:t>
      </w:r>
      <w:r>
        <w:t>电催化甲烷化的铜基钙钛矿氧化物，并阐明了相结构与催化行为之间的内在关联。使用Sr</w:t>
      </w:r>
      <w:r>
        <w:rPr>
          <w:vertAlign w:val="subscript"/>
        </w:rPr>
        <w:t>2</w:t>
      </w:r>
      <w:r>
        <w:t>CuTeO</w:t>
      </w:r>
      <w:r>
        <w:t xml:space="preserve"> </w:t>
      </w:r>
      <w:r>
        <w:t>6‐δ</w:t>
      </w:r>
      <w:r>
        <w:t xml:space="preserve"> </w:t>
      </w:r>
      <w:r>
        <w:t>（SCT）作为概念验证系统，我们精确控制其相变从四方相（</w:t>
      </w:r>
      <w:r>
        <w:t xml:space="preserve"> </w:t>
      </w:r>
      <w:r>
        <w:t>I</w:t>
      </w:r>
      <w:r>
        <w:t xml:space="preserve"> </w:t>
      </w:r>
      <w:r>
        <w:t>4/</w:t>
      </w:r>
    </w:p>
    <w:p>
      <w:pPr>
        <w:spacing w:before="0" w:after="200" w:lineRule="auto" w:line="276"/>
      </w:pPr>
      <w:r>
        <w:rPr>
          <w:b/>
        </w:rPr>
        <w:t xml:space="preserve">Abstract (EN): </w:t>
      </w:r>
      <w:r>
        <w:t>Cu‐based catalysts hold significant potential for acidic CO</w:t>
      </w:r>
      <w:r>
        <w:rPr>
          <w:vertAlign w:val="subscript"/>
        </w:rPr>
        <w:t>2</w:t>
      </w:r>
      <w:r>
        <w:t>electromethanation, yet suffer from insufficient selectivity and stability especially at industrial‐level current densities. Here, we report a phase‐structure‐control strategy for high‐performance acidic CO</w:t>
      </w:r>
      <w:r>
        <w:rPr>
          <w:vertAlign w:val="subscript"/>
        </w:rPr>
        <w:t>2</w:t>
      </w:r>
      <w:r>
        <w:t>electromethanation over Cu‐based perovskite oxides, alongside elucidating the intrinsic correlations between phase structure and catalytic behavior. Using Sr</w:t>
      </w:r>
      <w:r>
        <w:rPr>
          <w:vertAlign w:val="subscript"/>
        </w:rPr>
        <w:t>2</w:t>
      </w:r>
      <w:r>
        <w:t>CuTeO</w:t>
      </w:r>
      <w:r>
        <w:t xml:space="preserve"> </w:t>
      </w:r>
      <w:r>
        <w:t>6‐δ</w:t>
      </w:r>
      <w:r>
        <w:t xml:space="preserve"> </w:t>
      </w:r>
      <w:r>
        <w:t>(SCT) as a proof‐of‐concept system, we precisely control its phase transition from tetragonal (</w:t>
      </w:r>
      <w:r>
        <w:t xml:space="preserve"> </w:t>
      </w:r>
      <w:r>
        <w:t>I</w:t>
      </w:r>
      <w:r>
        <w:t xml:space="preserve"> </w:t>
      </w:r>
      <w:r>
        <w:t>4/</w:t>
      </w:r>
      <w:r>
        <w:t>m</w:t>
      </w:r>
      <w:r>
        <w:t xml:space="preserve"> </w:t>
      </w:r>
      <w:r>
        <w:t>) to cubic (</w:t>
      </w:r>
      <w:r>
        <w:t xml:space="preserve"> </w:t>
      </w:r>
      <w:r>
        <w:t>Fm</w:t>
      </w:r>
      <w:r>
        <w:t xml:space="preserve"> </w:t>
      </w:r>
      <w:r>
        <w:t>‐3</w:t>
      </w:r>
      <w:r>
        <w:t xml:space="preserve"> </w:t>
      </w:r>
      <w:r>
        <w:t>m</w:t>
      </w:r>
      <w:r>
        <w:t xml:space="preserve"> </w:t>
      </w:r>
      <w:r>
        <w:t>) structure, yielding three well‐defined catalysts: SCT‐(</w:t>
      </w:r>
      <w:r>
        <w:t xml:space="preserve"> </w:t>
      </w:r>
      <w:r>
        <w:t>I</w:t>
      </w:r>
      <w:r>
        <w:t xml:space="preserve"> </w:t>
      </w:r>
      <w:r>
        <w:t>4/</w:t>
      </w:r>
      <w:r>
        <w:t>m</w:t>
      </w:r>
      <w:r>
        <w:t xml:space="preserve"> </w:t>
      </w:r>
      <w:r>
        <w:t>), dual‐phase SCT‐(</w:t>
      </w:r>
      <w:r>
        <w:t xml:space="preserve"> </w:t>
      </w:r>
      <w:r>
        <w:t>I</w:t>
      </w:r>
      <w:r>
        <w:t xml:space="preserve"> </w:t>
      </w:r>
      <w:r>
        <w:t>4/</w:t>
      </w:r>
      <w:r>
        <w:t>m</w:t>
      </w:r>
      <w:r>
        <w:t xml:space="preserve"> </w:t>
      </w:r>
      <w:r>
        <w:t>+</w:t>
      </w:r>
      <w:r>
        <w:t xml:space="preserve"> </w:t>
      </w:r>
      <w:r>
        <w:t>Fm</w:t>
      </w:r>
      <w:r>
        <w:t xml:space="preserve"> </w:t>
      </w:r>
      <w:r>
        <w:t>‐3</w:t>
      </w:r>
      <w:r>
        <w:t xml:space="preserve"> </w:t>
      </w:r>
      <w:r>
        <w:t>m</w:t>
      </w:r>
      <w:r>
        <w:t xml:space="preserve"> </w:t>
      </w:r>
      <w:r>
        <w:t>), and SCT‐(</w:t>
      </w:r>
      <w:r>
        <w:t xml:space="preserve"> </w:t>
      </w:r>
      <w:r>
        <w:t>Fm</w:t>
      </w:r>
      <w:r>
        <w:t xml:space="preserve"> </w:t>
      </w:r>
      <w:r>
        <w:t>‐3</w:t>
      </w:r>
      <w:r>
        <w:t xml:space="preserve"> </w:t>
      </w:r>
      <w:r>
        <w:t>m</w:t>
      </w:r>
      <w:r>
        <w:t xml:space="preserve"> </w:t>
      </w:r>
      <w:r>
        <w:t>). Our comprehensive investigations indicate that CH</w:t>
      </w:r>
      <w:r>
        <w:rPr>
          <w:vertAlign w:val="subscript"/>
        </w:rPr>
        <w:t>4</w:t>
      </w:r>
      <w:r>
        <w:t>selectivity increases with phase transition degree, reaching its highest value on SCT‐(</w:t>
      </w:r>
      <w:r>
        <w:t xml:space="preserve"> </w:t>
      </w:r>
      <w:r>
        <w:t>Fm</w:t>
      </w:r>
      <w:r>
        <w:t xml:space="preserve"> </w:t>
      </w:r>
      <w:r>
        <w:t>‐3</w:t>
      </w:r>
      <w:r>
        <w:t xml:space="preserve"> </w:t>
      </w:r>
      <w:r>
        <w:t>m</w:t>
      </w:r>
      <w:r>
        <w:t xml:space="preserve"> </w:t>
      </w:r>
      <w:r>
        <w:t>). This enhancement can be attributed to the upward‐shifted Cu 3</w:t>
      </w:r>
      <w:r>
        <w:t xml:space="preserve"> </w:t>
      </w:r>
      <w:r>
        <w:t>d</w:t>
      </w:r>
      <w:r>
        <w:t xml:space="preserve"> </w:t>
      </w:r>
      <w:r>
        <w:t>‐band center and oxygen vacancies in</w:t>
      </w:r>
      <w:r>
        <w:t xml:space="preserve"> </w:t>
      </w:r>
      <w:r>
        <w:t>Fm</w:t>
      </w:r>
      <w:r>
        <w:t xml:space="preserve"> </w:t>
      </w:r>
      <w:r>
        <w:t>‐3</w:t>
      </w:r>
      <w:r>
        <w:t xml:space="preserve"> </w:t>
      </w:r>
      <w:r>
        <w:t>m</w:t>
      </w:r>
      <w:r>
        <w:t xml:space="preserve"> </w:t>
      </w:r>
      <w:r>
        <w:t>phase, which cooperatively shift the rate‐determining step from *COOH formation to *CO hydrogenation by strengthening intermediate adsorption. During prolonged electrolysis, SCT‐(</w:t>
      </w:r>
      <w:r>
        <w:t xml:space="preserve"> </w:t>
      </w:r>
      <w:r>
        <w:t>Fm</w:t>
      </w:r>
      <w:r>
        <w:t xml:space="preserve"> </w:t>
      </w:r>
      <w:r>
        <w:t>‐3</w:t>
      </w:r>
      <w:r>
        <w:t xml:space="preserve"> </w:t>
      </w:r>
      <w:r>
        <w:t>m</w:t>
      </w:r>
      <w:r>
        <w:t xml:space="preserve"> </w:t>
      </w:r>
      <w:r>
        <w:t>) remains stable, whereas SCT‐(</w:t>
      </w:r>
      <w:r>
        <w:t xml:space="preserve"> </w:t>
      </w:r>
      <w:r>
        <w:t>I</w:t>
      </w:r>
      <w:r>
        <w:t xml:space="preserve"> </w:t>
      </w:r>
      <w:r>
        <w:t>4/</w:t>
      </w:r>
      <w:r>
        <w:t>m</w:t>
      </w:r>
      <w:r>
        <w:t xml:space="preserve"> </w:t>
      </w:r>
      <w:r>
        <w:t>) and SCT‐(</w:t>
      </w:r>
      <w:r>
        <w:t xml:space="preserve"> </w:t>
      </w:r>
      <w:r>
        <w:t>I</w:t>
      </w:r>
      <w:r>
        <w:t xml:space="preserve"> </w:t>
      </w:r>
      <w:r>
        <w:t>4/</w:t>
      </w:r>
      <w:r>
        <w:t>m</w:t>
      </w:r>
      <w:r>
        <w:t xml:space="preserve"> </w:t>
      </w:r>
      <w:r>
        <w:t>+</w:t>
      </w:r>
      <w:r>
        <w:t xml:space="preserve"> </w:t>
      </w:r>
      <w:r>
        <w:t>Fm</w:t>
      </w:r>
      <w:r>
        <w:t xml:space="preserve"> </w:t>
      </w:r>
      <w:r>
        <w:t>‐3</w:t>
      </w:r>
      <w:r>
        <w:t xml:space="preserve"> </w:t>
      </w:r>
      <w:r>
        <w:t>m</w:t>
      </w:r>
      <w:r>
        <w:t xml:space="preserve"> </w:t>
      </w:r>
      <w:r>
        <w:t>) undergo thermodynamically‐driven symmetry reorganization, initiated by in situ generated oxygen vacancies, to the stable</w:t>
      </w:r>
      <w:r>
        <w:t xml:space="preserve"> </w:t>
      </w:r>
      <w:r>
        <w:t>Fm</w:t>
      </w:r>
      <w:r>
        <w:t xml:space="preserve"> </w:t>
      </w:r>
      <w:r>
        <w:t>‐3</w:t>
      </w:r>
      <w:r>
        <w:t xml:space="preserve"> </w:t>
      </w:r>
      <w:r>
        <w:t>m</w:t>
      </w:r>
      <w:r>
        <w:t xml:space="preserve"> </w:t>
      </w:r>
      <w:r>
        <w:t>structure. Importantly, SCT‐(</w:t>
      </w:r>
      <w:r>
        <w:t xml:space="preserve"> </w:t>
      </w:r>
      <w:r>
        <w:t>Fm</w:t>
      </w:r>
      <w:r>
        <w:t xml:space="preserve"> </w:t>
      </w:r>
      <w:r>
        <w:t>‐3</w:t>
      </w:r>
      <w:r>
        <w:t xml:space="preserve"> </w:t>
      </w:r>
      <w:r>
        <w:t>m</w:t>
      </w:r>
      <w:r>
        <w:t xml:space="preserve"> </w:t>
      </w:r>
      <w:r>
        <w:t>) outperforms previously reported Cu‐based catalysts, achieving a high CH</w:t>
      </w:r>
      <w:r>
        <w:rPr>
          <w:vertAlign w:val="subscript"/>
        </w:rPr>
        <w:t>4</w:t>
      </w:r>
      <w:r>
        <w:t>selectivity of 67.0% at 400 mA cm</w:t>
      </w:r>
      <w:r>
        <w:t xml:space="preserve"> </w:t>
      </w:r>
      <w:r>
        <w:t>−2</w:t>
      </w:r>
      <w:r>
        <w:t xml:space="preserve"> </w:t>
      </w:r>
      <w:r>
        <w:t>and maintaining stable operation for over 20 h in acidic media. Furthermore, applying this strategy to two more pairs of Cu‐based perovskite oxides yields comparably successful results.</w:t>
      </w:r>
    </w:p>
    <w:p>
      <w:pPr>
        <w:spacing w:before="120" w:after="120"/>
      </w:pPr>
      <w:r>
        <w:rPr>
          <w:sz w:val="18"/>
        </w:rPr>
        <w:t>——————————————————————————————————————————————————————————————————————</w:t>
      </w:r>
    </w:p>
    <w:p>
      <w:pPr>
        <w:spacing w:before="160" w:after="40" w:line="240" w:lineRule="auto"/>
      </w:pPr>
      <w:r>
        <w:rPr>
          <w:b/>
        </w:rPr>
        <w:t xml:space="preserve">[6] </w:t>
      </w:r>
      <w:hyperlink r:id="rId168">
        <w:r>
          <w:rPr>
            <w:color w:val="1155CC"/>
            <w:u w:val="single"/>
          </w:rPr>
          <w:t>3DOM钙钛矿实现界面微环境调控，加速完全重构为富晶界纳米铜以实现高电流C2+电合成</w:t>
        </w:r>
      </w:hyperlink>
    </w:p>
    <w:p>
      <w:pPr>
        <w:spacing w:before="0" w:after="80"/>
      </w:pPr>
      <w:r>
        <w:rPr>
          <w:i/>
          <w:sz w:val="20"/>
        </w:rPr>
        <w:t>EN: 3DOM Perovskite Enabled Interfacial Microenvironment Regulation With Accelerated Complete Reconstruction to Grain‐Boundary‐Rich Nano‐Copper for High‐Current C2+ Electrosynthesis</w:t>
      </w:r>
    </w:p>
    <w:p>
      <w:pPr>
        <w:spacing w:before="0" w:after="120"/>
      </w:pPr>
      <w:r>
        <w:rPr>
          <w:b/>
        </w:rPr>
        <w:t xml:space="preserve">Source: </w:t>
      </w:r>
      <w:r>
        <w:t>Wiley: Advanced Materials: Table of Contents</w:t>
      </w:r>
      <w:r>
        <w:t xml:space="preserve">    </w:t>
      </w:r>
      <w:r>
        <w:rPr>
          <w:b/>
        </w:rPr>
        <w:t xml:space="preserve">Pub date: </w:t>
      </w:r>
      <w:r>
        <w:t>2026-04-14 07:39:15+00:00</w:t>
      </w:r>
      <w:r>
        <w:t xml:space="preserve">    </w:t>
      </w:r>
      <w:r>
        <w:rPr>
          <w:b/>
        </w:rPr>
        <w:t xml:space="preserve">DOI: </w:t>
      </w:r>
      <w:hyperlink r:id="rId169">
        <w:r>
          <w:rPr>
            <w:color w:val="1155CC"/>
            <w:u w:val="single"/>
          </w:rPr>
          <w:t>10.1002/adma.73086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2还原反应（CO2RR）提供了一条将碳排放转化为增值化学品的引人注目的途径，但在工业条件下实现高活性、选择性和耐久性仍然具有挑战性。尽管氧化铜可以独特地促进C2+电合成，其性能受动态氧化物重构的影响，而这又受到界面微环境的强烈控制。在此，我们通过构建层状钙钛矿La2CuO的3D有序大孔（3DOM）结构来报告直接的界面微环境调节。</w:t>
      </w:r>
    </w:p>
    <w:p>
      <w:pPr>
        <w:spacing w:before="0" w:after="200" w:lineRule="auto" w:line="276"/>
      </w:pPr>
      <w:r>
        <w:rPr>
          <w:b/>
        </w:rPr>
        <w:t xml:space="preserve">Abstract (EN): </w:t>
      </w:r>
      <w:r>
        <w:t>Electrochemical CO</w:t>
      </w:r>
      <w:r>
        <w:rPr>
          <w:vertAlign w:val="subscript"/>
        </w:rPr>
        <w:t>2</w:t>
      </w:r>
      <w:r>
        <w:t>reduction reaction (CO</w:t>
      </w:r>
      <w:r>
        <w:rPr>
          <w:vertAlign w:val="subscript"/>
        </w:rPr>
        <w:t>2</w:t>
      </w:r>
      <w:r>
        <w:t>RR) offers a compelling pathway to convert carbon emissions into value‐added chemicals, yet achieving high activity, selectivity, and durability under industrial conditions remains challenging. Though copper oxides could uniquely promote C</w:t>
      </w:r>
      <w:r>
        <w:t xml:space="preserve"> </w:t>
      </w:r>
      <w:r>
        <w:t>2+</w:t>
      </w:r>
      <w:r>
        <w:t xml:space="preserve"> </w:t>
      </w:r>
      <w:r>
        <w:t>electrosynthesis, their performance is dictated by dynamic oxide reconstruction, which is strongly governed by the interfacial microenvironment. Here, we report direct interfacial microenvironment regulation by constructing a 3D ordered macroporous (3DOM) architecture from layered perovskite La</w:t>
      </w:r>
      <w:r>
        <w:rPr>
          <w:vertAlign w:val="subscript"/>
        </w:rPr>
        <w:t>2</w:t>
      </w:r>
      <w:r>
        <w:t>CuO</w:t>
      </w:r>
      <w:r>
        <w:rPr>
          <w:vertAlign w:val="subscript"/>
        </w:rPr>
        <w:t>4</w:t>
      </w:r>
      <w:r>
        <w:t>. The 3DOM architecture simultaneously strengthens the surface electric field, elevates local pH, and accelerates mass transport at the interface, driving accelerated and complete reconstruction of La</w:t>
      </w:r>
      <w:r>
        <w:rPr>
          <w:vertAlign w:val="subscript"/>
        </w:rPr>
        <w:t>2</w:t>
      </w:r>
      <w:r>
        <w:t>CuO</w:t>
      </w:r>
      <w:r>
        <w:rPr>
          <w:vertAlign w:val="subscript"/>
        </w:rPr>
        <w:t>4</w:t>
      </w:r>
      <w:r>
        <w:t>into dendritic grain‐boundary‐rich nano‐copper. Consequently, 3DOM‐La</w:t>
      </w:r>
      <w:r>
        <w:rPr>
          <w:vertAlign w:val="subscript"/>
        </w:rPr>
        <w:t>2</w:t>
      </w:r>
      <w:r>
        <w:t>CuO</w:t>
      </w:r>
      <w:r>
        <w:rPr>
          <w:vertAlign w:val="subscript"/>
        </w:rPr>
        <w:t>4</w:t>
      </w:r>
      <w:r>
        <w:t>delivers a high C</w:t>
      </w:r>
      <w:r>
        <w:t xml:space="preserve"> </w:t>
      </w:r>
      <w:r>
        <w:t>2+</w:t>
      </w:r>
      <w:r>
        <w:t xml:space="preserve"> </w:t>
      </w:r>
      <w:r>
        <w:t>partial current density of 585 mA cm</w:t>
      </w:r>
      <w:r>
        <w:t xml:space="preserve"> </w:t>
      </w:r>
      <w:r>
        <w:t>−2</w:t>
      </w:r>
      <w:r>
        <w:t xml:space="preserve"> </w:t>
      </w:r>
      <w:r>
        <w:t>in a flow cell, outperforming bulk counterpart and most reported Cu‐oxide‐based catalysts. In a membrane‐electrode assembly, stable operation is sustained for ∼ 200 h at 600 mA cm</w:t>
      </w:r>
      <w:r>
        <w:t xml:space="preserve"> </w:t>
      </w:r>
      <w:r>
        <w:t>−2</w:t>
      </w:r>
      <w:r>
        <w:t xml:space="preserve"> </w:t>
      </w:r>
      <w:r>
        <w:t>with high C</w:t>
      </w:r>
      <w:r>
        <w:t xml:space="preserve"> </w:t>
      </w:r>
      <w:r>
        <w:t>2+</w:t>
      </w:r>
      <w:r>
        <w:t xml:space="preserve"> </w:t>
      </w:r>
      <w:r>
        <w:t>selectivity. Combined experimental and theoretical analysis identify undercoordinated, compressively strained Cu atoms at grain boundaries as the intrinsic active sites for C</w:t>
      </w:r>
      <w:r>
        <w:t xml:space="preserve"> </w:t>
      </w:r>
      <w:r>
        <w:t>2+</w:t>
      </w:r>
      <w:r>
        <w:t xml:space="preserve"> </w:t>
      </w:r>
      <w:r>
        <w:t>formation, by facilitating</w:t>
      </w:r>
      <w:r>
        <w:t xml:space="preserve"> </w:t>
      </w:r>
      <w:r>
        <w:t>*</w:t>
      </w:r>
      <w:r>
        <w:t xml:space="preserve"> </w:t>
      </w:r>
      <w:r>
        <w:t>COH formation, stabilizing</w:t>
      </w:r>
      <w:r>
        <w:t xml:space="preserve"> </w:t>
      </w:r>
      <w:r>
        <w:t>*</w:t>
      </w:r>
      <w:r>
        <w:t xml:space="preserve"> </w:t>
      </w:r>
      <w:r>
        <w:t>OCCOH intermediate, and suppressing the competing hydrogen production. This work establishes electrode‐architecture‐driven microenvironment engineering as a general strategy for directing oxide reconstruction and designing high‐performance CO</w:t>
      </w:r>
      <w:r>
        <w:rPr>
          <w:vertAlign w:val="subscript"/>
        </w:rPr>
        <w:t>2</w:t>
      </w:r>
      <w:r>
        <w:t>RR catalysts.</w:t>
      </w:r>
    </w:p>
    <w:p>
      <w:pPr>
        <w:spacing w:before="120" w:after="120"/>
      </w:pPr>
      <w:r>
        <w:rPr>
          <w:sz w:val="18"/>
        </w:rPr>
        <w:t>——————————————————————————————————————————————————————————————————————</w:t>
      </w:r>
    </w:p>
    <w:p>
      <w:pPr>
        <w:spacing w:before="160" w:after="40" w:line="240" w:lineRule="auto"/>
      </w:pPr>
      <w:r>
        <w:rPr>
          <w:b/>
        </w:rPr>
        <w:t xml:space="preserve">[7] </w:t>
      </w:r>
      <w:hyperlink r:id="rId170">
        <w:r>
          <w:rPr>
            <w:color w:val="1155CC"/>
            <w:u w:val="single"/>
          </w:rPr>
          <w:t>CuCo二原子位点上电催化CO2和硝酸盐偶联合成乙酰胺的级联C─C/C─N键合</w:t>
        </w:r>
      </w:hyperlink>
    </w:p>
    <w:p>
      <w:pPr>
        <w:spacing w:before="0" w:after="80"/>
      </w:pPr>
      <w:r>
        <w:rPr>
          <w:i/>
          <w:sz w:val="20"/>
        </w:rPr>
        <w:t>EN: Cascade C─C/C─N Bonding for Acetamide Synthesis from Electrocatalytic CO2 and Nitrate Coupling on CuCo Diatomic Sites</w:t>
      </w:r>
    </w:p>
    <w:p>
      <w:pPr>
        <w:spacing w:before="0" w:after="120"/>
      </w:pPr>
      <w:r>
        <w:rPr>
          <w:b/>
        </w:rPr>
        <w:t xml:space="preserve">Source: </w:t>
      </w:r>
      <w:r>
        <w:t>Wiley: Advanced Materials: Table of Contents</w:t>
      </w:r>
      <w:r>
        <w:t xml:space="preserve">    </w:t>
      </w:r>
      <w:r>
        <w:rPr>
          <w:b/>
        </w:rPr>
        <w:t xml:space="preserve">Pub date: </w:t>
      </w:r>
      <w:r>
        <w:t>2026-04-14 07:40:07+00:00</w:t>
      </w:r>
      <w:r>
        <w:t xml:space="preserve">    </w:t>
      </w:r>
      <w:r>
        <w:rPr>
          <w:b/>
        </w:rPr>
        <w:t xml:space="preserve">DOI: </w:t>
      </w:r>
      <w:hyperlink r:id="rId171">
        <w:r>
          <w:rPr>
            <w:color w:val="1155CC"/>
            <w:u w:val="single"/>
          </w:rPr>
          <w:t>10.1002/adma.73077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O2与硝酸盐偶联合成乙酰胺为温室气体和环境污染物的共同增值提供了一种有前景的方法。为了通过C─C─N键合生成乙酰胺，构建了N配位的铜-钴双原子催化位点，以实现CO2还原为酮中间体和NO3−还原为氨，从而促进*NH2对*CH2CO的亲核攻击以形成乙酰胺。基于CO2在流动中的增强质量传递</w:t>
      </w:r>
    </w:p>
    <w:p>
      <w:pPr>
        <w:spacing w:before="0" w:after="200" w:lineRule="auto" w:line="276"/>
      </w:pPr>
      <w:r>
        <w:rPr>
          <w:b/>
        </w:rPr>
        <w:t xml:space="preserve">Abstract (EN): </w:t>
      </w:r>
      <w:r>
        <w:t>Electrocatalytic CO</w:t>
      </w:r>
      <w:r>
        <w:rPr>
          <w:vertAlign w:val="subscript"/>
        </w:rPr>
        <w:t>2</w:t>
      </w:r>
      <w:r>
        <w:t>coupling with nitrate to synthesize acetamide provides a promising way for the co‐valorization of greenhouse gas and environmental pollutants. Aiming at generating acetamide via C─C─N bonding, a N‐coordinated copper‐cobalt diatomic catalytic sites is constructed to achieve CO</w:t>
      </w:r>
      <w:r>
        <w:rPr>
          <w:vertAlign w:val="subscript"/>
        </w:rPr>
        <w:t>2</w:t>
      </w:r>
      <w:r>
        <w:t>reduction to ketene intermediate and NO</w:t>
      </w:r>
      <w:r>
        <w:rPr>
          <w:vertAlign w:val="subscript"/>
        </w:rPr>
        <w:t>3</w:t>
      </w:r>
      <w:r>
        <w:t>−</w:t>
      </w:r>
      <w:r>
        <w:t>to ammonia, thereby facilitating the nucleophilic attack of *NH</w:t>
      </w:r>
      <w:r>
        <w:rPr>
          <w:vertAlign w:val="subscript"/>
        </w:rPr>
        <w:t>2</w:t>
      </w:r>
      <w:r>
        <w:t>on *CH</w:t>
      </w:r>
      <w:r>
        <w:rPr>
          <w:vertAlign w:val="subscript"/>
        </w:rPr>
        <w:t>2</w:t>
      </w:r>
      <w:r>
        <w:t>CO to form acetamide. Based on the enhanced mass transfer of CO</w:t>
      </w:r>
      <w:r>
        <w:rPr>
          <w:vertAlign w:val="subscript"/>
        </w:rPr>
        <w:t>2</w:t>
      </w:r>
      <w:r>
        <w:t>in flow cell, an acetamide yield of 67.7 mg L</w:t>
      </w:r>
      <w:r>
        <w:t xml:space="preserve"> </w:t>
      </w:r>
      <w:r>
        <w:t>−1</w:t>
      </w:r>
      <w:r>
        <w:t xml:space="preserve"> </w:t>
      </w:r>
      <w:r>
        <w:t>and a FE of 15.1% are achieved over CuCo diatomic sites. In situ FT‐IR, Raman spectroscopy, in situ XAFS combined with DFT suggest that CuCo diatomic pairs induce CO</w:t>
      </w:r>
      <w:r>
        <w:rPr>
          <w:vertAlign w:val="subscript"/>
        </w:rPr>
        <w:t>2</w:t>
      </w:r>
      <w:r>
        <w:t>and NO</w:t>
      </w:r>
      <w:r>
        <w:rPr>
          <w:vertAlign w:val="subscript"/>
        </w:rPr>
        <w:t>3</w:t>
      </w:r>
      <w:r>
        <w:t>−</w:t>
      </w:r>
      <w:r>
        <w:t>to stabilize on the catalytic surface via a favorable bridge adsorption configuration. And the electronic structure optimization promoted by interatomic electron interactions reduces the energy barriers for C─C and C─N bonding. This work achieves C─C─N bonding with ordered C─C and C─N coupling via diatomic sites, providing a novel strategy for the sustainable synthesis of acetamide.</w:t>
      </w:r>
    </w:p>
    <w:p>
      <w:pPr>
        <w:spacing w:before="120" w:after="120"/>
      </w:pPr>
      <w:r>
        <w:rPr>
          <w:sz w:val="18"/>
        </w:rPr>
        <w:t>——————————————————————————————————————————————————————————————————————</w:t>
      </w:r>
    </w:p>
    <w:p>
      <w:pPr>
        <w:spacing w:before="160" w:after="40" w:line="240" w:lineRule="auto"/>
      </w:pPr>
      <w:r>
        <w:rPr>
          <w:b/>
        </w:rPr>
        <w:t xml:space="preserve">[8] </w:t>
      </w:r>
      <w:hyperlink r:id="rId172">
        <w:r>
          <w:rPr>
            <w:color w:val="1155CC"/>
            <w:u w:val="single"/>
          </w:rPr>
          <w:t>MOFs中双金属协同催化将CO2转化为碳酸盐，创下转换次数记录</w:t>
        </w:r>
      </w:hyperlink>
    </w:p>
    <w:p>
      <w:pPr>
        <w:spacing w:before="0" w:after="80"/>
      </w:pPr>
      <w:r>
        <w:rPr>
          <w:i/>
          <w:sz w:val="20"/>
        </w:rPr>
        <w:t>EN: Bimetallic synergistic catalysis in MOFs toward transforming CO2 into carbonates with a record turnover number</w:t>
      </w:r>
    </w:p>
    <w:p>
      <w:pPr>
        <w:spacing w:before="0" w:after="120"/>
      </w:pPr>
      <w:r>
        <w:rPr>
          <w:b/>
        </w:rPr>
        <w:t xml:space="preserve">Source: </w:t>
      </w:r>
      <w:r>
        <w:t>Chem</w:t>
      </w:r>
      <w:r>
        <w:t xml:space="preserve">    </w:t>
      </w:r>
      <w:r>
        <w:rPr>
          <w:b/>
        </w:rPr>
        <w:t xml:space="preserve">Pub date: </w:t>
      </w:r>
      <w:r>
        <w:t>2026-04-15 00:00:00+00:00</w:t>
      </w:r>
      <w:r>
        <w:t xml:space="preserve">    </w:t>
      </w:r>
      <w:r>
        <w:rPr>
          <w:b/>
        </w:rPr>
        <w:t xml:space="preserve">DOI: </w:t>
      </w:r>
      <w:hyperlink r:id="rId173">
        <w:r>
          <w:rPr>
            <w:color w:val="1155CC"/>
            <w:u w:val="single"/>
          </w:rPr>
          <w:t>10.1016/j.chempr.2026.103025</w:t>
        </w:r>
      </w:hyperlink>
    </w:p>
    <w:p>
      <w:pPr>
        <w:spacing w:before="0" w:after="120"/>
      </w:pPr>
      <w:r>
        <w:rPr>
          <w:b/>
        </w:rPr>
        <w:t xml:space="preserve">Notes: </w:t>
      </w:r>
      <w:r>
        <w:t>abstract_source=rss_cell</w:t>
      </w:r>
    </w:p>
    <w:p>
      <w:pPr>
        <w:spacing w:before="0" w:after="80" w:lineRule="auto" w:line="276"/>
      </w:pPr>
      <w:r>
        <w:rPr>
          <w:b/>
        </w:rPr>
        <w:t xml:space="preserve">摘要（ZH）: </w:t>
      </w:r>
      <w:r>
        <w:t>由独特的[Cu12In18]纳米笼构建的多孔异金属框架CuIn-CPT在其[Cu4]和[In3]簇之间实现协同催化，在温和条件下高效将CO2转化为增值碳酸酯。实现了创纪录的周转数4,844，是先前报道催化剂的十倍。</w:t>
      </w:r>
    </w:p>
    <w:p>
      <w:pPr>
        <w:spacing w:before="0" w:after="200" w:lineRule="auto" w:line="276"/>
      </w:pPr>
      <w:r>
        <w:rPr>
          <w:b/>
        </w:rPr>
        <w:t xml:space="preserve">Abstract (EN): </w:t>
      </w:r>
      <w:r>
        <w:t>Constructed from unique [Cu12In18] nanocages, the porous heterometallic framework CuIn-CPT enables synergistic catalysis between its [Cu4] and [In3] clusters for efficient conversion of CO2 to value-added carbonates under mild conditions. A record turnover number of 4,844 is achieved, which is ten times greater than that of previously reported catalysts.</w:t>
      </w:r>
    </w:p>
    <w:p>
      <w:pPr>
        <w:spacing w:before="120" w:after="120"/>
      </w:pPr>
      <w:r>
        <w:rPr>
          <w:sz w:val="18"/>
        </w:rPr>
        <w:t>——————————————————————————————————————————————————————————————————————</w:t>
      </w:r>
    </w:p>
    <w:p>
      <w:pPr>
        <w:spacing w:before="160" w:after="40" w:line="240" w:lineRule="auto"/>
      </w:pPr>
      <w:r>
        <w:rPr>
          <w:b/>
        </w:rPr>
        <w:t xml:space="preserve">[9] </w:t>
      </w:r>
      <w:hyperlink r:id="rId174">
        <w:r>
          <w:rPr>
            <w:color w:val="1155CC"/>
            <w:u w:val="single"/>
          </w:rPr>
          <w:t>通过4f芳香簇在室温气相CO2到C3的偶联</w:t>
        </w:r>
      </w:hyperlink>
    </w:p>
    <w:p>
      <w:pPr>
        <w:spacing w:before="0" w:after="80"/>
      </w:pPr>
      <w:r>
        <w:rPr>
          <w:i/>
          <w:sz w:val="20"/>
        </w:rPr>
        <w:t>EN: Room‐Temperature Gas‐Phase CO2‐to‐C3 Coupling by a 4f‐Aromatic Cluster</w:t>
      </w:r>
    </w:p>
    <w:p>
      <w:pPr>
        <w:spacing w:before="0" w:after="120"/>
      </w:pPr>
      <w:r>
        <w:rPr>
          <w:b/>
        </w:rPr>
        <w:t xml:space="preserve">Source: </w:t>
      </w:r>
      <w:r>
        <w:t>Wiley: Angewandte Chemie International Edition: Table of Contents</w:t>
      </w:r>
      <w:r>
        <w:t xml:space="preserve">    </w:t>
      </w:r>
      <w:r>
        <w:rPr>
          <w:b/>
        </w:rPr>
        <w:t xml:space="preserve">Pub date: </w:t>
      </w:r>
      <w:r>
        <w:t>2026-04-15 04:59:51+00:00</w:t>
      </w:r>
      <w:r>
        <w:t xml:space="preserve">    </w:t>
      </w:r>
      <w:r>
        <w:rPr>
          <w:b/>
        </w:rPr>
        <w:t xml:space="preserve">DOI: </w:t>
      </w:r>
      <w:hyperlink r:id="rId175">
        <w:r>
          <w:rPr>
            <w:color w:val="1155CC"/>
            <w:u w:val="single"/>
          </w:rPr>
          <w:t>10.1002/anie.6756333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下将CO2转化为增值的多碳产品（C3或C3+物种）仍然是一个主要挑战，因为选择性差和有限的C−C耦合途径。通过质谱、光电子成像光谱和密度泛函计算，我们识别出4f-金属芳香阴离子PrB2C2−，尽管缺乏C─C键，但表现出σ和π双重芳香性</w:t>
      </w:r>
    </w:p>
    <w:p>
      <w:pPr>
        <w:spacing w:before="0" w:after="200" w:lineRule="auto" w:line="276"/>
      </w:pPr>
      <w:r>
        <w:rPr>
          <w:b/>
        </w:rPr>
        <w:t xml:space="preserve">Abstract (EN): </w:t>
      </w:r>
      <w:r>
        <w:t>Room‐temperature conversion of CO</w:t>
      </w:r>
      <w:r>
        <w:rPr>
          <w:vertAlign w:val="subscript"/>
        </w:rPr>
        <w:t>2</w:t>
      </w:r>
      <w:r>
        <w:t>into value‐added multi‐carbon products (C</w:t>
      </w:r>
      <w:r>
        <w:rPr>
          <w:vertAlign w:val="subscript"/>
        </w:rPr>
        <w:t>3</w:t>
      </w:r>
      <w:r>
        <w:t>or C</w:t>
      </w:r>
      <w:r>
        <w:t xml:space="preserve"> </w:t>
      </w:r>
      <w:r>
        <w:t>3+</w:t>
      </w:r>
      <w:r>
        <w:t xml:space="preserve"> </w:t>
      </w:r>
      <w:r>
        <w:t>species) remains a major challenge due to poor selectivity and limited C−C coupling pathways. Using mass spectrometry, photoelectron imaging spectroscopy, and density functional calculations, we identify the 4</w:t>
      </w:r>
      <w:r>
        <w:t xml:space="preserve"> </w:t>
      </w:r>
      <w:r>
        <w:t>f</w:t>
      </w:r>
      <w:r>
        <w:t xml:space="preserve"> </w:t>
      </w:r>
      <w:r>
        <w:t>‐metalla‐aromatic anion PrB</w:t>
      </w:r>
      <w:r>
        <w:rPr>
          <w:vertAlign w:val="subscript"/>
        </w:rPr>
        <w:t>2</w:t>
      </w:r>
      <w:r>
        <w:t>C</w:t>
      </w:r>
      <w:r>
        <w:rPr>
          <w:vertAlign w:val="subscript"/>
        </w:rPr>
        <w:t>2</w:t>
      </w:r>
      <w:r>
        <w:t>−</w:t>
      </w:r>
      <w:r>
        <w:t>, which—despite lacking a C─C bond—exhibits</w:t>
      </w:r>
      <w:r>
        <w:t xml:space="preserve"> </w:t>
      </w:r>
      <w:r>
        <w:t>σ</w:t>
      </w:r>
      <w:r>
        <w:t xml:space="preserve"> </w:t>
      </w:r>
      <w:r>
        <w:t>and</w:t>
      </w:r>
      <w:r>
        <w:t xml:space="preserve"> </w:t>
      </w:r>
      <w:r>
        <w:t>π</w:t>
      </w:r>
      <w:r>
        <w:t xml:space="preserve"> </w:t>
      </w:r>
      <w:r>
        <w:t>double aromaticity involving a 4</w:t>
      </w:r>
      <w:r>
        <w:t xml:space="preserve"> </w:t>
      </w:r>
      <w:r>
        <w:t>f</w:t>
      </w:r>
      <w:r>
        <w:t xml:space="preserve"> </w:t>
      </w:r>
      <w:r>
        <w:t>atom. We show that PrB</w:t>
      </w:r>
      <w:r>
        <w:rPr>
          <w:vertAlign w:val="subscript"/>
        </w:rPr>
        <w:t>2</w:t>
      </w:r>
      <w:r>
        <w:t>C</w:t>
      </w:r>
      <w:r>
        <w:rPr>
          <w:vertAlign w:val="subscript"/>
        </w:rPr>
        <w:t>2</w:t>
      </w:r>
      <w:r>
        <w:t>−</w:t>
      </w:r>
      <w:r>
        <w:t>reacts with CO</w:t>
      </w:r>
      <w:r>
        <w:rPr>
          <w:vertAlign w:val="subscript"/>
        </w:rPr>
        <w:t>2</w:t>
      </w:r>
      <w:r>
        <w:t>at room temperature to generate C</w:t>
      </w:r>
      <w:r>
        <w:rPr>
          <w:vertAlign w:val="subscript"/>
        </w:rPr>
        <w:t>3</w:t>
      </w:r>
      <w:r>
        <w:t>B</w:t>
      </w:r>
      <w:r>
        <w:rPr>
          <w:vertAlign w:val="subscript"/>
        </w:rPr>
        <w:t>2</w:t>
      </w:r>
      <w:r>
        <w:t>O</w:t>
      </w:r>
      <w:r>
        <w:rPr>
          <w:vertAlign w:val="subscript"/>
        </w:rPr>
        <w:t>2</w:t>
      </w:r>
      <w:r>
        <w:t>−</w:t>
      </w:r>
      <w:r>
        <w:t>with a C─C─C backbone. The C</w:t>
      </w:r>
      <w:r>
        <w:rPr>
          <w:vertAlign w:val="subscript"/>
        </w:rPr>
        <w:t>3</w:t>
      </w:r>
      <w:r>
        <w:t>‐chain formation occurs in three stages involving two distinct C−C coupling steps enabled by flexible Pr−</w:t>
      </w:r>
      <w:r>
        <w:t>X</w:t>
      </w:r>
      <w:r>
        <w:t xml:space="preserve"> </w:t>
      </w:r>
      <w:r>
        <w:t>bonding (</w:t>
      </w:r>
      <w:r>
        <w:t xml:space="preserve"> </w:t>
      </w:r>
      <w:r>
        <w:t>X</w:t>
      </w:r>
      <w:r>
        <w:t xml:space="preserve"> </w:t>
      </w:r>
      <w:r>
        <w:t>= B, C, O) and Pr‐centered electron shuttling. The unique structure of PrB</w:t>
      </w:r>
      <w:r>
        <w:rPr>
          <w:vertAlign w:val="subscript"/>
        </w:rPr>
        <w:t>2</w:t>
      </w:r>
      <w:r>
        <w:t>C</w:t>
      </w:r>
      <w:r>
        <w:rPr>
          <w:vertAlign w:val="subscript"/>
        </w:rPr>
        <w:t>2</w:t>
      </w:r>
      <w:r>
        <w:t>−</w:t>
      </w:r>
      <w:r>
        <w:t>directs CO</w:t>
      </w:r>
      <w:r>
        <w:rPr>
          <w:vertAlign w:val="subscript"/>
        </w:rPr>
        <w:t>2</w:t>
      </w:r>
      <w:r>
        <w:t>activation toward C─C─C coupling rather than CO release. These findings deepen the understanding of</w:t>
      </w:r>
      <w:r>
        <w:t xml:space="preserve"> </w:t>
      </w:r>
      <w:r>
        <w:t>f</w:t>
      </w:r>
      <w:r>
        <w:t xml:space="preserve"> </w:t>
      </w:r>
      <w:r>
        <w:t>‐block‐mediated small‐molecule activation and provide a new and tailored route for producing products with C─C bonds via CO</w:t>
      </w:r>
      <w:r>
        <w:rPr>
          <w:vertAlign w:val="subscript"/>
        </w:rPr>
        <w:t>2</w:t>
      </w:r>
      <w:r>
        <w:t>conversion.</w:t>
      </w:r>
    </w:p>
    <w:p>
      <w:pPr>
        <w:spacing w:before="120" w:after="120"/>
      </w:pPr>
      <w:r>
        <w:rPr>
          <w:sz w:val="18"/>
        </w:rPr>
        <w:t>——————————————————————————————————————————————————————————————————————</w:t>
      </w:r>
    </w:p>
    <w:p>
      <w:pPr>
        <w:spacing w:before="160" w:after="40" w:line="240" w:lineRule="auto"/>
      </w:pPr>
      <w:r>
        <w:rPr>
          <w:b/>
        </w:rPr>
        <w:t xml:space="preserve">[10] </w:t>
      </w:r>
      <w:hyperlink r:id="rId176">
        <w:r>
          <w:rPr>
            <w:color w:val="1155CC"/>
            <w:u w:val="single"/>
          </w:rPr>
          <w:t>用于水相中有效低温CO2甲烷化的Ru纳米线</w:t>
        </w:r>
      </w:hyperlink>
    </w:p>
    <w:p>
      <w:pPr>
        <w:spacing w:before="0" w:after="80"/>
      </w:pPr>
      <w:r>
        <w:rPr>
          <w:i/>
          <w:sz w:val="20"/>
        </w:rPr>
        <w:t>EN: Ru Nanowires for Effective Low‐Temperature CO2 Methanation in the Aqueous Phase</w:t>
      </w:r>
    </w:p>
    <w:p>
      <w:pPr>
        <w:spacing w:before="0" w:after="120"/>
      </w:pPr>
      <w:r>
        <w:rPr>
          <w:b/>
        </w:rPr>
        <w:t xml:space="preserve">Source: </w:t>
      </w:r>
      <w:r>
        <w:t>Wiley: Angewandte Chemie International Edition: Table of Contents</w:t>
      </w:r>
      <w:r>
        <w:t xml:space="preserve">    </w:t>
      </w:r>
      <w:r>
        <w:rPr>
          <w:b/>
        </w:rPr>
        <w:t xml:space="preserve">Pub date: </w:t>
      </w:r>
      <w:r>
        <w:t>2026-04-15 06:29:19+00:00</w:t>
      </w:r>
      <w:r>
        <w:t xml:space="preserve">    </w:t>
      </w:r>
      <w:r>
        <w:rPr>
          <w:b/>
        </w:rPr>
        <w:t xml:space="preserve">DOI: </w:t>
      </w:r>
      <w:hyperlink r:id="rId177">
        <w:r>
          <w:rPr>
            <w:color w:val="1155CC"/>
            <w:u w:val="single"/>
          </w:rPr>
          <w:t>10.1002/anie.9230344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Sabatier反应是碳中性燃料合成的基石，但传统催化系统面临持续挑战：由于高操作温度（超过473 K）导致的热点驱动失活、由竞争性逆水煤气变换（RWGS）反应产生的寄生CO副产物，以及在强放热条件下催化剂耐久性有限。在此，我们提出了一种由富晶界钌纳米线（Ru NWs）实现的水相甲烷化系统，克服了这些限制。三维自由旋转的Ru NWs，由聚乙烯吡咯烷酮稳定，在仅353 K下实现99% CH</w:t>
      </w:r>
      <w:r>
        <w:rPr>
          <w:vertAlign w:val="subscript"/>
        </w:rPr>
        <w:t>4</w:t>
      </w:r>
      <w:r>
        <w:t>选择性，同时完全抑制不需要的RWGS活性。第一性原理模拟</w:t>
      </w:r>
    </w:p>
    <w:p>
      <w:pPr>
        <w:spacing w:before="0" w:after="200" w:lineRule="auto" w:line="276"/>
      </w:pPr>
      <w:r>
        <w:rPr>
          <w:b/>
        </w:rPr>
        <w:t xml:space="preserve">Abstract (EN): </w:t>
      </w:r>
      <w:r>
        <w:t>The Sabatier reaction is a cornerstone for carbon‐neutral fuel synthesis, yet conventional catalytic systems face persistent challenges: hot‐spot‐driven deactivation due to high operating temperatures (over 473 K), parasitic CO byproducts generated from competing reverse water‐gas shift (RWGS) reactions, and limited catalyst durability under intense exothermic conditions. Here, we present an aqueous‐phase methanation system enabled by grain boundary‐rich ruthenium nanowires (Ru NWs) that overcome these limitations. Three‐dimensional free‐rotating Ru NWs, stabilized by polyvinylpyrrolidone, achieve 99% CH</w:t>
      </w:r>
      <w:r>
        <w:rPr>
          <w:vertAlign w:val="subscript"/>
        </w:rPr>
        <w:t>4</w:t>
      </w:r>
      <w:r>
        <w:t>selectivity at just 353 K while fully suppressing undesired RWGS activity. First‐principles simulations reveal that aqueous solvation elevates the energy barriers for *CO desorption and dissociation relative to *HCOO hydrogenation, thereby shifting the reaction pathway decisively toward methanation. This work establishes a new strategy for robust, low‐temperature Sabatier catalysis in water, offering a scalable route for power‐to‐gas applications under mild and sustainable conditions.</w:t>
      </w:r>
    </w:p>
    <w:p>
      <w:pPr>
        <w:spacing w:before="120" w:after="120"/>
      </w:pPr>
      <w:r>
        <w:rPr>
          <w:sz w:val="18"/>
        </w:rPr>
        <w:t>——————————————————————————————————————————————————————————————————————</w:t>
      </w:r>
    </w:p>
    <w:p>
      <w:pPr>
        <w:spacing w:before="160" w:after="40" w:line="240" w:lineRule="auto"/>
      </w:pPr>
      <w:r>
        <w:rPr>
          <w:b/>
        </w:rPr>
        <w:t xml:space="preserve">[11] </w:t>
      </w:r>
      <w:hyperlink r:id="rId178">
        <w:r>
          <w:rPr>
            <w:color w:val="1155CC"/>
            <w:u w:val="single"/>
          </w:rPr>
          <w:t>通过模拟 CO2 捕获过程中胺类物质的命运来保护西北欧的饮用水</w:t>
        </w:r>
      </w:hyperlink>
    </w:p>
    <w:p>
      <w:pPr>
        <w:spacing w:before="0" w:after="80"/>
      </w:pPr>
      <w:r>
        <w:rPr>
          <w:i/>
          <w:sz w:val="20"/>
        </w:rPr>
        <w:t>EN: Safeguarding drinking water in north-western europe by modelling the fate of amines from CO2 capture</w:t>
      </w:r>
    </w:p>
    <w:p>
      <w:pPr>
        <w:spacing w:before="0" w:after="120"/>
      </w:pPr>
      <w:r>
        <w:rPr>
          <w:b/>
        </w:rPr>
        <w:t xml:space="preserve">Source: </w:t>
      </w:r>
      <w:r>
        <w:t>RSC - Energy Environ. Sci. latest articles</w:t>
      </w:r>
      <w:r>
        <w:t xml:space="preserve">    </w:t>
      </w:r>
      <w:r>
        <w:rPr>
          <w:b/>
        </w:rPr>
        <w:t xml:space="preserve">Pub date: </w:t>
      </w:r>
      <w:r>
        <w:t>2026-04-15 23:00:00+00:00</w:t>
      </w:r>
    </w:p>
    <w:p>
      <w:pPr>
        <w:spacing w:before="0" w:after="120"/>
      </w:pPr>
      <w:r>
        <w:rPr>
          <w:b/>
        </w:rPr>
        <w:t xml:space="preserve">Notes: </w:t>
      </w:r>
      <w:r>
        <w:t>abstract_source=rsc_html</w:t>
      </w:r>
    </w:p>
    <w:p>
      <w:pPr>
        <w:spacing w:before="0" w:after="80" w:lineRule="auto" w:line="276"/>
      </w:pPr>
      <w:r>
        <w:rPr>
          <w:b/>
        </w:rPr>
        <w:t xml:space="preserve">摘要（ZH）: </w:t>
      </w:r>
      <w:r>
        <w:t>欧盟（EU）2050年净零排放目标需要大规模部署碳捕集与封存（CCS）。基于胺的CO2捕集（CC）是最成熟的CC技术，但可能导致亚硝胺（NSAs）和硝胺（NAs）在周围环境中扩散。这些是可在水资源中持久存在的致癌化合物。因此，欧盟实现碳中和的雄心可能带来饮用水污染以及生态系统和农作物污染的风险。我们编制了一个关于法丹走廊中计划的CCS项目的数据集，这是欧洲未来的CCS枢纽，到2030年大部分容量将位于此地，其中至少40%基于胺技术。空间分析表明，多达1020万居民、大型Natura 2000保护区和广泛的</w:t>
      </w:r>
    </w:p>
    <w:p>
      <w:pPr>
        <w:spacing w:before="0" w:after="200" w:lineRule="auto" w:line="276"/>
      </w:pPr>
      <w:r>
        <w:rPr>
          <w:b/>
        </w:rPr>
        <w:t xml:space="preserve">Abstract (EN): </w:t>
      </w:r>
      <w:r>
        <w:t>The European Union (EU) net-zero emission target for 2050 requires large-scale deployment of carbon capture and storage (CCS). Amine-based CO2 capture (CC) is the most mature CC technology but may lead to the spread of nitrosamines (NSAs) and nitramines (NAs) in the nearby surroundings. These are carcinogenic compounds that can persist in water resources. Hence, EU's ambition towards carbon neutrality might pose risk of drinking water contamination as well as ecosystem and agricultural crops pollution. We compiled a dataset of planned CCS projects in the Franco-Danish corridor, Europe's future CCS hub, where most capacity will be located by 2030, with at least 40% based on amine technology. Spatial analysis indicates that up to 10.2 million inhabitants, large Natura 2000 reserves, and extensive crop areas may be impacted by NA and NSA deposition, often in regions already under severe water stress. Biogeochemical modelling shows that surface waters with short residence times are highly sensitive to deposition rates, whereas groundwater concentrations depend strongly on the interplay between NA and NSA half-lives and travel times, creating greater uncertainty in aquifers, especially small systems with limited dilution. In both cases, MEA is the most environmentally friendly when emission abatement measures are limited to water wash, compared to piperazine and other emerging solvents. Main findings highlight the need for regional-scale modelling and harmonized regulation to safeguard drinking water, ecosystems, and food security as CCS deployment expands.</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179">
        <w:r>
          <w:rPr>
            <w:color w:val="1155CC"/>
            <w:u w:val="single"/>
          </w:rPr>
          <w:t>深海采矿在有基线数据之前不应进行</w:t>
        </w:r>
      </w:hyperlink>
    </w:p>
    <w:p>
      <w:pPr>
        <w:spacing w:before="0" w:after="80"/>
      </w:pPr>
      <w:r>
        <w:rPr>
          <w:i/>
          <w:sz w:val="20"/>
        </w:rPr>
        <w:t>EN: Deep-sea mining mustn’t go ahead until there are baseline data</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180">
        <w:r>
          <w:rPr>
            <w:color w:val="1155CC"/>
            <w:u w:val="single"/>
          </w:rPr>
          <w:t>10.1038/d41586-026-01215-2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81">
        <w:r>
          <w:rPr>
            <w:color w:val="1155CC"/>
            <w:u w:val="single"/>
          </w:rPr>
          <w:t>使用MALDI捕获离子迁移质谱成像在全身小鼠中检测微球聚苯乙烯塑料和分子重塑</w:t>
        </w:r>
      </w:hyperlink>
    </w:p>
    <w:p>
      <w:pPr>
        <w:spacing w:before="0" w:after="80"/>
      </w:pPr>
      <w:r>
        <w:rPr>
          <w:i/>
          <w:sz w:val="20"/>
        </w:rPr>
        <w:t>EN: Spatial Detection of Microsphere Polystyrene Plastics and Molecular Remodeling within a Full‐Body Mouse with MALDI Trapped Ion Mobility Mass Spectrometry Imaging</w:t>
      </w:r>
    </w:p>
    <w:p>
      <w:pPr>
        <w:spacing w:before="0" w:after="120"/>
      </w:pPr>
      <w:r>
        <w:rPr>
          <w:b/>
        </w:rPr>
        <w:t xml:space="preserve">Source: </w:t>
      </w:r>
      <w:r>
        <w:t>Wiley: Angewandte Chemie International Edition: Table of Contents</w:t>
      </w:r>
      <w:r>
        <w:t xml:space="preserve">    </w:t>
      </w:r>
      <w:r>
        <w:rPr>
          <w:b/>
        </w:rPr>
        <w:t xml:space="preserve">Pub date: </w:t>
      </w:r>
      <w:r>
        <w:t>2026-04-13 12:40:26+00:00</w:t>
      </w:r>
      <w:r>
        <w:t xml:space="preserve">    </w:t>
      </w:r>
      <w:r>
        <w:rPr>
          <w:b/>
        </w:rPr>
        <w:t xml:space="preserve">DOI: </w:t>
      </w:r>
      <w:hyperlink r:id="rId182">
        <w:r>
          <w:rPr>
            <w:color w:val="1155CC"/>
            <w:u w:val="single"/>
          </w:rPr>
          <w:t>10.1002/anie.6528604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聚苯乙烯（PS）是一种广泛使用的合成聚合物，会分解成微米和纳米级颗粒进入体内并在组织中积累。传统方法提供整体化学信息，但缺乏空间和代谢背景。在此，我们使用基质辅助激光解吸电离质谱成像（MALDI MSI）结合离子迁移谱（TIMS）定位小鼠全身切片和单个器官中的PS，允许区分PS链长及相关代谢变化。口服PS暴露导致明显的器官特异性脂质重塑。在胃中，磷脂酰胆碱（PC(30:2)）、磷脂酸（PA(36:1)）和鞘磷脂（SM(34:1; O</w:t>
      </w:r>
      <w:r>
        <w:rPr>
          <w:vertAlign w:val="subscript"/>
        </w:rPr>
        <w:t>2</w:t>
      </w:r>
    </w:p>
    <w:p>
      <w:pPr>
        <w:spacing w:before="0" w:after="200" w:lineRule="auto" w:line="276"/>
      </w:pPr>
      <w:r>
        <w:rPr>
          <w:b/>
        </w:rPr>
        <w:t xml:space="preserve">Abstract (EN): </w:t>
      </w:r>
      <w:r>
        <w:t>Polystyrene (PS), a widely used synthetic polymer, breaks into micro‐ and nanoscale particles that can enter the body and accumulate in tissues. Conventional methods provide bulk chemical information, but lack spatial and metabolic context. Here, we use matrix‐assisted laser desorption/ionization mass spectrometry imaging (MALDI MSI) with trapped ion mobility spectrometry (TIMS) to localize PS across whole‐body murine sections and individual organs, allowing differentiation of PS chain lengths and associated metabolic shifts. Oral PS exposure produced clear organ‐specific lipid remodeling. In the stomach, increases in phosphatidylcholine (PC(30:2)), phosphatidic acid (PA(36:1)), and sphingomyelin (SM(34:1; O</w:t>
      </w:r>
      <w:r>
        <w:rPr>
          <w:vertAlign w:val="subscript"/>
        </w:rPr>
        <w:t>2</w:t>
      </w:r>
      <w:r>
        <w:t>)) suggest epithelial stress and barrier disruption. In the liver, PC(32:1) decreased, and higher PC(30:2) and PA(36:2) indicate impaired lipid export alongside compensatory adjustments to maintain membrane stability, with potential effects on systemic lipid balance. In the heart, reductions in SM(32:1; O</w:t>
      </w:r>
      <w:r>
        <w:rPr>
          <w:vertAlign w:val="subscript"/>
        </w:rPr>
        <w:t>2</w:t>
      </w:r>
      <w:r>
        <w:t>), ether‐linked phosphatidic acid (PA(O‐34:1)), and hexosylceramide (HexCer(30:1; O</w:t>
      </w:r>
      <w:r>
        <w:rPr>
          <w:vertAlign w:val="subscript"/>
        </w:rPr>
        <w:t>2</w:t>
      </w:r>
      <w:r>
        <w:t>)) reflect disrupted sphingolipid and ether‐linked lipid species metabolism and altered lipid transport. Together, these findings reveal dynamic, tissue‐specific lipid responses to PS exposure. This study shows that MALDI TIMS MSI provides high‐resolution, label‐free mapping of PS and its metabolic footprint and can be extended to other low‐abundance synthetic compounds.</w:t>
      </w:r>
    </w:p>
    <w:p>
      <w:pPr>
        <w:spacing w:before="120" w:after="120"/>
      </w:pPr>
      <w:r>
        <w:rPr>
          <w:sz w:val="18"/>
        </w:rPr>
        <w:t>——————————————————————————————————————————————————————————————————————</w:t>
      </w:r>
    </w:p>
    <w:p>
      <w:pPr>
        <w:spacing w:before="160" w:after="40" w:line="240" w:lineRule="auto"/>
      </w:pPr>
      <w:r>
        <w:rPr>
          <w:b/>
        </w:rPr>
        <w:t xml:space="preserve">[2] </w:t>
      </w:r>
      <w:hyperlink r:id="rId183">
        <w:r>
          <w:rPr>
            <w:color w:val="1155CC"/>
            <w:u w:val="single"/>
          </w:rPr>
          <w:t>预测上限</w:t>
        </w:r>
      </w:hyperlink>
    </w:p>
    <w:p>
      <w:pPr>
        <w:spacing w:before="0" w:after="80"/>
      </w:pPr>
      <w:r>
        <w:rPr>
          <w:i/>
          <w:sz w:val="20"/>
        </w:rPr>
        <w:t>EN: Predict the ceiling</w:t>
      </w:r>
    </w:p>
    <w:p>
      <w:pPr>
        <w:spacing w:before="0" w:after="120"/>
      </w:pPr>
      <w:r>
        <w:rPr>
          <w:b/>
        </w:rPr>
        <w:t xml:space="preserve">Source: </w:t>
      </w:r>
      <w:r>
        <w:t>Chem</w:t>
      </w:r>
      <w:r>
        <w:t xml:space="preserve">    </w:t>
      </w:r>
      <w:r>
        <w:rPr>
          <w:b/>
        </w:rPr>
        <w:t xml:space="preserve">Pub date: </w:t>
      </w:r>
      <w:r>
        <w:t>2026-04-14 00:00:00+00:00</w:t>
      </w:r>
      <w:r>
        <w:t xml:space="preserve">    </w:t>
      </w:r>
      <w:r>
        <w:rPr>
          <w:b/>
        </w:rPr>
        <w:t xml:space="preserve">DOI: </w:t>
      </w:r>
      <w:hyperlink r:id="rId184">
        <w:r>
          <w:rPr>
            <w:color w:val="1155CC"/>
            <w:u w:val="single"/>
          </w:rPr>
          <w:t>10.1016/j.chempr.2026.102970</w:t>
        </w:r>
      </w:hyperlink>
    </w:p>
    <w:p>
      <w:pPr>
        <w:spacing w:before="0" w:after="120"/>
      </w:pPr>
      <w:r>
        <w:rPr>
          <w:b/>
        </w:rPr>
        <w:t xml:space="preserve">Notes: </w:t>
      </w:r>
      <w:r>
        <w:t>abstract_source=rss_cell</w:t>
      </w:r>
    </w:p>
    <w:p>
      <w:pPr>
        <w:spacing w:before="0" w:after="80" w:lineRule="auto" w:line="276"/>
      </w:pPr>
      <w:r>
        <w:rPr>
          <w:b/>
        </w:rPr>
        <w:t xml:space="preserve">摘要（ZH）: </w:t>
      </w:r>
      <w:r>
        <w:t>天花板温度代表了设计可回收聚合物的关键参数，这些聚合物支持循环经济并减轻塑料污染。在《Cell Reports Sustainability》四月刊中，Broadbelt及其同事报告了一种用于预测天花板温度的机器学习框架，为化学家提供了一个强大的虚拟筛选工具，用于设计可回收聚合物。</w:t>
      </w:r>
    </w:p>
    <w:p>
      <w:pPr>
        <w:spacing w:before="0" w:after="200" w:lineRule="auto" w:line="276"/>
      </w:pPr>
      <w:r>
        <w:rPr>
          <w:b/>
        </w:rPr>
        <w:t xml:space="preserve">Abstract (EN): </w:t>
      </w:r>
      <w:r>
        <w:t>Ceiling temperature represents a critical parameter for designing recyclable polymers that support a circular economy and mitigate plastic pollution. In the April issue of Cell Reports Sustainability, Broadbelt and co-workers report a machine-learning framework for predicting ceiling temperatures, providing chemists with a powerful virtual screening tool for the design of recyclable polymers.</w:t>
      </w:r>
    </w:p>
    <w:p>
      <w:pPr>
        <w:spacing w:before="120" w:after="120"/>
      </w:pPr>
      <w:r>
        <w:rPr>
          <w:sz w:val="18"/>
        </w:rPr>
        <w:t>——————————————————————————————————————————————————————————————————————</w:t>
      </w:r>
    </w:p>
    <w:p>
      <w:pPr>
        <w:spacing w:before="160" w:after="40" w:line="240" w:lineRule="auto"/>
      </w:pPr>
      <w:r>
        <w:rPr>
          <w:b/>
        </w:rPr>
        <w:t xml:space="preserve">[3] </w:t>
      </w:r>
      <w:hyperlink r:id="rId185">
        <w:r>
          <w:rPr>
            <w:color w:val="1155CC"/>
            <w:u w:val="single"/>
          </w:rPr>
          <w:t>[ASAP] 使用金属有机框架控制聚苯乙烯的热解</w:t>
        </w:r>
      </w:hyperlink>
    </w:p>
    <w:p>
      <w:pPr>
        <w:spacing w:before="0" w:after="80"/>
      </w:pPr>
      <w:r>
        <w:rPr>
          <w:i/>
          <w:sz w:val="20"/>
        </w:rPr>
        <w:t>EN: [ASAP] Controlled Pyrolysis of Polystyrene Using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2026-04-15 09:23:38+00:00</w:t>
      </w:r>
      <w:r>
        <w:t xml:space="preserve">    </w:t>
      </w:r>
      <w:r>
        <w:rPr>
          <w:b/>
        </w:rPr>
        <w:t xml:space="preserve">DOI: </w:t>
      </w:r>
      <w:hyperlink r:id="rId186">
        <w:r>
          <w:rPr>
            <w:color w:val="1155CC"/>
            <w:u w:val="single"/>
          </w:rPr>
          <w:t>10.1021/jacs.6c01825</w:t>
        </w:r>
      </w:hyperlink>
    </w:p>
    <w:p>
      <w:pPr>
        <w:spacing w:before="0" w:after="120"/>
      </w:pPr>
      <w:r>
        <w:rPr>
          <w:b/>
        </w:rPr>
        <w:t xml:space="preserve">Notes: </w:t>
      </w:r>
      <w:r>
        <w:t>abstract_source=pubmed</w:t>
      </w:r>
    </w:p>
    <w:p>
      <w:pPr>
        <w:spacing w:before="0" w:after="80" w:lineRule="auto" w:line="276"/>
      </w:pPr>
      <w:r>
        <w:rPr>
          <w:b/>
        </w:rPr>
        <w:t xml:space="preserve">摘要（ZH）: </w:t>
      </w:r>
      <w:r>
        <w:t>聚苯乙烯 (PS) 的化学回收是减少塑料废物、减轻环境影响并提供支持可持续未来的经济可行解决方案的关键。PS 降解的持续努力有望将这一过程提升为向循环社会过渡的关键技术。然而，PS 的高度耐用性，仅由碳氢骨架组成，阻碍了化学回收的实施。PS 热解中涉及的多种自由基机制导致产品分布广泛，显著降低了所需单体的回收率。在这里，我们展示了一种实现高效热解聚的方法</w:t>
      </w:r>
    </w:p>
    <w:p>
      <w:pPr>
        <w:spacing w:before="0" w:after="200" w:lineRule="auto" w:line="276"/>
      </w:pPr>
      <w:r>
        <w:rPr>
          <w:b/>
        </w:rPr>
        <w:t xml:space="preserve">Abstract (EN): </w:t>
      </w:r>
      <w:r>
        <w:t>Chemical recycling of polystyrene (PS), one of the most common and abundant plastic materials manufactured around the globe, is vital for reducing plastic waste, mitigating environmental impacts, and providing economically viable solutions that support a sustainable future. The ongoing efforts in PS degradation promise to enhance this process as a key technology in the transition toward a circular society. However, the highly durable nature of PS, which is composed of only hydrocarbon backbones, hampers the implementation of chemical recycling. Multiple radical mechanisms involved in the pyrolysis of PS cause a broad product distribution, which considerably decreases the recovery of the desired monomer. Here, we show a methodology to realize the highly efficient thermal depolymerization of PS mediated by nanoporous metal-organic frameworks (MOFs). Nanoconfinement of PS into a MOF enables a consolidation of complex degradation pathways in the nanochannels, restraining the formation of undesirable heavy oil components made of styrene oligomers and more selectively generating styrene monomers. By leveraging nanoconfinement effects on polymer degradation, this novel protocol demonstrates remarkable depolymerization behaviors with high scalability and practicality, just by treating MOFs and PS together at elevated temperatures, with the potential to become a game-changing technology in the chemical recycling of plastic waste.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87">
        <w:r>
          <w:rPr>
            <w:color w:val="1155CC"/>
            <w:u w:val="single"/>
          </w:rPr>
          <w:t>多物理场建模和液体储备电池瞬态激活过程的最佳微通道设计</w:t>
        </w:r>
      </w:hyperlink>
    </w:p>
    <w:p>
      <w:pPr>
        <w:spacing w:before="0" w:after="80"/>
      </w:pPr>
      <w:r>
        <w:rPr>
          <w:i/>
          <w:sz w:val="20"/>
        </w:rPr>
        <w:t>EN: Multiphysics field modeling and optimal microchannel design for transient activation processes of liquid reserve batteries</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8">
        <w:r>
          <w:rPr>
            <w:color w:val="1155CC"/>
            <w:u w:val="single"/>
          </w:rPr>
          <w:t>东亚-太平洋地区符合可持续发展目标的过渡能源政策排序：阶段依赖效应和阈值动态的证据</w:t>
        </w:r>
      </w:hyperlink>
    </w:p>
    <w:p>
      <w:pPr>
        <w:spacing w:before="0" w:after="80"/>
      </w:pPr>
      <w:r>
        <w:rPr>
          <w:i/>
          <w:sz w:val="20"/>
        </w:rPr>
        <w:t>EN: Energy policy sequencing for SDG-aligned transitions in East Asia–Pacific: Evidence of stage-dependent effects and threshold dynamics</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9">
        <w:r>
          <w:rPr>
            <w:color w:val="1155CC"/>
            <w:u w:val="single"/>
          </w:rPr>
          <w:t>能源贫困动态和地缘战略冲击：金融市场的调节作用</w:t>
        </w:r>
      </w:hyperlink>
    </w:p>
    <w:p>
      <w:pPr>
        <w:spacing w:before="0" w:after="80"/>
      </w:pPr>
      <w:r>
        <w:rPr>
          <w:i/>
          <w:sz w:val="20"/>
        </w:rPr>
        <w:t>EN: Energy poverty dynamics and geostrategic shocks: Moderation of financial markets</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0">
        <w:r>
          <w:rPr>
            <w:color w:val="1155CC"/>
            <w:u w:val="single"/>
          </w:rPr>
          <w:t>气候风险与企业环境责任：能源转型政策的证据</w:t>
        </w:r>
      </w:hyperlink>
    </w:p>
    <w:p>
      <w:pPr>
        <w:spacing w:before="0" w:after="80"/>
      </w:pPr>
      <w:r>
        <w:rPr>
          <w:i/>
          <w:sz w:val="20"/>
        </w:rPr>
        <w:t>EN: Climate risk and firm environmental accountability: Evidence for energy transition policy</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91">
        <w:r>
          <w:rPr>
            <w:color w:val="1155CC"/>
            <w:u w:val="single"/>
          </w:rPr>
          <w:t>快速且公正的太阳能转型的治理挑战</w:t>
        </w:r>
      </w:hyperlink>
    </w:p>
    <w:p>
      <w:pPr>
        <w:spacing w:before="0" w:after="80"/>
      </w:pPr>
      <w:r>
        <w:rPr>
          <w:i/>
          <w:sz w:val="20"/>
        </w:rPr>
        <w:t>EN: Governance challenges for a rapid and just solar energy transition</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2">
        <w:r>
          <w:rPr>
            <w:color w:val="1155CC"/>
            <w:u w:val="single"/>
          </w:rPr>
          <w:t>女性政治赋权与电力负担能力：空间分析</w:t>
        </w:r>
      </w:hyperlink>
    </w:p>
    <w:p>
      <w:pPr>
        <w:spacing w:before="0" w:after="80"/>
      </w:pPr>
      <w:r>
        <w:rPr>
          <w:i/>
          <w:sz w:val="20"/>
        </w:rPr>
        <w:t>EN: Women's political empowerment and electricity affordability: A spatial analysis</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93">
        <w:r>
          <w:rPr>
            <w:color w:val="1155CC"/>
            <w:u w:val="single"/>
          </w:rPr>
          <w:t>ChargeTrek：用于V2G系统中电动汽车充电的游戏化视觉学习框架</w:t>
        </w:r>
      </w:hyperlink>
    </w:p>
    <w:p>
      <w:pPr>
        <w:spacing w:before="0" w:after="80"/>
      </w:pPr>
      <w:r>
        <w:rPr>
          <w:i/>
          <w:sz w:val="20"/>
        </w:rPr>
        <w:t>EN: ChargeTrek: A gamified visual learning framework for EV charging in V2G systems</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94">
        <w:r>
          <w:rPr>
            <w:color w:val="1155CC"/>
            <w:u w:val="single"/>
          </w:rPr>
          <w:t>加利福尼亚、俄勒冈和华盛顿近海能源开发的社区利益协议偏好：基于选择的联合实验的见解</w:t>
        </w:r>
      </w:hyperlink>
    </w:p>
    <w:p>
      <w:pPr>
        <w:spacing w:before="0" w:after="80"/>
      </w:pPr>
      <w:r>
        <w:rPr>
          <w:i/>
          <w:sz w:val="20"/>
        </w:rPr>
        <w:t>EN: Community benefit agreement preferences for energy development offshore California, Oregon, and Washington: Insights from a choice-based conjoint experiment</w:t>
      </w:r>
    </w:p>
    <w:p>
      <w:pPr>
        <w:spacing w:before="0" w:after="120"/>
      </w:pPr>
      <w:r>
        <w:rPr>
          <w:b/>
        </w:rPr>
        <w:t xml:space="preserve">Source: </w:t>
      </w:r>
      <w:r>
        <w:t>ScienceDirect Publication: Energy Policy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5">
        <w:r>
          <w:rPr>
            <w:color w:val="1155CC"/>
            <w:u w:val="single"/>
          </w:rPr>
          <w:t>中国的森林拥有大量以前未量化的老树种群</w:t>
        </w:r>
      </w:hyperlink>
    </w:p>
    <w:p>
      <w:pPr>
        <w:spacing w:before="0" w:after="80"/>
      </w:pPr>
      <w:r>
        <w:rPr>
          <w:i/>
          <w:sz w:val="20"/>
        </w:rPr>
        <w:t>EN: China’s forests host a vast, previously unquantified population of old trees</w:t>
      </w:r>
    </w:p>
    <w:p>
      <w:pPr>
        <w:spacing w:before="0" w:after="120"/>
      </w:pPr>
      <w:r>
        <w:rPr>
          <w:b/>
        </w:rPr>
        <w:t xml:space="preserve">Source: </w:t>
      </w:r>
      <w:r>
        <w:t>National Science Review Advance Access</w:t>
      </w:r>
      <w:r>
        <w:t xml:space="preserve">    </w:t>
      </w:r>
      <w:r>
        <w:rPr>
          <w:b/>
        </w:rPr>
        <w:t xml:space="preserve">Pub date: </w:t>
      </w:r>
      <w:r>
        <w:t>2026-04-11 00:00:00+00:00</w:t>
      </w:r>
      <w:r>
        <w:t xml:space="preserve">    </w:t>
      </w:r>
      <w:r>
        <w:rPr>
          <w:b/>
        </w:rPr>
        <w:t xml:space="preserve">DOI: </w:t>
      </w:r>
      <w:hyperlink r:id="rId196">
        <w:r>
          <w:rPr>
            <w:color w:val="1155CC"/>
            <w:u w:val="single"/>
          </w:rPr>
          <w:t>10.1093/nsr/nwag197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97">
        <w:r>
          <w:rPr>
            <w:color w:val="1155CC"/>
            <w:u w:val="single"/>
          </w:rPr>
          <w:t>通过少样本提示调优提升病理学基础模型以进行罕见癌症亚型分类</w:t>
        </w:r>
      </w:hyperlink>
    </w:p>
    <w:p>
      <w:pPr>
        <w:spacing w:before="0" w:after="80"/>
      </w:pPr>
      <w:r>
        <w:rPr>
          <w:i/>
          <w:sz w:val="20"/>
        </w:rPr>
        <w:t>EN: Boosting pathology foundation models via few-shot prompt-tuning for rare cancer subtyping</w:t>
      </w:r>
    </w:p>
    <w:p>
      <w:pPr>
        <w:spacing w:before="0" w:after="120"/>
      </w:pPr>
      <w:r>
        <w:rPr>
          <w:b/>
        </w:rPr>
        <w:t xml:space="preserve">Source: </w:t>
      </w:r>
      <w:r>
        <w:t>Nature Communications</w:t>
      </w:r>
      <w:r>
        <w:t xml:space="preserve">    </w:t>
      </w:r>
      <w:r>
        <w:rPr>
          <w:b/>
        </w:rPr>
        <w:t xml:space="preserve">Pub date: </w:t>
      </w:r>
      <w:r>
        <w:t>2026-04-11 00:00:00+00:00</w:t>
      </w:r>
      <w:r>
        <w:t xml:space="preserve">    </w:t>
      </w:r>
      <w:r>
        <w:rPr>
          <w:b/>
        </w:rPr>
        <w:t xml:space="preserve">DOI: </w:t>
      </w:r>
      <w:hyperlink r:id="rId198">
        <w:r>
          <w:rPr>
            <w:color w:val="1155CC"/>
            <w:u w:val="single"/>
          </w:rPr>
          <w:t>10.1038/s41467-026-71715-2</w:t>
        </w:r>
      </w:hyperlink>
    </w:p>
    <w:p>
      <w:pPr>
        <w:spacing w:before="0" w:after="120"/>
      </w:pPr>
      <w:r>
        <w:rPr>
          <w:b/>
        </w:rPr>
        <w:t xml:space="preserve">Notes: </w:t>
      </w:r>
      <w:r>
        <w:t>abstract_source=nature_html</w:t>
      </w:r>
    </w:p>
    <w:p>
      <w:pPr>
        <w:spacing w:before="0" w:after="80" w:lineRule="auto" w:line="276"/>
      </w:pPr>
      <w:r>
        <w:rPr>
          <w:b/>
        </w:rPr>
        <w:t xml:space="preserve">摘要（ZH）: </w:t>
      </w:r>
      <w:r>
        <w:t>罕见癌症占恶性肿瘤的20-25%（在儿科肿瘤学中超过70%），但由于专家有限，面临重大诊断挑战。虽然病理学视觉-语言模型在常见癌症中显示出有前途的零样本能力，但其在罕见癌症中的表现仍然有限。现有的多实例学习（MIL）方法仅依赖于视觉特征，忽视了跨模态知识，影响了罕见癌症诊断中至关重要的可解释性。为了解决这个问题，我们提出了PathPT，一个通过空间感知视觉聚合和任务特定提示调优来利用视觉-语言基础模型的框架。PathPT将WSI级别的监督转换为细粒度的瓦片级指导，保留肿瘤定位并实现跨模态推理。Acr</w:t>
      </w:r>
    </w:p>
    <w:p>
      <w:pPr>
        <w:spacing w:before="0" w:after="200" w:lineRule="auto" w:line="276"/>
      </w:pPr>
      <w:r>
        <w:rPr>
          <w:b/>
        </w:rPr>
        <w:t xml:space="preserve">Abstract (EN): </w:t>
      </w:r>
      <w:r>
        <w:t>Rare cancers comprise 20–25% of malignancies (over 70% in pediatric oncology) but face major diagnostic challenges due to limited expert availability. While pathology vision-language models show promising zero-shot capabilities for common cancers, their performance on rare cancers remains limited. Existing multi-instance learning (MIL) methods rely solely on visual features, overlooking cross-modal knowledge and compromising interpretability critical for rare cancer diagnosis. To address this, we propose PathPT, a framework that exploits vision-language foundation models through spatially-aware visual aggregation and task-specific prompt tuning. PathPT converts WSI-level supervision into fine-grained tile-level guidance, preserving tumor localization and enabling cross-modal reasoning. Across eight rare and three common cancer datasets–spanning 56 subtypes and 3958 WSIs, PathPT consistently outperforms state-of-the-art methods under data-scarce settings. It achieves substantial gains in both subtyping accuracy and cancerous region grounding ability, providing a scalable, interpretable AI solution to improve rare cancer subtyping with limited access to specialized expertise.</w:t>
      </w:r>
    </w:p>
    <w:p>
      <w:pPr>
        <w:spacing w:before="120" w:after="120"/>
      </w:pPr>
      <w:r>
        <w:rPr>
          <w:sz w:val="18"/>
        </w:rPr>
        <w:t>——————————————————————————————————————————————————————————————————————</w:t>
      </w:r>
    </w:p>
    <w:p>
      <w:pPr>
        <w:spacing w:before="160" w:after="40" w:line="240" w:lineRule="auto"/>
      </w:pPr>
      <w:r>
        <w:rPr>
          <w:b/>
        </w:rPr>
        <w:t xml:space="preserve">[11] </w:t>
      </w:r>
      <w:hyperlink r:id="rId199">
        <w:r>
          <w:rPr>
            <w:color w:val="1155CC"/>
            <w:u w:val="single"/>
          </w:rPr>
          <w:t>不同磁体-超导体混合物之间的自旋极化边缘模式</w:t>
        </w:r>
      </w:hyperlink>
    </w:p>
    <w:p>
      <w:pPr>
        <w:spacing w:before="0" w:after="80"/>
      </w:pPr>
      <w:r>
        <w:rPr>
          <w:i/>
          <w:sz w:val="20"/>
        </w:rPr>
        <w:t>EN: Spin-polarized edge modes between different magnet-superconductor-hybrids</w:t>
      </w:r>
    </w:p>
    <w:p>
      <w:pPr>
        <w:spacing w:before="0" w:after="120"/>
      </w:pPr>
      <w:r>
        <w:rPr>
          <w:b/>
        </w:rPr>
        <w:t xml:space="preserve">Source: </w:t>
      </w:r>
      <w:r>
        <w:t>Nature Communications</w:t>
      </w:r>
      <w:r>
        <w:t xml:space="preserve">    </w:t>
      </w:r>
      <w:r>
        <w:rPr>
          <w:b/>
        </w:rPr>
        <w:t xml:space="preserve">Pub date: </w:t>
      </w:r>
      <w:r>
        <w:t>2026-04-11 00:00:00+00:00</w:t>
      </w:r>
      <w:r>
        <w:t xml:space="preserve">    </w:t>
      </w:r>
      <w:r>
        <w:rPr>
          <w:b/>
        </w:rPr>
        <w:t xml:space="preserve">DOI: </w:t>
      </w:r>
      <w:hyperlink r:id="rId200">
        <w:r>
          <w:rPr>
            <w:color w:val="1155CC"/>
            <w:u w:val="single"/>
          </w:rPr>
          <w:t>10.1038/s41467-026-71687-3</w:t>
        </w:r>
      </w:hyperlink>
    </w:p>
    <w:p>
      <w:pPr>
        <w:spacing w:before="0" w:after="120"/>
      </w:pPr>
      <w:r>
        <w:rPr>
          <w:b/>
        </w:rPr>
        <w:t xml:space="preserve">Notes: </w:t>
      </w:r>
      <w:r>
        <w:t>abstract_source=nature_html</w:t>
      </w:r>
    </w:p>
    <w:p>
      <w:pPr>
        <w:spacing w:before="0" w:after="80" w:lineRule="auto" w:line="276"/>
      </w:pPr>
      <w:r>
        <w:rPr>
          <w:b/>
        </w:rPr>
        <w:t xml:space="preserve">摘要（ZH）: </w:t>
      </w:r>
      <w:r>
        <w:t>磁性和超导性的相互作用可以导致有趣的涌现现象。在此，我们结合了两种不同的二维反铁磁磁体-超导体混合物（MSH），并使用自旋极化扫描隧道显微镜研究其性质。两种MSH都显示出拓扑节点点超导相的特征，并具有到平凡基底超导体的边缘模式。在两个MSH的边界处，我们发现了自旋极化的低能模式。基于紧束缚模型，我们可以通过考虑两种不同的拓扑节点点超导体来解释实验观察。在它们的边界，自旋极化的手性边缘模式出现，连接了两种不同MSH的拓扑节点点。我们通过复杂的</w:t>
      </w:r>
    </w:p>
    <w:p>
      <w:pPr>
        <w:spacing w:before="0" w:after="200" w:lineRule="auto" w:line="276"/>
      </w:pPr>
      <w:r>
        <w:rPr>
          <w:b/>
        </w:rPr>
        <w:t xml:space="preserve">Abstract (EN): </w:t>
      </w:r>
      <w:r>
        <w:t>The interplay of magnetism and superconductivity can lead to intriguing emergent phenomena. Here we combine two different two-dimensional antiferromagnetic magnet-superconductor hybrids (MSH) and study their properties using spin-polarized scanning tunneling microscopy. Both MSHs show the characteristics of a topological nodal point superconducting phase with edge modes to the trivial substrate superconductor. At the boundary between the two MSHs we find low-energy modes which are spin-polarized. Based on a tight-binding model we can explain the experimental observations by considering two different topological nodal point superconductors. At their boundary spin-polarized chiral edge modes emerge that connect topological nodal points of the two different MSH. We demonstrate via the complex band structure that due to an asymmetric lateral decay these edge modes are spin-polarized, regardless of the details of the spin structure at the boundary. This work shows how interfaces between two distinct topological nodal point superconductors can serve as a platform to engineer spin-polarized edge modes.</w:t>
      </w:r>
    </w:p>
    <w:p>
      <w:pPr>
        <w:spacing w:before="120" w:after="120"/>
      </w:pPr>
      <w:r>
        <w:rPr>
          <w:sz w:val="18"/>
        </w:rPr>
        <w:t>——————————————————————————————————————————————————————————————————————</w:t>
      </w:r>
    </w:p>
    <w:p>
      <w:pPr>
        <w:spacing w:before="160" w:after="40" w:line="240" w:lineRule="auto"/>
      </w:pPr>
      <w:r>
        <w:rPr>
          <w:b/>
        </w:rPr>
        <w:t xml:space="preserve">[12] </w:t>
      </w:r>
      <w:hyperlink r:id="rId201">
        <w:r>
          <w:rPr>
            <w:color w:val="1155CC"/>
            <w:u w:val="single"/>
          </w:rPr>
          <w:t>基于态势感知的主动配电系统运行诊断方法</w:t>
        </w:r>
      </w:hyperlink>
    </w:p>
    <w:p>
      <w:pPr>
        <w:spacing w:before="0" w:after="80"/>
      </w:pPr>
      <w:r>
        <w:rPr>
          <w:i/>
          <w:sz w:val="20"/>
        </w:rPr>
        <w:t>EN: A methodology based on situational awareness for diagnosing the operation of active distribution systems</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02">
        <w:r>
          <w:rPr>
            <w:color w:val="1155CC"/>
            <w:u w:val="single"/>
          </w:rPr>
          <w:t>用于HVAC系统的便携式模型预测控制服务，采用语义感知架构</w:t>
        </w:r>
      </w:hyperlink>
    </w:p>
    <w:p>
      <w:pPr>
        <w:spacing w:before="0" w:after="80"/>
      </w:pPr>
      <w:r>
        <w:rPr>
          <w:i/>
          <w:sz w:val="20"/>
        </w:rPr>
        <w:t>EN: Portable model predictive control service for HVAC systems using semantics-aware architecture</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03">
        <w:r>
          <w:rPr>
            <w:color w:val="1155CC"/>
            <w:u w:val="single"/>
          </w:rPr>
          <w:t>用于下一代能量存储和电催化的二维MBenes</w:t>
        </w:r>
      </w:hyperlink>
    </w:p>
    <w:p>
      <w:pPr>
        <w:spacing w:before="0" w:after="80"/>
      </w:pPr>
      <w:r>
        <w:rPr>
          <w:i/>
          <w:sz w:val="20"/>
        </w:rPr>
        <w:t>EN: Two-dimensional MBenes for next-generation energy storage and electrocatalysis</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04">
        <w:r>
          <w:rPr>
            <w:color w:val="1155CC"/>
            <w:u w:val="single"/>
          </w:rPr>
          <w:t>通过可逆的组分间电子转移促进的激发态平衡实现具有延长发光寿命的Fe(III)配合物</w:t>
        </w:r>
      </w:hyperlink>
    </w:p>
    <w:p>
      <w:pPr>
        <w:spacing w:before="0" w:after="80"/>
      </w:pPr>
      <w:r>
        <w:rPr>
          <w:i/>
          <w:sz w:val="20"/>
        </w:rPr>
        <w:t>EN: Fe(III) complexes with prolonged luminescence lifetimes via excited-state equilibration promoted by reversible intercomponent electron transfer</w:t>
      </w:r>
    </w:p>
    <w:p>
      <w:pPr>
        <w:spacing w:before="0" w:after="120"/>
      </w:pPr>
      <w:r>
        <w:rPr>
          <w:b/>
        </w:rPr>
        <w:t xml:space="preserve">Source: </w:t>
      </w:r>
      <w:r>
        <w:t>Nature Communications</w:t>
      </w:r>
      <w:r>
        <w:t xml:space="preserve">    </w:t>
      </w:r>
      <w:r>
        <w:rPr>
          <w:b/>
        </w:rPr>
        <w:t xml:space="preserve">Pub date: </w:t>
      </w:r>
      <w:r>
        <w:t>2026-04-11 00:00:00+00:00</w:t>
      </w:r>
      <w:r>
        <w:t xml:space="preserve">    </w:t>
      </w:r>
      <w:r>
        <w:rPr>
          <w:b/>
        </w:rPr>
        <w:t xml:space="preserve">DOI: </w:t>
      </w:r>
      <w:hyperlink r:id="rId205">
        <w:r>
          <w:rPr>
            <w:color w:val="1155CC"/>
            <w:u w:val="single"/>
          </w:rPr>
          <w:t>10.1038/s41467-026-71767-4</w:t>
        </w:r>
      </w:hyperlink>
    </w:p>
    <w:p>
      <w:pPr>
        <w:spacing w:before="0" w:after="120"/>
      </w:pPr>
      <w:r>
        <w:rPr>
          <w:b/>
        </w:rPr>
        <w:t xml:space="preserve">Notes: </w:t>
      </w:r>
      <w:r>
        <w:t>abstract_source=nature_html</w:t>
      </w:r>
    </w:p>
    <w:p>
      <w:pPr>
        <w:spacing w:before="0" w:after="80" w:lineRule="auto" w:line="276"/>
      </w:pPr>
      <w:r>
        <w:rPr>
          <w:b/>
        </w:rPr>
        <w:t xml:space="preserve">摘要（ZH）: </w:t>
      </w:r>
      <w:r>
        <w:t>在地球丰富金属的配合物中实现长寿命的发光仍然具有挑战性，因为第一排过渡金属系统中的激发态通常在环境条件下迅速失活。因此，能够延长此类化合物发射寿命的策略备受关注。在此，我们展示了含有芘功能化配体的铁(III)配合物在室温流体溶液中显示出长达6.5 ns的发光寿命。光谱分析表明，激发态平衡通过从芘单元到铁中心的可逆分子内电子转移发生，产生了电荷分离态。尽管配体到金属的电荷转移态也可以进行可逆的能量转移到附近的芘</w:t>
      </w:r>
    </w:p>
    <w:p>
      <w:pPr>
        <w:spacing w:before="0" w:after="200" w:lineRule="auto" w:line="276"/>
      </w:pPr>
      <w:r>
        <w:rPr>
          <w:b/>
        </w:rPr>
        <w:t xml:space="preserve">Abstract (EN): </w:t>
      </w:r>
      <w:r>
        <w:t>Achieving long-lived luminescence in complexes of earth-abundant metals remains challenging because excited states in first-row transition-metal systems typically deactivate rapidly under ambient conditions. Strategies capable of prolonging emission lifetimes in such compounds are therefore of considerable interest. Here we show that iron(III) complexes incorporating pyrene-functionalized ligands display luminescence in fluid solution at room temperature with lifetimes up to 6.5 ns. Spectroscopic analysis indicates that excited-state equilibration occurs through reversible intramolecular electron transfer from the pyrene unit to the iron centre, generating a charge-separated state. Although the ligand-to-metal charge-transfer state can also undergo reversible energy transfer to nearby pyrene triplet states, intramolecular electron transfer dominates, leading to the formation of a pyrene + -iron(II) charge-separated state that acts as a long-lived excited-state reservoir. Equilibration involving this state produces biphasic emission from the iron centre. These findings identify reversible intercomponent electron transfer as a strategy for achieving prolonged luminescence lifetimes in complexes of earth-abundant metals.</w:t>
      </w:r>
    </w:p>
    <w:p>
      <w:pPr>
        <w:spacing w:before="120" w:after="120"/>
      </w:pPr>
      <w:r>
        <w:rPr>
          <w:sz w:val="18"/>
        </w:rPr>
        <w:t>——————————————————————————————————————————————————————————————————————</w:t>
      </w:r>
    </w:p>
    <w:p>
      <w:pPr>
        <w:spacing w:before="160" w:after="40" w:line="240" w:lineRule="auto"/>
      </w:pPr>
      <w:r>
        <w:rPr>
          <w:b/>
        </w:rPr>
        <w:t xml:space="preserve">[16] </w:t>
      </w:r>
      <w:hyperlink r:id="rId206">
        <w:r>
          <w:rPr>
            <w:color w:val="1155CC"/>
            <w:u w:val="single"/>
          </w:rPr>
          <w:t>用于自主海洋监测的仿生多向摆能量采集器：理论建模与实验开发</w:t>
        </w:r>
      </w:hyperlink>
    </w:p>
    <w:p>
      <w:pPr>
        <w:spacing w:before="0" w:after="80"/>
      </w:pPr>
      <w:r>
        <w:rPr>
          <w:i/>
          <w:sz w:val="20"/>
        </w:rPr>
        <w:t>EN: A bio-inspired multi-directional pendulum energy harvester for autonomous ocean monitoring: theoretical modeling and experimental development</w:t>
      </w:r>
    </w:p>
    <w:p>
      <w:pPr>
        <w:spacing w:before="0" w:after="120"/>
      </w:pPr>
      <w:r>
        <w:rPr>
          <w:b/>
        </w:rPr>
        <w:t xml:space="preserve">Source: </w:t>
      </w:r>
      <w:r>
        <w:t>ScienceDirect Publication: Applied Energy</w:t>
      </w:r>
      <w:r>
        <w:t xml:space="preserve">    </w:t>
      </w:r>
      <w:r>
        <w:rPr>
          <w:b/>
        </w:rPr>
        <w:t xml:space="preserve">Pub date: </w:t>
      </w:r>
      <w:r>
        <w:t>2026-04-11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07">
        <w:r>
          <w:rPr>
            <w:color w:val="1155CC"/>
            <w:u w:val="single"/>
          </w:rPr>
          <w:t>二维红外光谱揭示[FeFe]氢化酶的两个催化中间体中存在桥接CO配体</w:t>
        </w:r>
      </w:hyperlink>
    </w:p>
    <w:p>
      <w:pPr>
        <w:spacing w:before="0" w:after="80"/>
      </w:pPr>
      <w:r>
        <w:rPr>
          <w:i/>
          <w:sz w:val="20"/>
        </w:rPr>
        <w:t>EN: Two‐Dimensional Infrared Spectroscopy Reveals the Presence of a Bridging CO Ligand in Two Catalytic Intermediates of [FeFe] Hydrogenase</w:t>
      </w:r>
    </w:p>
    <w:p>
      <w:pPr>
        <w:spacing w:before="0" w:after="120"/>
      </w:pPr>
      <w:r>
        <w:rPr>
          <w:b/>
        </w:rPr>
        <w:t xml:space="preserve">Source: </w:t>
      </w:r>
      <w:r>
        <w:t>Wiley: Angewandte Chemie International Edition: Table of Contents</w:t>
      </w:r>
      <w:r>
        <w:t xml:space="preserve">    </w:t>
      </w:r>
      <w:r>
        <w:rPr>
          <w:b/>
        </w:rPr>
        <w:t xml:space="preserve">Pub date: </w:t>
      </w:r>
      <w:r>
        <w:t>2026-04-11 04:49:53+00:00</w:t>
      </w:r>
      <w:r>
        <w:t xml:space="preserve">    </w:t>
      </w:r>
      <w:r>
        <w:rPr>
          <w:b/>
        </w:rPr>
        <w:t xml:space="preserve">DOI: </w:t>
      </w:r>
      <w:hyperlink r:id="rId208">
        <w:r>
          <w:rPr>
            <w:color w:val="1155CC"/>
            <w:u w:val="single"/>
          </w:rPr>
          <w:t>10.1002/anie.2628759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FeFe]氢化酶是高度活跃的可逆酶，用于氢与质子和电子的相互转化。其活性位点H簇由一个典型的[4Fe‐4S]簇与一个独特的[2Fe]H中心共价连接组成。其催化机制已被广泛研究，但一些细节仍有争议，文献中存在两种对立的模型。这些模型之间的一个关键区别是两个状态HredH+和HsredH+的结构和催化相关性。在第一个模型中，这些状态是催化的</w:t>
      </w:r>
    </w:p>
    <w:p>
      <w:pPr>
        <w:spacing w:before="0" w:after="200" w:lineRule="auto" w:line="276"/>
      </w:pPr>
      <w:r>
        <w:rPr>
          <w:b/>
        </w:rPr>
        <w:t xml:space="preserve">Abstract (EN): </w:t>
      </w:r>
      <w:r>
        <w:t>[FeFe] hydrogenases are highly active, reversible enzymes for the interconversion of hydrogen with protons and electrons. Their active site H‐cluster consists of a canonical [4Fe‐4S] cluster covalently linked to a unique [2Fe]</w:t>
      </w:r>
      <w:r>
        <w:t xml:space="preserve"> </w:t>
      </w:r>
      <w:r>
        <w:t>H</w:t>
      </w:r>
      <w:r>
        <w:t xml:space="preserve"> </w:t>
      </w:r>
      <w:r>
        <w:t>centre. Their catalytic mechanism has been studied extensively, but several details remain disputed, and two rival models exist in the literature. One crucial difference between these models is the structure and catalytic relevance of two states named H</w:t>
      </w:r>
      <w:r>
        <w:t xml:space="preserve"> </w:t>
      </w:r>
      <w:r>
        <w:t>red</w:t>
      </w:r>
      <w:r>
        <w:t xml:space="preserve"> </w:t>
      </w:r>
      <w:r>
        <w:t>H</w:t>
      </w:r>
      <w:r>
        <w:t xml:space="preserve"> </w:t>
      </w:r>
      <w:r>
        <w:t>+</w:t>
      </w:r>
      <w:r>
        <w:t xml:space="preserve"> </w:t>
      </w:r>
      <w:r>
        <w:t>and H</w:t>
      </w:r>
      <w:r>
        <w:t xml:space="preserve"> </w:t>
      </w:r>
      <w:r>
        <w:t>sred</w:t>
      </w:r>
      <w:r>
        <w:t xml:space="preserve"> </w:t>
      </w:r>
      <w:r>
        <w:t>H</w:t>
      </w:r>
      <w:r>
        <w:t xml:space="preserve"> </w:t>
      </w:r>
      <w:r>
        <w:t>+</w:t>
      </w:r>
      <w:r>
        <w:t xml:space="preserve"> </w:t>
      </w:r>
      <w:r>
        <w:t>. In the first model, these states are catalytic intermediates containing a reduced [Fe(I)Fe(I)]</w:t>
      </w:r>
      <w:r>
        <w:t xml:space="preserve"> </w:t>
      </w:r>
      <w:r>
        <w:t>H</w:t>
      </w:r>
      <w:r>
        <w:t xml:space="preserve"> </w:t>
      </w:r>
      <w:r>
        <w:t>centre and a bridging CO ligand (µCO), while in the second model they are inactive states containing an oxidised [Fe(II)Fe(II)]</w:t>
      </w:r>
      <w:r>
        <w:t xml:space="preserve"> </w:t>
      </w:r>
      <w:r>
        <w:t>H</w:t>
      </w:r>
      <w:r>
        <w:t xml:space="preserve"> </w:t>
      </w:r>
      <w:r>
        <w:t>site and a bridging hydride ligand (µH</w:t>
      </w:r>
      <w:r>
        <w:t xml:space="preserve"> </w:t>
      </w:r>
      <w:r>
        <w:t>−</w:t>
      </w:r>
      <w:r>
        <w:t>). The second proposal was initially based on the lack of a prominent absorption peak attributed to a µCO ligand in the infrared (IR) spectra of both states. Here, we provide evidence for the presence of a µCO ligand in the H</w:t>
      </w:r>
      <w:r>
        <w:t xml:space="preserve"> </w:t>
      </w:r>
      <w:r>
        <w:t>red</w:t>
      </w:r>
      <w:r>
        <w:t xml:space="preserve"> </w:t>
      </w:r>
      <w:r>
        <w:t>H</w:t>
      </w:r>
      <w:r>
        <w:t xml:space="preserve"> </w:t>
      </w:r>
      <w:r>
        <w:t>+</w:t>
      </w:r>
      <w:r>
        <w:t xml:space="preserve"> </w:t>
      </w:r>
      <w:r>
        <w:t>and H</w:t>
      </w:r>
      <w:r>
        <w:t xml:space="preserve"> </w:t>
      </w:r>
      <w:r>
        <w:t>sred</w:t>
      </w:r>
      <w:r>
        <w:t xml:space="preserve"> </w:t>
      </w:r>
      <w:r>
        <w:t>H</w:t>
      </w:r>
      <w:r>
        <w:t xml:space="preserve"> </w:t>
      </w:r>
      <w:r>
        <w:t>+</w:t>
      </w:r>
      <w:r>
        <w:t xml:space="preserve"> </w:t>
      </w:r>
      <w:r>
        <w:t>states using two‐dimensional (2D) IR spectroscopy, firmly establishing the structure of these states as [Fe(I)Fe(I)]</w:t>
      </w:r>
      <w:r>
        <w:t xml:space="preserve"> </w:t>
      </w:r>
      <w:r>
        <w:t>H</w:t>
      </w:r>
      <w:r>
        <w:t xml:space="preserve"> </w:t>
      </w:r>
      <w:r>
        <w:t>with a µCO ligand. The results suggest that these states are catalytically relevant intermediates with crucial implications for understanding hydrogen conversion in nature and designing new synthetic catalysts.</w:t>
      </w:r>
    </w:p>
    <w:p>
      <w:pPr>
        <w:spacing w:before="120" w:after="120"/>
      </w:pPr>
      <w:r>
        <w:rPr>
          <w:sz w:val="18"/>
        </w:rPr>
        <w:t>——————————————————————————————————————————————————————————————————————</w:t>
      </w:r>
    </w:p>
    <w:p>
      <w:pPr>
        <w:spacing w:before="160" w:after="40" w:line="240" w:lineRule="auto"/>
      </w:pPr>
      <w:r>
        <w:rPr>
          <w:b/>
        </w:rPr>
        <w:t xml:space="preserve">[18] </w:t>
      </w:r>
      <w:hyperlink r:id="rId209">
        <w:r>
          <w:rPr>
            <w:color w:val="1155CC"/>
            <w:u w:val="single"/>
          </w:rPr>
          <w:t>异构化二噻吩吡嗪基固体添加剂实现20.5%效率的有机太阳能电池</w:t>
        </w:r>
      </w:hyperlink>
    </w:p>
    <w:p>
      <w:pPr>
        <w:spacing w:before="0" w:after="80"/>
      </w:pPr>
      <w:r>
        <w:rPr>
          <w:i/>
          <w:sz w:val="20"/>
        </w:rPr>
        <w:t>EN: Isomerized Dithienopyrazine‐Based Solid Additive Enables Organic Solar Cells With 20.5% Efficiency</w:t>
      </w:r>
    </w:p>
    <w:p>
      <w:pPr>
        <w:spacing w:before="0" w:after="120"/>
      </w:pPr>
      <w:r>
        <w:rPr>
          <w:b/>
        </w:rPr>
        <w:t xml:space="preserve">Source: </w:t>
      </w:r>
      <w:r>
        <w:t>Wiley: Angewandte Chemie International Edition: Table of Contents</w:t>
      </w:r>
      <w:r>
        <w:t xml:space="preserve">    </w:t>
      </w:r>
      <w:r>
        <w:rPr>
          <w:b/>
        </w:rPr>
        <w:t xml:space="preserve">Pub date: </w:t>
      </w:r>
      <w:r>
        <w:t>2026-04-11 04:57:02+00:00</w:t>
      </w:r>
      <w:r>
        <w:t xml:space="preserve">    </w:t>
      </w:r>
      <w:r>
        <w:rPr>
          <w:b/>
        </w:rPr>
        <w:t xml:space="preserve">DOI: </w:t>
      </w:r>
      <w:hyperlink r:id="rId210">
        <w:r>
          <w:rPr>
            <w:color w:val="1155CC"/>
            <w:u w:val="single"/>
          </w:rPr>
          <w:t>10.1002/anie.6458866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添加剂因其在调节薄膜形态和调控光活性层聚集行为方面的有效性，已成为有机太阳能电池（OSCs）中广泛采用的策略，这对于实现高功率转换效率（PCEs）至关重要。然而，这些固体添加剂的化学结构从根本上决定了其性能。在此，我们设计了两种异构体固体添加剂，syn‐dithieno[2,3‐b:3',2'‐e]pyrazine（syn‐DTPy）和anti‐dithieno[2,3‐b</w:t>
      </w:r>
    </w:p>
    <w:p>
      <w:pPr>
        <w:spacing w:before="0" w:after="200" w:lineRule="auto" w:line="276"/>
      </w:pPr>
      <w:r>
        <w:rPr>
          <w:b/>
        </w:rPr>
        <w:t xml:space="preserve">Abstract (EN): </w:t>
      </w:r>
      <w:r>
        <w:t>Solid additives have emerged as a widely adopted strategy in organic solar cells (OSCs) due to their efficacy in modulating the film morphology and regulating the aggregation behavior of the photoactive layer, which is crucial for achieving high power conversion efficiencies (PCEs). However, the chemical structure of these solid additives fundamentally dictates their performance. Herein, we designed two isomeric solid additives,</w:t>
      </w:r>
      <w:r>
        <w:t xml:space="preserve"> </w:t>
      </w:r>
      <w:r>
        <w:t>syn</w:t>
      </w:r>
      <w:r>
        <w:t xml:space="preserve"> </w:t>
      </w:r>
      <w:r>
        <w:t>‐dithieno[2,3‐</w:t>
      </w:r>
      <w:r>
        <w:t xml:space="preserve"> </w:t>
      </w:r>
      <w:r>
        <w:t>b</w:t>
      </w:r>
      <w:r>
        <w:t xml:space="preserve"> </w:t>
      </w:r>
      <w:r>
        <w:t>:3',2'‐</w:t>
      </w:r>
      <w:r>
        <w:t xml:space="preserve"> </w:t>
      </w:r>
      <w:r>
        <w:t>e</w:t>
      </w:r>
      <w:r>
        <w:t xml:space="preserve"> </w:t>
      </w:r>
      <w:r>
        <w:t>]pyrazine (</w:t>
      </w:r>
      <w:r>
        <w:t xml:space="preserve"> </w:t>
      </w:r>
      <w:r>
        <w:t>syn</w:t>
      </w:r>
      <w:r>
        <w:t xml:space="preserve"> </w:t>
      </w:r>
      <w:r>
        <w:t>‐DTPy) and</w:t>
      </w:r>
      <w:r>
        <w:t xml:space="preserve"> </w:t>
      </w:r>
      <w:r>
        <w:t>anti</w:t>
      </w:r>
      <w:r>
        <w:t xml:space="preserve"> </w:t>
      </w:r>
      <w:r>
        <w:t>‐dithieno[2,3‐</w:t>
      </w:r>
      <w:r>
        <w:t xml:space="preserve"> </w:t>
      </w:r>
      <w:r>
        <w:t>b</w:t>
      </w:r>
      <w:r>
        <w:t xml:space="preserve"> </w:t>
      </w:r>
      <w:r>
        <w:t>:2',3'</w:t>
      </w:r>
      <w:r>
        <w:t xml:space="preserve"> </w:t>
      </w:r>
      <w:r>
        <w:t>‐e</w:t>
      </w:r>
      <w:r>
        <w:t xml:space="preserve"> </w:t>
      </w:r>
      <w:r>
        <w:t>]pyrazine (</w:t>
      </w:r>
      <w:r>
        <w:t xml:space="preserve"> </w:t>
      </w:r>
      <w:r>
        <w:t>anti</w:t>
      </w:r>
      <w:r>
        <w:t xml:space="preserve"> </w:t>
      </w:r>
      <w:r>
        <w:t>‐DTPy), to enhance OSCs’ performance. When incorporated into the D18:L8‐BO system,</w:t>
      </w:r>
      <w:r>
        <w:t xml:space="preserve"> </w:t>
      </w:r>
      <w:r>
        <w:t>anti</w:t>
      </w:r>
      <w:r>
        <w:t xml:space="preserve"> </w:t>
      </w:r>
      <w:r>
        <w:t>‐DTPy establishes directional intermolecular interactions that optimize phase separation and charge transport pathways. This approach enabled OSCs to achieve a remarkable PCE of 20.5%, with a high fill factor (FF) of 81.9%, ranking among the highest reported values. This study reveals a distinct isomer‐dependent conformational effect for morphology control, providing profound insights into structure‐property relationships and guiding the design of advanced solid additives.</w:t>
      </w:r>
    </w:p>
    <w:p>
      <w:pPr>
        <w:spacing w:before="120" w:after="120"/>
      </w:pPr>
      <w:r>
        <w:rPr>
          <w:sz w:val="18"/>
        </w:rPr>
        <w:t>——————————————————————————————————————————————————————————————————————</w:t>
      </w:r>
    </w:p>
    <w:p>
      <w:pPr>
        <w:spacing w:before="160" w:after="40" w:line="240" w:lineRule="auto"/>
      </w:pPr>
      <w:r>
        <w:rPr>
          <w:b/>
        </w:rPr>
        <w:t xml:space="preserve">[19] </w:t>
      </w:r>
      <w:hyperlink r:id="rId211">
        <w:r>
          <w:rPr>
            <w:color w:val="1155CC"/>
            <w:u w:val="single"/>
          </w:rPr>
          <w:t>在界面上的卟啉大环的π扩展</w:t>
        </w:r>
      </w:hyperlink>
    </w:p>
    <w:p>
      <w:pPr>
        <w:spacing w:before="0" w:after="80"/>
      </w:pPr>
      <w:r>
        <w:rPr>
          <w:i/>
          <w:sz w:val="20"/>
        </w:rPr>
        <w:t>EN: π‐Enlargement in Porphyrin Macrocycles at Interfaces</w:t>
      </w:r>
    </w:p>
    <w:p>
      <w:pPr>
        <w:spacing w:before="0" w:after="120"/>
      </w:pPr>
      <w:r>
        <w:rPr>
          <w:b/>
        </w:rPr>
        <w:t xml:space="preserve">Source: </w:t>
      </w:r>
      <w:r>
        <w:t>Wiley: Angewandte Chemie International Edition: Table of Contents</w:t>
      </w:r>
      <w:r>
        <w:t xml:space="preserve">    </w:t>
      </w:r>
      <w:r>
        <w:rPr>
          <w:b/>
        </w:rPr>
        <w:t xml:space="preserve">Pub date: </w:t>
      </w:r>
      <w:r>
        <w:t>2026-04-11 04:59:58+00:00</w:t>
      </w:r>
      <w:r>
        <w:t xml:space="preserve">    </w:t>
      </w:r>
      <w:r>
        <w:rPr>
          <w:b/>
        </w:rPr>
        <w:t xml:space="preserve">DOI: </w:t>
      </w:r>
      <w:hyperlink r:id="rId212">
        <w:r>
          <w:rPr>
            <w:color w:val="1155CC"/>
            <w:u w:val="single"/>
          </w:rPr>
          <w:t>10.1002/anie.202525787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卟啉是重要的杂原子大环化合物，对生物系统和先进技术都至关重要。其独特的分子结构使其在自然界中发挥关键功能，如血红蛋白中的氧气运输和叶绿素中的光能收集，并激发了在化学传感、催化、可再生能源转换和光电子学中的尖端应用。因此，开发其溶液相化学，特别是通过战略性地修改大环结构以定制其性质，成为重要的研究方向。受表面共价合成领域的启发，我们引入了一种开创性的策略，在界面上定制卟啉大环，特别是将18‐π卟啉扩展为</w:t>
      </w:r>
    </w:p>
    <w:p>
      <w:pPr>
        <w:spacing w:before="0" w:after="200" w:lineRule="auto" w:line="276"/>
      </w:pPr>
      <w:r>
        <w:rPr>
          <w:b/>
        </w:rPr>
        <w:t xml:space="preserve">Abstract (EN): </w:t>
      </w:r>
      <w:r>
        <w:t>Porphyrins are essential heteroatomic macrocycles, fundamental to both biological systems and advanced technology. Their unique molecular architecture enables key functions in nature, such as oxygen transport in hemoglobin and light harvesting in chlorophyll, and inspires cutting‐edge applications in chemical sensing, catalysis, renewable energy conversion, and optoelectronics. Consequently, significant efforts are dedicated to develop their solution‐phase chemistry, particularly by strategically modifying the macrocyclic structure to tailor their properties. Inspired by the field of on‐surface covalent synthesis, we introduce a pioneering strategy to tailor porphyrin macrocycles at interfaces, specifically expanding an 18‐π porphyrin into a 20‐π system. Such transformation is achieved by depositing a porphyrin precursor, equipped with two trifluoromethyl (‐CF</w:t>
      </w:r>
      <w:r>
        <w:rPr>
          <w:vertAlign w:val="subscript"/>
        </w:rPr>
        <w:t>3</w:t>
      </w:r>
      <w:r>
        <w:t>) functional groups in a trans configuration, onto a hot Ag(111) surface. By combining scanning probe microscopy and spectroscopy, complemented with density‐functional theory calculations, we confirm the successful formation of the 20‐π free‐base expanded porphyrin, exhibiting potential high antiaromaticity attributed to the preservation of planar conformation at the interface according to theoretical calculations. The transformation occurs through precursor dehalogenation and subsequent insertion of two carbon atoms into the macrocycle, driving its expansion, and affording a narrow bandgap of ∼0.2 eV. Furthermore, we demonstrate its coordinative capabilities toward cobalt, forming a unique two‐fold coordination node within the expanded core. Our findings pave the way for engineering expanded porphyrins at interfaces enabling enhanced antiaromaticity and narrow bandgaps, while affording the design of novel coordination motifs, and, simultaneously, demonstrating the capabilities of surface science in exploring such expanded macrocyclic architectures at the atomic scale.</w:t>
      </w:r>
    </w:p>
    <w:p>
      <w:pPr>
        <w:spacing w:before="120" w:after="120"/>
      </w:pPr>
      <w:r>
        <w:rPr>
          <w:sz w:val="18"/>
        </w:rPr>
        <w:t>——————————————————————————————————————————————————————————————————————</w:t>
      </w:r>
    </w:p>
    <w:p>
      <w:pPr>
        <w:spacing w:before="160" w:after="40" w:line="240" w:lineRule="auto"/>
      </w:pPr>
      <w:r>
        <w:rPr>
          <w:b/>
        </w:rPr>
        <w:t xml:space="preserve">[20] </w:t>
      </w:r>
      <w:hyperlink r:id="rId213">
        <w:r>
          <w:rPr>
            <w:color w:val="1155CC"/>
            <w:u w:val="single"/>
          </w:rPr>
          <w:t>使用氢键对和芳香成分在钯(II)基互锁和折叠体系统中控制连接性、拓扑和排序的设计规则</w:t>
        </w:r>
      </w:hyperlink>
    </w:p>
    <w:p>
      <w:pPr>
        <w:spacing w:before="0" w:after="80"/>
      </w:pPr>
      <w:r>
        <w:rPr>
          <w:i/>
          <w:sz w:val="20"/>
        </w:rPr>
        <w:t>EN: Design Rules for Controlling Connectivity, Topology, and Sorting Using Hydrogen‐Bonded Pairs and Aromatic Components in Palladium(II)‐Based Interlocked and Foldameric Systems</w:t>
      </w:r>
    </w:p>
    <w:p>
      <w:pPr>
        <w:spacing w:before="0" w:after="120"/>
      </w:pPr>
      <w:r>
        <w:rPr>
          <w:b/>
        </w:rPr>
        <w:t xml:space="preserve">Source: </w:t>
      </w:r>
      <w:r>
        <w:t>Wiley: Angewandte Chemie International Edition: Table of Contents</w:t>
      </w:r>
      <w:r>
        <w:t xml:space="preserve">    </w:t>
      </w:r>
      <w:r>
        <w:rPr>
          <w:b/>
        </w:rPr>
        <w:t xml:space="preserve">Pub date: </w:t>
      </w:r>
      <w:r>
        <w:t>2026-04-11 05:03:01+00:00</w:t>
      </w:r>
      <w:r>
        <w:t xml:space="preserve">    </w:t>
      </w:r>
      <w:r>
        <w:rPr>
          <w:b/>
        </w:rPr>
        <w:t xml:space="preserve">DOI: </w:t>
      </w:r>
      <w:hyperlink r:id="rId214">
        <w:r>
          <w:rPr>
            <w:color w:val="1155CC"/>
            <w:u w:val="single"/>
          </w:rPr>
          <w:t>10.1002/anie.5763518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然界对结构的精妙控制源于其使用复杂的拓扑复杂物种阵列，这些物种能够形成并正交地发挥功能。化学家们在合成系统中寻求同样的控制水平，在此我们报告了自组装系统的设计规则，该系统整合了金属配位到Pd(II)、互补几何形状、配体间氢键和π─π相互作用。这是通过整合氢键互补对AA:DD和DA:AD（A=受体，D=供体）以及高低电子密度的互补芳香区域实现的。</w:t>
      </w:r>
    </w:p>
    <w:p>
      <w:pPr>
        <w:spacing w:before="0" w:after="200" w:lineRule="auto" w:line="276"/>
      </w:pPr>
      <w:r>
        <w:rPr>
          <w:b/>
        </w:rPr>
        <w:t xml:space="preserve">Abstract (EN): </w:t>
      </w:r>
      <w:r>
        <w:t>Nature's exquisite control over structure arises from its use of complex arrays of topologically complicated species capable of forming and functioning orthogonally. Chemists seek the same level of control in synthetic systems, and here we report the design rules for self‐assembly of systems integrating metal‐coordination to Pd(II), complementary geometries, interligand hydrogen bonding, and π─π interactions. This has been achieved by integrating hydrogen‐bonded complementary pairs,</w:t>
      </w:r>
      <w:r>
        <w:t xml:space="preserve"> </w:t>
      </w:r>
      <w:r>
        <w:t>AA:DD</w:t>
      </w:r>
      <w:r>
        <w:t xml:space="preserve"> </w:t>
      </w:r>
      <w:r>
        <w:t>and</w:t>
      </w:r>
      <w:r>
        <w:t xml:space="preserve"> </w:t>
      </w:r>
      <w:r>
        <w:t>DA:AD</w:t>
      </w:r>
      <w:r>
        <w:t xml:space="preserve"> </w:t>
      </w:r>
      <w:r>
        <w:t>(</w:t>
      </w:r>
      <w:r>
        <w:t xml:space="preserve"> </w:t>
      </w:r>
      <w:r>
        <w:t>A</w:t>
      </w:r>
      <w:r>
        <w:t xml:space="preserve"> </w:t>
      </w:r>
      <w:r>
        <w:t>= acceptor,</w:t>
      </w:r>
      <w:r>
        <w:t xml:space="preserve"> </w:t>
      </w:r>
      <w:r>
        <w:t>D</w:t>
      </w:r>
      <w:r>
        <w:t xml:space="preserve"> </w:t>
      </w:r>
      <w:r>
        <w:t>= donor), and complementary aromatic regions of high and low electron density into a series of ligands which controllably self‐assemble into defined three‐dimensional structures with Pd(II). These rules have allowed us to elucidate pathways to multiple molecular types with defined connectivity and topology, including metallo‐foldamers, cyclic species, and an interlocked clippane formed under thermodynamic control. We have also established that, despite similarities between their respective components, these diverse structures persist in a combinatorial mixture.</w:t>
      </w:r>
    </w:p>
    <w:p>
      <w:pPr>
        <w:spacing w:before="120" w:after="120"/>
      </w:pPr>
      <w:r>
        <w:rPr>
          <w:sz w:val="18"/>
        </w:rPr>
        <w:t>——————————————————————————————————————————————————————————————————————</w:t>
      </w:r>
    </w:p>
    <w:p>
      <w:pPr>
        <w:spacing w:before="160" w:after="40" w:line="240" w:lineRule="auto"/>
      </w:pPr>
      <w:r>
        <w:rPr>
          <w:b/>
        </w:rPr>
        <w:t xml:space="preserve">[21] </w:t>
      </w:r>
      <w:hyperlink r:id="rId215">
        <w:r>
          <w:rPr>
            <w:color w:val="1155CC"/>
            <w:u w:val="single"/>
          </w:rPr>
          <w:t>脉冲激光辅助多金属胶体纳米晶体的相工程与复杂成分</w:t>
        </w:r>
      </w:hyperlink>
    </w:p>
    <w:p>
      <w:pPr>
        <w:spacing w:before="0" w:after="80"/>
      </w:pPr>
      <w:r>
        <w:rPr>
          <w:i/>
          <w:sz w:val="20"/>
        </w:rPr>
        <w:t>EN: Pulsed Laser‐Assisted Phase Engineering of Multimetallic Colloidal Nanocrystals With Complex Compositions</w:t>
      </w:r>
    </w:p>
    <w:p>
      <w:pPr>
        <w:spacing w:before="0" w:after="120"/>
      </w:pPr>
      <w:r>
        <w:rPr>
          <w:b/>
        </w:rPr>
        <w:t xml:space="preserve">Source: </w:t>
      </w:r>
      <w:r>
        <w:t>Wiley: Advanced Materials: Table of Contents</w:t>
      </w:r>
      <w:r>
        <w:t xml:space="preserve">    </w:t>
      </w:r>
      <w:r>
        <w:rPr>
          <w:b/>
        </w:rPr>
        <w:t xml:space="preserve">Pub date: </w:t>
      </w:r>
      <w:r>
        <w:t>2026-04-11 05:05:52+00:00</w:t>
      </w:r>
      <w:r>
        <w:t xml:space="preserve">    </w:t>
      </w:r>
      <w:r>
        <w:rPr>
          <w:b/>
        </w:rPr>
        <w:t xml:space="preserve">DOI: </w:t>
      </w:r>
      <w:hyperlink r:id="rId216">
        <w:r>
          <w:rPr>
            <w:color w:val="1155CC"/>
            <w:u w:val="single"/>
          </w:rPr>
          <w:t>10.1002/adma.202523683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复杂成分胶体纳米晶体的制造已成为纳米材料科学中最活跃的研究领域之一。在此背景下，脉冲激光作为有价值的工具正在兴起，通过帮助克服热力学和动力学障碍，促进单一纳米晶格中不同元素的混合。在本综述中，我们旨在建立通过合金化各种金属来控制固溶体纳米晶体形成的基本方面，主要关注胶体科学策略，因为它们具有产生低尺寸分散性和明确球形的潜力。我们讨论了两种用于实施脉冲激光的不同激光辅助方法：液体中的脉冲激光烧蚀和</w:t>
      </w:r>
    </w:p>
    <w:p>
      <w:pPr>
        <w:spacing w:before="0" w:after="200" w:lineRule="auto" w:line="276"/>
      </w:pPr>
      <w:r>
        <w:rPr>
          <w:b/>
        </w:rPr>
        <w:t xml:space="preserve">Abstract (EN): </w:t>
      </w:r>
      <w:r>
        <w:t>The controlled fabrication of colloidal nanocrystals with complex compositions has become one of the most active areas of research in nanomaterials science. In this context, pulsed lasers are emerging as valuable tools to facilitate the mixing of different elements within a single nanocrystal lattice by helping overcome both thermodynamic and kinetic barriers. In this review, we aim to establish the fundamental aspects that control the formation of solid‐solution nanocrystals through alloying of various metals, with a primary focus on colloid science strategies, given their potential to produce low size dispersity and well‐defined spherical shape. We discuss two distinct laser‐assisted methods for implementing pulsed lasers: pulsed‐laser ablation in liquids and the excitation of presynthesized colloidal nanocrystals. We introduce the most critical laser and colloidal parameters that are essential toward obtaining multimetallic nanocrystals with well‐defined sizes, compositions, and homogeneous elemental distributions. Finally, we examine the key challenges that need to be addressed to achieve improved control over phase and composition in multimetallic nanocrystals.</w:t>
      </w:r>
    </w:p>
    <w:p>
      <w:pPr>
        <w:spacing w:before="120" w:after="120"/>
      </w:pPr>
      <w:r>
        <w:rPr>
          <w:sz w:val="18"/>
        </w:rPr>
        <w:t>——————————————————————————————————————————————————————————————————————</w:t>
      </w:r>
    </w:p>
    <w:p>
      <w:pPr>
        <w:spacing w:before="160" w:after="40" w:line="240" w:lineRule="auto"/>
      </w:pPr>
      <w:r>
        <w:rPr>
          <w:b/>
        </w:rPr>
        <w:t xml:space="preserve">[22] </w:t>
      </w:r>
      <w:hyperlink r:id="rId217">
        <w:r>
          <w:rPr>
            <w:color w:val="1155CC"/>
            <w:u w:val="single"/>
          </w:rPr>
          <w:t>多相共聚液滴重构为自我调节的嵌套人工细胞</w:t>
        </w:r>
      </w:hyperlink>
    </w:p>
    <w:p>
      <w:pPr>
        <w:spacing w:before="0" w:after="80"/>
      </w:pPr>
      <w:r>
        <w:rPr>
          <w:i/>
          <w:sz w:val="20"/>
        </w:rPr>
        <w:t>EN: Reconfiguration of Multiphase Coacervate Droplets Into Self‐Regulated Nested Artificial Cells</w:t>
      </w:r>
    </w:p>
    <w:p>
      <w:pPr>
        <w:spacing w:before="0" w:after="120"/>
      </w:pPr>
      <w:r>
        <w:rPr>
          <w:b/>
        </w:rPr>
        <w:t xml:space="preserve">Source: </w:t>
      </w:r>
      <w:r>
        <w:t>Wiley: Angewandte Chemie International Edition: Table of Contents</w:t>
      </w:r>
      <w:r>
        <w:t xml:space="preserve">    </w:t>
      </w:r>
      <w:r>
        <w:rPr>
          <w:b/>
        </w:rPr>
        <w:t xml:space="preserve">Pub date: </w:t>
      </w:r>
      <w:r>
        <w:t>2026-04-11 05:12:16+00:00</w:t>
      </w:r>
      <w:r>
        <w:t xml:space="preserve">    </w:t>
      </w:r>
      <w:r>
        <w:rPr>
          <w:b/>
        </w:rPr>
        <w:t xml:space="preserve">DOI: </w:t>
      </w:r>
      <w:hyperlink r:id="rId218">
        <w:r>
          <w:rPr>
            <w:color w:val="1155CC"/>
            <w:u w:val="single"/>
          </w:rPr>
          <w:t>10.1002/anie.9334343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亚区隔化和内部组织是活细胞控制功能复杂性的重要资产。在人工细胞中模拟这些特征提供了一个通过改变内部结构有效响应外部信号的平台，从而模拟生命般的行为。在此，我们提出了一种通过将多相共聚物液滴（MCDs）转化为嵌套共聚物囊泡（NCVs）来构建亚区隔化人工细胞的策略，其中外部宿主域被静电重新配置为连续的半透膜，而内部客体液滴被保留。生成的人工细胞表现出共聚物成分和封装荧光染料的空间分离，e</w:t>
      </w:r>
    </w:p>
    <w:p>
      <w:pPr>
        <w:spacing w:before="0" w:after="200" w:lineRule="auto" w:line="276"/>
      </w:pPr>
      <w:r>
        <w:rPr>
          <w:b/>
        </w:rPr>
        <w:t xml:space="preserve">Abstract (EN): </w:t>
      </w:r>
      <w:r>
        <w:t>Dynamic sub‐compartmentalization and internal organization are important assets of living cells to control functional complexity. Mimicking these features in artificial cells provides a platform to effectively respond to external cues by changing internal structure, thereby emulating life‐like behavior. Here, we present a strategy to construct sub‐compartmentalized artificial cells by converting multiphase coacervate droplets (MCDs) into nested coacervate vesicles (NCVs), in which the outer host domain is electrostatically reconfigured into a continuous semipermeable shell, while the internal guest droplets are preserved. The generated artificial cells exhibit spatial segregation of coacervate constituents and encapsulated fluorescent dyes, enzymes, and gold nanoparticles, and remain morphologically stable under different conditions. The membranized artificial cells display artificial metabolic features by means of poly(</w:t>
      </w:r>
      <w:r>
        <w:t xml:space="preserve"> </w:t>
      </w:r>
      <w:r>
        <w:t>N</w:t>
      </w:r>
      <w:r>
        <w:t xml:space="preserve"> </w:t>
      </w:r>
      <w:r>
        <w:t>‐isopropylacrylamide) (PNIPAAm) synthesis and subsequent temperature‐dependent aggregation, leading to emergent behavior including self‐regulated photothermal transitions, feedback‐mediated photocatalysis, and spatiotemporal organization of internal cargoes. Overall, our approach establishes a robust artificial cell platform that combines sub‐compartmentalization with self‐regulating properties, integrating functionality with structural complexity.</w:t>
      </w:r>
    </w:p>
    <w:p>
      <w:pPr>
        <w:spacing w:before="120" w:after="120"/>
      </w:pPr>
      <w:r>
        <w:rPr>
          <w:sz w:val="18"/>
        </w:rPr>
        <w:t>——————————————————————————————————————————————————————————————————————</w:t>
      </w:r>
    </w:p>
    <w:p>
      <w:pPr>
        <w:spacing w:before="160" w:after="40" w:line="240" w:lineRule="auto"/>
      </w:pPr>
      <w:r>
        <w:rPr>
          <w:b/>
        </w:rPr>
        <w:t xml:space="preserve">[23] </w:t>
      </w:r>
      <w:hyperlink r:id="rId219">
        <w:r>
          <w:rPr>
            <w:color w:val="1155CC"/>
            <w:u w:val="single"/>
          </w:rPr>
          <w:t>通过原位选择性H2氧化抑制Co基催化剂中金属Co0的形成以实现高效乙烷脱氢</w:t>
        </w:r>
      </w:hyperlink>
    </w:p>
    <w:p>
      <w:pPr>
        <w:spacing w:before="0" w:after="80"/>
      </w:pPr>
      <w:r>
        <w:rPr>
          <w:i/>
          <w:sz w:val="20"/>
        </w:rPr>
        <w:t>EN: Suppressing Metallic Co0 Formation in Co‐Based Catalyst by In‐Situ Selective H2 Oxidation for Efficient Ethane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2026-04-11 05:13:36+00:00</w:t>
      </w:r>
      <w:r>
        <w:t xml:space="preserve">    </w:t>
      </w:r>
      <w:r>
        <w:rPr>
          <w:b/>
        </w:rPr>
        <w:t xml:space="preserve">DOI: </w:t>
      </w:r>
      <w:hyperlink r:id="rId220">
        <w:r>
          <w:rPr>
            <w:color w:val="1155CC"/>
            <w:u w:val="single"/>
          </w:rPr>
          <w:t>10.1002/anie.8471327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钴基催化剂因其高乙烷活化活性而在乙烷脱氢中具有吸引力。然而，在反应过程中产生的富氢环境中，钴物种容易还原为金属钴0，导致积炭和催化剂失活。在此，我们提出了一种串联策略，将CoOx/HZSM‐5 (Co/HZ)脱氢催化剂与CeO2促进的Bi2O3 (CeBiOx)结合，作为选择性H2</w:t>
      </w:r>
    </w:p>
    <w:p>
      <w:pPr>
        <w:spacing w:before="0" w:after="200" w:lineRule="auto" w:line="276"/>
      </w:pPr>
      <w:r>
        <w:rPr>
          <w:b/>
        </w:rPr>
        <w:t xml:space="preserve">Abstract (EN): </w:t>
      </w:r>
      <w:r>
        <w:t>Cobalt‐based catalysts are attractive for ethane dehydrogenation owning to their high ethane activation activity. However, in the H</w:t>
      </w:r>
      <w:r>
        <w:rPr>
          <w:vertAlign w:val="subscript"/>
        </w:rPr>
        <w:t>2</w:t>
      </w:r>
      <w:r>
        <w:t>‐rich environment generated during the reaction, cobalt species are readily reduced to metallic Co</w:t>
      </w:r>
      <w:r>
        <w:rPr>
          <w:vertAlign w:val="subscript"/>
        </w:rPr>
        <w:t>0</w:t>
      </w:r>
      <w:r>
        <w:t>, leading to coke deposition and catalyst deactivation. Here, we present a tandem strategy that integrates a CoO</w:t>
      </w:r>
      <w:r>
        <w:t xml:space="preserve"> </w:t>
      </w:r>
      <w:r>
        <w:t>x</w:t>
      </w:r>
      <w:r>
        <w:t xml:space="preserve"> </w:t>
      </w:r>
      <w:r>
        <w:t>/HZSM‐5 (Co/HZ) dehydrogenation catalyst with CeO</w:t>
      </w:r>
      <w:r>
        <w:rPr>
          <w:vertAlign w:val="subscript"/>
        </w:rPr>
        <w:t>2</w:t>
      </w:r>
      <w:r>
        <w:t>‐promoted Bi</w:t>
      </w:r>
      <w:r>
        <w:rPr>
          <w:vertAlign w:val="subscript"/>
        </w:rPr>
        <w:t>2</w:t>
      </w:r>
      <w:r>
        <w:t>O</w:t>
      </w:r>
      <w:r>
        <w:rPr>
          <w:vertAlign w:val="subscript"/>
        </w:rPr>
        <w:t>3</w:t>
      </w:r>
      <w:r>
        <w:t>(CeBiO</w:t>
      </w:r>
      <w:r>
        <w:t xml:space="preserve"> </w:t>
      </w:r>
      <w:r>
        <w:t>x</w:t>
      </w:r>
      <w:r>
        <w:t xml:space="preserve"> </w:t>
      </w:r>
      <w:r>
        <w:t>) as a selective H</w:t>
      </w:r>
      <w:r>
        <w:rPr>
          <w:vertAlign w:val="subscript"/>
        </w:rPr>
        <w:t>2</w:t>
      </w:r>
      <w:r>
        <w:t>oxidation oxygen carrier. Under chemical looping oxidative dehydrogenation (CL‐ODH) conditions, CeBiO</w:t>
      </w:r>
      <w:r>
        <w:t xml:space="preserve"> </w:t>
      </w:r>
      <w:r>
        <w:t>x</w:t>
      </w:r>
      <w:r>
        <w:t xml:space="preserve"> </w:t>
      </w:r>
      <w:r>
        <w:t>selectively oxidizes over 75% of the in‐situ generated H</w:t>
      </w:r>
      <w:r>
        <w:rPr>
          <w:vertAlign w:val="subscript"/>
        </w:rPr>
        <w:t>2</w:t>
      </w:r>
      <w:r>
        <w:t>, thereby effectively suppressing the formation of metallic Co</w:t>
      </w:r>
      <w:r>
        <w:rPr>
          <w:vertAlign w:val="subscript"/>
        </w:rPr>
        <w:t>0</w:t>
      </w:r>
      <w:r>
        <w:t>in Co/HZ. As a result, an ethane conversion of 40% and an ethylene selectivity exceeding 80% are achieved at 600°C, with stable performance maintained over 100 redox cycles. Pulse reaction experiments, semi in‐situ characterizations, and density functional theory (DFT) calculations collectively reveal that the selective oxidation of H</w:t>
      </w:r>
      <w:r>
        <w:rPr>
          <w:vertAlign w:val="subscript"/>
        </w:rPr>
        <w:t>2</w:t>
      </w:r>
      <w:r>
        <w:t>by CeBiO</w:t>
      </w:r>
      <w:r>
        <w:t xml:space="preserve"> </w:t>
      </w:r>
      <w:r>
        <w:t>x</w:t>
      </w:r>
      <w:r>
        <w:t xml:space="preserve"> </w:t>
      </w:r>
      <w:r>
        <w:t>inhibits the reduction of cobalt species to Co</w:t>
      </w:r>
      <w:r>
        <w:rPr>
          <w:vertAlign w:val="subscript"/>
        </w:rPr>
        <w:t>0</w:t>
      </w:r>
      <w:r>
        <w:t>, thereby mitigating coke formation and enhancing ethylene yield. By coupling an ethane dehydrogenation catalyst with a selective H</w:t>
      </w:r>
      <w:r>
        <w:rPr>
          <w:vertAlign w:val="subscript"/>
        </w:rPr>
        <w:t>2</w:t>
      </w:r>
      <w:r>
        <w:t>oxidation oxygen carrier, this work establishes a new paradigm for stabilizing active Co species in Co‐based ethane dehydrogenation systems and intensifying ethylene production.</w:t>
      </w:r>
    </w:p>
    <w:p>
      <w:pPr>
        <w:spacing w:before="120" w:after="120"/>
      </w:pPr>
      <w:r>
        <w:rPr>
          <w:sz w:val="18"/>
        </w:rPr>
        <w:t>——————————————————————————————————————————————————————————————————————</w:t>
      </w:r>
    </w:p>
    <w:p>
      <w:pPr>
        <w:spacing w:before="160" w:after="40" w:line="240" w:lineRule="auto"/>
      </w:pPr>
      <w:r>
        <w:rPr>
          <w:b/>
        </w:rPr>
        <w:t xml:space="preserve">[24] </w:t>
      </w:r>
      <w:hyperlink r:id="rId221">
        <w:r>
          <w:rPr>
            <w:color w:val="1155CC"/>
            <w:u w:val="single"/>
          </w:rPr>
          <w:t>三甲基膦稳定的(氰基)膦化物：多功能PCN转移试剂</w:t>
        </w:r>
      </w:hyperlink>
    </w:p>
    <w:p>
      <w:pPr>
        <w:spacing w:before="0" w:after="80"/>
      </w:pPr>
      <w:r>
        <w:rPr>
          <w:i/>
          <w:sz w:val="20"/>
        </w:rPr>
        <w:t>EN: Trimethylphosphine‐Stabilized (Cyano)Phosphinidene: A Versatile PCN Transfer Reagent</w:t>
      </w:r>
    </w:p>
    <w:p>
      <w:pPr>
        <w:spacing w:before="0" w:after="120"/>
      </w:pPr>
      <w:r>
        <w:rPr>
          <w:b/>
        </w:rPr>
        <w:t xml:space="preserve">Source: </w:t>
      </w:r>
      <w:r>
        <w:t>Wiley: Angewandte Chemie International Edition: Table of Contents</w:t>
      </w:r>
      <w:r>
        <w:t xml:space="preserve">    </w:t>
      </w:r>
      <w:r>
        <w:rPr>
          <w:b/>
        </w:rPr>
        <w:t xml:space="preserve">Pub date: </w:t>
      </w:r>
      <w:r>
        <w:t>2026-04-11 05:25:31+00:00</w:t>
      </w:r>
      <w:r>
        <w:t xml:space="preserve">    </w:t>
      </w:r>
      <w:r>
        <w:rPr>
          <w:b/>
        </w:rPr>
        <w:t xml:space="preserve">DOI: </w:t>
      </w:r>
      <w:hyperlink r:id="rId222">
        <w:r>
          <w:rPr>
            <w:color w:val="1155CC"/>
            <w:u w:val="single"/>
          </w:rPr>
          <w:t>10.1002/anie.8437242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含磷构建模块的发展对于主族元素化学中的高效合成方案至关重要。其中，PCN单元是构建功能分子框架的关键结构基元。虽然含阴离子PCN的物种已被广泛研究，但中性PCN分子的分离和利用仍然具有挑战性。在此，我们报道了一种简单的中性(氰基)磷化物加合物Me3P─PCN的合成方法，通过磷三氰化物与三甲基膦的简单反应实现。该方法适用于一系列三烷基膦，生成稳定的加合物R3P─PCN (R = Et,</w:t>
      </w:r>
    </w:p>
    <w:p>
      <w:pPr>
        <w:spacing w:before="0" w:after="200" w:lineRule="auto" w:line="276"/>
      </w:pPr>
      <w:r>
        <w:rPr>
          <w:b/>
        </w:rPr>
        <w:t xml:space="preserve">Abstract (EN): </w:t>
      </w:r>
      <w:r>
        <w:t>The development of phosphorus‐containing building blocks is crucial for efficient synthetic protocols in main group element chemistry. Among those, the PCN unit is a key structural motif for the construction of functional molecular frameworks. While anionic PCN‐containing species are well‐established, the isolation and utilization of neutral PCN molecules remain challenging. Herein, we report a straightforward synthesis of the neutral (cyano)phosphinidene adduct, Me</w:t>
      </w:r>
      <w:r>
        <w:rPr>
          <w:vertAlign w:val="subscript"/>
        </w:rPr>
        <w:t>3</w:t>
      </w:r>
      <w:r>
        <w:t>P─PCN, via the simple reaction of phosphorus tricyanide with trimethylphosphine. This methodology is general for a series of trialkylphosphines, yielding stable adducts R</w:t>
      </w:r>
      <w:r>
        <w:rPr>
          <w:vertAlign w:val="subscript"/>
        </w:rPr>
        <w:t>3</w:t>
      </w:r>
      <w:r>
        <w:t>P─PCN (R = Et,</w:t>
      </w:r>
      <w:r>
        <w:t xml:space="preserve"> </w:t>
      </w:r>
      <w:r>
        <w:t>n</w:t>
      </w:r>
      <w:r>
        <w:t xml:space="preserve"> </w:t>
      </w:r>
      <w:r>
        <w:t>Bu, Cy,</w:t>
      </w:r>
      <w:r>
        <w:t xml:space="preserve"> </w:t>
      </w:r>
      <w:r>
        <w:t>t</w:t>
      </w:r>
      <w:r>
        <w:t xml:space="preserve"> </w:t>
      </w:r>
      <w:r>
        <w:t>Bu). Comprehensive spectroscopic, structural, and computational studies of adduct Me</w:t>
      </w:r>
      <w:r>
        <w:rPr>
          <w:vertAlign w:val="subscript"/>
        </w:rPr>
        <w:t>3</w:t>
      </w:r>
      <w:r>
        <w:t>P─PCN confirm a polarized electron‐sharing P─P bond, with electron density shifted toward the Me</w:t>
      </w:r>
      <w:r>
        <w:rPr>
          <w:vertAlign w:val="subscript"/>
        </w:rPr>
        <w:t>3</w:t>
      </w:r>
      <w:r>
        <w:t>P moiety. Enabled by facile P─P bond cleavage, Me</w:t>
      </w:r>
      <w:r>
        <w:rPr>
          <w:vertAlign w:val="subscript"/>
        </w:rPr>
        <w:t>3</w:t>
      </w:r>
      <w:r>
        <w:t>P─PCN acts as an efficient and versatile PCN transfer reagent, providing access to diverse molecular architectures and opening new avenues for the integration of the PCN unit into complex systems.</w:t>
      </w:r>
    </w:p>
    <w:p>
      <w:pPr>
        <w:spacing w:before="120" w:after="120"/>
      </w:pPr>
      <w:r>
        <w:rPr>
          <w:sz w:val="18"/>
        </w:rPr>
        <w:t>——————————————————————————————————————————————————————————————————————</w:t>
      </w:r>
    </w:p>
    <w:p>
      <w:pPr>
        <w:spacing w:before="160" w:after="40" w:line="240" w:lineRule="auto"/>
      </w:pPr>
      <w:r>
        <w:rPr>
          <w:b/>
        </w:rPr>
        <w:t xml:space="preserve">[25] </w:t>
      </w:r>
      <w:hyperlink r:id="rId223">
        <w:r>
          <w:rPr>
            <w:color w:val="1155CC"/>
            <w:u w:val="single"/>
          </w:rPr>
          <w:t>潜在依赖的氧化表面相和界面水层是RuO2上高过电位和机制转换的基础</w:t>
        </w:r>
      </w:hyperlink>
    </w:p>
    <w:p>
      <w:pPr>
        <w:spacing w:before="0" w:after="80"/>
      </w:pPr>
      <w:r>
        <w:rPr>
          <w:i/>
          <w:sz w:val="20"/>
        </w:rPr>
        <w:t>EN: Potential‐Dependent Oxygenated Surface Phases and Interfacial Water Layers Underlie the High Overpotential and Mechanistic Switching of Oxygen Evolution on RuO2</w:t>
      </w:r>
    </w:p>
    <w:p>
      <w:pPr>
        <w:spacing w:before="0" w:after="120"/>
      </w:pPr>
      <w:r>
        <w:rPr>
          <w:b/>
        </w:rPr>
        <w:t xml:space="preserve">Source: </w:t>
      </w:r>
      <w:r>
        <w:t>Wiley: Angewandte Chemie International Edition: Table of Contents</w:t>
      </w:r>
      <w:r>
        <w:t xml:space="preserve">    </w:t>
      </w:r>
      <w:r>
        <w:rPr>
          <w:b/>
        </w:rPr>
        <w:t xml:space="preserve">Pub date: </w:t>
      </w:r>
      <w:r>
        <w:t>2026-04-11 05:26:37+00:00</w:t>
      </w:r>
      <w:r>
        <w:t xml:space="preserve">    </w:t>
      </w:r>
      <w:r>
        <w:rPr>
          <w:b/>
        </w:rPr>
        <w:t xml:space="preserve">DOI: </w:t>
      </w:r>
      <w:hyperlink r:id="rId224">
        <w:r>
          <w:rPr>
            <w:color w:val="1155CC"/>
            <w:u w:val="single"/>
          </w:rPr>
          <w:t>10.1002/anie.202521856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即使在最活跃的RuO2催化剂上，精确解读氧析出反应（OER）高过电位的内在起源仍然是电催化中的长期挑战。在此，通过详细阐明在OER相关电位下RuO2 (110)上的电极充电行为、氧化表面相和界面双层结构，以及通过从头算分子动力学模拟研究它们对反应路径和基本步骤能量学的影响，我们揭示了高过电位的产生是由于异常高的零电荷电位导致的显著表面负电荷，以及</w:t>
      </w:r>
    </w:p>
    <w:p>
      <w:pPr>
        <w:spacing w:before="0" w:after="200" w:lineRule="auto" w:line="276"/>
      </w:pPr>
      <w:r>
        <w:rPr>
          <w:b/>
        </w:rPr>
        <w:t xml:space="preserve">Abstract (EN): </w:t>
      </w:r>
      <w:r>
        <w:t>Precisely deciphering the intrinsic origin of the high overpotential for oxygen evolution reaction (OER), even on the most active RuO</w:t>
      </w:r>
      <w:r>
        <w:rPr>
          <w:vertAlign w:val="subscript"/>
        </w:rPr>
        <w:t>2</w:t>
      </w:r>
      <w:r>
        <w:t>catalysts, remains a long‐standing challenge in electrocatalysis. Herein, by meticulously elucidating the electrode charging behavior, oxygenated surface phases and interfacial double‐layer structures under OER‐relevant potentials on RuO</w:t>
      </w:r>
      <w:r>
        <w:rPr>
          <w:vertAlign w:val="subscript"/>
        </w:rPr>
        <w:t>2</w:t>
      </w:r>
      <w:r>
        <w:t>(110), together with their impact on reaction pathways and elementary‐step energetics through ab‐initio molecular dynamics simulations, we reveal that the high overpotential jointly arises from the pronounced surface negative charge, due to the unusually high potential of zero charge, and the excessive protonation of surface‐active *O at coordinatively unsaturated Ru sites (*O</w:t>
      </w:r>
      <w:r>
        <w:t xml:space="preserve"> </w:t>
      </w:r>
      <w:r>
        <w:t>CUS</w:t>
      </w:r>
      <w:r>
        <w:t xml:space="preserve"> </w:t>
      </w:r>
      <w:r>
        <w:t>) at low potentials (&amp;lt;1.60 V). This, on one hand, severely depletes active *O</w:t>
      </w:r>
      <w:r>
        <w:t xml:space="preserve"> </w:t>
      </w:r>
      <w:r>
        <w:t>CUS</w:t>
      </w:r>
      <w:r>
        <w:t xml:space="preserve"> </w:t>
      </w:r>
      <w:r>
        <w:t>intermediate, thereby suppressing the rate‐determining step (RDS) of oxide pathway mechanism (OPM), necessarily involving surface O─O coupling between two *O</w:t>
      </w:r>
      <w:r>
        <w:t xml:space="preserve"> </w:t>
      </w:r>
      <w:r>
        <w:t>CUS</w:t>
      </w:r>
      <w:r>
        <w:t xml:space="preserve"> </w:t>
      </w:r>
      <w:r>
        <w:t>via Langmuir‐Hinshelwood mechanism. On the other hand, it induces the dense, strongly hydrogen‐bonded interfacial water layer that, together with electrostatic repulsion, obstructs the essential water reorientation and approach for the RDS of adsorbate evolution mechanism (AEM), featuring incoming interfacial water to reorient and react with *O</w:t>
      </w:r>
      <w:r>
        <w:t xml:space="preserve"> </w:t>
      </w:r>
      <w:r>
        <w:t>CUS</w:t>
      </w:r>
      <w:r>
        <w:t xml:space="preserve"> </w:t>
      </w:r>
      <w:r>
        <w:t>via Eley‐Rideal‐like mechanism. Furthermore, a potential‐dependent mechanistic switching between AEM and OPM is identified, dictated by their distinct RDS natures and kinetic sensitivities.</w:t>
      </w:r>
    </w:p>
    <w:p>
      <w:pPr>
        <w:spacing w:before="120" w:after="120"/>
      </w:pPr>
      <w:r>
        <w:rPr>
          <w:sz w:val="18"/>
        </w:rPr>
        <w:t>——————————————————————————————————————————————————————————————————————</w:t>
      </w:r>
    </w:p>
    <w:p>
      <w:pPr>
        <w:spacing w:before="160" w:after="40" w:line="240" w:lineRule="auto"/>
      </w:pPr>
      <w:r>
        <w:rPr>
          <w:b/>
        </w:rPr>
        <w:t xml:space="preserve">[26] </w:t>
      </w:r>
      <w:hyperlink r:id="rId225">
        <w:r>
          <w:rPr>
            <w:color w:val="1155CC"/>
            <w:u w:val="single"/>
          </w:rPr>
          <w:t>通过钒依赖性氯过氧化物酶的隐性腈氧化物形成实现的异噁唑啉的生物催化合成</w:t>
        </w:r>
      </w:hyperlink>
    </w:p>
    <w:p>
      <w:pPr>
        <w:spacing w:before="0" w:after="80"/>
      </w:pPr>
      <w:r>
        <w:rPr>
          <w:i/>
          <w:sz w:val="20"/>
        </w:rPr>
        <w:t>EN: Biocatalytic Synthesis of Isoxazolines Enabled by Cryptic Nitrile Oxide Formation by a Vanadium‐Dependent Chloroperoxidase</w:t>
      </w:r>
    </w:p>
    <w:p>
      <w:pPr>
        <w:spacing w:before="0" w:after="120"/>
      </w:pPr>
      <w:r>
        <w:rPr>
          <w:b/>
        </w:rPr>
        <w:t xml:space="preserve">Source: </w:t>
      </w:r>
      <w:r>
        <w:t>Wiley: Angewandte Chemie International Edition: Table of Contents</w:t>
      </w:r>
      <w:r>
        <w:t xml:space="preserve">    </w:t>
      </w:r>
      <w:r>
        <w:rPr>
          <w:b/>
        </w:rPr>
        <w:t xml:space="preserve">Pub date: </w:t>
      </w:r>
      <w:r>
        <w:t>2026-04-11 05:28:07+00:00</w:t>
      </w:r>
      <w:r>
        <w:t xml:space="preserve">    </w:t>
      </w:r>
      <w:r>
        <w:rPr>
          <w:b/>
        </w:rPr>
        <w:t xml:space="preserve">DOI: </w:t>
      </w:r>
      <w:hyperlink r:id="rId226">
        <w:r>
          <w:rPr>
            <w:color w:val="1155CC"/>
            <w:u w:val="single"/>
          </w:rPr>
          <w:t>10.1002/anie.202524817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soxazoline是一类重要的杂环化合物，具有广泛的生物活性。获取Isoxazoline的最常见合成策略之一是通过腈氧化物和烯烃之间的氧化[3+2]环加成反应，该反应由起始醛肟的卤化引发，但目前的方法依赖于产生大量废物的有毒氧化剂，并且在很大程度上不适合生物应用。我们最近发现，钒依赖性卤过氧化酶（VHPO）类酶是原位生成腈氧化物的高效催化剂。在此，我们开发了一种化学酶法协议，用于将醛转化为腈氧化物，其特征是羟胺与起始醛的顺序缩合，后续</w:t>
      </w:r>
    </w:p>
    <w:p>
      <w:pPr>
        <w:spacing w:before="0" w:after="200" w:lineRule="auto" w:line="276"/>
      </w:pPr>
      <w:r>
        <w:rPr>
          <w:b/>
        </w:rPr>
        <w:t xml:space="preserve">Abstract (EN): </w:t>
      </w:r>
      <w:r>
        <w:t>Isoxazolines are an important class of heterocycles with a broad range of biological activities. One of the most prevalent synthetic strategies to access isoxazolines is through the oxidative [3+2] cycloaddition between nitrile oxides and alkenes initiated by halogenation of a starting aldoxime, but current methods rely on toxic oxidants that produce significant quantities of waste and are largely bioincompatible. We have recently discovered that the vanadium‐dependent haloperoxidase (VHPO) class of enzymes are efficient catalysts for the in situ generation of nitrile oxides. Herein, we have developed a chemoenzymatic protocol for the conversion of aldehydes to nitrile oxides that features a sequential condensation of hydroxylamine with a starting aldehyde, followed by oxidative [3+2] cycloaddition with alkenes enabled by VHPO‐catalyzed halogenation of aldoximes on a broad range of structurally diverse substrates in high yield and excellent chemoselectivity. The protocol is conducted on a gram scale, demonstrated using whole cells and cell lysate, and extended to isoxazole synthesis. Finally, this process is coupled to lipase‐mediated conversion of amines to oximes to generate isoxazolines.</w:t>
      </w:r>
    </w:p>
    <w:p>
      <w:pPr>
        <w:spacing w:before="120" w:after="120"/>
      </w:pPr>
      <w:r>
        <w:rPr>
          <w:sz w:val="18"/>
        </w:rPr>
        <w:t>——————————————————————————————————————————————————————————————————————</w:t>
      </w:r>
    </w:p>
    <w:p>
      <w:pPr>
        <w:spacing w:before="160" w:after="40" w:line="240" w:lineRule="auto"/>
      </w:pPr>
      <w:r>
        <w:rPr>
          <w:b/>
        </w:rPr>
        <w:t xml:space="preserve">[27] </w:t>
      </w:r>
      <w:hyperlink r:id="rId227">
        <w:r>
          <w:rPr>
            <w:color w:val="1155CC"/>
            <w:u w:val="single"/>
          </w:rPr>
          <w:t>动态氢键切换实现多刺激响应荧光的晶体转化</w:t>
        </w:r>
      </w:hyperlink>
    </w:p>
    <w:p>
      <w:pPr>
        <w:spacing w:before="0" w:after="80"/>
      </w:pPr>
      <w:r>
        <w:rPr>
          <w:i/>
          <w:sz w:val="20"/>
        </w:rPr>
        <w:t>EN: Dynamic Hydrogen‐Bonding Switching Enables Crystal Transformation for Multi‐Stimuli Responsive Fluorescence</w:t>
      </w:r>
    </w:p>
    <w:p>
      <w:pPr>
        <w:spacing w:before="0" w:after="120"/>
      </w:pPr>
      <w:r>
        <w:rPr>
          <w:b/>
        </w:rPr>
        <w:t xml:space="preserve">Source: </w:t>
      </w:r>
      <w:r>
        <w:t>Wiley: Angewandte Chemie International Edition: Table of Contents</w:t>
      </w:r>
      <w:r>
        <w:t xml:space="preserve">    </w:t>
      </w:r>
      <w:r>
        <w:rPr>
          <w:b/>
        </w:rPr>
        <w:t xml:space="preserve">Pub date: </w:t>
      </w:r>
      <w:r>
        <w:t>2026-04-11 07:10:53+00:00</w:t>
      </w:r>
      <w:r>
        <w:t xml:space="preserve">    </w:t>
      </w:r>
      <w:r>
        <w:rPr>
          <w:b/>
        </w:rPr>
        <w:t xml:space="preserve">DOI: </w:t>
      </w:r>
      <w:hyperlink r:id="rId228">
        <w:r>
          <w:rPr>
            <w:color w:val="1155CC"/>
            <w:u w:val="single"/>
          </w:rPr>
          <w:t>10.1002/anie.5691704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有机共晶体中控制固态结构转变以实现刺激响应发光仍然是一个持续的挑战。在此，我们开发了一系列共晶体系，通过动态氢键切换策略展示可逆晶体转变和刺激响应发光。三种构象适应性V形分子（26PY、35PY和13PH）既作为氢键供体又作为电子供体。含氧溶剂（H</w:t>
      </w:r>
      <w:r>
        <w:rPr>
          <w:vertAlign w:val="subscript"/>
        </w:rPr>
        <w:t>2</w:t>
      </w:r>
      <w:r>
        <w:t>O、DMF、DMSO）仅作为氢键受体，而1,2,4,5-四氰基苯（TCNB）或1,5-二硝基苯（DNB）既作为氢键受体又作为电子受体。对固体混合物进行机械研磨</w:t>
      </w:r>
    </w:p>
    <w:p>
      <w:pPr>
        <w:spacing w:before="0" w:after="200" w:lineRule="auto" w:line="276"/>
      </w:pPr>
      <w:r>
        <w:rPr>
          <w:b/>
        </w:rPr>
        <w:t xml:space="preserve">Abstract (EN): </w:t>
      </w:r>
      <w:r>
        <w:t>Controlling solid‐state structural transitions in organic cocrystals to achieve stimulus‐responsive luminescence remains an ongoing challenge. Herein, we have developed a series of cocrystal systems exhibiting reversible crystal transformation and stimulus‐responsive luminescence via a dynamic hydrogen‐bond switching strategy. Three conformationally adaptive V‐shaped molecules (26PY, 35PY, and 13PH) serve as both hydrogen‐bonding and electron donors. Oxygen‐containing solvents (H</w:t>
      </w:r>
      <w:r>
        <w:rPr>
          <w:vertAlign w:val="subscript"/>
        </w:rPr>
        <w:t>2</w:t>
      </w:r>
      <w:r>
        <w:t>O, DMF, DMSO) merely act as hydrogen‐bond acceptors, while 1,2,4,5‐tetracyanobenzene (TCNB) or 1,5‐dinitrobenzene (DNB) function as both hydrogen‐bonding and electron acceptors. Mechanical grinding of solid mixtures composed of electron donors and acceptors in weakly polar solvents allowed the donor to rapidly capture water, yielding a blue‐emitting hydrated intermediate. Thermal dehydration then triggered conformational adjustment of the donor, promoting binary cocrystal formation through newly established hydrogen bonds between electron donors and acceptors. Furthermore, the electron donor and acceptor can directly interact with DMF or DMSO to form a ternary cocrystal instead of forming hydrated crystals, as stronger hydrogen bonds are formed. More interestingly, the donor can also form cocrystals with many nitroaromatic compounds to exhibit dynamic fluorescence. Finally, we demonstrated the applicability of these cocrystals in sensing and multi‐level anti‐counterfeiting. This work opens up new avenues for the development of stimulus‐responsive cocrystals for smart materials.</w:t>
      </w:r>
    </w:p>
    <w:p>
      <w:pPr>
        <w:spacing w:before="120" w:after="120"/>
      </w:pPr>
      <w:r>
        <w:rPr>
          <w:sz w:val="18"/>
        </w:rPr>
        <w:t>——————————————————————————————————————————————————————————————————————</w:t>
      </w:r>
    </w:p>
    <w:p>
      <w:pPr>
        <w:spacing w:before="160" w:after="40" w:line="240" w:lineRule="auto"/>
      </w:pPr>
      <w:r>
        <w:rPr>
          <w:b/>
        </w:rPr>
        <w:t xml:space="preserve">[28] </w:t>
      </w:r>
      <w:hyperlink r:id="rId229">
        <w:r>
          <w:rPr>
            <w:color w:val="1155CC"/>
            <w:u w:val="single"/>
          </w:rPr>
          <w:t>超具成本效益且可扩展的亚胺基吸附剂，具有现场吸引和原位固定功能，用于在工业条件下高效捕获多种碘物种</w:t>
        </w:r>
      </w:hyperlink>
    </w:p>
    <w:p>
      <w:pPr>
        <w:spacing w:before="0" w:after="80"/>
      </w:pPr>
      <w:r>
        <w:rPr>
          <w:i/>
          <w:sz w:val="20"/>
        </w:rPr>
        <w:t>EN: Super Cost‐Effective and Scalable Imine‐Based Sorbent With Field Attraction and In Situ Fixation for Efficient Capture of Diverse Iodine Species under Industrial Conditions</w:t>
      </w:r>
    </w:p>
    <w:p>
      <w:pPr>
        <w:spacing w:before="0" w:after="120"/>
      </w:pPr>
      <w:r>
        <w:rPr>
          <w:b/>
        </w:rPr>
        <w:t xml:space="preserve">Source: </w:t>
      </w:r>
      <w:r>
        <w:t>Wiley: Advanced Materials: Table of Contents</w:t>
      </w:r>
      <w:r>
        <w:t xml:space="preserve">    </w:t>
      </w:r>
      <w:r>
        <w:rPr>
          <w:b/>
        </w:rPr>
        <w:t xml:space="preserve">Pub date: </w:t>
      </w:r>
      <w:r>
        <w:t>2026-04-11 07:21:49+00:00</w:t>
      </w:r>
      <w:r>
        <w:t xml:space="preserve">    </w:t>
      </w:r>
      <w:r>
        <w:rPr>
          <w:b/>
        </w:rPr>
        <w:t xml:space="preserve">DOI: </w:t>
      </w:r>
      <w:hyperlink r:id="rId230">
        <w:r>
          <w:rPr>
            <w:color w:val="1155CC"/>
            <w:u w:val="single"/>
          </w:rPr>
          <w:t>10.1002/adma.202522566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工业条件下（通常≥150°C，≥90%湿度），气态放射性碘对传统多孔吸附剂提出了巨大挑战，其中分子动能的增加和碘气溶胶的形成导致解吸和孔堵塞，显著降低了捕获能力。在此，我们提出了一种静电场吸引和原位封装的协同策略，并在一种基于亚胺的吸附剂IPIN‐P@MF中展示了其有效性。在该系统中，离子聚亚胺网络（IPIN）中的极化羧酸盐基团创造了一个强静电场用于定向碘吸引，而多个氮位点和富含羰基的添加剂通过</w:t>
      </w:r>
      <w:r>
        <w:t xml:space="preserve"> </w:t>
      </w:r>
      <w:r>
        <w:t>N</w:t>
      </w:r>
    </w:p>
    <w:p>
      <w:pPr>
        <w:spacing w:before="0" w:after="200" w:lineRule="auto" w:line="276"/>
      </w:pPr>
      <w:r>
        <w:rPr>
          <w:b/>
        </w:rPr>
        <w:t xml:space="preserve">Abstract (EN): </w:t>
      </w:r>
      <w:r>
        <w:t>Gaseous radioiodine under industrial conditions (typically ≥ 150 °C, ≥ 90% humidity) poses great challenges on conventional porous sorbents, where elevated molecular kinetic energy and iodine aerosol formation lead to desorption and pore blockage, resulting in a significant reduction in capture capacities. Here, we propose an electrostatic field attraction and in situ encapsulation synergistic strategy and demonstrate its effectiveness in an imine‐based adsorbent, IPIN‐P@MF. In this system, the polarized carboxylate groups in ionic polyimine network (IPIN) create a strong electrostatic field for directional iodine attraction, while multiple nitrogen sites and carbonyl‐rich additives enable chemical fixation through</w:t>
      </w:r>
      <w:r>
        <w:t xml:space="preserve"> </w:t>
      </w:r>
      <w:r>
        <w:t>N</w:t>
      </w:r>
      <w:r>
        <w:t xml:space="preserve"> </w:t>
      </w:r>
      <w:r>
        <w:t>‐methylation and complexation. This dual mechanism effectively addresses the limitations of conventional pore confinement approaches, allowing IPIN‐P@MF to achieve a record‐high dynamic I</w:t>
      </w:r>
      <w:r>
        <w:rPr>
          <w:vertAlign w:val="subscript"/>
        </w:rPr>
        <w:t>2</w:t>
      </w:r>
      <w:r>
        <w:t>uptake capacity of 160.7 wt.% at 150°C and 90% RH, and maintain filtration efficiency above 99.8% under simulated industrial conditions. The entire IPIN‐P@MF can be fabricated via solution processing under mild ambient conditions, offering remarkable cost‐effectiveness (0.126 USD per gram of iodine captured) and scalability (dimensions &amp;gt;1.8 meters), thereby providing a practical and scalable pathway for radioactive iodine abatement in nuclear off‑gas treatment and emergency response.</w:t>
      </w:r>
    </w:p>
    <w:p>
      <w:pPr>
        <w:spacing w:before="120" w:after="120"/>
      </w:pPr>
      <w:r>
        <w:rPr>
          <w:sz w:val="18"/>
        </w:rPr>
        <w:t>——————————————————————————————————————————————————————————————————————</w:t>
      </w:r>
    </w:p>
    <w:p>
      <w:pPr>
        <w:spacing w:before="160" w:after="40" w:line="240" w:lineRule="auto"/>
      </w:pPr>
      <w:r>
        <w:rPr>
          <w:b/>
        </w:rPr>
        <w:t xml:space="preserve">[29] </w:t>
      </w:r>
      <w:hyperlink r:id="rId231">
        <w:r>
          <w:rPr>
            <w:color w:val="1155CC"/>
            <w:u w:val="single"/>
          </w:rPr>
          <w:t>多功能谷胱甘肽通过偶极工程和氧化还原驱动的自愈合实现ISOS稳健的倒置钙钛矿太阳能电池</w:t>
        </w:r>
      </w:hyperlink>
    </w:p>
    <w:p>
      <w:pPr>
        <w:spacing w:before="0" w:after="80"/>
      </w:pPr>
      <w:r>
        <w:rPr>
          <w:i/>
          <w:sz w:val="20"/>
        </w:rPr>
        <w:t>EN: Multifunctional Glutathione Enables ISOS‐Robust Inverted Perovskite Solar Cells via Dipole Engineering and Redox‐Driven Self‐Healing</w:t>
      </w:r>
    </w:p>
    <w:p>
      <w:pPr>
        <w:spacing w:before="0" w:after="120"/>
      </w:pPr>
      <w:r>
        <w:rPr>
          <w:b/>
        </w:rPr>
        <w:t xml:space="preserve">Source: </w:t>
      </w:r>
      <w:r>
        <w:t>Wiley: Advanced Materials: Table of Contents</w:t>
      </w:r>
      <w:r>
        <w:t xml:space="preserve">    </w:t>
      </w:r>
      <w:r>
        <w:rPr>
          <w:b/>
        </w:rPr>
        <w:t xml:space="preserve">Pub date: </w:t>
      </w:r>
      <w:r>
        <w:t>2026-04-11 07:25:19+00:00</w:t>
      </w:r>
      <w:r>
        <w:t xml:space="preserve">    </w:t>
      </w:r>
      <w:r>
        <w:rPr>
          <w:b/>
        </w:rPr>
        <w:t xml:space="preserve">DOI: </w:t>
      </w:r>
      <w:hyperlink r:id="rId232">
        <w:r>
          <w:rPr>
            <w:color w:val="1155CC"/>
            <w:u w:val="single"/>
          </w:rPr>
          <w:t>10.1002/adma.73036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自组装单分子层（SAM）的倒置钙钛矿太阳能电池（PSCs）存在持续的效率-稳定性权衡问题，限制了其商业化。在此，我们提出了一种协同稳定策略，使用还原型谷胱甘肽（GSH）作为多功能添加剂，结合偶极调制和氧化还原驱动的自愈合。GSH实现了跨尺度调控：通过浓度梯度诱导界面偶极，通过Pb</w:t>
      </w:r>
      <w:r>
        <w:t xml:space="preserve"> </w:t>
      </w:r>
      <w:r>
        <w:t>2+</w:t>
      </w:r>
      <w:r>
        <w:t xml:space="preserve"> </w:t>
      </w:r>
      <w:r>
        <w:t>配位钝化体缺陷，优化结晶动力学，提供化学保护以抵御O</w:t>
      </w:r>
      <w:r>
        <w:rPr>
          <w:vertAlign w:val="subscript"/>
        </w:rPr>
        <w:t>2</w:t>
      </w:r>
      <w:r>
        <w:t>•</w:t>
      </w:r>
      <w:r>
        <w:t xml:space="preserve"> </w:t>
      </w:r>
      <w:r>
        <w:t>−</w:t>
      </w:r>
      <w:r>
        <w:t>和湿气，并建立GSH/氧化型g</w:t>
      </w:r>
    </w:p>
    <w:p>
      <w:pPr>
        <w:spacing w:before="0" w:after="200" w:lineRule="auto" w:line="276"/>
      </w:pPr>
      <w:r>
        <w:rPr>
          <w:b/>
        </w:rPr>
        <w:t xml:space="preserve">Abstract (EN): </w:t>
      </w:r>
      <w:r>
        <w:t>Self‐assembled monolayer (SAM)‐based inverted perovskite solar cells (PSCs) suffer from a persistent efficiency‐stability trade‐off issue, which limits their commercialization. Herein, we propose a synergistic stabilizing strategy using reduced glutathione (GSH) as a multifunctional additive, integrating dipole modulation and redox‐driven self‐healing. GSH enables cross‐scale regulation: inducing interfacial dipole via a concentration gradient, passivating bulk defects through Pb</w:t>
      </w:r>
      <w:r>
        <w:t xml:space="preserve"> </w:t>
      </w:r>
      <w:r>
        <w:t>2+</w:t>
      </w:r>
      <w:r>
        <w:t xml:space="preserve"> </w:t>
      </w:r>
      <w:r>
        <w:t>coordination, optimizing crystallization kinetics, providing chemical protection against O</w:t>
      </w:r>
      <w:r>
        <w:rPr>
          <w:vertAlign w:val="subscript"/>
        </w:rPr>
        <w:t>2</w:t>
      </w:r>
      <w:r>
        <w:t>•</w:t>
      </w:r>
      <w:r>
        <w:t xml:space="preserve"> </w:t>
      </w:r>
      <w:r>
        <w:t>−</w:t>
      </w:r>
      <w:r>
        <w:t>and moisture, and establishing a GSH/oxidized glutathione (GSSG)‐Ni</w:t>
      </w:r>
      <w:r>
        <w:t xml:space="preserve"> </w:t>
      </w:r>
      <w:r>
        <w:t>2+</w:t>
      </w:r>
      <w:r>
        <w:t xml:space="preserve"> </w:t>
      </w:r>
      <w:r>
        <w:t>/Ni</w:t>
      </w:r>
      <w:r>
        <w:t xml:space="preserve"> </w:t>
      </w:r>
      <w:r>
        <w:t>3+</w:t>
      </w:r>
      <w:r>
        <w:t xml:space="preserve"> </w:t>
      </w:r>
      <w:r>
        <w:t>redox cycle for self‐healing at the NiO</w:t>
      </w:r>
      <w:r>
        <w:t xml:space="preserve"> </w:t>
      </w:r>
      <w:r>
        <w:t>x</w:t>
      </w:r>
      <w:r>
        <w:t xml:space="preserve"> </w:t>
      </w:r>
      <w:r>
        <w:t>/SAM interface. Moreover, the interaction between GSSG and NiO</w:t>
      </w:r>
      <w:r>
        <w:t xml:space="preserve"> </w:t>
      </w:r>
      <w:r>
        <w:t>x</w:t>
      </w:r>
      <w:r>
        <w:t xml:space="preserve"> </w:t>
      </w:r>
      <w:r>
        <w:t>opens an additional hole transport channel, effectively suppressing device performance degradation induced by ultraviolet (UV) irradiation and thermally‐triggered cleavage of hydroxy groups in the SAM. Benefiting from the aforementioned advantages endowed by GSH, the small‐area cell (4 mm</w:t>
      </w:r>
      <w:r>
        <w:rPr>
          <w:vertAlign w:val="subscript"/>
        </w:rPr>
        <w:t>2</w:t>
      </w:r>
      <w:r>
        <w:t>) achieved a high efficiency of 26.17%, while the 12.50 cm</w:t>
      </w:r>
      <w:r>
        <w:rPr>
          <w:vertAlign w:val="subscript"/>
        </w:rPr>
        <w:t>2</w:t>
      </w:r>
      <w:r>
        <w:t>minimodule reached 23.14%—among the highest values reported for modules with comparable active areas. Target devices also exhibit exceptional ISOS (International Summit on Organic Photovoltaic Stability) protocols stability: retaining 69.8% (ISOS‐T‐1, 200 h), 91.0% (ISOS‐D‐1, 1056 h), and 78.44% (ISOS‐L‐2, 336 h) of their initial efficiency. This work breaks the efficiency‐stability trade‐off and offers a “dynamic regulation‐static protection” design principle for PSCs.</w:t>
      </w:r>
    </w:p>
    <w:p>
      <w:pPr>
        <w:spacing w:before="120" w:after="120"/>
      </w:pPr>
      <w:r>
        <w:rPr>
          <w:sz w:val="18"/>
        </w:rPr>
        <w:t>——————————————————————————————————————————————————————————————————————</w:t>
      </w:r>
    </w:p>
    <w:p>
      <w:pPr>
        <w:spacing w:before="160" w:after="40" w:line="240" w:lineRule="auto"/>
      </w:pPr>
      <w:r>
        <w:rPr>
          <w:b/>
        </w:rPr>
        <w:t xml:space="preserve">[30] </w:t>
      </w:r>
      <w:hyperlink r:id="rId233">
        <w:r>
          <w:rPr>
            <w:color w:val="1155CC"/>
            <w:u w:val="single"/>
          </w:rPr>
          <w:t>单位点镍锚定的光敏共价有机框架用于金属光催化C─S/C─N交叉偶联反应</w:t>
        </w:r>
      </w:hyperlink>
    </w:p>
    <w:p>
      <w:pPr>
        <w:spacing w:before="0" w:after="80"/>
      </w:pPr>
      <w:r>
        <w:rPr>
          <w:i/>
          <w:sz w:val="20"/>
        </w:rPr>
        <w:t>EN: Single‐Site Nickel‐Anchored Photosensitive Covalent Organic Framework for Metallaphotocatalytic C─S/C─N Cross‐Coupling Reactions</w:t>
      </w:r>
    </w:p>
    <w:p>
      <w:pPr>
        <w:spacing w:before="0" w:after="120"/>
      </w:pPr>
      <w:r>
        <w:rPr>
          <w:b/>
        </w:rPr>
        <w:t xml:space="preserve">Source: </w:t>
      </w:r>
      <w:r>
        <w:t>Wiley: Angewandte Chemie International Edition: Table of Contents</w:t>
      </w:r>
      <w:r>
        <w:t xml:space="preserve">    </w:t>
      </w:r>
      <w:r>
        <w:rPr>
          <w:b/>
        </w:rPr>
        <w:t xml:space="preserve">Pub date: </w:t>
      </w:r>
      <w:r>
        <w:t>2026-04-11 07:26:40+00:00</w:t>
      </w:r>
      <w:r>
        <w:t xml:space="preserve">    </w:t>
      </w:r>
      <w:r>
        <w:rPr>
          <w:b/>
        </w:rPr>
        <w:t xml:space="preserve">DOI: </w:t>
      </w:r>
      <w:hyperlink r:id="rId234">
        <w:r>
          <w:rPr>
            <w:color w:val="1155CC"/>
            <w:u w:val="single"/>
          </w:rPr>
          <w:t>10.1002/anie.8517866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功能异质催化剂的发展，同时在空间上紧密接近地承载光敏剂和非贵金属催化剂，代表了一种促进金属光氧化还原催化的有前途的解决方案，尽管仍然具有挑战性。在此，通过在三嗪基COF骨架中实施后合成金属化策略，构建了单位点Ni功能化光敏共价有机框架（COF），TTA-BPyDA(Ni)-COF。光敏剂和Ni催化活性中心在TTA-BPyDA(Ni)-COF中的精确整合不仅显著提高了在C─S/C─N交叉偶联反应中多种硫醇/胺和电子丰富/中性芳基碘化物的金属光催化（MPC）性能</w:t>
      </w:r>
    </w:p>
    <w:p>
      <w:pPr>
        <w:spacing w:before="0" w:after="200" w:lineRule="auto" w:line="276"/>
      </w:pPr>
      <w:r>
        <w:rPr>
          <w:b/>
        </w:rPr>
        <w:t xml:space="preserve">Abstract (EN): </w:t>
      </w:r>
      <w:r>
        <w:t>The development of multifunctionally heterogeneous catalysts, simultaneously bearing photosensitizer and nonnoble metal catalyst in close spatial proximity, represents a promising solution for promoting metallaphotoredox‐mediated catalysis, albeit it remains challenging. Herein, a single‐site Ni‐functionalized photosensitive covalent organic framework (COF), TTA‐BPyDA(Ni)‐COF, has been constructed by implementing a postsynthetic metallization strategy in a triazine‐based COF scaffold. The precise integration of photosensitizer and Ni‐catalytic active centers within TTA‐BPyDA(Ni)‐COF not only dramatically improves the metallaphotocatalytic (MPC) performance in C─S/C─N cross‐coupling reaction between diverse thiols/amines and aryl iodides with electron‐rich/neutral/deficient groups but also confers TTA‐BPyDA(Ni)‐COF with outstanding recyclability and durability compared with its homogeneous counterpart. Importantly, the MPC C─S/C─N reaction mechanisms have been well established by comprehensive experimental and theoretical simulations. This work offers valuable insights for developing single‐site nonnoble metal‐functionalized COF catalytic platforms that integrate photoredox centers with catalytic transition‐metal cores.</w:t>
      </w:r>
    </w:p>
    <w:p>
      <w:pPr>
        <w:spacing w:before="120" w:after="120"/>
      </w:pPr>
      <w:r>
        <w:rPr>
          <w:sz w:val="18"/>
        </w:rPr>
        <w:t>——————————————————————————————————————————————————————————————————————</w:t>
      </w:r>
    </w:p>
    <w:p>
      <w:pPr>
        <w:spacing w:before="160" w:after="40" w:line="240" w:lineRule="auto"/>
      </w:pPr>
      <w:r>
        <w:rPr>
          <w:b/>
        </w:rPr>
        <w:t xml:space="preserve">[31] </w:t>
      </w:r>
      <w:hyperlink r:id="rId235">
        <w:r>
          <w:rPr>
            <w:color w:val="1155CC"/>
            <w:u w:val="single"/>
          </w:rPr>
          <w:t>通过冠醚的共价接枝进行仿生通道功能化以实现选择性离子筛分</w:t>
        </w:r>
      </w:hyperlink>
    </w:p>
    <w:p>
      <w:pPr>
        <w:spacing w:before="0" w:after="80"/>
      </w:pPr>
      <w:r>
        <w:rPr>
          <w:i/>
          <w:sz w:val="20"/>
        </w:rPr>
        <w:t>EN: Bioinspired Channel Functionalization via Covalent Grafting of Crown Ethers for Selective Ion Sieving</w:t>
      </w:r>
    </w:p>
    <w:p>
      <w:pPr>
        <w:spacing w:before="0" w:after="120"/>
      </w:pPr>
      <w:r>
        <w:rPr>
          <w:b/>
        </w:rPr>
        <w:t xml:space="preserve">Source: </w:t>
      </w:r>
      <w:r>
        <w:t>Wiley: Angewandte Chemie International Edition: Table of Contents</w:t>
      </w:r>
      <w:r>
        <w:t xml:space="preserve">    </w:t>
      </w:r>
      <w:r>
        <w:rPr>
          <w:b/>
        </w:rPr>
        <w:t xml:space="preserve">Pub date: </w:t>
      </w:r>
      <w:r>
        <w:t>2026-04-11 07:28:41+00:00</w:t>
      </w:r>
      <w:r>
        <w:t xml:space="preserve">    </w:t>
      </w:r>
      <w:r>
        <w:rPr>
          <w:b/>
        </w:rPr>
        <w:t xml:space="preserve">DOI: </w:t>
      </w:r>
      <w:hyperlink r:id="rId236">
        <w:r>
          <w:rPr>
            <w:color w:val="1155CC"/>
            <w:u w:val="single"/>
          </w:rPr>
          <w:t>10.1002/anie.6642155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离子通道的超高离子选择性激发了高效离子分离材料的设计。模仿合成聚合物膜中的仿生结构和功能精度仍然具有挑战性。在此，我们提出了一种仿生设计策略，在离子通道内构建选择性结构，以实现高性能单价选择性阳离子交换膜（MSCEMs）。使用聚合物作为基质，冠醚作为功能单体，形成由“膜基质-冠醚识别位点”组成的协同传输通道。磺酸基团作为离子跳跃位点以维持高离子通量，而嵌入的冠醚提供尺寸匹配和配位选择性。</w:t>
      </w:r>
    </w:p>
    <w:p>
      <w:pPr>
        <w:spacing w:before="0" w:after="200" w:lineRule="auto" w:line="276"/>
      </w:pPr>
      <w:r>
        <w:rPr>
          <w:b/>
        </w:rPr>
        <w:t xml:space="preserve">Abstract (EN): </w:t>
      </w:r>
      <w:r>
        <w:t>The ultrahigh ion selectivity of biological ion channels inspires the design of high‐efficiency ion separation materials. Mimicking bionic structural and functional precision in synthetic polymer membranes remains challenging. Herein, we propose a bioinspired design strategy to construct selective structures within ion channels for high‐performance monovalent selective cation exchange membranes (MSCEMs). Using the polymer as a matrix and crown ethers as functional monomers to form a synergistic transport channel composed of a “membrane matrix‐crown ether recognition site” transport architecture. Sulfonic acid groups serve as ion hopping sites to sustain high ion flux, while embedded crown ethers provide size‐matched and coordination‐selective ion recognition. The optimal membrane exhibits selective ion transport in mixed salt systems (K</w:t>
      </w:r>
      <w:r>
        <w:t xml:space="preserve"> </w:t>
      </w:r>
      <w:r>
        <w:t>+</w:t>
      </w:r>
      <w:r>
        <w:t xml:space="preserve"> </w:t>
      </w:r>
      <w:r>
        <w:t>&amp;gt;Na</w:t>
      </w:r>
      <w:r>
        <w:t xml:space="preserve"> </w:t>
      </w:r>
      <w:r>
        <w:t>+</w:t>
      </w:r>
      <w:r>
        <w:t xml:space="preserve"> </w:t>
      </w:r>
      <w:r>
        <w:t>&amp;gt;Li</w:t>
      </w:r>
      <w:r>
        <w:t xml:space="preserve"> </w:t>
      </w:r>
      <w:r>
        <w:t>+</w:t>
      </w:r>
      <w:r>
        <w:t xml:space="preserve"> </w:t>
      </w:r>
      <w:r>
        <w:t>&amp;gt;&amp;gt;Mg</w:t>
      </w:r>
      <w:r>
        <w:t xml:space="preserve"> </w:t>
      </w:r>
      <w:r>
        <w:t>2+</w:t>
      </w:r>
      <w:r>
        <w:t xml:space="preserve"> </w:t>
      </w:r>
      <w:r>
        <w:t>) with excellent long‐term stability and scalability. The membranes were scaled up and integrated into an electrodialysis stack, enabling lithium extraction from simulated salt‐lake brines. This strategy establishes an internal channel functionalization paradigm for polymer membranes, providing a rational route toward advanced ion separation materials.</w:t>
      </w:r>
    </w:p>
    <w:p>
      <w:pPr>
        <w:spacing w:before="120" w:after="120"/>
      </w:pPr>
      <w:r>
        <w:rPr>
          <w:sz w:val="18"/>
        </w:rPr>
        <w:t>——————————————————————————————————————————————————————————————————————</w:t>
      </w:r>
    </w:p>
    <w:p>
      <w:pPr>
        <w:spacing w:before="160" w:after="40" w:line="240" w:lineRule="auto"/>
      </w:pPr>
      <w:r>
        <w:rPr>
          <w:b/>
        </w:rPr>
        <w:t xml:space="preserve">[32] </w:t>
      </w:r>
      <w:hyperlink r:id="rId237">
        <w:r>
          <w:rPr>
            <w:color w:val="1155CC"/>
            <w:u w:val="single"/>
          </w:rPr>
          <w:t>Nut[6]芳烃的选择性π-金属化与大而手性的空腔用于水中对大体积阴离子的识别</w:t>
        </w:r>
      </w:hyperlink>
    </w:p>
    <w:p>
      <w:pPr>
        <w:spacing w:before="0" w:after="80"/>
      </w:pPr>
      <w:r>
        <w:rPr>
          <w:i/>
          <w:sz w:val="20"/>
        </w:rPr>
        <w:t>EN: Selective π‑Metalation of Nut[6]Arene With Large and Chiral Cavity for Recognition Toward Bulky Anions in Water</w:t>
      </w:r>
    </w:p>
    <w:p>
      <w:pPr>
        <w:spacing w:before="0" w:after="120"/>
      </w:pPr>
      <w:r>
        <w:rPr>
          <w:b/>
        </w:rPr>
        <w:t xml:space="preserve">Source: </w:t>
      </w:r>
      <w:r>
        <w:t>Wiley: Angewandte Chemie International Edition: Table of Contents</w:t>
      </w:r>
      <w:r>
        <w:t xml:space="preserve">    </w:t>
      </w:r>
      <w:r>
        <w:rPr>
          <w:b/>
        </w:rPr>
        <w:t xml:space="preserve">Pub date: </w:t>
      </w:r>
      <w:r>
        <w:t>2026-04-11 07:34:31+00:00</w:t>
      </w:r>
      <w:r>
        <w:t xml:space="preserve">    </w:t>
      </w:r>
      <w:r>
        <w:rPr>
          <w:b/>
        </w:rPr>
        <w:t xml:space="preserve">DOI: </w:t>
      </w:r>
      <w:hyperlink r:id="rId238">
        <w:r>
          <w:rPr>
            <w:color w:val="1155CC"/>
            <w:u w:val="single"/>
          </w:rPr>
          <w:t>10.1002/anie.8615675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而稳定的手性空腔的宏环芳烃（MAs）的选择性π-金属化仍然是一个相当大的挑战。因此，π-金属化MAs对体积大的阴离子，特别是有机和手性阴离子的识别具有吸引力，但尚未被探索。在这项工作中，报道了一种新的宏环芳烃，命名为nut[6]arene（NA），其显示出刚性的六边形结构和稳定的手性空腔。从NA开始，选择性合成了一系列π-金属化MAs。特别是，exo-三金属化NA（NA-3Ru-I）</w:t>
      </w:r>
    </w:p>
    <w:p>
      <w:pPr>
        <w:spacing w:before="0" w:after="200" w:lineRule="auto" w:line="276"/>
      </w:pPr>
      <w:r>
        <w:rPr>
          <w:b/>
        </w:rPr>
        <w:t xml:space="preserve">Abstract (EN): </w:t>
      </w:r>
      <w:r>
        <w:t>Selective π‐metalation of macrocyclic arenes (MAs) featuring large and stable chiral cavities remains a considerable challenge. Consequently, the recognition of the π‐metalated MAs toward bulky anions, especially organic and chiral anions, is attractive but remains unexplored. In this work, a new macrocyclic arene named nut[6]arene (</w:t>
      </w:r>
      <w:r>
        <w:t xml:space="preserve"> </w:t>
      </w:r>
      <w:r>
        <w:t>NA</w:t>
      </w:r>
      <w:r>
        <w:t xml:space="preserve"> </w:t>
      </w:r>
      <w:r>
        <w:t>) was reported, which showed a rigid hexagonal structure and stable chiral cavity. Starting from</w:t>
      </w:r>
      <w:r>
        <w:t xml:space="preserve"> </w:t>
      </w:r>
      <w:r>
        <w:t>NA</w:t>
      </w:r>
      <w:r>
        <w:t xml:space="preserve"> </w:t>
      </w:r>
      <w:r>
        <w:t>, a series of π‐metalated MAs were selectively synthesized. In particular,</w:t>
      </w:r>
      <w:r>
        <w:t xml:space="preserve"> </w:t>
      </w:r>
      <w:r>
        <w:t>exo</w:t>
      </w:r>
      <w:r>
        <w:t xml:space="preserve"> </w:t>
      </w:r>
      <w:r>
        <w:t>‐tri‐metalated</w:t>
      </w:r>
      <w:r>
        <w:t xml:space="preserve"> </w:t>
      </w:r>
      <w:r>
        <w:t>NA</w:t>
      </w:r>
      <w:r>
        <w:t xml:space="preserve"> </w:t>
      </w:r>
      <w:r>
        <w:t>(</w:t>
      </w:r>
      <w:r>
        <w:t xml:space="preserve"> </w:t>
      </w:r>
      <w:r>
        <w:t>NA‐3Ru‐I</w:t>
      </w:r>
      <w:r>
        <w:t xml:space="preserve"> </w:t>
      </w:r>
      <w:r>
        <w:t>) with a</w:t>
      </w:r>
      <w:r>
        <w:t xml:space="preserve"> </w:t>
      </w:r>
      <w:r>
        <w:t>C</w:t>
      </w:r>
      <w:r>
        <w:rPr>
          <w:vertAlign w:val="subscript"/>
        </w:rPr>
        <w:t>3</w:t>
      </w:r>
      <w:r>
        <w:t>symmetrical structure was selectively obtained in high yields by the modulation of ligand sterics, molar ratio, and reaction temperature, which showed a large and electron‐deficient cavity. Consequently, water‐soluble</w:t>
      </w:r>
      <w:r>
        <w:t xml:space="preserve"> </w:t>
      </w:r>
      <w:r>
        <w:t>NA‐3Ru‐II</w:t>
      </w:r>
      <w:r>
        <w:t xml:space="preserve"> </w:t>
      </w:r>
      <w:r>
        <w:t>could effectively bind large inorganic anions, including ReO</w:t>
      </w:r>
      <w:r>
        <w:rPr>
          <w:vertAlign w:val="subscript"/>
        </w:rPr>
        <w:t>4</w:t>
      </w:r>
      <w:r>
        <w:t>−</w:t>
      </w:r>
      <w:r>
        <w:t>and PF</w:t>
      </w:r>
      <w:r>
        <w:rPr>
          <w:vertAlign w:val="subscript"/>
        </w:rPr>
        <w:t>6</w:t>
      </w:r>
      <w:r>
        <w:t>−</w:t>
      </w:r>
      <w:r>
        <w:t>to form 1:1 stable host‐guest complexes. Especially,</w:t>
      </w:r>
      <w:r>
        <w:t xml:space="preserve"> </w:t>
      </w:r>
      <w:r>
        <w:t>NA‐3Ru‐II</w:t>
      </w:r>
      <w:r>
        <w:t xml:space="preserve"> </w:t>
      </w:r>
      <w:r>
        <w:t>showed strong binding abilities toward various organic sulfonate anions and carboxylate anions. Moreover, a pair of enantiomeric</w:t>
      </w:r>
      <w:r>
        <w:t xml:space="preserve"> </w:t>
      </w:r>
      <w:r>
        <w:t>NA‐3Ru‐II</w:t>
      </w:r>
      <w:r>
        <w:t xml:space="preserve"> </w:t>
      </w:r>
      <w:r>
        <w:t>was also obtained, and they exhibited enantioselective recognitions for chiral anionic guests in aqueous solution, providing a new chiral platform for anion recognition.</w:t>
      </w:r>
    </w:p>
    <w:p>
      <w:pPr>
        <w:spacing w:before="120" w:after="120"/>
      </w:pPr>
      <w:r>
        <w:rPr>
          <w:sz w:val="18"/>
        </w:rPr>
        <w:t>——————————————————————————————————————————————————————————————————————</w:t>
      </w:r>
    </w:p>
    <w:p>
      <w:pPr>
        <w:spacing w:before="160" w:after="40" w:line="240" w:lineRule="auto"/>
      </w:pPr>
      <w:r>
        <w:rPr>
          <w:b/>
        </w:rPr>
        <w:t xml:space="preserve">[33] </w:t>
      </w:r>
      <w:hyperlink r:id="rId239">
        <w:r>
          <w:rPr>
            <w:color w:val="1155CC"/>
            <w:u w:val="single"/>
          </w:rPr>
          <w:t>手性镝单分子磁体显示圆偏振发光和磁手性二色性</w:t>
        </w:r>
      </w:hyperlink>
    </w:p>
    <w:p>
      <w:pPr>
        <w:spacing w:before="0" w:after="80"/>
      </w:pPr>
      <w:r>
        <w:rPr>
          <w:i/>
          <w:sz w:val="20"/>
        </w:rPr>
        <w:t>EN: Chiral Dysprosium Single‐Molecule Magnets Displaying Circular Polarized Luminescence and Magneto‐Chiral Dichroism</w:t>
      </w:r>
    </w:p>
    <w:p>
      <w:pPr>
        <w:spacing w:before="0" w:after="120"/>
      </w:pPr>
      <w:r>
        <w:rPr>
          <w:b/>
        </w:rPr>
        <w:t xml:space="preserve">Source: </w:t>
      </w:r>
      <w:r>
        <w:t>Wiley: Angewandte Chemie International Edition: Table of Contents</w:t>
      </w:r>
      <w:r>
        <w:t xml:space="preserve">    </w:t>
      </w:r>
      <w:r>
        <w:rPr>
          <w:b/>
        </w:rPr>
        <w:t xml:space="preserve">Pub date: </w:t>
      </w:r>
      <w:r>
        <w:t>2026-04-11 07:35:50+00:00</w:t>
      </w:r>
      <w:r>
        <w:t xml:space="preserve">    </w:t>
      </w:r>
      <w:r>
        <w:rPr>
          <w:b/>
        </w:rPr>
        <w:t xml:space="preserve">DOI: </w:t>
      </w:r>
      <w:hyperlink r:id="rId240">
        <w:r>
          <w:rPr>
            <w:color w:val="1155CC"/>
            <w:u w:val="single"/>
          </w:rPr>
          <w:t>10.1002/anie.2565905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单分子磁体（SMM）行为与手性光学和磁-（手性）光学性质的结合，允许制备对光和磁场响应的功能材料。在此，我们报道了一种新型的对映纯手性镧系（Ln）SMMs，源自[Ln(bbpen)]+骨架（bbpen = N,N′-双（2-羟基苄基）-N,N′-双（2-甲基吡啶基）乙二胺），其配方为[Dy(bbpen)((1S,2S)/(1R,2</w:t>
      </w:r>
    </w:p>
    <w:p>
      <w:pPr>
        <w:spacing w:before="0" w:after="200" w:lineRule="auto" w:line="276"/>
      </w:pPr>
      <w:r>
        <w:rPr>
          <w:b/>
        </w:rPr>
        <w:t xml:space="preserve">Abstract (EN): </w:t>
      </w:r>
      <w:r>
        <w:t>The combination of single‐molecule magnet (SMM) behavior with chiroptical and magneto‐(chiro)optical properties allows for the preparation of functional materials responsive to light and magnetic fields. Herein, we report on novel enantiopure chiral lanthanide (Ln) SMMs derived from the [Ln(bbpen)]</w:t>
      </w:r>
      <w:r>
        <w:t xml:space="preserve"> </w:t>
      </w:r>
      <w:r>
        <w:t>+</w:t>
      </w:r>
      <w:r>
        <w:t xml:space="preserve"> </w:t>
      </w:r>
      <w:r>
        <w:t>scaffold (bbpen = N,N′‐bis(2‐hydroxybenzyl)‐N,N′‐bis(2‐methylpyridyl)ethylenediamine), formulated as [Dy(bbpen)((1</w:t>
      </w:r>
      <w:r>
        <w:t xml:space="preserve"> </w:t>
      </w:r>
      <w:r>
        <w:t>S</w:t>
      </w:r>
      <w:r>
        <w:t xml:space="preserve"> </w:t>
      </w:r>
      <w:r>
        <w:t>,2</w:t>
      </w:r>
      <w:r>
        <w:t xml:space="preserve"> </w:t>
      </w:r>
      <w:r>
        <w:t>S</w:t>
      </w:r>
      <w:r>
        <w:t xml:space="preserve"> </w:t>
      </w:r>
      <w:r>
        <w:t>)/(1</w:t>
      </w:r>
      <w:r>
        <w:t xml:space="preserve"> </w:t>
      </w:r>
      <w:r>
        <w:t>R</w:t>
      </w:r>
      <w:r>
        <w:t xml:space="preserve"> </w:t>
      </w:r>
      <w:r>
        <w:t>,2</w:t>
      </w:r>
      <w:r>
        <w:t xml:space="preserve"> </w:t>
      </w:r>
      <w:r>
        <w:t>R</w:t>
      </w:r>
      <w:r>
        <w:t xml:space="preserve"> </w:t>
      </w:r>
      <w:r>
        <w:t>)‐</w:t>
      </w:r>
      <w:r>
        <w:t xml:space="preserve"> </w:t>
      </w:r>
      <w:r>
        <w:t>chxn</w:t>
      </w:r>
      <w:r>
        <w:t xml:space="preserve"> </w:t>
      </w:r>
      <w:r>
        <w:t>)](BPh</w:t>
      </w:r>
      <w:r>
        <w:rPr>
          <w:vertAlign w:val="subscript"/>
        </w:rPr>
        <w:t>4</w:t>
      </w:r>
      <w:r>
        <w:t>) (</w:t>
      </w:r>
      <w:r>
        <w:t xml:space="preserve"> </w:t>
      </w:r>
      <w:r>
        <w:t>Dy‐</w:t>
      </w:r>
      <w:r>
        <w:t xml:space="preserve"> </w:t>
      </w:r>
      <w:r>
        <w:t>S</w:t>
      </w:r>
      <w:r>
        <w:t xml:space="preserve"> </w:t>
      </w:r>
      <w:r>
        <w:t>/</w:t>
      </w:r>
      <w:r>
        <w:t>R</w:t>
      </w:r>
      <w:r>
        <w:t xml:space="preserve"> </w:t>
      </w:r>
      <w:r>
        <w:t>) (</w:t>
      </w:r>
      <w:r>
        <w:t xml:space="preserve"> </w:t>
      </w:r>
      <w:r>
        <w:t>chxn</w:t>
      </w:r>
      <w:r>
        <w:t xml:space="preserve"> </w:t>
      </w:r>
      <w:r>
        <w:t>= 1,2‐diaminocyclohexane). These chiral complexes exhibit SMM behavior associated with effective energy barriers over 800 K and strong room‐temperature NCD and MCD responses, as evidenced by the</w:t>
      </w:r>
      <w:r>
        <w:t xml:space="preserve"> </w:t>
      </w:r>
      <w:r>
        <w:t>g</w:t>
      </w:r>
      <w:r>
        <w:t xml:space="preserve"> </w:t>
      </w:r>
      <w:r>
        <w:t>NCD</w:t>
      </w:r>
      <w:r>
        <w:t xml:space="preserve"> </w:t>
      </w:r>
      <w:r>
        <w:t>and</w:t>
      </w:r>
      <w:r>
        <w:t xml:space="preserve"> </w:t>
      </w:r>
      <w:r>
        <w:t>g</w:t>
      </w:r>
      <w:r>
        <w:t xml:space="preserve"> </w:t>
      </w:r>
      <w:r>
        <w:t>MCD</w:t>
      </w:r>
      <w:r>
        <w:t xml:space="preserve"> </w:t>
      </w:r>
      <w:r>
        <w:t>dissymmetry factors. CPL measurements at room temperature reveal |</w:t>
      </w:r>
      <w:r>
        <w:t xml:space="preserve"> </w:t>
      </w:r>
      <w:r>
        <w:t>g</w:t>
      </w:r>
      <w:r>
        <w:t xml:space="preserve"> </w:t>
      </w:r>
      <w:r>
        <w:t>lum</w:t>
      </w:r>
      <w:r>
        <w:t xml:space="preserve"> </w:t>
      </w:r>
      <w:r>
        <w:t>| values of 0.23(2) for the</w:t>
      </w:r>
      <w:r>
        <w:rPr>
          <w:vertAlign w:val="subscript"/>
        </w:rPr>
        <w:t>4</w:t>
      </w:r>
      <w:r>
        <w:t>F</w:t>
      </w:r>
      <w:r>
        <w:t xml:space="preserve"> </w:t>
      </w:r>
      <w:r>
        <w:t>9/2</w:t>
      </w:r>
      <w:r>
        <w:t xml:space="preserve"> </w:t>
      </w:r>
      <w:r>
        <w:t>→</w:t>
      </w:r>
      <w:r>
        <w:rPr>
          <w:vertAlign w:val="subscript"/>
        </w:rPr>
        <w:t>6</w:t>
      </w:r>
      <w:r>
        <w:t>H</w:t>
      </w:r>
      <w:r>
        <w:t xml:space="preserve"> </w:t>
      </w:r>
      <w:r>
        <w:t>11/2</w:t>
      </w:r>
      <w:r>
        <w:t xml:space="preserve"> </w:t>
      </w:r>
      <w:r>
        <w:t>magnetic dipole‐allowed transition, setting a new record value in the realm of chiral SMMs. Furthermore, variable‐temperature and variable‐field MChD spectroscopy measurements reveal among the strongest magneto‐chiral optical responses reported so far for Dy</w:t>
      </w:r>
      <w:r>
        <w:t xml:space="preserve"> </w:t>
      </w:r>
      <w:r>
        <w:t>III</w:t>
      </w:r>
      <w:r>
        <w:t xml:space="preserve"> </w:t>
      </w:r>
      <w:r>
        <w:t>chiral complexes, despite the electric‐dipole induced nature of the Dy</w:t>
      </w:r>
      <w:r>
        <w:t xml:space="preserve"> </w:t>
      </w:r>
      <w:r>
        <w:t>III</w:t>
      </w:r>
      <w:r>
        <w:t xml:space="preserve"> </w:t>
      </w:r>
      <w:r>
        <w:t>f‐f</w:t>
      </w:r>
      <w:r>
        <w:t xml:space="preserve"> </w:t>
      </w:r>
      <w:r>
        <w:t>electronic transitions. Dynamic MChD measurement at low temperature allowed us to optically trace the magnetic hysteresis cycles for both enantiomers and for different electronic transitions. Overall, this study establishes the bbpen scaffold as an ideal building block for the preparation of multifunctional materials and open great perspectives for the preparation of novel chiral materials with enhanced magneto‐(chiro)optical responses by chemical design.</w:t>
      </w:r>
    </w:p>
    <w:p>
      <w:pPr>
        <w:spacing w:before="120" w:after="120"/>
      </w:pPr>
      <w:r>
        <w:rPr>
          <w:sz w:val="18"/>
        </w:rPr>
        <w:t>——————————————————————————————————————————————————————————————————————</w:t>
      </w:r>
    </w:p>
    <w:p>
      <w:pPr>
        <w:spacing w:before="160" w:after="40" w:line="240" w:lineRule="auto"/>
      </w:pPr>
      <w:r>
        <w:rPr>
          <w:b/>
        </w:rPr>
        <w:t xml:space="preserve">[34] </w:t>
      </w:r>
      <w:hyperlink r:id="rId241">
        <w:r>
          <w:rPr>
            <w:color w:val="1155CC"/>
            <w:u w:val="single"/>
          </w:rPr>
          <w:t>[ASAP] 扩散介导的耐用高熵硫化物纳米晶体合成：勒夏特列驱动和电子构型效应</w:t>
        </w:r>
      </w:hyperlink>
    </w:p>
    <w:p>
      <w:pPr>
        <w:spacing w:before="0" w:after="80"/>
      </w:pPr>
      <w:r>
        <w:rPr>
          <w:i/>
          <w:sz w:val="20"/>
        </w:rPr>
        <w:t>EN: [ASAP] Diffusion-Mediated Synthesis of Durable High-Entropy Sulfide Nanocrystals: Le Chatelier-Driven and Electron Configuration Effects</w:t>
      </w:r>
    </w:p>
    <w:p>
      <w:pPr>
        <w:spacing w:before="0" w:after="120"/>
      </w:pPr>
      <w:r>
        <w:rPr>
          <w:b/>
        </w:rPr>
        <w:t xml:space="preserve">Source: </w:t>
      </w:r>
      <w:r>
        <w:t>Journal of the American Chemical Society: Latest Articles (ACS Publications)</w:t>
      </w:r>
      <w:r>
        <w:t xml:space="preserve">    </w:t>
      </w:r>
      <w:r>
        <w:rPr>
          <w:b/>
        </w:rPr>
        <w:t xml:space="preserve">Pub date: </w:t>
      </w:r>
      <w:r>
        <w:t>2026-04-11 13:18:45+00:00</w:t>
      </w:r>
      <w:r>
        <w:t xml:space="preserve">    </w:t>
      </w:r>
      <w:r>
        <w:rPr>
          <w:b/>
        </w:rPr>
        <w:t xml:space="preserve">DOI: </w:t>
      </w:r>
      <w:hyperlink r:id="rId242">
        <w:r>
          <w:rPr>
            <w:color w:val="1155CC"/>
            <w:u w:val="single"/>
          </w:rPr>
          <w:t>10.1021/jacs.6c02607</w:t>
        </w:r>
      </w:hyperlink>
    </w:p>
    <w:p>
      <w:pPr>
        <w:spacing w:before="0" w:after="120"/>
      </w:pPr>
      <w:r>
        <w:rPr>
          <w:b/>
        </w:rPr>
        <w:t xml:space="preserve">Notes: </w:t>
      </w:r>
      <w:r>
        <w:t>abstract_source=openalex</w:t>
      </w:r>
    </w:p>
    <w:p>
      <w:pPr>
        <w:spacing w:before="0" w:after="80" w:lineRule="auto" w:line="276"/>
      </w:pPr>
      <w:r>
        <w:rPr>
          <w:b/>
        </w:rPr>
        <w:t xml:space="preserve">摘要（ZH）: </w:t>
      </w:r>
      <w:r>
        <w:t>对高熵陶瓷纳米晶体（HEC NCs）微结构的精确控制扩大了其新兴应用。由于元素差异引起的不相容性挑战需要极端反应条件，尽管以可控性为代价。在此，我们展示了在ZnS NCs中通过扩散介导的气相阳离子交换（DGCE）在温和条件下实现高熵硫化物纳米晶体（HES NCs）的精确结构调控。该过程由ZnCl2的去除驱动，根据勒夏特列原理改变平衡以促进阳离子扩散。关键是，扩散动力学由磁性和电子重组控制，其中阳离子经历自旋重新定向或电子转移（例如，Fe2+，Co2+</w:t>
      </w:r>
    </w:p>
    <w:p>
      <w:pPr>
        <w:spacing w:before="0" w:after="200" w:lineRule="auto" w:line="276"/>
      </w:pPr>
      <w:r>
        <w:rPr>
          <w:b/>
        </w:rPr>
        <w:t xml:space="preserve">Abstract (EN): </w:t>
      </w:r>
      <w:r>
        <w:t>Precise control over the microstructures of high-entropy ceramic nanocrystals (HEC NCs) has expanded their emerging applications. The immiscibility challenges arising from elemental differences necessitate extreme reaction conditions, albeit at the expense of controllability. Here, we demonstrate that diffusion-mediated gas-phase cation exchange (DGCE) within ZnS NCs achieves precise structural regulation in high-entropy sulfide nanocrystals (HES NCs) under mild conditions. This process is driven by the removal of ZnCl2, which shifts the equilibrium according to Le Chatelier’s principle to facilitate cation diffusion. Critically, the diffusion kinetics are governed by magnetic and electronic reorganization, whereby cations undergoing spin reorientation or electron transfer (e.g., Fe2+, Co2+, Ni2+) encounter higher activation energies, while those devoid of such coupling (e.g., Cu+, Cd2+) diffuse more readily. Harnessing this mechanism enables the deliberate engineering of HES NCs with tailored dimensions, compositions, phases, and local structures. The resulting HES NCs exhibit superior thermal, electrochemical, and device stability. An anion-exchange membrane water electrolyzer incorporating Fe0.21Co0.19Ni0.17Cu0.38Zn0.24S nanoparticles (NPs) achieves 1 A cm–2 at 1.74 V and stable operation for over 1500 h. This work provides fundamental insights into the controlled synthesis of HEC NCs with implications for diverse fields.</w:t>
      </w:r>
    </w:p>
    <w:p>
      <w:pPr>
        <w:spacing w:before="120" w:after="120"/>
      </w:pPr>
      <w:r>
        <w:rPr>
          <w:sz w:val="18"/>
        </w:rPr>
        <w:t>——————————————————————————————————————————————————————————————————————</w:t>
      </w:r>
    </w:p>
    <w:p>
      <w:pPr>
        <w:spacing w:before="160" w:after="40" w:line="240" w:lineRule="auto"/>
      </w:pPr>
      <w:r>
        <w:rPr>
          <w:b/>
        </w:rPr>
        <w:t xml:space="preserve">[35] </w:t>
      </w:r>
      <w:hyperlink r:id="rId243">
        <w:r>
          <w:rPr>
            <w:color w:val="1155CC"/>
            <w:u w:val="single"/>
          </w:rPr>
          <w:t>[ASAP] 位点特异性修饰的环状核糖核酸作为低免疫原性的多靶点miRNA海绵</w:t>
        </w:r>
      </w:hyperlink>
    </w:p>
    <w:p>
      <w:pPr>
        <w:spacing w:before="0" w:after="80"/>
      </w:pPr>
      <w:r>
        <w:rPr>
          <w:i/>
          <w:sz w:val="20"/>
        </w:rPr>
        <w:t>EN: [ASAP] Site-Specifically Modified Circular Ribonucleic Acid Serves as Multitarget miRNA Sponge with Low Immunogenicity</w:t>
      </w:r>
    </w:p>
    <w:p>
      <w:pPr>
        <w:spacing w:before="0" w:after="120"/>
      </w:pPr>
      <w:r>
        <w:rPr>
          <w:b/>
        </w:rPr>
        <w:t xml:space="preserve">Source: </w:t>
      </w:r>
      <w:r>
        <w:t>Journal of the American Chemical Society: Latest Articles (ACS Publications)</w:t>
      </w:r>
      <w:r>
        <w:t xml:space="preserve">    </w:t>
      </w:r>
      <w:r>
        <w:rPr>
          <w:b/>
        </w:rPr>
        <w:t xml:space="preserve">Pub date: </w:t>
      </w:r>
      <w:r>
        <w:t>2026-04-11 13:19:44+00:00</w:t>
      </w:r>
      <w:r>
        <w:t xml:space="preserve">    </w:t>
      </w:r>
      <w:r>
        <w:rPr>
          <w:b/>
        </w:rPr>
        <w:t xml:space="preserve">DOI: </w:t>
      </w:r>
      <w:hyperlink r:id="rId244">
        <w:r>
          <w:rPr>
            <w:color w:val="1155CC"/>
            <w:u w:val="single"/>
          </w:rPr>
          <w:t>10.1021/jacs.6c04991</w:t>
        </w:r>
      </w:hyperlink>
    </w:p>
    <w:p>
      <w:pPr>
        <w:spacing w:before="0" w:after="120"/>
      </w:pPr>
      <w:r>
        <w:rPr>
          <w:b/>
        </w:rPr>
        <w:t xml:space="preserve">Notes: </w:t>
      </w:r>
      <w:r>
        <w:t>abstract_source=openalex</w:t>
      </w:r>
    </w:p>
    <w:p>
      <w:pPr>
        <w:spacing w:before="0" w:after="80" w:lineRule="auto" w:line="276"/>
      </w:pPr>
      <w:r>
        <w:rPr>
          <w:b/>
        </w:rPr>
        <w:t xml:space="preserve">摘要（ZH）: </w:t>
      </w:r>
      <w:r>
        <w:t>miRNA海绵通过竞争性结合过表达的细胞内miRNA来调节下游基因表达，在基于miRNA的疗法中受到越来越多的关注。然而，线性miRNA海绵在生理条件下通常表现出低稳定性和高免疫原性。尽管作为miRNA海绵的人工环状RNA（circRNA）增强了生物稳定性，但免疫原性仍然是一个挑战。2023年诺贝尔生理学或医学奖强调，掺入修饰碱基可以降低外源RNA的免疫原性，但在circRNA中实现位点特异性修饰仍然困难。在此，我们开发了一种DNA模板的RNA连接方法，用于合成具有多个miRNA生物</w:t>
      </w:r>
    </w:p>
    <w:p>
      <w:pPr>
        <w:spacing w:before="0" w:after="200" w:lineRule="auto" w:line="276"/>
      </w:pPr>
      <w:r>
        <w:rPr>
          <w:b/>
        </w:rPr>
        <w:t xml:space="preserve">Abstract (EN): </w:t>
      </w:r>
      <w:r>
        <w:t>miRNA sponges, which could regulate downstream gene expression through competitively binding to overexpressed intracellular miRNAs, have gained increasing attention in miRNA-based therapies. However, linear miRNA sponges typically exhibit low stability and high immunogenicity under physiological conditions. Although artificial circular RNAs (circRNAs) acting as miRNA sponges enhance biostability, immunogenicity still remains a challenge. The 2023 Nobel Prize in Physiology or Medicine highlighted that the incorporation of modified bases could reduce the immunogenicity of exogenous RNAs, yet achieving site-specific modifications in circRNAs remains difficult. Here, we developed a DNA-templated RNA ligation method for the synthesis of site-specifically modified circRNAs with multiple miRNA binding sites, which enabled long-term coregulation of multiple miRNAs. Based on this, we found that 30% pseudouridine modification effectively reduced the immunogenicity of synthetic circular miRNA sponges independent of modification sites or patterns. Taken together, the high yield and site-specific modification of our method enable the precise synthesis of modified circRNAs, which could balance the immunogenicity, biostability, and miRNA binding affinity through engineered modifications in linker regions. These advancements are instrumental for the development of a new generation of circRNA-based therapeutics.</w:t>
      </w:r>
    </w:p>
    <w:p>
      <w:pPr>
        <w:spacing w:before="120" w:after="120"/>
      </w:pPr>
      <w:r>
        <w:rPr>
          <w:sz w:val="18"/>
        </w:rPr>
        <w:t>——————————————————————————————————————————————————————————————————————</w:t>
      </w:r>
    </w:p>
    <w:p>
      <w:pPr>
        <w:spacing w:before="160" w:after="40" w:line="240" w:lineRule="auto"/>
      </w:pPr>
      <w:r>
        <w:rPr>
          <w:b/>
        </w:rPr>
        <w:t xml:space="preserve">[36] </w:t>
      </w:r>
      <w:hyperlink r:id="rId245">
        <w:r>
          <w:rPr>
            <w:color w:val="1155CC"/>
            <w:u w:val="single"/>
          </w:rPr>
          <w:t>共价有机框架中的有序离子纳米通道用于从环境空气平衡水中光合成H2O2</w:t>
        </w:r>
      </w:hyperlink>
    </w:p>
    <w:p>
      <w:pPr>
        <w:spacing w:before="0" w:after="80"/>
      </w:pPr>
      <w:r>
        <w:rPr>
          <w:i/>
          <w:sz w:val="20"/>
        </w:rPr>
        <w:t>EN: Ordered Ionic Nanochannels in Covalent Organic Frameworks for Photosynthesis of H2O2 From Ambient Air‐Equilibrated Water</w:t>
      </w:r>
    </w:p>
    <w:p>
      <w:pPr>
        <w:spacing w:before="0" w:after="120"/>
      </w:pPr>
      <w:r>
        <w:rPr>
          <w:b/>
        </w:rPr>
        <w:t xml:space="preserve">Source: </w:t>
      </w:r>
      <w:r>
        <w:t>Wiley: Angewandte Chemie International Edition: Table of Contents</w:t>
      </w:r>
      <w:r>
        <w:t xml:space="preserve">    </w:t>
      </w:r>
      <w:r>
        <w:rPr>
          <w:b/>
        </w:rPr>
        <w:t xml:space="preserve">Pub date: </w:t>
      </w:r>
      <w:r>
        <w:t>2026-04-11 16:39:28+00:00</w:t>
      </w:r>
      <w:r>
        <w:t xml:space="preserve">    </w:t>
      </w:r>
      <w:r>
        <w:rPr>
          <w:b/>
        </w:rPr>
        <w:t xml:space="preserve">DOI: </w:t>
      </w:r>
      <w:hyperlink r:id="rId246">
        <w:r>
          <w:rPr>
            <w:color w:val="1155CC"/>
            <w:u w:val="single"/>
          </w:rPr>
          <w:t>10.1002/anie.7617241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共价有机框架（COFs）在光合H</w:t>
      </w:r>
      <w:r>
        <w:rPr>
          <w:vertAlign w:val="subscript"/>
        </w:rPr>
        <w:t>2</w:t>
      </w:r>
      <w:r>
        <w:t>O</w:t>
      </w:r>
      <w:r>
        <w:rPr>
          <w:vertAlign w:val="subscript"/>
        </w:rPr>
        <w:t>2</w:t>
      </w:r>
      <w:r>
        <w:t>方面具有巨大潜力，但受限于水/氧运输动力学和低电子利用效率。在此，我们报告了一种高效的太阳能驱动H</w:t>
      </w:r>
      <w:r>
        <w:rPr>
          <w:vertAlign w:val="subscript"/>
        </w:rPr>
        <w:t>2</w:t>
      </w:r>
      <w:r>
        <w:t>O</w:t>
      </w:r>
      <w:r>
        <w:rPr>
          <w:vertAlign w:val="subscript"/>
        </w:rPr>
        <w:t>2</w:t>
      </w:r>
      <w:r>
        <w:t>生产方法，直接从环境空气平衡水中使用离子乙烯基连接的共价有机框架（ivCOFs）。在电子供体-受体（EDA）络合的指导下，我们合成了具有永久孔隙率和明确离子纳米通道的高结晶ivCOFs，完全在水中进行。所得的ivCOFs协同整合了超快水传输</w:t>
      </w:r>
    </w:p>
    <w:p>
      <w:pPr>
        <w:spacing w:before="0" w:after="200" w:lineRule="auto" w:line="276"/>
      </w:pPr>
      <w:r>
        <w:rPr>
          <w:b/>
        </w:rPr>
        <w:t xml:space="preserve">Abstract (EN): </w:t>
      </w:r>
      <w:r>
        <w:t>Covalent organic frameworks (COFs) hold great promise for photosynthetic H</w:t>
      </w:r>
      <w:r>
        <w:rPr>
          <w:vertAlign w:val="subscript"/>
        </w:rPr>
        <w:t>2</w:t>
      </w:r>
      <w:r>
        <w:t>O</w:t>
      </w:r>
      <w:r>
        <w:rPr>
          <w:vertAlign w:val="subscript"/>
        </w:rPr>
        <w:t>2</w:t>
      </w:r>
      <w:r>
        <w:t>but suffer from limited water/oxygen transport dynamics and low electron utilization efficiency. Herein, we report efficient solar‐driven H</w:t>
      </w:r>
      <w:r>
        <w:rPr>
          <w:vertAlign w:val="subscript"/>
        </w:rPr>
        <w:t>2</w:t>
      </w:r>
      <w:r>
        <w:t>O</w:t>
      </w:r>
      <w:r>
        <w:rPr>
          <w:vertAlign w:val="subscript"/>
        </w:rPr>
        <w:t>2</w:t>
      </w:r>
      <w:r>
        <w:t>production directly from ambient air‐equilibrated water using ionic vinylene‐linked covalent organic frameworks (ivCOFs). Guided by electron donor‐acceptor (EDA) complexation, we synthesize highly crystalline ivCOFs with permanent porosity and well‐defined ionic nanochannels entirely in water. The resulting ivCOFs synergistically integrate ultrafast water transport and robust Pauling‐type O</w:t>
      </w:r>
      <w:r>
        <w:rPr>
          <w:vertAlign w:val="subscript"/>
        </w:rPr>
        <w:t>2</w:t>
      </w:r>
      <w:r>
        <w:t>adsorption. Notably, the embedded ionic groups modulate the electronic band structure, effectively suppressing the hydrogen evolution side reaction and enhancing both thermodynamic driving force and selectivity for the 2e</w:t>
      </w:r>
      <w:r>
        <w:t xml:space="preserve"> </w:t>
      </w:r>
      <w:r>
        <w:t>−</w:t>
      </w:r>
      <w:r>
        <w:t>oxygen reduction to H</w:t>
      </w:r>
      <w:r>
        <w:rPr>
          <w:vertAlign w:val="subscript"/>
        </w:rPr>
        <w:t>2</w:t>
      </w:r>
      <w:r>
        <w:t>O</w:t>
      </w:r>
      <w:r>
        <w:rPr>
          <w:vertAlign w:val="subscript"/>
        </w:rPr>
        <w:t>2</w:t>
      </w:r>
      <w:r>
        <w:t>. Consequently, ivCOF‐I achieves a high H</w:t>
      </w:r>
      <w:r>
        <w:rPr>
          <w:vertAlign w:val="subscript"/>
        </w:rPr>
        <w:t>2</w:t>
      </w:r>
      <w:r>
        <w:t>O</w:t>
      </w:r>
      <w:r>
        <w:rPr>
          <w:vertAlign w:val="subscript"/>
        </w:rPr>
        <w:t>2</w:t>
      </w:r>
      <w:r>
        <w:t>production rate of 6.9 mmol g</w:t>
      </w:r>
      <w:r>
        <w:t xml:space="preserve"> </w:t>
      </w:r>
      <w:r>
        <w:t>−1</w:t>
      </w:r>
      <w:r>
        <w:t xml:space="preserve"> </w:t>
      </w:r>
      <w:r>
        <w:t>h</w:t>
      </w:r>
      <w:r>
        <w:t xml:space="preserve"> </w:t>
      </w:r>
      <w:r>
        <w:t>−1</w:t>
      </w:r>
      <w:r>
        <w:t xml:space="preserve"> </w:t>
      </w:r>
      <w:r>
        <w:t>, an apparent quantum yield of 15.7%, and a solar‐to‐chemical efficiency of 1.08%, all using only air and water. It operates stably in both batch and continuous‐flow systems (&amp;gt; 120 h), retaining structural integrity. Mechanistic studies confirm concurrent 2e</w:t>
      </w:r>
      <w:r>
        <w:t xml:space="preserve"> </w:t>
      </w:r>
      <w:r>
        <w:t>−</w:t>
      </w:r>
      <w:r>
        <w:t>water oxidation and oxygen reduction pathways. This work underscores the pivotal role of EDA complexes in stabilizing ionic building blocks and offers a rational design paradigm for sustainable solar‐driven chemical production.</w:t>
      </w:r>
    </w:p>
    <w:p>
      <w:pPr>
        <w:spacing w:before="120" w:after="120"/>
      </w:pPr>
      <w:r>
        <w:rPr>
          <w:sz w:val="18"/>
        </w:rPr>
        <w:t>——————————————————————————————————————————————————————————————————————</w:t>
      </w:r>
    </w:p>
    <w:p>
      <w:pPr>
        <w:spacing w:before="160" w:after="40" w:line="240" w:lineRule="auto"/>
      </w:pPr>
      <w:r>
        <w:rPr>
          <w:b/>
        </w:rPr>
        <w:t xml:space="preserve">[37] </w:t>
      </w:r>
      <w:hyperlink r:id="rId247">
        <w:r>
          <w:rPr>
            <w:color w:val="1155CC"/>
            <w:u w:val="single"/>
          </w:rPr>
          <w:t>通过动态乙烯基氨基甲酸酯化学实现的本征发光、可重编程和化学可回收液晶弹性体</w:t>
        </w:r>
      </w:hyperlink>
    </w:p>
    <w:p>
      <w:pPr>
        <w:spacing w:before="0" w:after="80"/>
      </w:pPr>
      <w:r>
        <w:rPr>
          <w:i/>
          <w:sz w:val="20"/>
        </w:rPr>
        <w:t>EN: Intrinsically Luminescent, Reprogrammable, and Chemically Recyclable Liquid Crystal Elastomers Enabled by Dynamic Vinylogous Urethane Chemistry</w:t>
      </w:r>
    </w:p>
    <w:p>
      <w:pPr>
        <w:spacing w:before="0" w:after="120"/>
      </w:pPr>
      <w:r>
        <w:rPr>
          <w:b/>
        </w:rPr>
        <w:t xml:space="preserve">Source: </w:t>
      </w:r>
      <w:r>
        <w:t>Wiley: Angewandte Chemie International Edition: Table of Contents</w:t>
      </w:r>
      <w:r>
        <w:t xml:space="preserve">    </w:t>
      </w:r>
      <w:r>
        <w:rPr>
          <w:b/>
        </w:rPr>
        <w:t xml:space="preserve">Pub date: </w:t>
      </w:r>
      <w:r>
        <w:t>2026-04-11 16:40:57+00:00</w:t>
      </w:r>
      <w:r>
        <w:t xml:space="preserve">    </w:t>
      </w:r>
      <w:r>
        <w:rPr>
          <w:b/>
        </w:rPr>
        <w:t xml:space="preserve">DOI: </w:t>
      </w:r>
      <w:hyperlink r:id="rId248">
        <w:r>
          <w:rPr>
            <w:color w:val="1155CC"/>
            <w:u w:val="single"/>
          </w:rPr>
          <w:t>10.1002/anie.4941808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液晶弹性体（LCEs）具有集成功能性，对于开发先进的软体驱动器至关重要。然而，在现有的可交换LCE系统中，同时实现可重编程性、化学可回收性和内在发光性仍然存在挑战。在此，我们开发了一种基于动态乙烯基氨基甲酸酯（VU）键的新型LCE，以解决这些挑战，其中VU基团既作为交联点又作为发光簇。最佳的多域乙烯基氨基甲酸酯基LCE（VULCE）材料表现出优异的机械性能，杨氏模量为1.45 ± 0.08 MPa，韧性为148.26 ± 0.11 KJ m</w:t>
      </w:r>
      <w:r>
        <w:t xml:space="preserve"> </w:t>
      </w:r>
      <w:r>
        <w:t>−3</w:t>
      </w:r>
      <w:r>
        <w:t xml:space="preserve"> </w:t>
      </w:r>
      <w:r>
        <w:t>。得益于无催化剂的转氨基化</w:t>
      </w:r>
    </w:p>
    <w:p>
      <w:pPr>
        <w:spacing w:before="0" w:after="200" w:lineRule="auto" w:line="276"/>
      </w:pPr>
      <w:r>
        <w:rPr>
          <w:b/>
        </w:rPr>
        <w:t xml:space="preserve">Abstract (EN): </w:t>
      </w:r>
      <w:r>
        <w:t>Liquid crystal elastomers (LCEs) with integrated functionalities are critical for developing advanced soft actuators. However, challenges remain in simultaneously achieving reprogrammability, chemical recyclability, and intrinsic luminescence within existing exchangeable LCE systems. Herein, we develop a new class of LCE based on dynamic vinylogous urethane (VU) bonds to address these challenges, where VU moieties serve as both crosslinking points and luminescent clusters. The optimal polydomain vinylogous urethane‐based LCE (VULCE) material exhibits excellent mechanical properties, with a Young's modulus of 1.45 ± 0.08 MPa and a toughness of 148.26 ± 0.11 KJ m</w:t>
      </w:r>
      <w:r>
        <w:t xml:space="preserve"> </w:t>
      </w:r>
      <w:r>
        <w:t>−3</w:t>
      </w:r>
      <w:r>
        <w:t xml:space="preserve"> </w:t>
      </w:r>
      <w:r>
        <w:t>. Thanks to the catalyst‐free transamination of VU bonds, the VULCE enables reprogramming into diverse three dimensional (3D) actuators with reversible actuation at 110°C for 10 min. Furthermore, the VULCE network can be depolymerized into LC oligomers and small molecules in an organic solvent under excess bifunctional amines at 80°C for 6 h. The recycled solution can be repolymerized into new VULCE with arbitrary shapes by reintroducing chain extenders, mesogenic monomers, and crosslinkers, achieving polymer‐oligomer/small molecule‐polymer recycling. More importantly, the VULCE emits intrinsic blue fluorescence owing to the clustering‐triggered emission (CTE) effect. This work demonstrates unprecedented multifunctionality, providing new insights for the development of multifunctional integrated LCE materials.</w:t>
      </w:r>
    </w:p>
    <w:p>
      <w:pPr>
        <w:spacing w:before="120" w:after="120"/>
      </w:pPr>
      <w:r>
        <w:rPr>
          <w:sz w:val="18"/>
        </w:rPr>
        <w:t>——————————————————————————————————————————————————————————————————————</w:t>
      </w:r>
    </w:p>
    <w:p>
      <w:pPr>
        <w:spacing w:before="160" w:after="40" w:line="240" w:lineRule="auto"/>
      </w:pPr>
      <w:r>
        <w:rPr>
          <w:b/>
        </w:rPr>
        <w:t xml:space="preserve">[38] </w:t>
      </w:r>
      <w:hyperlink r:id="rId249">
        <w:r>
          <w:rPr>
            <w:color w:val="1155CC"/>
            <w:u w:val="single"/>
          </w:rPr>
          <w:t>螺旋融合手性共轭螺旋中的协同手性</w:t>
        </w:r>
      </w:hyperlink>
    </w:p>
    <w:p>
      <w:pPr>
        <w:spacing w:before="0" w:after="80"/>
      </w:pPr>
      <w:r>
        <w:rPr>
          <w:i/>
          <w:sz w:val="20"/>
        </w:rPr>
        <w:t>EN: Synergistic Chirality in Spiro‐Fused Chiral Conjugated Helices</w:t>
      </w:r>
    </w:p>
    <w:p>
      <w:pPr>
        <w:spacing w:before="0" w:after="120"/>
      </w:pPr>
      <w:r>
        <w:rPr>
          <w:b/>
        </w:rPr>
        <w:t xml:space="preserve">Source: </w:t>
      </w:r>
      <w:r>
        <w:t>Wiley: Angewandte Chemie International Edition: Table of Contents</w:t>
      </w:r>
      <w:r>
        <w:t xml:space="preserve">    </w:t>
      </w:r>
      <w:r>
        <w:rPr>
          <w:b/>
        </w:rPr>
        <w:t xml:space="preserve">Pub date: </w:t>
      </w:r>
      <w:r>
        <w:t>2026-04-11 16:43:41+00:00</w:t>
      </w:r>
      <w:r>
        <w:t xml:space="preserve">    </w:t>
      </w:r>
      <w:r>
        <w:rPr>
          <w:b/>
        </w:rPr>
        <w:t xml:space="preserve">DOI: </w:t>
      </w:r>
      <w:hyperlink r:id="rId250">
        <w:r>
          <w:rPr>
            <w:color w:val="1155CC"/>
            <w:u w:val="single"/>
          </w:rPr>
          <w:t>10.1002/anie.8672298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通过双侧弯曲π扩展策略设计和合成了新型螺旋融合手性共轭螺旋，以阐明混合手性中心的手性协同作用。值得注意的是，成功获得并完全解析了SDPD6H的六种立体异构体，包括三个对映体对。单晶结构分析表明，螺旋烯融合到螺旋二苯并四酰亚胺（SDP）骨架上导致原本平面的苝二酰亚胺亚单元显著弯曲成碗状几何形状，打破了分子对称性，从而提高了异构化障碍。此外，</w:t>
      </w:r>
    </w:p>
    <w:p>
      <w:pPr>
        <w:spacing w:before="0" w:after="200" w:lineRule="auto" w:line="276"/>
      </w:pPr>
      <w:r>
        <w:rPr>
          <w:b/>
        </w:rPr>
        <w:t xml:space="preserve">Abstract (EN): </w:t>
      </w:r>
      <w:r>
        <w:t>This study presents the design and synthesis of novel spiro‐fused chiral conjugated helices</w:t>
      </w:r>
      <w:r>
        <w:t xml:space="preserve"> </w:t>
      </w:r>
      <w:r>
        <w:t>via</w:t>
      </w:r>
      <w:r>
        <w:t xml:space="preserve"> </w:t>
      </w:r>
      <w:r>
        <w:t>a bilateral bent‐π‐extension strategy to elucidate chirality synergy across mixed chiral centers. Notably, six stereoisomers of</w:t>
      </w:r>
      <w:r>
        <w:t xml:space="preserve"> </w:t>
      </w:r>
      <w:r>
        <w:t>SDPD6H</w:t>
      </w:r>
      <w:r>
        <w:t xml:space="preserve"> </w:t>
      </w:r>
      <w:r>
        <w:t>, including three enantiomeric pairs, were successfully obtained and fully resolved. Single‐crystal structural analysis reveals that helicene fusion onto the spirodiperylenetetraimide (</w:t>
      </w:r>
      <w:r>
        <w:t xml:space="preserve"> </w:t>
      </w:r>
      <w:r>
        <w:t>SDP</w:t>
      </w:r>
      <w:r>
        <w:t xml:space="preserve"> </w:t>
      </w:r>
      <w:r>
        <w:t>) skeleton induces significant bending of the originally planar perylene diimide subunits into bowl‐shaped geometries, breaking molecular symmetry and thus raising the isomerization barrier. Furthermore, the stereoisomers exhibit distinct chiroptical responses, with</w:t>
      </w:r>
      <w:r>
        <w:t xml:space="preserve"> </w:t>
      </w:r>
      <w:r>
        <w:t>P</w:t>
      </w:r>
      <w:r>
        <w:t xml:space="preserve"> </w:t>
      </w:r>
      <w:r>
        <w:t>,</w:t>
      </w:r>
      <w:r>
        <w:t xml:space="preserve"> </w:t>
      </w:r>
      <w:r>
        <w:t>S</w:t>
      </w:r>
      <w:r>
        <w:t xml:space="preserve"> </w:t>
      </w:r>
      <w:r>
        <w:t>,</w:t>
      </w:r>
      <w:r>
        <w:t xml:space="preserve"> </w:t>
      </w:r>
      <w:r>
        <w:t>P</w:t>
      </w:r>
      <w:r>
        <w:t xml:space="preserve"> </w:t>
      </w:r>
      <w:r>
        <w:t>‐</w:t>
      </w:r>
      <w:r>
        <w:rPr>
          <w:vertAlign w:val="subscript"/>
        </w:rPr>
        <w:t>6</w:t>
      </w:r>
      <w:r>
        <w:t>showing the strongest chiroptical activity (Cotton effects: |Δ</w:t>
      </w:r>
      <w:r>
        <w:t xml:space="preserve"> </w:t>
      </w:r>
      <w:r>
        <w:t>ε</w:t>
      </w:r>
      <w:r>
        <w:t xml:space="preserve"> </w:t>
      </w:r>
      <w:r>
        <w:t>| reaching 310 M</w:t>
      </w:r>
      <w:r>
        <w:t xml:space="preserve"> </w:t>
      </w:r>
      <w:r>
        <w:t>−1</w:t>
      </w:r>
      <w:r>
        <w:t xml:space="preserve"> </w:t>
      </w:r>
      <w:r>
        <w:t>cm</w:t>
      </w:r>
      <w:r>
        <w:t xml:space="preserve"> </w:t>
      </w:r>
      <w:r>
        <w:t>−1</w:t>
      </w:r>
      <w:r>
        <w:t xml:space="preserve"> </w:t>
      </w:r>
      <w:r>
        <w:t>). Through in‐depth theoretical analysis of rotatory strength (</w:t>
      </w:r>
      <w:r>
        <w:t xml:space="preserve"> </w:t>
      </w:r>
      <w:r>
        <w:t>R</w:t>
      </w:r>
      <w:r>
        <w:t xml:space="preserve"> </w:t>
      </w:r>
      <w:r>
        <w:t>), we elucidate the origin of the circular dichroism (CD) behavior in the 425–600 nm region. In homochiral bishelicene configurations (</w:t>
      </w:r>
      <w:r>
        <w:t xml:space="preserve"> </w:t>
      </w:r>
      <w:r>
        <w:t>P</w:t>
      </w:r>
      <w:r>
        <w:t xml:space="preserve"> </w:t>
      </w:r>
      <w:r>
        <w:t>,</w:t>
      </w:r>
      <w:r>
        <w:t xml:space="preserve"> </w:t>
      </w:r>
      <w:r>
        <w:t>P</w:t>
      </w:r>
      <w:r>
        <w:t xml:space="preserve"> </w:t>
      </w:r>
      <w:r>
        <w:t>or</w:t>
      </w:r>
      <w:r>
        <w:t xml:space="preserve"> </w:t>
      </w:r>
      <w:r>
        <w:t>M</w:t>
      </w:r>
      <w:r>
        <w:t xml:space="preserve"> </w:t>
      </w:r>
      <w:r>
        <w:t>,</w:t>
      </w:r>
      <w:r>
        <w:t xml:space="preserve"> </w:t>
      </w:r>
      <w:r>
        <w:t>M</w:t>
      </w:r>
      <w:r>
        <w:t xml:space="preserve"> </w:t>
      </w:r>
      <w:r>
        <w:t>), the magnetic transition dipole moments (</w:t>
      </w:r>
      <w:r>
        <w:t xml:space="preserve"> </w:t>
      </w:r>
      <w:r>
        <w:t>m</w:t>
      </w:r>
      <w:r>
        <w:t xml:space="preserve"> </w:t>
      </w:r>
      <w:r>
        <w:t>) from the two molecular fragments differ significantly in magnitude, leading to non‐canceling</w:t>
      </w:r>
      <w:r>
        <w:t xml:space="preserve"> </w:t>
      </w:r>
      <w:r>
        <w:t>R</w:t>
      </w:r>
      <w:r>
        <w:rPr>
          <w:vertAlign w:val="subscript"/>
        </w:rPr>
        <w:t>3</w:t>
      </w:r>
      <w:r>
        <w:t>and</w:t>
      </w:r>
      <w:r>
        <w:t xml:space="preserve"> </w:t>
      </w:r>
      <w:r>
        <w:t>R</w:t>
      </w:r>
      <w:r>
        <w:rPr>
          <w:vertAlign w:val="subscript"/>
        </w:rPr>
        <w:t>4</w:t>
      </w:r>
      <w:r>
        <w:t>, and thus pronounced CD signals. In contrast, heterochiral configurations (</w:t>
      </w:r>
      <w:r>
        <w:t xml:space="preserve"> </w:t>
      </w:r>
      <w:r>
        <w:t>P</w:t>
      </w:r>
      <w:r>
        <w:t xml:space="preserve"> </w:t>
      </w:r>
      <w:r>
        <w:t>,</w:t>
      </w:r>
      <w:r>
        <w:t xml:space="preserve"> </w:t>
      </w:r>
      <w:r>
        <w:t>M</w:t>
      </w:r>
      <w:r>
        <w:t xml:space="preserve"> </w:t>
      </w:r>
      <w:r>
        <w:t>) produce magnetic dipoles of similar magnitude but opposite sign, resulting in near‐complete cancellation and a suppressed CD response. This work provides a mechanistic understanding of stereochemical interplay in hybrid multi‐chiral‐centers systems and establishes a new design strategy for advanced chiroptical materials.</w:t>
      </w:r>
    </w:p>
    <w:p>
      <w:pPr>
        <w:spacing w:before="120" w:after="120"/>
      </w:pPr>
      <w:r>
        <w:rPr>
          <w:sz w:val="18"/>
        </w:rPr>
        <w:t>——————————————————————————————————————————————————————————————————————</w:t>
      </w:r>
    </w:p>
    <w:p>
      <w:pPr>
        <w:spacing w:before="160" w:after="40" w:line="240" w:lineRule="auto"/>
      </w:pPr>
      <w:r>
        <w:rPr>
          <w:b/>
        </w:rPr>
        <w:t xml:space="preserve">[39] </w:t>
      </w:r>
      <w:hyperlink r:id="rId251">
        <w:r>
          <w:rPr>
            <w:color w:val="1155CC"/>
            <w:u w:val="single"/>
          </w:rPr>
          <w:t>Jahn–Teller效应在超小磁铁矿中引发交换偏置</w:t>
        </w:r>
      </w:hyperlink>
    </w:p>
    <w:p>
      <w:pPr>
        <w:spacing w:before="0" w:after="80"/>
      </w:pPr>
      <w:r>
        <w:rPr>
          <w:i/>
          <w:sz w:val="20"/>
        </w:rPr>
        <w:t>EN: Jahn–Teller Effect Induces Exchange Bias in Ultrasmall Magnetite</w:t>
      </w:r>
    </w:p>
    <w:p>
      <w:pPr>
        <w:spacing w:before="0" w:after="120"/>
      </w:pPr>
      <w:r>
        <w:rPr>
          <w:b/>
        </w:rPr>
        <w:t xml:space="preserve">Source: </w:t>
      </w:r>
      <w:r>
        <w:t>Wiley: Angewandte Chemie International Edition: Table of Contents</w:t>
      </w:r>
      <w:r>
        <w:t xml:space="preserve">    </w:t>
      </w:r>
      <w:r>
        <w:rPr>
          <w:b/>
        </w:rPr>
        <w:t xml:space="preserve">Pub date: </w:t>
      </w:r>
      <w:r>
        <w:t>2026-04-11 16:50:10+00:00</w:t>
      </w:r>
      <w:r>
        <w:t xml:space="preserve">    </w:t>
      </w:r>
      <w:r>
        <w:rPr>
          <w:b/>
        </w:rPr>
        <w:t xml:space="preserve">DOI: </w:t>
      </w:r>
      <w:hyperlink r:id="rId252">
        <w:r>
          <w:rPr>
            <w:color w:val="1155CC"/>
            <w:u w:val="single"/>
          </w:rPr>
          <w:t>10.1002/anie.2461963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交换偏置是一种量子现象，通常局限于宏观界面的铁磁-反铁磁异质结构中，在超顺磁性单相0维（0D）纳米系统中尚未观察到，因为这些系统中不存在磁性界面。在此，我们展示了在自由悬浮的磁铁矿（Fe3O4）纳米颗粒（4.0 nm）中，由对称性破缺的Jahn-Teller型晶格畸变介导的内在交换偏置。八面体Fe2+（3d6）中的埃尺度对称性降低的晶格位移调节了局部晶体场环境，导致自旋态从低自旋（S）重新配置。</w:t>
      </w:r>
    </w:p>
    <w:p>
      <w:pPr>
        <w:spacing w:before="0" w:after="200" w:lineRule="auto" w:line="276"/>
      </w:pPr>
      <w:r>
        <w:rPr>
          <w:b/>
        </w:rPr>
        <w:t xml:space="preserve">Abstract (EN): </w:t>
      </w:r>
      <w:r>
        <w:t>Exchange bias, a quantum phenomenon confined to macroscopic interfacial ferromagnetic‐antiferromagnetic heterostructures, has remained unobserved in superparamagnetic single‐phase 0‐dimensional (0D) nanosystems, where magnetic interfaces are absent. Here we demonstrate intrinsic exchange bias in freestanding magnetite (Fe</w:t>
      </w:r>
      <w:r>
        <w:rPr>
          <w:vertAlign w:val="subscript"/>
        </w:rPr>
        <w:t>3</w:t>
      </w:r>
      <w:r>
        <w:t>O</w:t>
      </w:r>
      <w:r>
        <w:rPr>
          <w:vertAlign w:val="subscript"/>
        </w:rPr>
        <w:t>4</w:t>
      </w:r>
      <w:r>
        <w:t>) nanoparticles (4.0 nm), mediated by symmetry‐breaking Jahn–Teller‐type lattice distortions. Ångström‐scale symmetry‐lowering lattice displacements in octahedral Fe</w:t>
      </w:r>
      <w:r>
        <w:t xml:space="preserve"> </w:t>
      </w:r>
      <w:r>
        <w:t>2+</w:t>
      </w:r>
      <w:r>
        <w:t xml:space="preserve"> </w:t>
      </w:r>
      <w:r>
        <w:t>(3d6) modulate the local crystal field environment, induing a spin‐state reconfiguration from a low‐spin (</w:t>
      </w:r>
      <w:r>
        <w:t xml:space="preserve"> </w:t>
      </w:r>
      <w:r>
        <w:t>S</w:t>
      </w:r>
      <w:r>
        <w:t xml:space="preserve"> </w:t>
      </w:r>
      <w:r>
        <w:t>= 0) toward a high‐spin state (</w:t>
      </w:r>
      <w:r>
        <w:t xml:space="preserve"> </w:t>
      </w:r>
      <w:r>
        <w:t>S</w:t>
      </w:r>
      <w:r>
        <w:t xml:space="preserve"> </w:t>
      </w:r>
      <w:r>
        <w:t>= 1), accompanied by the breaking of magnetic space‐group and time‐reversal (𝒯) symmetries. The high‐spin state couples to 𝒯‐symmetric antiparallel Fe</w:t>
      </w:r>
      <w:r>
        <w:t xml:space="preserve"> </w:t>
      </w:r>
      <w:r>
        <w:t>3+</w:t>
      </w:r>
      <w:r>
        <w:t xml:space="preserve"> </w:t>
      </w:r>
      <w:r>
        <w:t>(3d5) spins via double exchange, bypassing conventional interfacial interactions. This work establishes Jahn–Teller driven symmetry breaking as a new mechanism for exchange bias in quantum‐confined systems, opening pathways for engineering emergent spin correlations in single‐phase 0D spintronic architectures with three‐dimensional nanoconfinement (nm × nm × nm scale).</w:t>
      </w:r>
    </w:p>
    <w:p>
      <w:pPr>
        <w:spacing w:before="120" w:after="120"/>
      </w:pPr>
      <w:r>
        <w:rPr>
          <w:sz w:val="18"/>
        </w:rPr>
        <w:t>——————————————————————————————————————————————————————————————————————</w:t>
      </w:r>
    </w:p>
    <w:p>
      <w:pPr>
        <w:spacing w:before="160" w:after="40" w:line="240" w:lineRule="auto"/>
      </w:pPr>
      <w:r>
        <w:rPr>
          <w:b/>
        </w:rPr>
        <w:t xml:space="preserve">[40] </w:t>
      </w:r>
      <w:hyperlink r:id="rId253">
        <w:r>
          <w:rPr>
            <w:color w:val="1155CC"/>
            <w:u w:val="single"/>
          </w:rPr>
          <w:t>自旋极化手性ZnIn2S4用于靶向太阳能驱动的CO2还原为乙酸</w:t>
        </w:r>
      </w:hyperlink>
    </w:p>
    <w:p>
      <w:pPr>
        <w:spacing w:before="0" w:after="80"/>
      </w:pPr>
      <w:r>
        <w:rPr>
          <w:i/>
          <w:sz w:val="20"/>
        </w:rPr>
        <w:t>EN: Spin‐Polarized Chiral ZnIn2S4 for Targeted Solar‐Driven CO2 Reduction to Acetic Acid</w:t>
      </w:r>
    </w:p>
    <w:p>
      <w:pPr>
        <w:spacing w:before="0" w:after="120"/>
      </w:pPr>
      <w:r>
        <w:rPr>
          <w:b/>
        </w:rPr>
        <w:t xml:space="preserve">Source: </w:t>
      </w:r>
      <w:r>
        <w:t>Wiley: Angewandte Chemie International Edition: Table of Contents</w:t>
      </w:r>
      <w:r>
        <w:t xml:space="preserve">    </w:t>
      </w:r>
      <w:r>
        <w:rPr>
          <w:b/>
        </w:rPr>
        <w:t xml:space="preserve">Pub date: </w:t>
      </w:r>
      <w:r>
        <w:t>2026-04-11 16:50:41+00:00</w:t>
      </w:r>
      <w:r>
        <w:t xml:space="preserve">    </w:t>
      </w:r>
      <w:r>
        <w:rPr>
          <w:b/>
        </w:rPr>
        <w:t xml:space="preserve">DOI: </w:t>
      </w:r>
      <w:hyperlink r:id="rId254">
        <w:r>
          <w:rPr>
            <w:color w:val="1155CC"/>
            <w:u w:val="single"/>
          </w:rPr>
          <w:t>10.1002/anie.3091087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乙酸由于其作为碳利用产品和工业原料的双重功能，是CO2还原的关键目标。然而，光催化CO2还原（PCCR）为乙酸通常因乙酸产率和选择性低而受限，受到乙醇的竞争反应和低效的C–C偶联的限制。在此，我们报告了一种手性介孔结构的ZnIn2S4（CMZI）光催化剂，其实现了962 µmol g−1 h−1的显著乙酸产率，并具有高选择性。</w:t>
      </w:r>
    </w:p>
    <w:p>
      <w:pPr>
        <w:spacing w:before="0" w:after="200" w:lineRule="auto" w:line="276"/>
      </w:pPr>
      <w:r>
        <w:rPr>
          <w:b/>
        </w:rPr>
        <w:t xml:space="preserve">Abstract (EN): </w:t>
      </w:r>
      <w:r>
        <w:t>Acetic acid represents a pivotal target for CO</w:t>
      </w:r>
      <w:r>
        <w:rPr>
          <w:vertAlign w:val="subscript"/>
        </w:rPr>
        <w:t>2</w:t>
      </w:r>
      <w:r>
        <w:t>reduction due to its dual function as a carbon‐utilization product and industrial feedstock. However, photocatalytic CO</w:t>
      </w:r>
      <w:r>
        <w:rPr>
          <w:vertAlign w:val="subscript"/>
        </w:rPr>
        <w:t>2</w:t>
      </w:r>
      <w:r>
        <w:t>reduction (PCCR) to acetic acid typically suffers from low acetic acid yields and selectivity, constrained by competing reactions from ethanol and inefficient C–C coupling. Herein, we report a chiral mesostructured ZnIn</w:t>
      </w:r>
      <w:r>
        <w:rPr>
          <w:vertAlign w:val="subscript"/>
        </w:rPr>
        <w:t>2</w:t>
      </w:r>
      <w:r>
        <w:t>S</w:t>
      </w:r>
      <w:r>
        <w:rPr>
          <w:vertAlign w:val="subscript"/>
        </w:rPr>
        <w:t>4</w:t>
      </w:r>
      <w:r>
        <w:t>(CMZI) photocatalyst that achieves a remarkable acetic acid yield of 962 µmol g</w:t>
      </w:r>
      <w:r>
        <w:t xml:space="preserve"> </w:t>
      </w:r>
      <w:r>
        <w:t>−1</w:t>
      </w:r>
      <w:r>
        <w:t xml:space="preserve"> </w:t>
      </w:r>
      <w:r>
        <w:t>h</w:t>
      </w:r>
      <w:r>
        <w:t xml:space="preserve"> </w:t>
      </w:r>
      <w:r>
        <w:t>−1</w:t>
      </w:r>
      <w:r>
        <w:t xml:space="preserve"> </w:t>
      </w:r>
      <w:r>
        <w:t>with a high selectivity of 97.3%. This performance stems from synergistic chirality‐induced spin polarization and sulfur site catalysis. Spin polarization stabilizes the triplet OCCO intermediate to enhance C–C coupling, while sulfur sites on ZnIn</w:t>
      </w:r>
      <w:r>
        <w:rPr>
          <w:vertAlign w:val="subscript"/>
        </w:rPr>
        <w:t>2</w:t>
      </w:r>
      <w:r>
        <w:t>S</w:t>
      </w:r>
      <w:r>
        <w:rPr>
          <w:vertAlign w:val="subscript"/>
        </w:rPr>
        <w:t>4</w:t>
      </w:r>
      <w:r>
        <w:t>{102} facets thermodynamically and kinetically favor acetic acid formation. This work offers critical insights into catalytic strategies of the efficient synthesis of high‐value multicarbon products and expanding the variety of synthetic products from CO</w:t>
      </w:r>
      <w:r>
        <w:rPr>
          <w:vertAlign w:val="subscript"/>
        </w:rPr>
        <w:t>2</w:t>
      </w:r>
      <w:r>
        <w:t>reduction.</w:t>
      </w:r>
    </w:p>
    <w:p>
      <w:pPr>
        <w:spacing w:before="120" w:after="120"/>
      </w:pPr>
      <w:r>
        <w:rPr>
          <w:sz w:val="18"/>
        </w:rPr>
        <w:t>——————————————————————————————————————————————————————————————————————</w:t>
      </w:r>
    </w:p>
    <w:p>
      <w:pPr>
        <w:spacing w:before="160" w:after="40" w:line="240" w:lineRule="auto"/>
      </w:pPr>
      <w:r>
        <w:rPr>
          <w:b/>
        </w:rPr>
        <w:t xml:space="preserve">[41] </w:t>
      </w:r>
      <w:hyperlink r:id="rId255">
        <w:r>
          <w:rPr>
            <w:color w:val="1155CC"/>
            <w:u w:val="single"/>
          </w:rPr>
          <w:t>应变序列合成具有交替[4]/[5]螺烯的四重扭曲环芳烃</w:t>
        </w:r>
      </w:hyperlink>
    </w:p>
    <w:p>
      <w:pPr>
        <w:spacing w:before="0" w:after="80"/>
      </w:pPr>
      <w:r>
        <w:rPr>
          <w:i/>
          <w:sz w:val="20"/>
        </w:rPr>
        <w:t>EN: Strain‐Sequenced Synthesis of a Quadruply Twisted Cycloarene With Alternating [4]/[5]Helicenes</w:t>
      </w:r>
    </w:p>
    <w:p>
      <w:pPr>
        <w:spacing w:before="0" w:after="120"/>
      </w:pPr>
      <w:r>
        <w:rPr>
          <w:b/>
        </w:rPr>
        <w:t xml:space="preserve">Source: </w:t>
      </w:r>
      <w:r>
        <w:t>Wiley: Angewandte Chemie International Edition: Table of Contents</w:t>
      </w:r>
      <w:r>
        <w:t xml:space="preserve">    </w:t>
      </w:r>
      <w:r>
        <w:rPr>
          <w:b/>
        </w:rPr>
        <w:t xml:space="preserve">Pub date: </w:t>
      </w:r>
      <w:r>
        <w:t>2026-04-11 16:59:43+00:00</w:t>
      </w:r>
      <w:r>
        <w:t xml:space="preserve">    </w:t>
      </w:r>
      <w:r>
        <w:rPr>
          <w:b/>
        </w:rPr>
        <w:t xml:space="preserve">DOI: </w:t>
      </w:r>
      <w:hyperlink r:id="rId256">
        <w:r>
          <w:rPr>
            <w:color w:val="1155CC"/>
            <w:u w:val="single"/>
          </w:rPr>
          <w:t>10.1002/anie.9120632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拓扑上非平凡的分子纳米碳，如具有多重螺旋扭曲的环芳烃，代表了预期经典环芳烃的腔体定义特性和应变螺烯组装的拓扑复杂性的有吸引力的目标，这些特性仍然在很大程度上未被探索。在此，我们报告了一种四重扭曲环芳烃的应变序列合成，该环芳烃由沿π-共轭框架交替的[4]/[5]螺烯组成。合成涉及1,1-二芳基-2,2-二乙炔基乙烯连接物与蒽基间隔物的合理大环化，以及InCl3催化的八重炔苯并环化。机制研究表明，含炔的高内在能量。</w:t>
      </w:r>
    </w:p>
    <w:p>
      <w:pPr>
        <w:spacing w:before="0" w:after="200" w:lineRule="auto" w:line="276"/>
      </w:pPr>
      <w:r>
        <w:rPr>
          <w:b/>
        </w:rPr>
        <w:t xml:space="preserve">Abstract (EN): </w:t>
      </w:r>
      <w:r>
        <w:t>Topologically nontrivial molecular nanocarbons, such as cycloarenes with multiple helical twists, represent attractive targets that anticipate the cavity‐defined properties of classical cycloarenes with the topological complexity of strained helicene assemblies, which remain largely unexplored. Herein we report a strain‐sequenced synthesis of a quadruply twisted cycloarene consisting of alternating [4]/[5]helicenes along the π‐conjugated framework. The synthesis involved a rational macrocyclization of 1,1‐diaryl‐2,2‐diethynylethylene linkers with anthryl spacers, and an InCl</w:t>
      </w:r>
      <w:r>
        <w:rPr>
          <w:vertAlign w:val="subscript"/>
        </w:rPr>
        <w:t>3</w:t>
      </w:r>
      <w:r>
        <w:t>‐catalyzed, eightfold alkyne benzannulation. Mechanistic studies reveal that the high intrinsic energy of the alkyne‐containing precursor drives a key C─C σ‐bond rearrangement through a</w:t>
      </w:r>
      <w:r>
        <w:t xml:space="preserve"> </w:t>
      </w:r>
      <w:r>
        <w:t>spiro</w:t>
      </w:r>
      <w:r>
        <w:t xml:space="preserve"> </w:t>
      </w:r>
      <w:r>
        <w:t>‐five‐membered‐ring intermediate to deliver</w:t>
      </w:r>
      <w:r>
        <w:t xml:space="preserve"> </w:t>
      </w:r>
      <w:r>
        <w:t>An4</w:t>
      </w:r>
      <w:r>
        <w:t xml:space="preserve"> </w:t>
      </w:r>
      <w:r>
        <w:t>with quadruple helical twists. X‐ray crystallography confirms the parallelogram geometry, featuring a well‐defined central cavity with distinct ‘Cove’ and ‘Fjord’ regions. Bond‐length analysis, complemented by theoretical calculations, revealed that both the modeling compound</w:t>
      </w:r>
      <w:r>
        <w:t xml:space="preserve"> </w:t>
      </w:r>
      <w:r>
        <w:t>AnM</w:t>
      </w:r>
      <w:r>
        <w:t xml:space="preserve"> </w:t>
      </w:r>
      <w:r>
        <w:t>and</w:t>
      </w:r>
      <w:r>
        <w:t xml:space="preserve"> </w:t>
      </w:r>
      <w:r>
        <w:t>An4</w:t>
      </w:r>
      <w:r>
        <w:t xml:space="preserve"> </w:t>
      </w:r>
      <w:r>
        <w:t>undergo adaptive π‐electron redistribution to maximize the number of aromatic sextets, resulting in stable and locally aromatic ground states consistent with Clar's rule. The electronic structure is dominated by local aromaticity, with negligible global delocalization. This study not only introduces a versatile synthetic strategy for topological nanocarbons with multiple helical twists, but also provides fundamental insights into the interplay between strain, reactivity, and aromaticity in contorted π‐systems.</w:t>
      </w:r>
    </w:p>
    <w:p>
      <w:pPr>
        <w:spacing w:before="120" w:after="120"/>
      </w:pPr>
      <w:r>
        <w:rPr>
          <w:sz w:val="18"/>
        </w:rPr>
        <w:t>——————————————————————————————————————————————————————————————————————</w:t>
      </w:r>
    </w:p>
    <w:p>
      <w:pPr>
        <w:spacing w:before="160" w:after="40" w:line="240" w:lineRule="auto"/>
      </w:pPr>
      <w:r>
        <w:rPr>
          <w:b/>
        </w:rPr>
        <w:t xml:space="preserve">[42] </w:t>
      </w:r>
      <w:hyperlink r:id="rId257">
        <w:r>
          <w:rPr>
            <w:color w:val="1155CC"/>
            <w:u w:val="single"/>
          </w:rPr>
          <w:t>单核α‐硅基有机锂或有机钠配合物中金属-碳和碳-硅键对CO、CO2和杂烯烃的串联反应</w:t>
        </w:r>
      </w:hyperlink>
    </w:p>
    <w:p>
      <w:pPr>
        <w:spacing w:before="0" w:after="80"/>
      </w:pPr>
      <w:r>
        <w:rPr>
          <w:i/>
          <w:sz w:val="20"/>
        </w:rPr>
        <w:t>EN: Tandem Reactivity of Metal−Carbon and Carbon−Silicon Bonds in Mononuclear α‐Silyl Organolithium or Organosodium Complexes Towards CO, CO2 and Heteroallenes</w:t>
      </w:r>
    </w:p>
    <w:p>
      <w:pPr>
        <w:spacing w:before="0" w:after="120"/>
      </w:pPr>
      <w:r>
        <w:rPr>
          <w:b/>
        </w:rPr>
        <w:t xml:space="preserve">Source: </w:t>
      </w:r>
      <w:r>
        <w:t>Wiley: Angewandte Chemie International Edition: Table of Contents</w:t>
      </w:r>
      <w:r>
        <w:t xml:space="preserve">    </w:t>
      </w:r>
      <w:r>
        <w:rPr>
          <w:b/>
        </w:rPr>
        <w:t xml:space="preserve">Pub date: </w:t>
      </w:r>
      <w:r>
        <w:t>2026-04-11 17:15:48+00:00</w:t>
      </w:r>
      <w:r>
        <w:t xml:space="preserve">    </w:t>
      </w:r>
      <w:r>
        <w:rPr>
          <w:b/>
        </w:rPr>
        <w:t xml:space="preserve">DOI: </w:t>
      </w:r>
      <w:hyperlink r:id="rId258">
        <w:r>
          <w:rPr>
            <w:color w:val="1155CC"/>
            <w:u w:val="single"/>
          </w:rPr>
          <w:t>10.1002/anie.8906317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α-硅烷烷基配合物，如常见的MCH</w:t>
      </w:r>
      <w:r>
        <w:rPr>
          <w:vertAlign w:val="subscript"/>
        </w:rPr>
        <w:t>2</w:t>
      </w:r>
      <w:r>
        <w:t>SiMe</w:t>
      </w:r>
      <w:r>
        <w:rPr>
          <w:vertAlign w:val="subscript"/>
        </w:rPr>
        <w:t>3</w:t>
      </w:r>
      <w:r>
        <w:t>，是一些最常用的有机金属构建块和试剂。迄今为止，大多数报告集中在活性金属-碳键上，而碳-硅键迄今为止仅限于少数偶然的反应模式。在此，通过研究单核Li或Na α-硅烷烷基配合物与CO、CO</w:t>
      </w:r>
      <w:r>
        <w:rPr>
          <w:vertAlign w:val="subscript"/>
        </w:rPr>
        <w:t>2</w:t>
      </w:r>
      <w:r>
        <w:t>或杂烯烃（异氰酸酯、异硫氰酸酯、碳二亚胺）之间的一系列反应，我们报告了串联的M─C和C─Si键反应，通过计算反应路径研究揭示了深入的机理理解</w:t>
      </w:r>
    </w:p>
    <w:p>
      <w:pPr>
        <w:spacing w:before="0" w:after="200" w:lineRule="auto" w:line="276"/>
      </w:pPr>
      <w:r>
        <w:rPr>
          <w:b/>
        </w:rPr>
        <w:t xml:space="preserve">Abstract (EN): </w:t>
      </w:r>
      <w:r>
        <w:t>α‐Silyl alkyl complexes, such as the ubiquitous MCH</w:t>
      </w:r>
      <w:r>
        <w:rPr>
          <w:vertAlign w:val="subscript"/>
        </w:rPr>
        <w:t>2</w:t>
      </w:r>
      <w:r>
        <w:t>SiMe</w:t>
      </w:r>
      <w:r>
        <w:rPr>
          <w:vertAlign w:val="subscript"/>
        </w:rPr>
        <w:t>3</w:t>
      </w:r>
      <w:r>
        <w:t>, are some of the most used organometallic building blocks and reagents. Hitherto, most reports focus on the reactive metal–carbon bond, while the carbon–silicon bond has thus far been limited to a handful of serendipitous reaction patterns. Herein, by examining a range of reactions between mononuclear Li or Na α‐silyl alkyl complexes and CO, CO</w:t>
      </w:r>
      <w:r>
        <w:rPr>
          <w:vertAlign w:val="subscript"/>
        </w:rPr>
        <w:t>2</w:t>
      </w:r>
      <w:r>
        <w:t>, or heteroallenes (isocyanates, isothiocyanates, carbodiimides), we report tandem M─C and C─Si bond reactivity, with in‐depth mechanistic understanding unveiled by computational reaction pathway studies enabled by the artificial force induced reaction (AFIR) method. By bringing the long‐neglected C─Si bond reactivity to the awareness of synthetic chemists, we demonstrate that the C─Si bond should be taken into account in reaction design when using these α‐silyl alkyl complexes.</w:t>
      </w:r>
    </w:p>
    <w:p>
      <w:pPr>
        <w:spacing w:before="120" w:after="120"/>
      </w:pPr>
      <w:r>
        <w:rPr>
          <w:sz w:val="18"/>
        </w:rPr>
        <w:t>——————————————————————————————————————————————————————————————————————</w:t>
      </w:r>
    </w:p>
    <w:p>
      <w:pPr>
        <w:spacing w:before="160" w:after="40" w:line="240" w:lineRule="auto"/>
      </w:pPr>
      <w:r>
        <w:rPr>
          <w:b/>
        </w:rPr>
        <w:t xml:space="preserve">[43] </w:t>
      </w:r>
      <w:hyperlink r:id="rId259">
        <w:r>
          <w:rPr>
            <w:color w:val="1155CC"/>
            <w:u w:val="single"/>
          </w:rPr>
          <w:t>对“表面工程化骨科植入物在“表面竞赛”中打破抗菌-成骨悖论的更正”</w:t>
        </w:r>
      </w:hyperlink>
    </w:p>
    <w:p>
      <w:pPr>
        <w:spacing w:before="0" w:after="80"/>
      </w:pPr>
      <w:r>
        <w:rPr>
          <w:i/>
          <w:sz w:val="20"/>
        </w:rPr>
        <w:t>EN: Correction to “Surface‐Engineered Orthopedic Implant to Break the Antimicrobial‐Osteogenic Paradox at Biointerfaces in the “Race for the Surface””</w:t>
      </w:r>
    </w:p>
    <w:p>
      <w:pPr>
        <w:spacing w:before="0" w:after="120"/>
      </w:pPr>
      <w:r>
        <w:rPr>
          <w:b/>
        </w:rPr>
        <w:t xml:space="preserve">Source: </w:t>
      </w:r>
      <w:r>
        <w:t>Wiley: Advanced Materials: Table of Contents</w:t>
      </w:r>
      <w:r>
        <w:t xml:space="preserve">    </w:t>
      </w:r>
      <w:r>
        <w:rPr>
          <w:b/>
        </w:rPr>
        <w:t xml:space="preserve">Pub date: </w:t>
      </w:r>
      <w:r>
        <w:t>2026-04-11 17:27:04+00:00</w:t>
      </w:r>
      <w:r>
        <w:t xml:space="preserve">    </w:t>
      </w:r>
      <w:r>
        <w:rPr>
          <w:b/>
        </w:rPr>
        <w:t xml:space="preserve">DOI: </w:t>
      </w:r>
      <w:hyperlink r:id="rId260">
        <w:r>
          <w:rPr>
            <w:color w:val="1155CC"/>
            <w:u w:val="single"/>
          </w:rPr>
          <w:t>10.1002/adma.73034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61">
        <w:r>
          <w:rPr>
            <w:color w:val="1155CC"/>
            <w:u w:val="single"/>
          </w:rPr>
          <w:t>共价网络形成速率控制混合双网络水凝胶中耗尽诱导的超分子组装</w:t>
        </w:r>
      </w:hyperlink>
    </w:p>
    <w:p>
      <w:pPr>
        <w:spacing w:before="0" w:after="80"/>
      </w:pPr>
      <w:r>
        <w:rPr>
          <w:i/>
          <w:sz w:val="20"/>
        </w:rPr>
        <w:t>EN: Covalent Network Formation Rate Controls Depletion‐Induced Supramolecular Assembly in Hybrid Double Network Hydrogels</w:t>
      </w:r>
    </w:p>
    <w:p>
      <w:pPr>
        <w:spacing w:before="0" w:after="120"/>
      </w:pPr>
      <w:r>
        <w:rPr>
          <w:b/>
        </w:rPr>
        <w:t xml:space="preserve">Source: </w:t>
      </w:r>
      <w:r>
        <w:t>Wiley: Angewandte Chemie International Edition: Table of Contents</w:t>
      </w:r>
      <w:r>
        <w:t xml:space="preserve">    </w:t>
      </w:r>
      <w:r>
        <w:rPr>
          <w:b/>
        </w:rPr>
        <w:t xml:space="preserve">Pub date: </w:t>
      </w:r>
      <w:r>
        <w:t>2026-04-11 17:31:06+00:00</w:t>
      </w:r>
      <w:r>
        <w:t xml:space="preserve">    </w:t>
      </w:r>
      <w:r>
        <w:rPr>
          <w:b/>
        </w:rPr>
        <w:t xml:space="preserve">DOI: </w:t>
      </w:r>
      <w:hyperlink r:id="rId262">
        <w:r>
          <w:rPr>
            <w:color w:val="1155CC"/>
            <w:u w:val="single"/>
          </w:rPr>
          <w:t>10.1002/anie.8845737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引入次级共价聚合物网络是一种强有力的方法，可以扩展超分子水凝胶的可用应用范围。虽然已知添加共价聚合物会导致力学性能的显著变化，但对于添加共价聚合物对具有基础超分子纤维纳米结构的水凝胶的影响缺乏深入了解。在此，我们展示了通过控制逆电子需求Diels–Alder反应的共价网络形成速率，可以对超分子网络的中尺度结构进行编程。缓慢的宏单体交联使得超分子纤维在超过临界宏单体浓度时能够通过耗尽诱导的超分子组装形成束，而快速的共价</w:t>
      </w:r>
    </w:p>
    <w:p>
      <w:pPr>
        <w:spacing w:before="0" w:after="200" w:lineRule="auto" w:line="276"/>
      </w:pPr>
      <w:r>
        <w:rPr>
          <w:b/>
        </w:rPr>
        <w:t xml:space="preserve">Abstract (EN): </w:t>
      </w:r>
      <w:r>
        <w:t>The introduction of a secondary covalent polymer network is a powerful approach to extend the usable application range of supramolecular hydrogels. While it is recognized that dramatic changes in mechanics can occur with their addition, there is a lack of insight into the impact of added covalent polymers on hydrogels with underlying supramolecular filament nanostructures. Here we show that through controlling the rate of covalent network formation by the inverse electron‐demand Diels–Alder reaction, the mesoscale architecture of the supramolecular network can be programmed. Slow macromonomer crosslinking enables depletion‐induced supramolecular assembly of the supramolecular filaments into bundles above a critical macromonomer concentration, whereas rapid covalent network formation halts this dynamic process by effectively locking in the low‐nm scale supramolecular nanostructures. This kinetic difference further translates into mechanically distinct hydrogels, where slow‐forming hybrid networks reveal a two‐fold increase in toughness as compared to fast‐crosslinked networks, thanks to the bundled supramolecular filaments. Through harnessing the macromolecular crowding capacity of reactive macromonomers and their reaction kinetics, a new axis to control the hierarchical structure of supramolecular hydrogels through depletion forces is unlocked that can be exploited to shape this soft matter class for numerous applications.</w:t>
      </w:r>
    </w:p>
    <w:p>
      <w:pPr>
        <w:spacing w:before="120" w:after="120"/>
      </w:pPr>
      <w:r>
        <w:rPr>
          <w:sz w:val="18"/>
        </w:rPr>
        <w:t>——————————————————————————————————————————————————————————————————————</w:t>
      </w:r>
    </w:p>
    <w:p>
      <w:pPr>
        <w:spacing w:before="160" w:after="40" w:line="240" w:lineRule="auto"/>
      </w:pPr>
      <w:r>
        <w:rPr>
          <w:b/>
        </w:rPr>
        <w:t xml:space="preserve">[45] </w:t>
      </w:r>
      <w:hyperlink r:id="rId263">
        <w:r>
          <w:rPr>
            <w:color w:val="1155CC"/>
            <w:u w:val="single"/>
          </w:rPr>
          <w:t>界面工程化异质结构的空位-氧化还原耦合增强质子陶瓷电池中的可逆能量转换</w:t>
        </w:r>
      </w:hyperlink>
    </w:p>
    <w:p>
      <w:pPr>
        <w:spacing w:before="0" w:after="80"/>
      </w:pPr>
      <w:r>
        <w:rPr>
          <w:i/>
          <w:sz w:val="20"/>
        </w:rPr>
        <w:t>EN: Vacancy–Redox Coupling at Interface‐Engineered Heterostructures Enhances Reversible Energy Conversion in Protonic Ceramic Cells</w:t>
      </w:r>
    </w:p>
    <w:p>
      <w:pPr>
        <w:spacing w:before="0" w:after="120"/>
      </w:pPr>
      <w:r>
        <w:rPr>
          <w:b/>
        </w:rPr>
        <w:t xml:space="preserve">Source: </w:t>
      </w:r>
      <w:r>
        <w:t>Wiley: Angewandte Chemie International Edition: Table of Contents</w:t>
      </w:r>
      <w:r>
        <w:t xml:space="preserve">    </w:t>
      </w:r>
      <w:r>
        <w:rPr>
          <w:b/>
        </w:rPr>
        <w:t xml:space="preserve">Pub date: </w:t>
      </w:r>
      <w:r>
        <w:t>2026-04-11 17:32:15+00:00</w:t>
      </w:r>
      <w:r>
        <w:t xml:space="preserve">    </w:t>
      </w:r>
      <w:r>
        <w:rPr>
          <w:b/>
        </w:rPr>
        <w:t xml:space="preserve">DOI: </w:t>
      </w:r>
      <w:hyperlink r:id="rId264">
        <w:r>
          <w:rPr>
            <w:color w:val="1155CC"/>
            <w:u w:val="single"/>
          </w:rPr>
          <w:t>10.1002/anie.7079252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在质子陶瓷电池（PCCs）中实现高效和耐久的氧电催化需要在蒸汽下精确控制缺陷化学和阳离子氧化还原。我们设计了一种分层工程化的氧电极，包括一个三维网状的PrNi</w:t>
      </w:r>
      <w:r>
        <w:rPr>
          <w:vertAlign w:val="subscript"/>
        </w:rPr>
        <w:t>0</w:t>
      </w:r>
      <w:r>
        <w:t>.</w:t>
      </w:r>
      <w:r>
        <w:rPr>
          <w:vertAlign w:val="subscript"/>
        </w:rPr>
        <w:t>7</w:t>
      </w:r>
      <w:r>
        <w:t>Co</w:t>
      </w:r>
      <w:r>
        <w:rPr>
          <w:vertAlign w:val="subscript"/>
        </w:rPr>
        <w:t>0</w:t>
      </w:r>
      <w:r>
        <w:t>.</w:t>
      </w:r>
      <w:r>
        <w:rPr>
          <w:vertAlign w:val="subscript"/>
        </w:rPr>
        <w:t>3</w:t>
      </w:r>
      <w:r>
        <w:t>O</w:t>
      </w:r>
      <w:r>
        <w:t xml:space="preserve"> </w:t>
      </w:r>
      <w:r>
        <w:t>3−δ</w:t>
      </w:r>
      <w:r>
        <w:t xml:space="preserve"> </w:t>
      </w:r>
      <w:r>
        <w:t>（PNC）骨架，与富缺位的PrO</w:t>
      </w:r>
      <w:r>
        <w:t xml:space="preserve"> </w:t>
      </w:r>
      <w:r>
        <w:t>x</w:t>
      </w:r>
      <w:r>
        <w:t xml:space="preserve"> </w:t>
      </w:r>
      <w:r>
        <w:t>纳米相紧密结合。这种结构扩展了反应区，而PrO</w:t>
      </w:r>
    </w:p>
    <w:p>
      <w:pPr>
        <w:spacing w:before="0" w:after="200" w:lineRule="auto" w:line="276"/>
      </w:pPr>
      <w:r>
        <w:rPr>
          <w:b/>
        </w:rPr>
        <w:t xml:space="preserve">Abstract (EN): </w:t>
      </w:r>
      <w:r>
        <w:t>Achieving efficient and durable oxygen electrocatalysis in protonic ceramic cells (PCCs) demands precise control of defect chemistry and cation redox under steam. Here, we design a hierarchically engineered oxygen electrode comprising a three‐dimensional, mesh‐like PrNi</w:t>
      </w:r>
      <w:r>
        <w:rPr>
          <w:vertAlign w:val="subscript"/>
        </w:rPr>
        <w:t>0</w:t>
      </w:r>
      <w:r>
        <w:t>.</w:t>
      </w:r>
      <w:r>
        <w:rPr>
          <w:vertAlign w:val="subscript"/>
        </w:rPr>
        <w:t>7</w:t>
      </w:r>
      <w:r>
        <w:t>Co</w:t>
      </w:r>
      <w:r>
        <w:rPr>
          <w:vertAlign w:val="subscript"/>
        </w:rPr>
        <w:t>0</w:t>
      </w:r>
      <w:r>
        <w:t>.</w:t>
      </w:r>
      <w:r>
        <w:rPr>
          <w:vertAlign w:val="subscript"/>
        </w:rPr>
        <w:t>3</w:t>
      </w:r>
      <w:r>
        <w:t>O</w:t>
      </w:r>
      <w:r>
        <w:t xml:space="preserve"> </w:t>
      </w:r>
      <w:r>
        <w:t>3−δ</w:t>
      </w:r>
      <w:r>
        <w:t xml:space="preserve"> </w:t>
      </w:r>
      <w:r>
        <w:t>(PNC) scaffold conformally integrated with a vacancy‐rich PrO</w:t>
      </w:r>
      <w:r>
        <w:t xml:space="preserve"> </w:t>
      </w:r>
      <w:r>
        <w:t>x</w:t>
      </w:r>
      <w:r>
        <w:t xml:space="preserve"> </w:t>
      </w:r>
      <w:r>
        <w:t>nanophase. This architecture extends the reactive zone while the PrO</w:t>
      </w:r>
      <w:r>
        <w:t xml:space="preserve"> </w:t>
      </w:r>
      <w:r>
        <w:t>x</w:t>
      </w:r>
      <w:r>
        <w:t xml:space="preserve"> </w:t>
      </w:r>
      <w:r>
        <w:t>–</w:t>
      </w:r>
      <w:r>
        <w:t xml:space="preserve"> </w:t>
      </w:r>
      <w:r>
        <w:t>PNC interphase enables vacancy‐mediated redox coupling between Pr and Co, buffering local oxygen chemical potential and stabilizing the defect landscape during reversible operation. The enhanced activity is attributed to vacancy‐assisted steam activation and defect‐mediated oxygen surface exchange and is consistent with interfacial modulation of metal–oxygen covalency within an O 2p band center framework. The electrode delivers 1.75 W cm</w:t>
      </w:r>
      <w:r>
        <w:t xml:space="preserve"> </w:t>
      </w:r>
      <w:r>
        <w:t>−</w:t>
      </w:r>
      <w:r>
        <w:rPr>
          <w:vertAlign w:val="subscript"/>
        </w:rPr>
        <w:t>2</w:t>
      </w:r>
      <w:r>
        <w:t>in fuel‐cell mode and 2.77 A cm</w:t>
      </w:r>
      <w:r>
        <w:t xml:space="preserve"> </w:t>
      </w:r>
      <w:r>
        <w:t>−</w:t>
      </w:r>
      <w:r>
        <w:rPr>
          <w:vertAlign w:val="subscript"/>
        </w:rPr>
        <w:t>2</w:t>
      </w:r>
      <w:r>
        <w:t>at 1.3 V in electrolysis at 600°C, maintains &amp;gt;92% Faradaic efficiency, and shows minimal degradation over 200 h. Our results establish a general strategy for coupling hierarchical transport with chemically active, redox‐buffered interphases to achieve both high kinetics and durability in protonic electrochemical systems.</w:t>
      </w:r>
    </w:p>
    <w:p>
      <w:pPr>
        <w:spacing w:before="120" w:after="120"/>
      </w:pPr>
      <w:r>
        <w:rPr>
          <w:sz w:val="18"/>
        </w:rPr>
        <w:t>——————————————————————————————————————————————————————————————————————</w:t>
      </w:r>
    </w:p>
    <w:p>
      <w:pPr>
        <w:spacing w:before="160" w:after="40" w:line="240" w:lineRule="auto"/>
      </w:pPr>
      <w:r>
        <w:rPr>
          <w:b/>
        </w:rPr>
        <w:t xml:space="preserve">[46] </w:t>
      </w:r>
      <w:hyperlink r:id="rId265">
        <w:r>
          <w:rPr>
            <w:color w:val="1155CC"/>
            <w:u w:val="single"/>
          </w:rPr>
          <w:t>两亲性两性离子聚合物诱导脂质体形态生成纳米盘以深入胶质母细胞瘤浸润</w:t>
        </w:r>
      </w:hyperlink>
    </w:p>
    <w:p>
      <w:pPr>
        <w:spacing w:before="0" w:after="80"/>
      </w:pPr>
      <w:r>
        <w:rPr>
          <w:i/>
          <w:sz w:val="20"/>
        </w:rPr>
        <w:t>EN: Amphiphilic Zwitterionic Polymers Induce Liposome Morphogenesis into Nanodiscs for Deep Glioblastoma Infiltration</w:t>
      </w:r>
    </w:p>
    <w:p>
      <w:pPr>
        <w:spacing w:before="0" w:after="120"/>
      </w:pPr>
      <w:r>
        <w:rPr>
          <w:b/>
        </w:rPr>
        <w:t xml:space="preserve">Source: </w:t>
      </w:r>
      <w:r>
        <w:t>Wiley: Angewandte Chemie International Edition: Table of Contents</w:t>
      </w:r>
      <w:r>
        <w:t xml:space="preserve">    </w:t>
      </w:r>
      <w:r>
        <w:rPr>
          <w:b/>
        </w:rPr>
        <w:t xml:space="preserve">Pub date: </w:t>
      </w:r>
      <w:r>
        <w:t>2026-04-11 17:33:12+00:00</w:t>
      </w:r>
      <w:r>
        <w:t xml:space="preserve">    </w:t>
      </w:r>
      <w:r>
        <w:rPr>
          <w:b/>
        </w:rPr>
        <w:t xml:space="preserve">DOI: </w:t>
      </w:r>
      <w:hyperlink r:id="rId266">
        <w:r>
          <w:rPr>
            <w:color w:val="1155CC"/>
            <w:u w:val="single"/>
          </w:rPr>
          <w:t>10.1002/anie.2167334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胶质母细胞瘤的治疗受到血脑屏障（BBB）和有限的肿瘤内渗透的严重限制。在此，我们报告了一种新合成的两亲性双离子共聚物，它与磷脂共同组装成无蛋白纳米盘（zNDs，约15.5 nm）。脂质体共浮和福斯特共振能量转移（FRET）测定揭示了一个三阶段的形态发生过程：聚合物插入、膜破坏和通过膜重塑的脂质体到纳米盘的重组。所得的zNDs在生理条件下表现出高胶体稳定性，并通过胆碱转运体介导的跨胞吞作用有效穿过BBB。在原位胶质母细胞瘤模型中，zNDs深入穿透肿瘤，通过网格蛋白介导的内吞作用进入细胞，并</w:t>
      </w:r>
    </w:p>
    <w:p>
      <w:pPr>
        <w:spacing w:before="0" w:after="200" w:lineRule="auto" w:line="276"/>
      </w:pPr>
      <w:r>
        <w:rPr>
          <w:b/>
        </w:rPr>
        <w:t xml:space="preserve">Abstract (EN): </w:t>
      </w:r>
      <w:r>
        <w:t>Glioblastoma therapy is severely constrained by the blood–brain barrier (BBB) and limited intratumoral penetration. Here, we report a de novo synthesized amphiphilic zwitterionic copolymer that co‐assembles with phospholipids into protein‐free nanodiscs (zNDs, ∼15.5 nm). Liposome co‐flotation and Förster resonance energy transfer (FRET) assays reveal a three‐stage morphogenetic process: polymer insertion, membrane disruption, and liposome‐to‐nanodisc reassembly through membrane remodeling. The resulting zNDs exhibit high colloidal stability under physiological conditions and efficiently cross the BBB via choline transporter‐mediated transcytosis. In orthotopic glioblastoma models, zNDs penetrate tumors deeply, enter cells through clathrin‐mediated endocytosis, and escape endo‐lysosomal compartments. Incorporation of lipid–drug conjugates allows delivery of honokiol, which disassembles 3D tumor spheroids, suppresses tumor growth in orthotopic models, and extends median survival by nearly 2.5‐fold without systemic toxicity. This study establishes a modular, protein‐free nanodisc platform that integrates rational polymer design with active BBB transport, offering a versatile strategy for deep therapeutic delivery in central nervous system malignancies and providing mechanistic principles that guide future optimization of BBB‐penetrant nanocarriers.</w:t>
      </w:r>
    </w:p>
    <w:p>
      <w:pPr>
        <w:spacing w:before="120" w:after="120"/>
      </w:pPr>
      <w:r>
        <w:rPr>
          <w:sz w:val="18"/>
        </w:rPr>
        <w:t>——————————————————————————————————————————————————————————————————————</w:t>
      </w:r>
    </w:p>
    <w:p>
      <w:pPr>
        <w:spacing w:before="160" w:after="40" w:line="240" w:lineRule="auto"/>
      </w:pPr>
      <w:r>
        <w:rPr>
          <w:b/>
        </w:rPr>
        <w:t xml:space="preserve">[47] </w:t>
      </w:r>
      <w:hyperlink r:id="rId267">
        <w:r>
          <w:rPr>
            <w:color w:val="1155CC"/>
            <w:u w:val="single"/>
          </w:rPr>
          <w:t>在配电网络中整合点对点电力交易和无功支持服务：一种进化多智能体深度强化学习方法</w:t>
        </w:r>
      </w:hyperlink>
    </w:p>
    <w:p>
      <w:pPr>
        <w:spacing w:before="0" w:after="80"/>
      </w:pPr>
      <w:r>
        <w:rPr>
          <w:i/>
          <w:sz w:val="20"/>
        </w:rPr>
        <w:t>EN: Integrating peer-to-peer electricity trading and Var support service within distribution networks: An evolutionary multi-agent deep reinforcement learning approach</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68">
        <w:r>
          <w:rPr>
            <w:color w:val="1155CC"/>
            <w:u w:val="single"/>
          </w:rPr>
          <w:t>通过云边协作的多能虚拟电厂集群的多时间尺度分布式控制</w:t>
        </w:r>
      </w:hyperlink>
    </w:p>
    <w:p>
      <w:pPr>
        <w:spacing w:before="0" w:after="80"/>
      </w:pPr>
      <w:r>
        <w:rPr>
          <w:i/>
          <w:sz w:val="20"/>
        </w:rPr>
        <w:t>EN: Multi-timescale distributed control for multi-energy virtual power plant clusters via cloud-edge collaboration</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69">
        <w:r>
          <w:rPr>
            <w:color w:val="1155CC"/>
            <w:u w:val="single"/>
          </w:rPr>
          <w:t>基于势场引导的动态分层Stackelberg博弈用于风暴潮下MESS-DV协同电力恢复</w:t>
        </w:r>
      </w:hyperlink>
    </w:p>
    <w:p>
      <w:pPr>
        <w:spacing w:before="0" w:after="80"/>
      </w:pPr>
      <w:r>
        <w:rPr>
          <w:i/>
          <w:sz w:val="20"/>
        </w:rPr>
        <w:t>EN: Potential field-guided dynamic hierarchical Stackelberg game for MESS-DV synergistic power restoration under storm tide</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270">
        <w:r>
          <w:rPr>
            <w:color w:val="1155CC"/>
            <w:u w:val="single"/>
          </w:rPr>
          <w:t>基于开放数据的区域尺度可持续水电潜力评估框架：以中亚为例</w:t>
        </w:r>
      </w:hyperlink>
    </w:p>
    <w:p>
      <w:pPr>
        <w:spacing w:before="0" w:after="80"/>
      </w:pPr>
      <w:r>
        <w:rPr>
          <w:i/>
          <w:sz w:val="20"/>
        </w:rPr>
        <w:t>EN: A regional-scale framework for assessing sustainable hydropower potential based on open-access data: the case of Central Asia</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271">
        <w:r>
          <w:rPr>
            <w:color w:val="1155CC"/>
            <w:u w:val="single"/>
          </w:rPr>
          <w:t>能源社区融资：意大利的参与者、工具、建设者和ESG生态系统期望</w:t>
        </w:r>
      </w:hyperlink>
    </w:p>
    <w:p>
      <w:pPr>
        <w:spacing w:before="0" w:after="80"/>
      </w:pPr>
      <w:r>
        <w:rPr>
          <w:i/>
          <w:sz w:val="20"/>
        </w:rPr>
        <w:t>EN: Financing energy communities: Actors, instruments, builders, and ESG ecosystem expectations in Italy</w:t>
      </w:r>
    </w:p>
    <w:p>
      <w:pPr>
        <w:spacing w:before="0" w:after="120"/>
      </w:pPr>
      <w:r>
        <w:rPr>
          <w:b/>
        </w:rPr>
        <w:t xml:space="preserve">Source: </w:t>
      </w:r>
      <w:r>
        <w:t>ScienceDirect Publication: Energy Policy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272">
        <w:r>
          <w:rPr>
            <w:color w:val="1155CC"/>
            <w:u w:val="single"/>
          </w:rPr>
          <w:t>船舶性能建模的最新机器学习应用：从设计和运营到维护和改造的综合评审</w:t>
        </w:r>
      </w:hyperlink>
    </w:p>
    <w:p>
      <w:pPr>
        <w:spacing w:before="0" w:after="80"/>
      </w:pPr>
      <w:r>
        <w:rPr>
          <w:i/>
          <w:sz w:val="20"/>
        </w:rPr>
        <w:t>EN: State-of-the-art machine learning applications for ship performance modeling: a comprehensive review from design and operation to maintenance and retrofit</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273">
        <w:r>
          <w:rPr>
            <w:color w:val="1155CC"/>
            <w:u w:val="single"/>
          </w:rPr>
          <w:t>多维收入质量：农村中国能源贫困的新视角</w:t>
        </w:r>
      </w:hyperlink>
    </w:p>
    <w:p>
      <w:pPr>
        <w:spacing w:before="0" w:after="80"/>
      </w:pPr>
      <w:r>
        <w:rPr>
          <w:i/>
          <w:sz w:val="20"/>
        </w:rPr>
        <w:t>EN: Multidimensional income quality: A new lens on energy poverty in rural China</w:t>
      </w:r>
    </w:p>
    <w:p>
      <w:pPr>
        <w:spacing w:before="0" w:after="120"/>
      </w:pPr>
      <w:r>
        <w:rPr>
          <w:b/>
        </w:rPr>
        <w:t xml:space="preserve">Source: </w:t>
      </w:r>
      <w:r>
        <w:t>ScienceDirect Publication: Energy Policy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74">
        <w:r>
          <w:rPr>
            <w:color w:val="1155CC"/>
            <w:u w:val="single"/>
          </w:rPr>
          <w:t>通过互利方法在可再生分布网中实现机会约束的以舒适为中心的损耗最小化</w:t>
        </w:r>
      </w:hyperlink>
    </w:p>
    <w:p>
      <w:pPr>
        <w:spacing w:before="0" w:after="80"/>
      </w:pPr>
      <w:r>
        <w:rPr>
          <w:i/>
          <w:sz w:val="20"/>
        </w:rPr>
        <w:t>EN: Chance-constrained comfort-centric loss minimization in renewable distribution grids through mutual-interest approach</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275">
        <w:r>
          <w:rPr>
            <w:color w:val="1155CC"/>
            <w:u w:val="single"/>
          </w:rPr>
          <w:t>考虑多气象因素的数据驱动动态备用容量分配方法</w:t>
        </w:r>
      </w:hyperlink>
    </w:p>
    <w:p>
      <w:pPr>
        <w:spacing w:before="0" w:after="80"/>
      </w:pPr>
      <w:r>
        <w:rPr>
          <w:i/>
          <w:sz w:val="20"/>
        </w:rPr>
        <w:t>EN: A data-driven dynamic reserve capacity allocation method considering multi-meteorological factors</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276">
        <w:r>
          <w:rPr>
            <w:color w:val="1155CC"/>
            <w:u w:val="single"/>
          </w:rPr>
          <w:t>隐私保护的配电系统灵活性利用以增强TSO-DSO互操作性：一种新颖的基于机器学习的最优潮流方法</w:t>
        </w:r>
      </w:hyperlink>
    </w:p>
    <w:p>
      <w:pPr>
        <w:spacing w:before="0" w:after="80"/>
      </w:pPr>
      <w:r>
        <w:rPr>
          <w:i/>
          <w:sz w:val="20"/>
        </w:rPr>
        <w:t>EN: Privacy-preserving utilization of distribution system flexibility for enhanced TSO-DSO interoperability: A novel machine learning-based optimal power flow approach</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277">
        <w:r>
          <w:rPr>
            <w:color w:val="1155CC"/>
            <w:u w:val="single"/>
          </w:rPr>
          <w:t>OmniTIEFormer：一种具有跨尺度迁移学习的三分支变压器，用于多尺度电池生命周期预测</w:t>
        </w:r>
      </w:hyperlink>
    </w:p>
    <w:p>
      <w:pPr>
        <w:spacing w:before="0" w:after="80"/>
      </w:pPr>
      <w:r>
        <w:rPr>
          <w:i/>
          <w:sz w:val="20"/>
        </w:rPr>
        <w:t>EN: OmniTIEFormer: A tri-branch transformer with cross-scale transfer learning for multi-scale battery life-cycle forecasting</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278">
        <w:r>
          <w:rPr>
            <w:color w:val="1155CC"/>
            <w:u w:val="single"/>
          </w:rPr>
          <w:t>基于边界变量转移模型的协作网络物理配电系统弹性改进</w:t>
        </w:r>
      </w:hyperlink>
    </w:p>
    <w:p>
      <w:pPr>
        <w:spacing w:before="0" w:after="80"/>
      </w:pPr>
      <w:r>
        <w:rPr>
          <w:i/>
          <w:sz w:val="20"/>
        </w:rPr>
        <w:t>EN: Boundary variable transfer model-based resilience improvement for collaborative cyber-physical distribution systems</w:t>
      </w:r>
    </w:p>
    <w:p>
      <w:pPr>
        <w:spacing w:before="0" w:after="120"/>
      </w:pPr>
      <w:r>
        <w:rPr>
          <w:b/>
        </w:rPr>
        <w:t xml:space="preserve">Source: </w:t>
      </w:r>
      <w:r>
        <w:t>ScienceDirect Publication: Applied Energy</w:t>
      </w:r>
      <w:r>
        <w:t xml:space="preserve">    </w:t>
      </w:r>
      <w:r>
        <w:rPr>
          <w:b/>
        </w:rPr>
        <w:t xml:space="preserve">Pub date: </w:t>
      </w:r>
      <w:r>
        <w:t>2026-04-12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279">
        <w:r>
          <w:rPr>
            <w:color w:val="1155CC"/>
            <w:u w:val="single"/>
          </w:rPr>
          <w:t>[ASAP] 铑催化的硼酸与丙二腈的不对称加成</w:t>
        </w:r>
      </w:hyperlink>
    </w:p>
    <w:p>
      <w:pPr>
        <w:spacing w:before="0" w:after="80"/>
      </w:pPr>
      <w:r>
        <w:rPr>
          <w:i/>
          <w:sz w:val="20"/>
        </w:rPr>
        <w:t>EN: [ASAP] Rhodium-Catalyzed Desymmetric Addition of Boronic Acids to Malononitriles</w:t>
      </w:r>
    </w:p>
    <w:p>
      <w:pPr>
        <w:spacing w:before="0" w:after="120"/>
      </w:pPr>
      <w:r>
        <w:rPr>
          <w:b/>
        </w:rPr>
        <w:t xml:space="preserve">Source: </w:t>
      </w:r>
      <w:r>
        <w:t>Journal of the American Chemical Society: Latest Articles (ACS Publications)</w:t>
      </w:r>
      <w:r>
        <w:t xml:space="preserve">    </w:t>
      </w:r>
      <w:r>
        <w:rPr>
          <w:b/>
        </w:rPr>
        <w:t xml:space="preserve">Pub date: </w:t>
      </w:r>
      <w:r>
        <w:t>2026-04-12 12:50:32+00:00</w:t>
      </w:r>
      <w:r>
        <w:t xml:space="preserve">    </w:t>
      </w:r>
      <w:r>
        <w:rPr>
          <w:b/>
        </w:rPr>
        <w:t xml:space="preserve">DOI: </w:t>
      </w:r>
      <w:hyperlink r:id="rId280">
        <w:r>
          <w:rPr>
            <w:color w:val="1155CC"/>
            <w:u w:val="single"/>
          </w:rPr>
          <w:t>10.1021/jacs.5c23045</w:t>
        </w:r>
      </w:hyperlink>
    </w:p>
    <w:p>
      <w:pPr>
        <w:spacing w:before="0" w:after="120"/>
      </w:pPr>
      <w:r>
        <w:rPr>
          <w:b/>
        </w:rPr>
        <w:t xml:space="preserve">Notes: </w:t>
      </w:r>
      <w:r>
        <w:t>abstract_source=pubmed</w:t>
      </w:r>
    </w:p>
    <w:p>
      <w:pPr>
        <w:spacing w:before="0" w:after="80" w:lineRule="auto" w:line="276"/>
      </w:pPr>
      <w:r>
        <w:rPr>
          <w:b/>
        </w:rPr>
        <w:t xml:space="preserve">摘要（ZH）: </w:t>
      </w:r>
      <w:r>
        <w:t>丙二腈是一种重要的化学原料，用于构建复杂的含氮分子。然而，在其衍生物的转化中实现高对映选择性通常具有挑战性，因为两个线性腈基的空间排列阻碍了在相关多功能化反应物中常用的螯合辅助。在此，我们展示了一种定制的磷酰胺配体，用于铑催化的碳亲核试剂对丙二腈的不对称加成。由拱形氯化联萘酚骨架和亚氨基苯乙烯基构成的手性口袋被认为限制了配合腈的C(ipso)-C(α)键旋转，从而强制精确的底物取向。因此，具有季碳立体中心的β-酮腈被</w:t>
      </w:r>
    </w:p>
    <w:p>
      <w:pPr>
        <w:spacing w:before="0" w:after="200" w:lineRule="auto" w:line="276"/>
      </w:pPr>
      <w:r>
        <w:rPr>
          <w:b/>
        </w:rPr>
        <w:t xml:space="preserve">Abstract (EN): </w:t>
      </w:r>
      <w:r>
        <w:t>Malononitrile is a privileged chemical feedstock for building complex nitrogen-containing molecules of interest. However, achieving high enantiocontrol in transformations of its derivatives is often challenging, as the spatial arrangement of the two linear nitriles impedes the chelative assistance commonly exploited in related multifunctionalized reactants. Here, we demonstrate a customized phosphoramidite ligand for a rhodium-catalyzed desymmetric addition of carbon nucleophiles to malononitriles. The chiral pocket, enclosed by a vaulted, chlorinated binaphthol skeleton and an iminostilbene motif, is proposed to restrict the C(ipso)-C(α) bond rotation of complexed nitrile and thus enforces precise substrate orientation. Consequently, β-ketonitriles bearing a quaternary stereocenter are obtained in good enantiopurity with versatile reactivity arising from the remaining nitrile, the newly generated ketone, and diverse substituents retained from the malononitrile reactant.</w:t>
      </w:r>
    </w:p>
    <w:p>
      <w:pPr>
        <w:spacing w:before="120" w:after="120"/>
      </w:pPr>
      <w:r>
        <w:rPr>
          <w:sz w:val="18"/>
        </w:rPr>
        <w:t>——————————————————————————————————————————————————————————————————————</w:t>
      </w:r>
    </w:p>
    <w:p>
      <w:pPr>
        <w:spacing w:before="160" w:after="40" w:line="240" w:lineRule="auto"/>
      </w:pPr>
      <w:r>
        <w:rPr>
          <w:b/>
        </w:rPr>
        <w:t xml:space="preserve">[60] </w:t>
      </w:r>
      <w:hyperlink r:id="rId281">
        <w:r>
          <w:rPr>
            <w:color w:val="1155CC"/>
            <w:u w:val="single"/>
          </w:rPr>
          <w:t>[ASAP] 局部化阳离子解锁分子氧还原催化中的独特活性-选择性趋势</w:t>
        </w:r>
      </w:hyperlink>
    </w:p>
    <w:p>
      <w:pPr>
        <w:spacing w:before="0" w:after="80"/>
      </w:pPr>
      <w:r>
        <w:rPr>
          <w:i/>
          <w:sz w:val="20"/>
        </w:rPr>
        <w:t>EN: [ASAP] Localized Cation Unlocks Unique Activity-Selectivity Trends in Molecular Oxygen Reduction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2026-04-12 16:32:04+00:00</w:t>
      </w:r>
      <w:r>
        <w:t xml:space="preserve">    </w:t>
      </w:r>
      <w:r>
        <w:rPr>
          <w:b/>
        </w:rPr>
        <w:t xml:space="preserve">DOI: </w:t>
      </w:r>
      <w:hyperlink r:id="rId282">
        <w:r>
          <w:rPr>
            <w:color w:val="1155CC"/>
            <w:u w:val="single"/>
          </w:rPr>
          <w:t>10.1021/jacs.5c18246</w:t>
        </w:r>
      </w:hyperlink>
    </w:p>
    <w:p>
      <w:pPr>
        <w:spacing w:before="0" w:after="120"/>
      </w:pPr>
      <w:r>
        <w:rPr>
          <w:b/>
        </w:rPr>
        <w:t xml:space="preserve">Notes: </w:t>
      </w:r>
      <w:r>
        <w:t>abstract_source=pubmed</w:t>
      </w:r>
    </w:p>
    <w:p>
      <w:pPr>
        <w:spacing w:before="0" w:after="80" w:lineRule="auto" w:line="276"/>
      </w:pPr>
      <w:r>
        <w:rPr>
          <w:b/>
        </w:rPr>
        <w:t xml:space="preserve">摘要（ZH）: </w:t>
      </w:r>
      <w:r>
        <w:t>在单一分子框架内整合静电和路易斯酸效应是功能催化剂合理设计的关键考虑因素。在此，我们报告了模块化冠状卟啉结构，将氧化还原惰性阳离子引入可编程的次级配位环境。该设计实现了局部电场的系统调节，通过光谱和电化学分析揭示了单价、二价和三价阳离子间的电荷依赖性扰动。在氧还原催化中，相应的铁配合物（FeL1-Cl）表现出可调的反应性景观，这源于静电和路易斯酸效应的相互作用。这些结果为设计阳离子响应的分子结构提供了框架</w:t>
      </w:r>
    </w:p>
    <w:p>
      <w:pPr>
        <w:spacing w:before="0" w:after="200" w:lineRule="auto" w:line="276"/>
      </w:pPr>
      <w:r>
        <w:rPr>
          <w:b/>
        </w:rPr>
        <w:t xml:space="preserve">Abstract (EN): </w:t>
      </w:r>
      <w:r>
        <w:t>Integrating electrostatic and Lewis acid effects within a single molecular framework is a critically designed consideration central to the rational design of functional catalysts. Here, we report modular crown-porphyrin architectures that incorporate redox-inactive cations into programmable secondary coordination environments. This design enables systematic modulation of local electric fields, revealing charge-dependent perturbations across mono-, di-, and tri-valent cations through spectroscopic and electrochemical analyses. In oxygen reduction catalysis, the corresponding iron complexes (FeL1-Cl) display tunable reactivity landscapes arising from the interplay of electrostatic and Lewis acid effects. These results provide a framework for the design of cation-responsive molecular architectures in which cooperative noncovalent interactions can be leveraged to influence catalytic outcomes, as illustrated here for oxygen reduction reaction.</w:t>
      </w:r>
    </w:p>
    <w:p>
      <w:pPr>
        <w:spacing w:before="120" w:after="120"/>
      </w:pPr>
      <w:r>
        <w:rPr>
          <w:sz w:val="18"/>
        </w:rPr>
        <w:t>——————————————————————————————————————————————————————————————————————</w:t>
      </w:r>
    </w:p>
    <w:p>
      <w:pPr>
        <w:spacing w:before="160" w:after="40" w:line="240" w:lineRule="auto"/>
      </w:pPr>
      <w:r>
        <w:rPr>
          <w:b/>
        </w:rPr>
        <w:t xml:space="preserve">[61] </w:t>
      </w:r>
      <w:hyperlink r:id="rId283">
        <w:r>
          <w:rPr>
            <w:color w:val="1155CC"/>
            <w:u w:val="single"/>
          </w:rPr>
          <w:t>[ASAP] 可见光促进的镍催化碘代碳硼烷与三芳基胂和三苯基锑的交叉偶联</w:t>
        </w:r>
      </w:hyperlink>
    </w:p>
    <w:p>
      <w:pPr>
        <w:spacing w:before="0" w:after="80"/>
      </w:pPr>
      <w:r>
        <w:rPr>
          <w:i/>
          <w:sz w:val="20"/>
        </w:rPr>
        <w:t>EN: [ASAP] Visible-Light-Promoted Nickel-Catalyzed Cross-Coupling of Iodocarboranes with Triarylarsanes and Triphenylstibanes</w:t>
      </w:r>
    </w:p>
    <w:p>
      <w:pPr>
        <w:spacing w:before="0" w:after="120"/>
      </w:pPr>
      <w:r>
        <w:rPr>
          <w:b/>
        </w:rPr>
        <w:t xml:space="preserve">Source: </w:t>
      </w:r>
      <w:r>
        <w:t>Journal of the American Chemical Society: Latest Articles (ACS Publications)</w:t>
      </w:r>
      <w:r>
        <w:t xml:space="preserve">    </w:t>
      </w:r>
      <w:r>
        <w:rPr>
          <w:b/>
        </w:rPr>
        <w:t xml:space="preserve">Pub date: </w:t>
      </w:r>
      <w:r>
        <w:t>2026-04-12 16:32:44+00:00</w:t>
      </w:r>
      <w:r>
        <w:t xml:space="preserve">    </w:t>
      </w:r>
      <w:r>
        <w:rPr>
          <w:b/>
        </w:rPr>
        <w:t xml:space="preserve">DOI: </w:t>
      </w:r>
      <w:hyperlink r:id="rId284">
        <w:r>
          <w:rPr>
            <w:color w:val="1155CC"/>
            <w:u w:val="single"/>
          </w:rPr>
          <w:t>10.1021/jacs.6c04797</w:t>
        </w:r>
      </w:hyperlink>
    </w:p>
    <w:p>
      <w:pPr>
        <w:spacing w:before="0" w:after="120"/>
      </w:pPr>
      <w:r>
        <w:rPr>
          <w:b/>
        </w:rPr>
        <w:t xml:space="preserve">Notes: </w:t>
      </w:r>
      <w:r>
        <w:t>abstract_source=pubmed</w:t>
      </w:r>
    </w:p>
    <w:p>
      <w:pPr>
        <w:spacing w:before="0" w:after="80" w:lineRule="auto" w:line="276"/>
      </w:pPr>
      <w:r>
        <w:rPr>
          <w:b/>
        </w:rPr>
        <w:t xml:space="preserve">摘要（ZH）: </w:t>
      </w:r>
      <w:r>
        <w:t>构建稳定的B-As和B-Sb键一直是一个艰巨的挑战。在此，我们提出了一种温和的可见光促进的镍催化自由基交叉偶联策略，直接在碳硼烷笼上形成B-As和B-Sb键。该方案有效地将碘代碳硼烷和三芳基胂/锑烷转化为一系列先前无法获得的、表征良好的硼-胂化和硼-锑化碳硼烷，在室温下进行。独特的碳硼烷框架稳定了这些通常不稳定的键，产生了空气和热稳定的化合物，X射线晶体学证实了这一点。这项工作提供了一个基于自由基的平台，用于探索硼-重磷化学。</w:t>
      </w:r>
    </w:p>
    <w:p>
      <w:pPr>
        <w:spacing w:before="0" w:after="200" w:lineRule="auto" w:line="276"/>
      </w:pPr>
      <w:r>
        <w:rPr>
          <w:b/>
        </w:rPr>
        <w:t xml:space="preserve">Abstract (EN): </w:t>
      </w:r>
      <w:r>
        <w:t>The construction of stable B-As and B-Sb bonds has long been a formidable challenge. Herein, we present a mild visible-light-promoted nickel-catalyzed radical cross-coupling strategy that directly forges B-As and B-Sb bonds on carborane cages. This protocol efficiently converts iodocarboranes and triarylarsanes/stibanes into a series of previously inaccessible, well-characterized boron-arsanylated and boron-stibanylated carboranes at room temperature. The unique carborane framework stabilizes these typically labile bonds, yielding air- and thermally stable compounds, as confirmed by X-ray crystallography. This work provides a general radical-based platform for exploring boron-heavier pnictogen chemistry.</w:t>
      </w:r>
    </w:p>
    <w:p>
      <w:pPr>
        <w:spacing w:before="120" w:after="120"/>
      </w:pPr>
      <w:r>
        <w:rPr>
          <w:sz w:val="18"/>
        </w:rPr>
        <w:t>——————————————————————————————————————————————————————————————————————</w:t>
      </w:r>
    </w:p>
    <w:p>
      <w:pPr>
        <w:spacing w:before="160" w:after="40" w:line="240" w:lineRule="auto"/>
      </w:pPr>
      <w:r>
        <w:rPr>
          <w:b/>
        </w:rPr>
        <w:t xml:space="preserve">[62] </w:t>
      </w:r>
      <w:hyperlink r:id="rId285">
        <w:r>
          <w:rPr>
            <w:color w:val="1155CC"/>
            <w:u w:val="single"/>
          </w:rPr>
          <w:t>[ASAP] 对“线粒体定位的铱(III)内过氧化物络合物在缺氧下用于双光子光激活治疗的光解笼”的更正</w:t>
        </w:r>
      </w:hyperlink>
    </w:p>
    <w:p>
      <w:pPr>
        <w:spacing w:before="0" w:after="80"/>
      </w:pPr>
      <w:r>
        <w:rPr>
          <w:i/>
          <w:sz w:val="20"/>
        </w:rPr>
        <w:t>EN: [ASAP] Correction to “Photodecaging of a Mitochondria-Localized Iridium(III) Endoperoxide Complex for Two-Photon Photoactivated Therapy under Hypoxia”</w:t>
      </w:r>
    </w:p>
    <w:p>
      <w:pPr>
        <w:spacing w:before="0" w:after="120"/>
      </w:pPr>
      <w:r>
        <w:rPr>
          <w:b/>
        </w:rPr>
        <w:t xml:space="preserve">Source: </w:t>
      </w:r>
      <w:r>
        <w:t>Journal of the American Chemical Society: Latest Articles (ACS Publications)</w:t>
      </w:r>
      <w:r>
        <w:t xml:space="preserve">    </w:t>
      </w:r>
      <w:r>
        <w:rPr>
          <w:b/>
        </w:rPr>
        <w:t xml:space="preserve">Pub date: </w:t>
      </w:r>
      <w:r>
        <w:t>2026-04-12 17:51:39+00:00</w:t>
      </w:r>
      <w:r>
        <w:t xml:space="preserve">    </w:t>
      </w:r>
      <w:r>
        <w:rPr>
          <w:b/>
        </w:rPr>
        <w:t xml:space="preserve">DOI: </w:t>
      </w:r>
      <w:hyperlink r:id="rId286">
        <w:r>
          <w:rPr>
            <w:color w:val="1155CC"/>
            <w:u w:val="single"/>
          </w:rPr>
          <w:t>10.1021/jacs.6c06681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287">
        <w:r>
          <w:rPr>
            <w:color w:val="1155CC"/>
            <w:u w:val="single"/>
          </w:rPr>
          <w:t>过渡金属催化和光催化的不饱和烃的催化不对称[4+2]环加成</w:t>
        </w:r>
      </w:hyperlink>
    </w:p>
    <w:p>
      <w:pPr>
        <w:spacing w:before="0" w:after="80"/>
      </w:pPr>
      <w:r>
        <w:rPr>
          <w:i/>
          <w:sz w:val="20"/>
        </w:rPr>
        <w:t>EN: Catalytic asymmetric [4+2] cycloadditions of unsaturated hydrocarbons by transition metal catalysis and photocatalysis</w:t>
      </w:r>
    </w:p>
    <w:p>
      <w:pPr>
        <w:spacing w:before="0" w:after="120"/>
      </w:pPr>
      <w:r>
        <w:rPr>
          <w:b/>
        </w:rPr>
        <w:t xml:space="preserve">Source: </w:t>
      </w:r>
      <w:r>
        <w:t>RSC - Chem. Soc. Rev. latest articles</w:t>
      </w:r>
      <w:r>
        <w:t xml:space="preserve">    </w:t>
      </w:r>
      <w:r>
        <w:rPr>
          <w:b/>
        </w:rPr>
        <w:t xml:space="preserve">Pub date: </w:t>
      </w:r>
      <w:r>
        <w:t>2026-04-12 23:00:00+00:00</w:t>
      </w:r>
    </w:p>
    <w:p>
      <w:pPr>
        <w:spacing w:before="0" w:after="120"/>
      </w:pPr>
      <w:r>
        <w:rPr>
          <w:b/>
        </w:rPr>
        <w:t xml:space="preserve">Notes: </w:t>
      </w:r>
      <w:r>
        <w:t>abstract_source=rsc_html</w:t>
      </w:r>
    </w:p>
    <w:p>
      <w:pPr>
        <w:spacing w:before="0" w:after="80" w:lineRule="auto" w:line="276"/>
      </w:pPr>
      <w:r>
        <w:rPr>
          <w:b/>
        </w:rPr>
        <w:t xml:space="preserve">摘要（ZH）: </w:t>
      </w:r>
      <w:r>
        <w:t>对映选择性Diels–Alder反应可以说是构建手性六元碳环最有效和直接的方法之一。然而，根据经典的Hoffmann–Woodward规则，这种传统反应的普遍性受到电子要求和取代模式的限制。为了规避这些限制，近年来出现了几种创新的方法。利用这些方法，各种类型的电子不匹配的[4+2]环加成反应，如烯烃、炔烃和烯烃的不饱和碳的环加成反应已经实现。本文将总结过去三十年中这一快速增长领域的这些进展，包括通过氧化的过渡金属催化的不对称[4+2]环加成反应。</w:t>
      </w:r>
    </w:p>
    <w:p>
      <w:pPr>
        <w:spacing w:before="0" w:after="200" w:lineRule="auto" w:line="276"/>
      </w:pPr>
      <w:r>
        <w:rPr>
          <w:b/>
        </w:rPr>
        <w:t xml:space="preserve">Abstract (EN): </w:t>
      </w:r>
      <w:r>
        <w:t>The enantioselective Diels–Alder reaction is arguably one of the most efficient and straightforward approaches for the construction of chiral six-membered carbocycles. However, the generality of this conventional reaction is limited by restrictive electronic requirements and substitution patterns according to the classic Hoffmann–Woodward rules. To circumvent these limitations, several innovative approaches have emerged in recent years. Using these approaches, various types of electronic mismatched [4+2] cycloadditions of unsaturated carbons, such as alkenes, alkynes, and allenes, have been realized. This review will summarize these advancements in this rapidly growing area within the past three decades, including the transition metal-catalyzed asymmetric [4+2] cycloadditions via the oxidative cyclometallation and reductive elimination pathway, catalytic asymmetric [4+2] cycloadditions via the LUMO activation by π-acids and the HOMO activation by π-bases, as well as catalytic asymmetric radical-mediated [4+2] cycloadditions under light irradiation.</w:t>
      </w:r>
    </w:p>
    <w:p>
      <w:pPr>
        <w:spacing w:before="120" w:after="120"/>
      </w:pPr>
      <w:r>
        <w:rPr>
          <w:sz w:val="18"/>
        </w:rPr>
        <w:t>——————————————————————————————————————————————————————————————————————</w:t>
      </w:r>
    </w:p>
    <w:p>
      <w:pPr>
        <w:spacing w:before="160" w:after="40" w:line="240" w:lineRule="auto"/>
      </w:pPr>
      <w:r>
        <w:rPr>
          <w:b/>
        </w:rPr>
        <w:t xml:space="preserve">[64] </w:t>
      </w:r>
      <w:hyperlink r:id="rId288">
        <w:r>
          <w:rPr>
            <w:color w:val="1155CC"/>
            <w:u w:val="single"/>
          </w:rPr>
          <w:t>电催化胺脱氢作为合成腈的绿色途径：高效催化剂的精确构建及机制</w:t>
        </w:r>
      </w:hyperlink>
    </w:p>
    <w:p>
      <w:pPr>
        <w:spacing w:before="0" w:after="80"/>
      </w:pPr>
      <w:r>
        <w:rPr>
          <w:i/>
          <w:sz w:val="20"/>
        </w:rPr>
        <w:t>EN: Electrocatalytic amine dehydrogenation as a green route to nitriles: precise construction of efficient catalysts and mechanism</w:t>
      </w:r>
    </w:p>
    <w:p>
      <w:pPr>
        <w:spacing w:before="0" w:after="120"/>
      </w:pPr>
      <w:r>
        <w:rPr>
          <w:b/>
        </w:rPr>
        <w:t xml:space="preserve">Source: </w:t>
      </w:r>
      <w:r>
        <w:t>RSC - Chem. Soc. Rev. latest articles</w:t>
      </w:r>
      <w:r>
        <w:t xml:space="preserve">    </w:t>
      </w:r>
      <w:r>
        <w:rPr>
          <w:b/>
        </w:rPr>
        <w:t xml:space="preserve">Pub date: </w:t>
      </w:r>
      <w:r>
        <w:t>2026-04-12 23:00:00+00:00</w:t>
      </w:r>
    </w:p>
    <w:p>
      <w:pPr>
        <w:spacing w:before="0" w:after="120"/>
      </w:pPr>
      <w:r>
        <w:rPr>
          <w:b/>
        </w:rPr>
        <w:t xml:space="preserve">Notes: </w:t>
      </w:r>
      <w:r>
        <w:t>abstract_source=rsc_html</w:t>
      </w:r>
    </w:p>
    <w:p>
      <w:pPr>
        <w:spacing w:before="0" w:after="80" w:lineRule="auto" w:line="276"/>
      </w:pPr>
      <w:r>
        <w:rPr>
          <w:b/>
        </w:rPr>
        <w:t xml:space="preserve">摘要（ZH）: </w:t>
      </w:r>
      <w:r>
        <w:t>电催化胺脱氢生成腈类化合物作为一种绿色和可持续的合成途径出现，为传统的高能耗和污染的腈类生产过程提供了一个有前途的替代方案。然而，该领域仍面临重大挑战，如催化活性和选择性有限、机制理解不足以及催化剂和系统设计的系统集成缺乏。为了解决这些问题，本综述全面总结了从胺类电催化合成腈类的最新进展。从基本的电催化机制开始，我们专注于高性能催化剂的合理设计策略，强调催化剂结构和电解质成分如何调节界面性质和反应。</w:t>
      </w:r>
    </w:p>
    <w:p>
      <w:pPr>
        <w:spacing w:before="0" w:after="200" w:lineRule="auto" w:line="276"/>
      </w:pPr>
      <w:r>
        <w:rPr>
          <w:b/>
        </w:rPr>
        <w:t xml:space="preserve">Abstract (EN): </w:t>
      </w:r>
      <w:r>
        <w:t>Electrocatalytic amine dehydrogenation to nitriles has emerged as a green and sustainable synthetic route, providing a promising alternative to traditional energy-intensive and polluting nitrile production processes. However, this field still faces significant challenges, such as limited catalytic activity and selectivity, insufficient mechanistic understanding, and a lack of systematic integration of catalyst and system design. To address these issues, this review comprehensively summarizes recent advances in electrocatalytic nitrile synthesis from amines. Beginning with the fundamental electrocatalytic mechanisms, we focus on rational design strategies for high-performance catalysts, highlighting how catalyst structures and electrolyte components regulate interfacial properties and reaction pathways. By integrating in situ characterization, theoretical calculations, and performance evaluation, we further identify key future research directions, including multi-scale optimization of catalytic systems, electrolyzer design, and techno-economic analysis. This review aims to offer theoretical insights and practical guidance for the development of efficient, stable, and scalable electrocatalytic systems for green nitrile synthesis.</w:t>
      </w:r>
    </w:p>
    <w:p>
      <w:pPr>
        <w:spacing w:before="120" w:after="120"/>
      </w:pPr>
      <w:r>
        <w:rPr>
          <w:sz w:val="18"/>
        </w:rPr>
        <w:t>——————————————————————————————————————————————————————————————————————</w:t>
      </w:r>
    </w:p>
    <w:p>
      <w:pPr>
        <w:spacing w:before="160" w:after="40" w:line="240" w:lineRule="auto"/>
      </w:pPr>
      <w:r>
        <w:rPr>
          <w:b/>
        </w:rPr>
        <w:t xml:space="preserve">[65] </w:t>
      </w:r>
      <w:hyperlink r:id="rId289">
        <w:r>
          <w:rPr>
            <w:color w:val="1155CC"/>
            <w:u w:val="single"/>
          </w:rPr>
          <w:t>时间依赖的表面极化打破静态标度关系以选择性乙炔加氢</w:t>
        </w:r>
      </w:hyperlink>
    </w:p>
    <w:p>
      <w:pPr>
        <w:spacing w:before="0" w:after="80"/>
      </w:pPr>
      <w:r>
        <w:rPr>
          <w:i/>
          <w:sz w:val="20"/>
        </w:rPr>
        <w:t>EN: Time-dependent surface polarization breaks static scaling relationship for selective acetylene hydrogenation</w:t>
      </w:r>
    </w:p>
    <w:p>
      <w:pPr>
        <w:spacing w:before="0" w:after="120"/>
      </w:pPr>
      <w:r>
        <w:rPr>
          <w:b/>
        </w:rPr>
        <w:t xml:space="preserve">Source: </w:t>
      </w:r>
      <w:r>
        <w:t>Nature Chemistry</w:t>
      </w:r>
      <w:r>
        <w:t xml:space="preserve">    </w:t>
      </w:r>
      <w:r>
        <w:rPr>
          <w:b/>
        </w:rPr>
        <w:t xml:space="preserve">Pub date: </w:t>
      </w:r>
      <w:r>
        <w:t>2026-04-13 00:00:00+00:00</w:t>
      </w:r>
      <w:r>
        <w:t xml:space="preserve">    </w:t>
      </w:r>
      <w:r>
        <w:rPr>
          <w:b/>
        </w:rPr>
        <w:t xml:space="preserve">DOI: </w:t>
      </w:r>
      <w:hyperlink r:id="rId290">
        <w:r>
          <w:rPr>
            <w:color w:val="1155CC"/>
            <w:u w:val="single"/>
          </w:rPr>
          <w:t>10.1038/s41557-026-02107-8</w:t>
        </w:r>
      </w:hyperlink>
    </w:p>
    <w:p>
      <w:pPr>
        <w:spacing w:before="0" w:after="120"/>
      </w:pPr>
      <w:r>
        <w:rPr>
          <w:b/>
        </w:rPr>
        <w:t xml:space="preserve">Notes: </w:t>
      </w:r>
      <w:r>
        <w:t>abstract_source=nature_html</w:t>
      </w:r>
    </w:p>
    <w:p>
      <w:pPr>
        <w:spacing w:before="0" w:after="80" w:lineRule="auto" w:line="276"/>
      </w:pPr>
      <w:r>
        <w:rPr>
          <w:b/>
        </w:rPr>
        <w:t xml:space="preserve">摘要（ZH）: </w:t>
      </w:r>
      <w:r>
        <w:t>控制表面-吸附物相互作用对于推进众多化学过程至关重要。化学相关表面物种的吸附能之间的静态缩放相关性对化学过程的选择性施加了限制，异相催化中的限制就是一个例子。在这里，我们展示了在振荡电势下的动态表面极化可以克服这一限制，在Pd催化的乙炔半氢化中。与仅对乙烯选择性有轻微改善的静态极化不同，动态极化在不进一步牺牲转化率的情况下显著提高了选择性，产生了高乙烯生产率。从氢化动力学、原位漫反射红外傅里叶变换中获得的机制见解</w:t>
      </w:r>
    </w:p>
    <w:p>
      <w:pPr>
        <w:spacing w:before="0" w:after="200" w:lineRule="auto" w:line="276"/>
      </w:pPr>
      <w:r>
        <w:rPr>
          <w:b/>
        </w:rPr>
        <w:t xml:space="preserve">Abstract (EN): </w:t>
      </w:r>
      <w:r>
        <w:t>Controlling the surface-adsorbates interactions is critical to advancing numerous chemical processes. Static scaling correlations between adsorption energies of chemically related surface species impose limits on selectivity in chemical processes, as exemplified by constraints in heterogeneous catalysis. Here we demonstrate that dynamic surface polarization under oscillating electric potentials can overcome this limitation in Pd-catalysed acetylene semi-hydrogenation. Unlike static polarization, which only imparts a minor improvement to ethylene selectivity, dynamic polarization drastically enhances selectivity without further sacrificing conversion, yielding a high ethylene productivity. Mechanistic insights from hydrogenation kinetics, in situ diffuse reflectance infrared Fourier transform spectroscopy, X-ray absorption spectroscopy and density functional theory reveal that time-dependent polarization dynamically modulates the Pd’s electronic structure and adsorption energetics. Alternating between strong-binding states with positive polarization during acetylene hydrogenation and weak-binding states with negative polarization during ethylene formation effectively suppresses over-hydrogenation while maintaining semi-hydrogenation activity. This work establishes dynamic electric surface modulation as a powerful strategy for decoupling adsorption-energy correlations to improve heterogeneous catalysis and other adsorption-mediated processes.</w:t>
      </w:r>
    </w:p>
    <w:p>
      <w:pPr>
        <w:spacing w:before="120" w:after="120"/>
      </w:pPr>
      <w:r>
        <w:rPr>
          <w:sz w:val="18"/>
        </w:rPr>
        <w:t>——————————————————————————————————————————————————————————————————————</w:t>
      </w:r>
    </w:p>
    <w:p>
      <w:pPr>
        <w:spacing w:before="160" w:after="40" w:line="240" w:lineRule="auto"/>
      </w:pPr>
      <w:r>
        <w:rPr>
          <w:b/>
        </w:rPr>
        <w:t xml:space="preserve">[66] </w:t>
      </w:r>
      <w:hyperlink r:id="rId291">
        <w:r>
          <w:rPr>
            <w:color w:val="1155CC"/>
            <w:u w:val="single"/>
          </w:rPr>
          <w:t>每日简报：博士生喜欢从导师那里听到的14件事</w:t>
        </w:r>
      </w:hyperlink>
    </w:p>
    <w:p>
      <w:pPr>
        <w:spacing w:before="0" w:after="80"/>
      </w:pPr>
      <w:r>
        <w:rPr>
          <w:i/>
          <w:sz w:val="20"/>
        </w:rPr>
        <w:t>EN: Daily briefing: 14 things PhD students liked hearing from their supervisors</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292">
        <w:r>
          <w:rPr>
            <w:color w:val="1155CC"/>
            <w:u w:val="single"/>
          </w:rPr>
          <w:t>10.1038/d41586-026-01232-1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293">
        <w:r>
          <w:rPr>
            <w:color w:val="1155CC"/>
            <w:u w:val="single"/>
          </w:rPr>
          <w:t>据称从高安全实验室窃取的病毒在巴西引起轰动</w:t>
        </w:r>
      </w:hyperlink>
    </w:p>
    <w:p>
      <w:pPr>
        <w:spacing w:before="0" w:after="80"/>
      </w:pPr>
      <w:r>
        <w:rPr>
          <w:i/>
          <w:sz w:val="20"/>
        </w:rPr>
        <w:t>EN: Viruses allegedly stolen from high-security lab cause stir in Brazil</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294">
        <w:r>
          <w:rPr>
            <w:color w:val="1155CC"/>
            <w:u w:val="single"/>
          </w:rPr>
          <w:t>10.1038/d41586-026-01211-6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295">
        <w:r>
          <w:rPr>
            <w:color w:val="1155CC"/>
            <w:u w:val="single"/>
          </w:rPr>
          <w:t>我们的博士导师做对的14件事及其重要性</w:t>
        </w:r>
      </w:hyperlink>
    </w:p>
    <w:p>
      <w:pPr>
        <w:spacing w:before="0" w:after="80"/>
      </w:pPr>
      <w:r>
        <w:rPr>
          <w:i/>
          <w:sz w:val="20"/>
        </w:rPr>
        <w:t>EN: 14 things our PhD supervisors got right and why it mattered</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296">
        <w:r>
          <w:rPr>
            <w:color w:val="1155CC"/>
            <w:u w:val="single"/>
          </w:rPr>
          <w:t>10.1038/d41586-026-00853-w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297">
        <w:r>
          <w:rPr>
            <w:color w:val="1155CC"/>
            <w:u w:val="single"/>
          </w:rPr>
          <w:t>决定性别的“疯狂违反规则”的基因</w:t>
        </w:r>
      </w:hyperlink>
    </w:p>
    <w:p>
      <w:pPr>
        <w:spacing w:before="0" w:after="80"/>
      </w:pPr>
      <w:r>
        <w:rPr>
          <w:i/>
          <w:sz w:val="20"/>
        </w:rPr>
        <w:t>EN: The ‘crazy rule-defying’ genes that determine sex</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298">
        <w:r>
          <w:rPr>
            <w:color w:val="1155CC"/>
            <w:u w:val="single"/>
          </w:rPr>
          <w:t>10.1038/d41586-026-01101-x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299">
        <w:r>
          <w:rPr>
            <w:color w:val="1155CC"/>
            <w:u w:val="single"/>
          </w:rPr>
          <w:t>人类科学家在复杂任务上击败最佳AI代理</w:t>
        </w:r>
      </w:hyperlink>
    </w:p>
    <w:p>
      <w:pPr>
        <w:spacing w:before="0" w:after="80"/>
      </w:pPr>
      <w:r>
        <w:rPr>
          <w:i/>
          <w:sz w:val="20"/>
        </w:rPr>
        <w:t>EN: Human scientists trounce the best AI agents on complex tasks</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300">
        <w:r>
          <w:rPr>
            <w:color w:val="1155CC"/>
            <w:u w:val="single"/>
          </w:rPr>
          <w:t>10.1038/d41586-026-01199-z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301">
        <w:r>
          <w:rPr>
            <w:color w:val="1155CC"/>
            <w:u w:val="single"/>
          </w:rPr>
          <w:t>一种超声扫描体内光源</w:t>
        </w:r>
      </w:hyperlink>
    </w:p>
    <w:p>
      <w:pPr>
        <w:spacing w:before="0" w:after="80"/>
      </w:pPr>
      <w:r>
        <w:rPr>
          <w:i/>
          <w:sz w:val="20"/>
        </w:rPr>
        <w:t>EN: An ultrasound-scanning in vivo light source</w:t>
      </w:r>
    </w:p>
    <w:p>
      <w:pPr>
        <w:spacing w:before="0" w:after="120"/>
      </w:pPr>
      <w:r>
        <w:rPr>
          <w:b/>
        </w:rPr>
        <w:t xml:space="preserve">Source: </w:t>
      </w:r>
      <w:r>
        <w:t>Nature Materials</w:t>
      </w:r>
      <w:r>
        <w:t xml:space="preserve">    </w:t>
      </w:r>
      <w:r>
        <w:rPr>
          <w:b/>
        </w:rPr>
        <w:t xml:space="preserve">Pub date: </w:t>
      </w:r>
      <w:r>
        <w:t>2026-04-13 00:00:00+00:00</w:t>
      </w:r>
      <w:r>
        <w:t xml:space="preserve">    </w:t>
      </w:r>
      <w:r>
        <w:rPr>
          <w:b/>
        </w:rPr>
        <w:t xml:space="preserve">DOI: </w:t>
      </w:r>
      <w:hyperlink r:id="rId302">
        <w:r>
          <w:rPr>
            <w:color w:val="1155CC"/>
            <w:u w:val="single"/>
          </w:rPr>
          <w:t>10.1038/s41563-026-02556-z</w:t>
        </w:r>
      </w:hyperlink>
    </w:p>
    <w:p>
      <w:pPr>
        <w:spacing w:before="0" w:after="120"/>
      </w:pPr>
      <w:r>
        <w:rPr>
          <w:b/>
        </w:rPr>
        <w:t xml:space="preserve">Notes: </w:t>
      </w:r>
      <w:r>
        <w:t>abstract_source=nature_html</w:t>
      </w:r>
    </w:p>
    <w:p>
      <w:pPr>
        <w:spacing w:before="0" w:after="80" w:lineRule="auto" w:line="276"/>
      </w:pPr>
      <w:r>
        <w:rPr>
          <w:b/>
        </w:rPr>
        <w:t xml:space="preserve">摘要（ZH）: </w:t>
      </w:r>
      <w:r>
        <w:t>生物系统在分布区域内以快速、局部化的动态运行，但现有的生物界面无法同时提供高时空精度和动态定位任何区域而不干扰周围组织的能力。在这里，我们提出了一种基于聚焦超声扫描机械发光纳米换能器在血管中循环的体内深层组织光源。我们在组织模拟体和动物的内源性循环系统中展示了这种方法的可编程性，实现了可调节的空间分辨率和动态光图案。我们通过电生理记录和免疫染色验证了超声扫描光源在表达光敏蛋白的神经元中的功能，在大脑和</w:t>
      </w:r>
    </w:p>
    <w:p>
      <w:pPr>
        <w:spacing w:before="0" w:after="200" w:lineRule="auto" w:line="276"/>
      </w:pPr>
      <w:r>
        <w:rPr>
          <w:b/>
        </w:rPr>
        <w:t xml:space="preserve">Abstract (EN): </w:t>
      </w:r>
      <w:r>
        <w:t>Biological systems operate across distributed regions with fast, localized dynamics, yet existing biointerfaces fall short of providing both high spatiotemporal precision and the ability to dynamically target any region without disturbing surrounding tissue. Here we present an in vivo deep-tissue light source based on focused ultrasound scanning of mechanoluminescent nanotransducers circulating through the vasculature. We demonstrate the programmability of this approach in tissue-mimicking phantoms and the endogenous circulatory system of animals, where tunable spatial resolution and dynamic light patterning are achieved. We validate the functionality of the ultrasound-scanning light source in opsin-expressing neurons through electrophysiological recordings and immunostaining in both the brain and the spinal cord. We showcase dynamic three-dimensional brain targeting and temporally resolved behavioural control in freely moving animals via the ultrasound-scanning in vivo light source. This non-invasive deep-tissue light source offers a versatile strategy for body-wide optical interfacing.</w:t>
      </w:r>
    </w:p>
    <w:p>
      <w:pPr>
        <w:spacing w:before="120" w:after="120"/>
      </w:pPr>
      <w:r>
        <w:rPr>
          <w:sz w:val="18"/>
        </w:rPr>
        <w:t>——————————————————————————————————————————————————————————————————————</w:t>
      </w:r>
    </w:p>
    <w:p>
      <w:pPr>
        <w:spacing w:before="160" w:after="40" w:line="240" w:lineRule="auto"/>
      </w:pPr>
      <w:r>
        <w:rPr>
          <w:b/>
        </w:rPr>
        <w:t xml:space="preserve">[72] </w:t>
      </w:r>
      <w:hyperlink r:id="rId303">
        <w:r>
          <w:rPr>
            <w:color w:val="1155CC"/>
            <w:u w:val="single"/>
          </w:rPr>
          <w:t>我如何利用研究来指导人道主义救援工作</w:t>
        </w:r>
      </w:hyperlink>
    </w:p>
    <w:p>
      <w:pPr>
        <w:spacing w:before="0" w:after="80"/>
      </w:pPr>
      <w:r>
        <w:rPr>
          <w:i/>
          <w:sz w:val="20"/>
        </w:rPr>
        <w:t>EN: How I harness research to inform humanitarian relief efforts</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304">
        <w:r>
          <w:rPr>
            <w:color w:val="1155CC"/>
            <w:u w:val="single"/>
          </w:rPr>
          <w:t>10.1038/d41586-026-00197-5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305">
        <w:r>
          <w:rPr>
            <w:color w:val="1155CC"/>
            <w:u w:val="single"/>
          </w:rPr>
          <w:t>将电池材料转化为生物电子抑制剂</w:t>
        </w:r>
      </w:hyperlink>
    </w:p>
    <w:p>
      <w:pPr>
        <w:spacing w:before="0" w:after="80"/>
      </w:pPr>
      <w:r>
        <w:rPr>
          <w:i/>
          <w:sz w:val="20"/>
        </w:rPr>
        <w:t>EN: Turning a battery material into a bioelectronic inhibitor</w:t>
      </w:r>
    </w:p>
    <w:p>
      <w:pPr>
        <w:spacing w:before="0" w:after="120"/>
      </w:pPr>
      <w:r>
        <w:rPr>
          <w:b/>
        </w:rPr>
        <w:t xml:space="preserve">Source: </w:t>
      </w:r>
      <w:r>
        <w:t>Nature Reviews Materials</w:t>
      </w:r>
      <w:r>
        <w:t xml:space="preserve">    </w:t>
      </w:r>
      <w:r>
        <w:rPr>
          <w:b/>
        </w:rPr>
        <w:t xml:space="preserve">Pub date: </w:t>
      </w:r>
      <w:r>
        <w:t>2026-04-13 00:00:00+00:00</w:t>
      </w:r>
      <w:r>
        <w:t xml:space="preserve">    </w:t>
      </w:r>
      <w:r>
        <w:rPr>
          <w:b/>
        </w:rPr>
        <w:t xml:space="preserve">DOI: </w:t>
      </w:r>
      <w:hyperlink r:id="rId306">
        <w:r>
          <w:rPr>
            <w:color w:val="1155CC"/>
            <w:u w:val="single"/>
          </w:rPr>
          <w:t>10.1038/s41578-026-00921-7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307">
        <w:r>
          <w:rPr>
            <w:color w:val="1155CC"/>
            <w:u w:val="single"/>
          </w:rPr>
          <w:t>在铜金属酶中使用非典型氨基酸进行疏水性调节</w:t>
        </w:r>
      </w:hyperlink>
    </w:p>
    <w:p>
      <w:pPr>
        <w:spacing w:before="0" w:after="80"/>
      </w:pPr>
      <w:r>
        <w:rPr>
          <w:i/>
          <w:sz w:val="20"/>
        </w:rPr>
        <w:t>EN: Hydrophobic tuning with non-canonical amino acids in a copper metalloenzyme</w:t>
      </w:r>
    </w:p>
    <w:p>
      <w:pPr>
        <w:spacing w:before="0" w:after="120"/>
      </w:pPr>
      <w:r>
        <w:rPr>
          <w:b/>
        </w:rPr>
        <w:t xml:space="preserve">Source: </w:t>
      </w:r>
      <w:r>
        <w:t>Nature Chemistry</w:t>
      </w:r>
      <w:r>
        <w:t xml:space="preserve">    </w:t>
      </w:r>
      <w:r>
        <w:rPr>
          <w:b/>
        </w:rPr>
        <w:t xml:space="preserve">Pub date: </w:t>
      </w:r>
      <w:r>
        <w:t>2026-04-13 00:00:00+00:00</w:t>
      </w:r>
      <w:r>
        <w:t xml:space="preserve">    </w:t>
      </w:r>
      <w:r>
        <w:rPr>
          <w:b/>
        </w:rPr>
        <w:t xml:space="preserve">DOI: </w:t>
      </w:r>
      <w:hyperlink r:id="rId308">
        <w:r>
          <w:rPr>
            <w:color w:val="1155CC"/>
            <w:u w:val="single"/>
          </w:rPr>
          <w:t>10.1038/s41557-026-02116-7</w:t>
        </w:r>
      </w:hyperlink>
    </w:p>
    <w:p>
      <w:pPr>
        <w:spacing w:before="0" w:after="120"/>
      </w:pPr>
      <w:r>
        <w:rPr>
          <w:b/>
        </w:rPr>
        <w:t xml:space="preserve">Notes: </w:t>
      </w:r>
      <w:r>
        <w:t>abstract_source=nature_html</w:t>
      </w:r>
    </w:p>
    <w:p>
      <w:pPr>
        <w:spacing w:before="0" w:after="80" w:lineRule="auto" w:line="276"/>
      </w:pPr>
      <w:r>
        <w:rPr>
          <w:b/>
        </w:rPr>
        <w:t xml:space="preserve">摘要（ZH）: </w:t>
      </w:r>
      <w:r>
        <w:t>疏水性控制着蛋白质和酶功能的许多方面。虽然可以通过标准氨基酸在一定程度上实现疏水调节，但非标准氨基酸的引入进一步扩展了这种能力，从而实现新的和改进的功能。在此，我们设计了一对氨酰-tRNA合成酶/tRNA，用于特定位点的遗传编码一组体积大、疏水的氨基酸，即环戊基丙氨酸、环己基丙氨酸和环庚基丙氨酸。作为概念验证，我们展示了基于非标准氨基酸（ncAAs）的疏水调节的实用性，以工程化一种细菌漆酶，这既是经典的金属酶，也是工业过程中的高价值催化剂。结果突变显著提高了催化活性，特别是</w:t>
      </w:r>
    </w:p>
    <w:p>
      <w:pPr>
        <w:spacing w:before="0" w:after="200" w:lineRule="auto" w:line="276"/>
      </w:pPr>
      <w:r>
        <w:rPr>
          <w:b/>
        </w:rPr>
        <w:t xml:space="preserve">Abstract (EN): </w:t>
      </w:r>
      <w:r>
        <w:t>Hydrophobicity controls many aspects of protein and enzyme function. Although hydrophobic tuning can be somewhat achieved with canonical amino acids, the incorporation of non-canonical amino acids further extends this ability to enable new and improved functionality. Here we engineer an aminoacyl-tRNA synthetase/tRNA pair for the site-specific genetic encoding of a set of bulky, hydrophobic amino acids, namely cyclopentylalanine, cyclohexylalanine and cycloheptylalanine. As a proof of concept, we demonstrate the utility of hydrophobic tuning based on non-canonical amino acids (ncAAs) to engineer a bacterial laccase, which is both a classical metalloenzyme and a high-value catalyst for industrial processes. The resulting mutations substantially improved the catalytic activity, particularly the turnover frequency and total turnover number. To understand this improved functionality, the redox potentials, electronic spectra and structure–function relationships were examined. Combining traditional directed evolution with ncAA-based engineering resulted in further improvements in catalysis, which were contextualized by analysing the changes imparted from these two methods.</w:t>
      </w:r>
    </w:p>
    <w:p>
      <w:pPr>
        <w:spacing w:before="120" w:after="120"/>
      </w:pPr>
      <w:r>
        <w:rPr>
          <w:sz w:val="18"/>
        </w:rPr>
        <w:t>——————————————————————————————————————————————————————————————————————</w:t>
      </w:r>
    </w:p>
    <w:p>
      <w:pPr>
        <w:spacing w:before="160" w:after="40" w:line="240" w:lineRule="auto"/>
      </w:pPr>
      <w:r>
        <w:rPr>
          <w:b/>
        </w:rPr>
        <w:t xml:space="preserve">[75] </w:t>
      </w:r>
      <w:hyperlink r:id="rId309">
        <w:r>
          <w:rPr>
            <w:color w:val="1155CC"/>
            <w:u w:val="single"/>
          </w:rPr>
          <w:t>镝和铽双(锡醇二亚胺)配合物中对比的单分子磁体行为</w:t>
        </w:r>
      </w:hyperlink>
    </w:p>
    <w:p>
      <w:pPr>
        <w:spacing w:before="0" w:after="80"/>
      </w:pPr>
      <w:r>
        <w:rPr>
          <w:i/>
          <w:sz w:val="20"/>
        </w:rPr>
        <w:t>EN: Contrasting single-molecule magnet behaviour in dysprosium and terbium bis(stannolediide) complexes</w:t>
      </w:r>
    </w:p>
    <w:p>
      <w:pPr>
        <w:spacing w:before="0" w:after="120"/>
      </w:pPr>
      <w:r>
        <w:rPr>
          <w:b/>
        </w:rPr>
        <w:t xml:space="preserve">Source: </w:t>
      </w:r>
      <w:r>
        <w:t>Nature Chemistry</w:t>
      </w:r>
      <w:r>
        <w:t xml:space="preserve">    </w:t>
      </w:r>
      <w:r>
        <w:rPr>
          <w:b/>
        </w:rPr>
        <w:t xml:space="preserve">Pub date: </w:t>
      </w:r>
      <w:r>
        <w:t>2026-04-13 00:00:00+00:00</w:t>
      </w:r>
      <w:r>
        <w:t xml:space="preserve">    </w:t>
      </w:r>
      <w:r>
        <w:rPr>
          <w:b/>
        </w:rPr>
        <w:t xml:space="preserve">DOI: </w:t>
      </w:r>
      <w:hyperlink r:id="rId310">
        <w:r>
          <w:rPr>
            <w:color w:val="1155CC"/>
            <w:u w:val="single"/>
          </w:rPr>
          <w:t>10.1038/s41557-026-02114-9</w:t>
        </w:r>
      </w:hyperlink>
    </w:p>
    <w:p>
      <w:pPr>
        <w:spacing w:before="0" w:after="120"/>
      </w:pPr>
      <w:r>
        <w:rPr>
          <w:b/>
        </w:rPr>
        <w:t xml:space="preserve">Notes: </w:t>
      </w:r>
      <w:r>
        <w:t>abstract_source=nature_html</w:t>
      </w:r>
    </w:p>
    <w:p>
      <w:pPr>
        <w:spacing w:before="0" w:after="80" w:lineRule="auto" w:line="276"/>
      </w:pPr>
      <w:r>
        <w:rPr>
          <w:b/>
        </w:rPr>
        <w:t xml:space="preserve">摘要（ZH）: </w:t>
      </w:r>
      <w:r>
        <w:t>单分子磁体用于高密度数据存储的发展已经从多(金属)笼进展到镧系元素配合物。自2017年以来，高轴向的双(环戊二烯基)镝配合物展示了卓越的磁性反转能垒(Ueff)和高滞后温度(TH)，并在2025年通过使用笨重的酰胺配体进一步增强。最近，二阴离子重14族环戊二烯基由于其较高的电荷密度而成为有前途的配体。在此，我们报告了两种同构的全同双(锡二烯基)配合物[Ln(η5-LSn)2K(thf)4] (Ln = Tb(III) 或 Dy(III))的合成。Dy(III)配合物表现出单分子磁体行为，具有1,502(4) K的Ueff和55 K的阻塞温度，而Tb(III)类似物</w:t>
      </w:r>
    </w:p>
    <w:p>
      <w:pPr>
        <w:spacing w:before="0" w:after="200" w:lineRule="auto" w:line="276"/>
      </w:pPr>
      <w:r>
        <w:rPr>
          <w:b/>
        </w:rPr>
        <w:t xml:space="preserve">Abstract (EN): </w:t>
      </w:r>
      <w:r>
        <w:t>The development of single-molecule magnets for high-density data storage has advanced from poly(metallic) cages to lanthanide complexes. Since 2017, highly axial dysprosium bis(cyclopentadienide) complexes have demonstrated exceptional energy barriers to magnetic reversal (Ueff) and high hysteresis temperatures (TH), with further enhancement achieved in 2025 using bulky amide ligands. Recently, dianionic heavy group 14 cyclopentadienides have emerged as promising ligands due to their higher charge density. Here we report the synthesis of two isostructural homoleptic bis(stannolediide) complexes [Ln(η5-LSn)2K(thf)4] (Ln = Tb(III) or Dy(III)). The Dy(III) complex exhibits single-molecule magnet behaviour with a Ueff of 1,502(4) K and a blocking temperature of 55 K, whereas the Tb(III) analogue shows Raman-dominated relaxation 5-LSn)2]− or a divalent complex [Dy(η5-LSn)2]2−. The Dy(II) complex displays weak magnetic anisotropy. These results highlight bis(stannolediide) ligands as a promising new class for high‑barrier lanthanide single-molecule magnets.</w:t>
      </w:r>
    </w:p>
    <w:p>
      <w:pPr>
        <w:spacing w:before="120" w:after="120"/>
      </w:pPr>
      <w:r>
        <w:rPr>
          <w:sz w:val="18"/>
        </w:rPr>
        <w:t>——————————————————————————————————————————————————————————————————————</w:t>
      </w:r>
    </w:p>
    <w:p>
      <w:pPr>
        <w:spacing w:before="160" w:after="40" w:line="240" w:lineRule="auto"/>
      </w:pPr>
      <w:r>
        <w:rPr>
          <w:b/>
        </w:rPr>
        <w:t xml:space="preserve">[76] </w:t>
      </w:r>
      <w:hyperlink r:id="rId311">
        <w:r>
          <w:rPr>
            <w:color w:val="1155CC"/>
            <w:u w:val="single"/>
          </w:rPr>
          <w:t>用于低损耗非线性光子的全范德华微腔</w:t>
        </w:r>
      </w:hyperlink>
    </w:p>
    <w:p>
      <w:pPr>
        <w:spacing w:before="0" w:after="80"/>
      </w:pPr>
      <w:r>
        <w:rPr>
          <w:i/>
          <w:sz w:val="20"/>
        </w:rPr>
        <w:t>EN: All-van der Waals microcavities for low-loss nonlinear photonics</w:t>
      </w:r>
    </w:p>
    <w:p>
      <w:pPr>
        <w:spacing w:before="0" w:after="120"/>
      </w:pPr>
      <w:r>
        <w:rPr>
          <w:b/>
        </w:rPr>
        <w:t xml:space="preserve">Source: </w:t>
      </w:r>
      <w:r>
        <w:t>Nature Materials</w:t>
      </w:r>
      <w:r>
        <w:t xml:space="preserve">    </w:t>
      </w:r>
      <w:r>
        <w:rPr>
          <w:b/>
        </w:rPr>
        <w:t xml:space="preserve">Pub date: </w:t>
      </w:r>
      <w:r>
        <w:t>2026-04-13 00:00:00+00:00</w:t>
      </w:r>
      <w:r>
        <w:t xml:space="preserve">    </w:t>
      </w:r>
      <w:r>
        <w:rPr>
          <w:b/>
        </w:rPr>
        <w:t xml:space="preserve">DOI: </w:t>
      </w:r>
      <w:hyperlink r:id="rId312">
        <w:r>
          <w:rPr>
            <w:color w:val="1155CC"/>
            <w:u w:val="single"/>
          </w:rPr>
          <w:t>10.1038/s41563-026-02574-x</w:t>
        </w:r>
      </w:hyperlink>
    </w:p>
    <w:p>
      <w:pPr>
        <w:spacing w:before="0" w:after="120"/>
      </w:pPr>
      <w:r>
        <w:rPr>
          <w:b/>
        </w:rPr>
        <w:t xml:space="preserve">Notes: </w:t>
      </w:r>
      <w:r>
        <w:t>abstract_source=nature_html</w:t>
      </w:r>
    </w:p>
    <w:p>
      <w:pPr>
        <w:spacing w:before="0" w:after="80" w:lineRule="auto" w:line="276"/>
      </w:pPr>
      <w:r>
        <w:rPr>
          <w:b/>
        </w:rPr>
        <w:t xml:space="preserve">摘要（ZH）: </w:t>
      </w:r>
      <w:r>
        <w:t>范德华(vdW)材料已成为下一代纳米光子学和光电子学的有前途的平台。然而，将vdW材料作为核心光子集成平台，而不是作为传统硅基平台上的被动或主动覆盖层，仍然具有挑战性，使其全部潜力未被开发。在此，我们开发了一种纳米制造策略，使得可以在包括绝缘体、半导体、铁电体及其异质结构在内的广泛vdW材料上进行高分辨率图案化，并展示它们可以用作低损耗微腔非线性光子器件（如微盘、光子晶体和超表面）的内在平台。我们展示了Q因子超过106的vdW微盘谐振器。这样的Q因子</w:t>
      </w:r>
    </w:p>
    <w:p>
      <w:pPr>
        <w:spacing w:before="0" w:after="200" w:lineRule="auto" w:line="276"/>
      </w:pPr>
      <w:r>
        <w:rPr>
          <w:b/>
        </w:rPr>
        <w:t xml:space="preserve">Abstract (EN): </w:t>
      </w:r>
      <w:r>
        <w:t>Van der Waals (vdW) materials have emerged as a promising platform for next-generation nanophotonics and optoelectronics. However, employing vdW materials as a core photonic integration platform, rather than as passive or active overlays on conventional silicon-based platforms, remains challenging, leaving their full potential untapped. Here we develop a nanofabrication strategy that enables high-resolution patterning across a broad range of vdW materials, including insulators, semiconductors, ferroelectrics and their heterostructures, and we show that they can be used as the intrinsic platform for low-loss microcavity nonlinear photonic devices such as microdisks, photonic crystals and metasurfaces. We demonstrate vdW microdisk resonators with quality (Q) factors exceeding 106. Such Q factors enable efficient continuous-wave nonlinear optical processes, including second-harmonic generation, sum-frequency generation and optical parametric amplification, with full free-spectral-range thermal tunability. These results position vdW materials as key material building blocks for next-generation integrated photonics and optoelectronics.</w:t>
      </w:r>
    </w:p>
    <w:p>
      <w:pPr>
        <w:spacing w:before="120" w:after="120"/>
      </w:pPr>
      <w:r>
        <w:rPr>
          <w:sz w:val="18"/>
        </w:rPr>
        <w:t>——————————————————————————————————————————————————————————————————————</w:t>
      </w:r>
    </w:p>
    <w:p>
      <w:pPr>
        <w:spacing w:before="160" w:after="40" w:line="240" w:lineRule="auto"/>
      </w:pPr>
      <w:r>
        <w:rPr>
          <w:b/>
        </w:rPr>
        <w:t xml:space="preserve">[77] </w:t>
      </w:r>
      <w:hyperlink r:id="rId313">
        <w:r>
          <w:rPr>
            <w:color w:val="1155CC"/>
            <w:u w:val="single"/>
          </w:rPr>
          <w:t>对320,000个职业的巨大分析表明，富有成效的研究人员会保持这种状态</w:t>
        </w:r>
      </w:hyperlink>
    </w:p>
    <w:p>
      <w:pPr>
        <w:spacing w:before="0" w:after="80"/>
      </w:pPr>
      <w:r>
        <w:rPr>
          <w:i/>
          <w:sz w:val="20"/>
        </w:rPr>
        <w:t>EN: Huge analysis of 320,000 careers suggests that productive researchers stay that way</w:t>
      </w:r>
    </w:p>
    <w:p>
      <w:pPr>
        <w:spacing w:before="0" w:after="120"/>
      </w:pPr>
      <w:r>
        <w:rPr>
          <w:b/>
        </w:rPr>
        <w:t xml:space="preserve">Source: </w:t>
      </w:r>
      <w:r>
        <w:t>Nature</w:t>
      </w:r>
      <w:r>
        <w:t xml:space="preserve">    </w:t>
      </w:r>
      <w:r>
        <w:rPr>
          <w:b/>
        </w:rPr>
        <w:t xml:space="preserve">Pub date: </w:t>
      </w:r>
      <w:r>
        <w:t>2026-04-13 00:00:00+00:00</w:t>
      </w:r>
      <w:r>
        <w:t xml:space="preserve">    </w:t>
      </w:r>
      <w:r>
        <w:rPr>
          <w:b/>
        </w:rPr>
        <w:t xml:space="preserve">DOI: </w:t>
      </w:r>
      <w:hyperlink r:id="rId314">
        <w:r>
          <w:rPr>
            <w:color w:val="1155CC"/>
            <w:u w:val="single"/>
          </w:rPr>
          <w:t>10.1038/d41586-026-00744-0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315">
        <w:r>
          <w:rPr>
            <w:color w:val="1155CC"/>
            <w:u w:val="single"/>
          </w:rPr>
          <w:t>作者更正：MITF的O-GlcNAcylation调节其活性和乳腺癌中CDK4/6抑制剂的耐药性</w:t>
        </w:r>
      </w:hyperlink>
    </w:p>
    <w:p>
      <w:pPr>
        <w:spacing w:before="0" w:after="80"/>
      </w:pPr>
      <w:r>
        <w:rPr>
          <w:i/>
          <w:sz w:val="20"/>
        </w:rPr>
        <w:t>EN: Author Correction: O-GlcNAcylation of MITF regulates its activity and CDK4/6 inhibitor resistance in breast cancer</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316">
        <w:r>
          <w:rPr>
            <w:color w:val="1155CC"/>
            <w:u w:val="single"/>
          </w:rPr>
          <w:t>10.1038/s41467-026-72046-y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317">
        <w:r>
          <w:rPr>
            <w:color w:val="1155CC"/>
            <w:u w:val="single"/>
          </w:rPr>
          <w:t>在设备级别电气化水处理</w:t>
        </w:r>
      </w:hyperlink>
    </w:p>
    <w:p>
      <w:pPr>
        <w:spacing w:before="0" w:after="80"/>
      </w:pPr>
      <w:r>
        <w:rPr>
          <w:i/>
          <w:sz w:val="20"/>
        </w:rPr>
        <w:t>EN: Electrifying water treatment at device level</w:t>
      </w:r>
    </w:p>
    <w:p>
      <w:pPr>
        <w:spacing w:before="0" w:after="120"/>
      </w:pPr>
      <w:r>
        <w:rPr>
          <w:b/>
        </w:rPr>
        <w:t xml:space="preserve">Source: </w:t>
      </w:r>
      <w:r>
        <w:t>Nature Sustainability</w:t>
      </w:r>
      <w:r>
        <w:t xml:space="preserve">    </w:t>
      </w:r>
      <w:r>
        <w:rPr>
          <w:b/>
        </w:rPr>
        <w:t xml:space="preserve">Pub date: </w:t>
      </w:r>
      <w:r>
        <w:t>2026-04-13 00:00:00+00:00</w:t>
      </w:r>
      <w:r>
        <w:t xml:space="preserve">    </w:t>
      </w:r>
      <w:r>
        <w:rPr>
          <w:b/>
        </w:rPr>
        <w:t xml:space="preserve">DOI: </w:t>
      </w:r>
      <w:hyperlink r:id="rId318">
        <w:r>
          <w:rPr>
            <w:color w:val="1155CC"/>
            <w:u w:val="single"/>
          </w:rPr>
          <w:t>10.1038/s41893-026-01806-x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319">
        <w:r>
          <w:rPr>
            <w:color w:val="1155CC"/>
            <w:u w:val="single"/>
          </w:rPr>
          <w:t>作者更正：在水溶液中选择性CH4到C2转化的配位定制原子界面</w:t>
        </w:r>
      </w:hyperlink>
    </w:p>
    <w:p>
      <w:pPr>
        <w:spacing w:before="0" w:after="80"/>
      </w:pPr>
      <w:r>
        <w:rPr>
          <w:i/>
          <w:sz w:val="20"/>
        </w:rPr>
        <w:t>EN: Author Correction: Coordination-tailored atomic interfaces for selective CH4-to-C2 conversion in aqueous solution</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320">
        <w:r>
          <w:rPr>
            <w:color w:val="1155CC"/>
            <w:u w:val="single"/>
          </w:rPr>
          <w:t>10.1038/s41467-026-71973-0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321">
        <w:r>
          <w:rPr>
            <w:color w:val="1155CC"/>
            <w:u w:val="single"/>
          </w:rPr>
          <w:t>作者更正：Class-3外膜多糖出口（OPX）蛋白系统中跨膜细菌多糖分泌的机制</w:t>
        </w:r>
      </w:hyperlink>
    </w:p>
    <w:p>
      <w:pPr>
        <w:spacing w:before="0" w:after="80"/>
      </w:pPr>
      <w:r>
        <w:rPr>
          <w:i/>
          <w:sz w:val="20"/>
        </w:rPr>
        <w:t>EN: Author Correction: Mechanism of trans-envelope bacterial polysaccharide secretion in Class-3 outer-membrane polysaccharide export (OPX) protein systems</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322">
        <w:r>
          <w:rPr>
            <w:color w:val="1155CC"/>
            <w:u w:val="single"/>
          </w:rPr>
          <w:t>10.1038/s41467-026-71984-x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23">
        <w:r>
          <w:rPr>
            <w:color w:val="1155CC"/>
            <w:u w:val="single"/>
          </w:rPr>
          <w:t>作者更正：气泡破裂引发的水坑跳跃和喷射打印</w:t>
        </w:r>
      </w:hyperlink>
    </w:p>
    <w:p>
      <w:pPr>
        <w:spacing w:before="0" w:after="80"/>
      </w:pPr>
      <w:r>
        <w:rPr>
          <w:i/>
          <w:sz w:val="20"/>
        </w:rPr>
        <w:t>EN: Author Correction: Bubble-burst-induced Puddle Jumping and Jet Printing</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324">
        <w:r>
          <w:rPr>
            <w:color w:val="1155CC"/>
            <w:u w:val="single"/>
          </w:rPr>
          <w:t>10.1038/s41467-026-71977-w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 </w:t>
      </w:r>
      <w:hyperlink r:id="rId325">
        <w:r>
          <w:rPr>
            <w:color w:val="1155CC"/>
            <w:u w:val="single"/>
          </w:rPr>
          <w:t>作者更正：通过凋亡调节工程化抗BCMA CAR T细胞以增强骨髓瘤杀伤效能</w:t>
        </w:r>
      </w:hyperlink>
    </w:p>
    <w:p>
      <w:pPr>
        <w:spacing w:before="0" w:after="80"/>
      </w:pPr>
      <w:r>
        <w:rPr>
          <w:i/>
          <w:sz w:val="20"/>
        </w:rPr>
        <w:t>EN: Author Correction: Engineering anti-BCMA CAR T cells for enhancing myeloma killing efficacy via apoptosis regulation</w:t>
      </w:r>
    </w:p>
    <w:p>
      <w:pPr>
        <w:spacing w:before="0" w:after="120"/>
      </w:pPr>
      <w:r>
        <w:rPr>
          <w:b/>
        </w:rPr>
        <w:t xml:space="preserve">Source: </w:t>
      </w:r>
      <w:r>
        <w:t>Nature Communications</w:t>
      </w:r>
      <w:r>
        <w:t xml:space="preserve">    </w:t>
      </w:r>
      <w:r>
        <w:rPr>
          <w:b/>
        </w:rPr>
        <w:t xml:space="preserve">Pub date: </w:t>
      </w:r>
      <w:r>
        <w:t>2026-04-13 00:00:00+00:00</w:t>
      </w:r>
      <w:r>
        <w:t xml:space="preserve">    </w:t>
      </w:r>
      <w:r>
        <w:rPr>
          <w:b/>
        </w:rPr>
        <w:t xml:space="preserve">DOI: </w:t>
      </w:r>
      <w:hyperlink r:id="rId326">
        <w:r>
          <w:rPr>
            <w:color w:val="1155CC"/>
            <w:u w:val="single"/>
          </w:rPr>
          <w:t>10.1038/s41467-026-71859-1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327">
        <w:r>
          <w:rPr>
            <w:color w:val="1155CC"/>
            <w:u w:val="single"/>
          </w:rPr>
          <w:t>一步法加工双层乙基纤维素用于全色亚环境日间辐射冷却</w:t>
        </w:r>
      </w:hyperlink>
    </w:p>
    <w:p>
      <w:pPr>
        <w:spacing w:before="0" w:after="80"/>
      </w:pPr>
      <w:r>
        <w:rPr>
          <w:i/>
          <w:sz w:val="20"/>
        </w:rPr>
        <w:t>EN: One-step-processed bilayer ethyl cellulose for full-colour sub-ambient daytime radiative cooling</w:t>
      </w:r>
    </w:p>
    <w:p>
      <w:pPr>
        <w:spacing w:before="0" w:after="120"/>
      </w:pPr>
      <w:r>
        <w:rPr>
          <w:b/>
        </w:rPr>
        <w:t xml:space="preserve">Source: </w:t>
      </w:r>
      <w:r>
        <w:t>Nature Energy</w:t>
      </w:r>
      <w:r>
        <w:t xml:space="preserve">    </w:t>
      </w:r>
      <w:r>
        <w:rPr>
          <w:b/>
        </w:rPr>
        <w:t xml:space="preserve">Pub date: </w:t>
      </w:r>
      <w:r>
        <w:t>2026-04-13 00:00:00+00:00</w:t>
      </w:r>
      <w:r>
        <w:t xml:space="preserve">    </w:t>
      </w:r>
      <w:r>
        <w:rPr>
          <w:b/>
        </w:rPr>
        <w:t xml:space="preserve">DOI: </w:t>
      </w:r>
      <w:hyperlink r:id="rId328">
        <w:r>
          <w:rPr>
            <w:color w:val="1155CC"/>
            <w:u w:val="single"/>
          </w:rPr>
          <w:t>10.1038/s41560-026-02039-0</w:t>
        </w:r>
      </w:hyperlink>
    </w:p>
    <w:p>
      <w:pPr>
        <w:spacing w:before="0" w:after="120"/>
      </w:pPr>
      <w:r>
        <w:rPr>
          <w:b/>
        </w:rPr>
        <w:t xml:space="preserve">Notes: </w:t>
      </w:r>
      <w:r>
        <w:t>abstract_source=nature_html</w:t>
      </w:r>
    </w:p>
    <w:p>
      <w:pPr>
        <w:spacing w:before="0" w:after="80" w:lineRule="auto" w:line="276"/>
      </w:pPr>
      <w:r>
        <w:rPr>
          <w:b/>
        </w:rPr>
        <w:t xml:space="preserve">摘要（ZH）: </w:t>
      </w:r>
      <w:r>
        <w:t>被动辐射冷却可以在不需要额外能量输入的情况下冷却暴露在阳光下的物体。然而，开发美观的彩色材料而不牺牲太阳反射率仍然具有挑战性。在此，我们展示了一种生物质衍生的双层彩色乙基纤维素（BCEC）涂层，通过受控干燥诱导的自分层在单次铸造步骤中制造。通过调整前体浓度，我们调节顶层的厚度，通过薄膜干涉产生不同的颜色，而不引入太阳吸收。分层多孔的底层提供高太阳反射率和长波红外辐射。BCEC涂层实现了97.0%的太阳反射率和高达9°C的亚环境白天辐射冷却。</w:t>
      </w:r>
    </w:p>
    <w:p>
      <w:pPr>
        <w:spacing w:before="0" w:after="200" w:lineRule="auto" w:line="276"/>
      </w:pPr>
      <w:r>
        <w:rPr>
          <w:b/>
        </w:rPr>
        <w:t xml:space="preserve">Abstract (EN): </w:t>
      </w:r>
      <w:r>
        <w:t>Passive radiative cooling can cool objects exposed to sunlight without requiring additional energy input. However, it remains challenging to develop aesthetically pleasing coloured materials without sacrificing solar reflectance. Here we present a biomass-derived, bilayer and coloured ethyl cellulose (BCEC) coating fabricated in a single casting step through controlled drying-induced self-stratification. By adjusting the precursor concentration, we tune the thickness of the top layer to produce different colours through thin-film interference without introducing solar absorption. The hierarchically porous bottom layer provides high solar reflectance and long-wave infrared emission. The BCEC coating achieves solar reflectance of 97.0% and sub-ambient daytime radiative cooling of up to 9 °C under a solar intensity of 800 W m−2. In field tests conducted in the humid subtropical climate of Hong Kong, the BCEC coating outperforms commercially available coloured paints and fluorescence-based coloured coatings. Our one-step phase-separation approach can simplify fabrication, facilitating the practical deployment of this technology.</w:t>
      </w:r>
    </w:p>
    <w:p>
      <w:pPr>
        <w:spacing w:before="120" w:after="120"/>
      </w:pPr>
      <w:r>
        <w:rPr>
          <w:sz w:val="18"/>
        </w:rPr>
        <w:t>——————————————————————————————————————————————————————————————————————</w:t>
      </w:r>
    </w:p>
    <w:p>
      <w:pPr>
        <w:spacing w:before="160" w:after="40" w:line="240" w:lineRule="auto"/>
      </w:pPr>
      <w:r>
        <w:rPr>
          <w:b/>
        </w:rPr>
        <w:t xml:space="preserve">[85] </w:t>
      </w:r>
      <w:hyperlink r:id="rId329">
        <w:r>
          <w:rPr>
            <w:color w:val="1155CC"/>
            <w:u w:val="single"/>
          </w:rPr>
          <w:t>释放绝缘体-金属转变在光催化中的潜力</w:t>
        </w:r>
      </w:hyperlink>
    </w:p>
    <w:p>
      <w:pPr>
        <w:spacing w:before="0" w:after="80"/>
      </w:pPr>
      <w:r>
        <w:rPr>
          <w:i/>
          <w:sz w:val="20"/>
        </w:rPr>
        <w:t>EN: Unlocking the potential of the insulator–metal transition for photocatalysis</w:t>
      </w:r>
    </w:p>
    <w:p>
      <w:pPr>
        <w:spacing w:before="0" w:after="120"/>
      </w:pPr>
      <w:r>
        <w:rPr>
          <w:b/>
        </w:rPr>
        <w:t xml:space="preserve">Source: </w:t>
      </w:r>
      <w:r>
        <w:t>Nature Energy</w:t>
      </w:r>
      <w:r>
        <w:t xml:space="preserve">    </w:t>
      </w:r>
      <w:r>
        <w:rPr>
          <w:b/>
        </w:rPr>
        <w:t xml:space="preserve">Pub date: </w:t>
      </w:r>
      <w:r>
        <w:t>2026-04-13 00:00:00+00:00</w:t>
      </w:r>
      <w:r>
        <w:t xml:space="preserve">    </w:t>
      </w:r>
      <w:r>
        <w:rPr>
          <w:b/>
        </w:rPr>
        <w:t xml:space="preserve">DOI: </w:t>
      </w:r>
      <w:hyperlink r:id="rId330">
        <w:r>
          <w:rPr>
            <w:color w:val="1155CC"/>
            <w:u w:val="single"/>
          </w:rPr>
          <w:t>10.1038/s41560-026-02036-3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31">
        <w:r>
          <w:rPr>
            <w:color w:val="1155CC"/>
            <w:u w:val="single"/>
          </w:rPr>
          <w:t>轨道杂化诱导的Ising型超导性在受限的镓层中</w:t>
        </w:r>
      </w:hyperlink>
    </w:p>
    <w:p>
      <w:pPr>
        <w:spacing w:before="0" w:after="80"/>
      </w:pPr>
      <w:r>
        <w:rPr>
          <w:i/>
          <w:sz w:val="20"/>
        </w:rPr>
        <w:t>EN: Orbital-hybridization-induced Ising-type superconductivity in a confined gallium layer</w:t>
      </w:r>
    </w:p>
    <w:p>
      <w:pPr>
        <w:spacing w:before="0" w:after="120"/>
      </w:pPr>
      <w:r>
        <w:rPr>
          <w:b/>
        </w:rPr>
        <w:t xml:space="preserve">Source: </w:t>
      </w:r>
      <w:r>
        <w:t>Nature Materials</w:t>
      </w:r>
      <w:r>
        <w:t xml:space="preserve">    </w:t>
      </w:r>
      <w:r>
        <w:rPr>
          <w:b/>
        </w:rPr>
        <w:t xml:space="preserve">Pub date: </w:t>
      </w:r>
      <w:r>
        <w:t>2026-04-13 00:00:00+00:00</w:t>
      </w:r>
      <w:r>
        <w:t xml:space="preserve">    </w:t>
      </w:r>
      <w:r>
        <w:rPr>
          <w:b/>
        </w:rPr>
        <w:t xml:space="preserve">DOI: </w:t>
      </w:r>
      <w:hyperlink r:id="rId332">
        <w:r>
          <w:rPr>
            <w:color w:val="1155CC"/>
            <w:u w:val="single"/>
          </w:rPr>
          <w:t>10.1038/s41563-026-02573-y</w:t>
        </w:r>
      </w:hyperlink>
    </w:p>
    <w:p>
      <w:pPr>
        <w:spacing w:before="0" w:after="120"/>
      </w:pPr>
      <w:r>
        <w:rPr>
          <w:b/>
        </w:rPr>
        <w:t xml:space="preserve">Notes: </w:t>
      </w:r>
      <w:r>
        <w:t>abstract_source=nature_html</w:t>
      </w:r>
    </w:p>
    <w:p>
      <w:pPr>
        <w:spacing w:before="0" w:after="80" w:lineRule="auto" w:line="276"/>
      </w:pPr>
      <w:r>
        <w:rPr>
          <w:b/>
        </w:rPr>
        <w:t xml:space="preserve">摘要（ZH）: </w:t>
      </w:r>
      <w:r>
        <w:t>在低维超导体中，量子限制和界面杂化效应的相互作用可以重塑库珀对波函数，并引发非常规超导态。在此，我们使用无等离子体限制外延法，借助碳缓冲层合成了夹在石墨烯和6H-SiC(0001)基底之间的镓三层。在这个受限的镓层中，我们展示了由原子轨道杂化驱动的界面Ising型超导性。电输运测量显示，平面内上临界磁场在T = 400 mK时达到约21.98 T，约为Pauli顺磁极限的3.38倍。角分辨光电子能谱测量结合理论计算，证实了存在。</w:t>
      </w:r>
    </w:p>
    <w:p>
      <w:pPr>
        <w:spacing w:before="0" w:after="200" w:lineRule="auto" w:line="276"/>
      </w:pPr>
      <w:r>
        <w:rPr>
          <w:b/>
        </w:rPr>
        <w:t xml:space="preserve">Abstract (EN): </w:t>
      </w:r>
      <w:r>
        <w:t>In low-dimensional superconductors, the interplay between quantum confinement and interfacial hybridization effects can reshape Cooper-pair wavefunctions and give rise to unconventional superconducting states. Here we use plasma-free confinement epitaxy assisted by a carbon buffer layer to synthesize a gallium trilayer sandwiched between graphene and a 6H-SiC(0001) substrate. Within this confined gallium layer, we demonstrate interfacial Ising-type superconductivity driven by atomic orbital hybridization. Electrical transport measurements reveal that the in-plane upper critical magnetic field reaches ~21.98 T at T = 400 mK, approximately 3.38 times the Pauli paramagnetic limit. Angle-resolved photoemission spectroscopy measurements, combined with theoretical calculations, confirm the presence of split Fermi surfaces with Ising-type spin textures at the K and K′ valleys of the confined gallium layer, originating from strong hybridization with the SiC substrate. This work establishes a strategy for realizing unconventional pairing wavefunctions through the synergistic combination of quantum confinement and interfacial hybridization effects.</w:t>
      </w:r>
    </w:p>
    <w:p>
      <w:pPr>
        <w:spacing w:before="120" w:after="120"/>
      </w:pPr>
      <w:r>
        <w:rPr>
          <w:sz w:val="18"/>
        </w:rPr>
        <w:t>——————————————————————————————————————————————————————————————————————</w:t>
      </w:r>
    </w:p>
    <w:p>
      <w:pPr>
        <w:spacing w:before="160" w:after="40" w:line="240" w:lineRule="auto"/>
      </w:pPr>
      <w:r>
        <w:rPr>
          <w:b/>
        </w:rPr>
        <w:t xml:space="preserve">[87] </w:t>
      </w:r>
      <w:hyperlink r:id="rId333">
        <w:r>
          <w:rPr>
            <w:color w:val="1155CC"/>
            <w:u w:val="single"/>
          </w:rPr>
          <w:t>一种新颖的多目标双层优化方法，用于混合可再生能源并网微电网在地方电力市场中的战略参与：来自日本电力交易市场的证据</w:t>
        </w:r>
      </w:hyperlink>
    </w:p>
    <w:p>
      <w:pPr>
        <w:spacing w:before="0" w:after="80"/>
      </w:pPr>
      <w:r>
        <w:rPr>
          <w:i/>
          <w:sz w:val="20"/>
        </w:rPr>
        <w:t>EN: A novel multi-objective bi-level optimization approach for strategic participation of hybrid renewable grid-connected microgrids in local electricity markets: Evidence from the Japan electric power exchange market</w:t>
      </w:r>
    </w:p>
    <w:p>
      <w:pPr>
        <w:spacing w:before="0" w:after="120"/>
      </w:pPr>
      <w:r>
        <w:rPr>
          <w:b/>
        </w:rPr>
        <w:t xml:space="preserve">Source: </w:t>
      </w:r>
      <w:r>
        <w:t>ScienceDirect Publication: Applied Energy</w:t>
      </w:r>
      <w:r>
        <w:t xml:space="preserve">    </w:t>
      </w:r>
      <w:r>
        <w:rPr>
          <w:b/>
        </w:rPr>
        <w:t xml:space="preserve">Pub date: </w:t>
      </w:r>
      <w:r>
        <w:t>2026-04-13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334">
        <w:r>
          <w:rPr>
            <w:color w:val="1155CC"/>
            <w:u w:val="single"/>
          </w:rPr>
          <w:t>通过钝化分子工程定制钙钛矿结晶以提高发光二极管效率</w:t>
        </w:r>
      </w:hyperlink>
    </w:p>
    <w:p>
      <w:pPr>
        <w:spacing w:before="0" w:after="80"/>
      </w:pPr>
      <w:r>
        <w:rPr>
          <w:i/>
          <w:sz w:val="20"/>
        </w:rPr>
        <w:t>EN: Tailored perovskite crystallization by passivation molecule engineering for efficient light-emitting diodes</w:t>
      </w:r>
    </w:p>
    <w:p>
      <w:pPr>
        <w:spacing w:before="0" w:after="120"/>
      </w:pPr>
      <w:r>
        <w:rPr>
          <w:b/>
        </w:rPr>
        <w:t xml:space="preserve">Source: </w:t>
      </w:r>
      <w:r>
        <w:t>Matter</w:t>
      </w:r>
      <w:r>
        <w:t xml:space="preserve">    </w:t>
      </w:r>
      <w:r>
        <w:rPr>
          <w:b/>
        </w:rPr>
        <w:t xml:space="preserve">Pub date: </w:t>
      </w:r>
      <w:r>
        <w:t>2026-04-13 00:00:00+00:00</w:t>
      </w:r>
      <w:r>
        <w:t xml:space="preserve">    </w:t>
      </w:r>
      <w:r>
        <w:rPr>
          <w:b/>
        </w:rPr>
        <w:t xml:space="preserve">DOI: </w:t>
      </w:r>
      <w:hyperlink r:id="rId335">
        <w:r>
          <w:rPr>
            <w:color w:val="1155CC"/>
            <w:u w:val="single"/>
          </w:rPr>
          <w:t>10.1016/j.matt.2026.102769</w:t>
        </w:r>
      </w:hyperlink>
    </w:p>
    <w:p>
      <w:pPr>
        <w:spacing w:before="0" w:after="120"/>
      </w:pPr>
      <w:r>
        <w:rPr>
          <w:b/>
        </w:rPr>
        <w:t xml:space="preserve">Notes: </w:t>
      </w:r>
      <w:r>
        <w:t>abstract_source=rss_cell</w:t>
      </w:r>
    </w:p>
    <w:p>
      <w:pPr>
        <w:spacing w:before="0" w:after="80" w:lineRule="auto" w:line="276"/>
      </w:pPr>
      <w:r>
        <w:rPr>
          <w:b/>
        </w:rPr>
        <w:t xml:space="preserve">摘要（ZH）: </w:t>
      </w:r>
      <w:r>
        <w:t>分子添加剂被广泛用于改善钙钛矿发光二极管，但其不同效果的根本原因仍不清楚。本研究表明，添加剂分子内的微妙电子极化可以控制钙钛矿晶体的形成。通过引导结晶朝向更均匀、缺陷抑制的薄膜，这项工作显著提高了器件效率，并为下一代钙钛矿光电材料中的添加剂提供了明确的设计原则。</w:t>
      </w:r>
    </w:p>
    <w:p>
      <w:pPr>
        <w:spacing w:before="0" w:after="200" w:lineRule="auto" w:line="276"/>
      </w:pPr>
      <w:r>
        <w:rPr>
          <w:b/>
        </w:rPr>
        <w:t xml:space="preserve">Abstract (EN): </w:t>
      </w:r>
      <w:r>
        <w:t>Molecular additives are widely used to improve perovskite light-emitting diodes, yet the fundamental reasons behind their different effectiveness remain unclear. This study demonstrates that subtle electronic polarization within additive molecules can control how perovskite crystals form. By steering crystallization toward more uniform, defect-suppressed films, this work significantly enhances device efficiency and provides clear design principles for additives in next-generation perovskite optoelectronic materials.</w:t>
      </w:r>
    </w:p>
    <w:p>
      <w:pPr>
        <w:spacing w:before="120" w:after="120"/>
      </w:pPr>
      <w:r>
        <w:rPr>
          <w:sz w:val="18"/>
        </w:rPr>
        <w:t>——————————————————————————————————————————————————————————————————————</w:t>
      </w:r>
    </w:p>
    <w:p>
      <w:pPr>
        <w:spacing w:before="160" w:after="40" w:line="240" w:lineRule="auto"/>
      </w:pPr>
      <w:r>
        <w:rPr>
          <w:b/>
        </w:rPr>
        <w:t xml:space="preserve">[89] </w:t>
      </w:r>
      <w:hyperlink r:id="rId336">
        <w:r>
          <w:rPr>
            <w:color w:val="1155CC"/>
            <w:u w:val="single"/>
          </w:rPr>
          <w:t>一种用于近红外光感知的植入式视网膜上设备</w:t>
        </w:r>
      </w:hyperlink>
    </w:p>
    <w:p>
      <w:pPr>
        <w:spacing w:before="0" w:after="80"/>
      </w:pPr>
      <w:r>
        <w:rPr>
          <w:i/>
          <w:sz w:val="20"/>
        </w:rPr>
        <w:t>EN: An implantable epiretinal device for near-infrared light perception</w:t>
      </w:r>
    </w:p>
    <w:p>
      <w:pPr>
        <w:spacing w:before="0" w:after="120"/>
      </w:pPr>
      <w:r>
        <w:rPr>
          <w:b/>
        </w:rPr>
        <w:t xml:space="preserve">Source: </w:t>
      </w:r>
      <w:r>
        <w:t>Nature Electronics</w:t>
      </w:r>
      <w:r>
        <w:t xml:space="preserve">    </w:t>
      </w:r>
      <w:r>
        <w:rPr>
          <w:b/>
        </w:rPr>
        <w:t xml:space="preserve">Pub date: </w:t>
      </w:r>
      <w:r>
        <w:t>2026-04-13 00:00:00+00:00</w:t>
      </w:r>
      <w:r>
        <w:t xml:space="preserve">    </w:t>
      </w:r>
      <w:r>
        <w:rPr>
          <w:b/>
        </w:rPr>
        <w:t xml:space="preserve">DOI: </w:t>
      </w:r>
      <w:hyperlink r:id="rId337">
        <w:r>
          <w:rPr>
            <w:color w:val="1155CC"/>
            <w:u w:val="single"/>
          </w:rPr>
          <w:t>10.1038/s41928-026-01601-8</w:t>
        </w:r>
      </w:hyperlink>
    </w:p>
    <w:p>
      <w:pPr>
        <w:spacing w:before="0" w:after="120"/>
      </w:pPr>
      <w:r>
        <w:rPr>
          <w:b/>
        </w:rPr>
        <w:t xml:space="preserve">Notes: </w:t>
      </w:r>
      <w:r>
        <w:t>abstract_source=nature_html</w:t>
      </w:r>
    </w:p>
    <w:p>
      <w:pPr>
        <w:spacing w:before="0" w:after="80" w:lineRule="auto" w:line="276"/>
      </w:pPr>
      <w:r>
        <w:rPr>
          <w:b/>
        </w:rPr>
        <w:t xml:space="preserve">摘要（ZH）: </w:t>
      </w:r>
      <w:r>
        <w:t>人类视觉依赖于外视网膜中对可见光敏感的光感受器细胞。然而，由于导致光感受器退化的视网膜疾病，许多人患有失明。视网膜神经元的电刺激可以重现这些细胞产生的与视觉相关的动作电位。在此，我们报告了一种可以粘附在视网膜表面并将近红外（NIR）光转换为电刺激的薄人工视网膜，该刺激选择性地刺激神经节细胞。人工视网膜由一个NIR敏感的光晶体管阵列和三维液态金属微柱电极组成。液态金属电极增强了与视网膜神经节细胞的接近性，在提供有效电荷注入的同时，最大限度地减少组织</w:t>
      </w:r>
    </w:p>
    <w:p>
      <w:pPr>
        <w:spacing w:before="0" w:after="200" w:lineRule="auto" w:line="276"/>
      </w:pPr>
      <w:r>
        <w:rPr>
          <w:b/>
        </w:rPr>
        <w:t xml:space="preserve">Abstract (EN): </w:t>
      </w:r>
      <w:r>
        <w:t>Human vision relies on photoreceptor cells in the outer retina that are sensitive to visible light. However, many people suffer from blindness due to retinal diseases that cause photoreceptor degeneration. Electrical stimulation of retinal neurons can recreate the action potentials associated with seeing that are generated by these cells. Here we report a thin artificial retina that can be adhered to the epiretinal surface and can convert near-infrared (NIR) light into electrical stimuli that selectively stimulate ganglion cells. The artificial retina consists of a NIR-sensitive phototransistor array and three-dimensional liquid metal micropillar electrodes. The liquid metal electrodes enhance proximity to retinal ganglion cells, providing effective charge injection while minimizing tissue damage, owing to their low Young’s modulus. Ex vivo studies demonstrate its biocompatibility, and in vivo studies using healthy and blind mice demonstrate perception of both visible and NIR light, as indicated by cortical recordings and behavioural tests. The retina could, in the future, be used to create a NIR visual channel in patients with photoreceptor degenerative blindness without interfering with their remaining natural vision.</w:t>
      </w:r>
    </w:p>
    <w:p>
      <w:pPr>
        <w:spacing w:before="120" w:after="120"/>
      </w:pPr>
      <w:r>
        <w:rPr>
          <w:sz w:val="18"/>
        </w:rPr>
        <w:t>——————————————————————————————————————————————————————————————————————</w:t>
      </w:r>
    </w:p>
    <w:p>
      <w:pPr>
        <w:spacing w:before="160" w:after="40" w:line="240" w:lineRule="auto"/>
      </w:pPr>
      <w:r>
        <w:rPr>
          <w:b/>
        </w:rPr>
        <w:t xml:space="preserve">[90] </w:t>
      </w:r>
      <w:hyperlink r:id="rId338">
        <w:r>
          <w:rPr>
            <w:color w:val="1155CC"/>
            <w:u w:val="single"/>
          </w:rPr>
          <w:t>一种基于动态特征解耦的海上风电场模式感知两阶段功率预测方法</w:t>
        </w:r>
      </w:hyperlink>
    </w:p>
    <w:p>
      <w:pPr>
        <w:spacing w:before="0" w:after="80"/>
      </w:pPr>
      <w:r>
        <w:rPr>
          <w:i/>
          <w:sz w:val="20"/>
        </w:rPr>
        <w:t>EN: A pattern-aware two-stage power forecasting method for offshore wind farms based on dynamic feature decoupling</w:t>
      </w:r>
    </w:p>
    <w:p>
      <w:pPr>
        <w:spacing w:before="0" w:after="120"/>
      </w:pPr>
      <w:r>
        <w:rPr>
          <w:b/>
        </w:rPr>
        <w:t xml:space="preserve">Source: </w:t>
      </w:r>
      <w:r>
        <w:t>ScienceDirect Publication: Applied Energy</w:t>
      </w:r>
      <w:r>
        <w:t xml:space="preserve">    </w:t>
      </w:r>
      <w:r>
        <w:rPr>
          <w:b/>
        </w:rPr>
        <w:t xml:space="preserve">Pub date: </w:t>
      </w:r>
      <w:r>
        <w:t>2026-04-13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 </w:t>
      </w:r>
      <w:hyperlink r:id="rId339">
        <w:r>
          <w:rPr>
            <w:color w:val="1155CC"/>
            <w:u w:val="single"/>
          </w:rPr>
          <w:t>支持建筑物中基于模型控制的自适应系统识别</w:t>
        </w:r>
      </w:hyperlink>
    </w:p>
    <w:p>
      <w:pPr>
        <w:spacing w:before="0" w:after="80"/>
      </w:pPr>
      <w:r>
        <w:rPr>
          <w:i/>
          <w:sz w:val="20"/>
        </w:rPr>
        <w:t>EN: Adaptive system identification to support model-based controls in buildings</w:t>
      </w:r>
    </w:p>
    <w:p>
      <w:pPr>
        <w:spacing w:before="0" w:after="120"/>
      </w:pPr>
      <w:r>
        <w:rPr>
          <w:b/>
        </w:rPr>
        <w:t xml:space="preserve">Source: </w:t>
      </w:r>
      <w:r>
        <w:t>ScienceDirect Publication: Applied Energy</w:t>
      </w:r>
      <w:r>
        <w:t xml:space="preserve">    </w:t>
      </w:r>
      <w:r>
        <w:rPr>
          <w:b/>
        </w:rPr>
        <w:t xml:space="preserve">Pub date: </w:t>
      </w:r>
      <w:r>
        <w:t>2026-04-13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340">
        <w:r>
          <w:rPr>
            <w:color w:val="1155CC"/>
            <w:u w:val="single"/>
          </w:rPr>
          <w:t>太阳能驱动的从富磷废水和二氧化碳中合成化学品</w:t>
        </w:r>
      </w:hyperlink>
    </w:p>
    <w:p>
      <w:pPr>
        <w:spacing w:before="0" w:after="80"/>
      </w:pPr>
      <w:r>
        <w:rPr>
          <w:i/>
          <w:sz w:val="20"/>
        </w:rPr>
        <w:t>EN: Solar-driven biosynthesis of chemicals from phosphite-rich wastewater and carbon dioxide</w:t>
      </w:r>
    </w:p>
    <w:p>
      <w:pPr>
        <w:spacing w:before="0" w:after="120"/>
      </w:pPr>
      <w:r>
        <w:rPr>
          <w:b/>
        </w:rPr>
        <w:t xml:space="preserve">Source: </w:t>
      </w:r>
      <w:r>
        <w:t>Nature Sustainability</w:t>
      </w:r>
      <w:r>
        <w:t xml:space="preserve">    </w:t>
      </w:r>
      <w:r>
        <w:rPr>
          <w:b/>
        </w:rPr>
        <w:t xml:space="preserve">Pub date: </w:t>
      </w:r>
      <w:r>
        <w:t>2026-04-13 00:00:00+00:00</w:t>
      </w:r>
      <w:r>
        <w:t xml:space="preserve">    </w:t>
      </w:r>
      <w:r>
        <w:rPr>
          <w:b/>
        </w:rPr>
        <w:t xml:space="preserve">DOI: </w:t>
      </w:r>
      <w:hyperlink r:id="rId341">
        <w:r>
          <w:rPr>
            <w:color w:val="1155CC"/>
            <w:u w:val="single"/>
          </w:rPr>
          <w:t>10.1038/s41893-026-01819-6</w:t>
        </w:r>
      </w:hyperlink>
    </w:p>
    <w:p>
      <w:pPr>
        <w:spacing w:before="0" w:after="120"/>
      </w:pPr>
      <w:r>
        <w:rPr>
          <w:b/>
        </w:rPr>
        <w:t xml:space="preserve">Notes: </w:t>
      </w:r>
      <w:r>
        <w:t>abstract_source=nature_html</w:t>
      </w:r>
    </w:p>
    <w:p>
      <w:pPr>
        <w:spacing w:before="0" w:after="80" w:lineRule="auto" w:line="276"/>
      </w:pPr>
      <w:r>
        <w:rPr>
          <w:b/>
        </w:rPr>
        <w:t xml:space="preserve">摘要（ZH）: </w:t>
      </w:r>
      <w:r>
        <w:t>太阳能驱动的二氧化碳生物合成可以促进可持续化学品制造。然而，细胞密度限制和污染易感性严重阻碍了其实用实施。在此，我们开发了一种太阳能-化学混合驱动的生物合成（SCHB）策略，将基于废水的磷回收整合到生物光合代谢中以进行化学品生产。具体而言，我们将亚磷酸盐氧化途径引入蓝藻中，以补充额外的电子以刺激细菌生长。该策略赋予了抗污染能力，并使富含亚磷酸盐的废水得以利用。包括树莓酮、靛蓝及其衍生物在内的一系列化学品通过SCHB有效合成，合成效率</w:t>
      </w:r>
    </w:p>
    <w:p>
      <w:pPr>
        <w:spacing w:before="0" w:after="200" w:lineRule="auto" w:line="276"/>
      </w:pPr>
      <w:r>
        <w:rPr>
          <w:b/>
        </w:rPr>
        <w:t xml:space="preserve">Abstract (EN): </w:t>
      </w:r>
      <w:r>
        <w:t>Solar-driven biosynthesis from carbon dioxide can facilitate sustainable chemical manufacturing. However, cell-density limits and contamination susceptibility have seriously hampered its practical implementation. Here we develop a solar–chemical hybrid-driven biosynthesis (SCHB) strategy integrating wastewater-based phosphorus recovery into biological photosynthetic metabolism for chemical production. Specifically, we incorporate the phosphite oxidation pathway into cyanobacteria to supplement additional electrons to stimulate bacterial growth. This strategy conferred contamination resistance and enabled the utilization of phosphite-rich wastewater. A series of chemicals including raspberry ketone, indigo and its derivatives were effectively synthesized via SCHB, and the synthesis efficiency was promoted by a factor of up to 305%. Furthermore, the scalability of SCHB was demonstrated at the 500-litre level with real wastewater, which synchronized chemical production with nutrient recovery. Life-cycle assessment and techno-economic analysis indicated notable environmental benefits and economic feasibility. This study potentially opens a viable approach for the sustainable biosynthesis of chemicals.</w:t>
      </w:r>
    </w:p>
    <w:p>
      <w:pPr>
        <w:spacing w:before="120" w:after="120"/>
      </w:pPr>
      <w:r>
        <w:rPr>
          <w:sz w:val="18"/>
        </w:rPr>
        <w:t>——————————————————————————————————————————————————————————————————————</w:t>
      </w:r>
    </w:p>
    <w:p>
      <w:pPr>
        <w:spacing w:before="160" w:after="40" w:line="240" w:lineRule="auto"/>
      </w:pPr>
      <w:r>
        <w:rPr>
          <w:b/>
        </w:rPr>
        <w:t xml:space="preserve">[93] </w:t>
      </w:r>
      <w:hyperlink r:id="rId342">
        <w:r>
          <w:rPr>
            <w:color w:val="1155CC"/>
            <w:u w:val="single"/>
          </w:rPr>
          <w:t>特定栖息地的鱼类多样化速度的时间变化</w:t>
        </w:r>
      </w:hyperlink>
    </w:p>
    <w:p>
      <w:pPr>
        <w:spacing w:before="0" w:after="80"/>
      </w:pPr>
      <w:r>
        <w:rPr>
          <w:i/>
          <w:sz w:val="20"/>
        </w:rPr>
        <w:t>EN: Habitat-specific temporal variation in the pace of fish diversification</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43">
        <w:r>
          <w:rPr>
            <w:color w:val="1155CC"/>
            <w:u w:val="single"/>
          </w:rPr>
          <w:t>10.1073/pnas.2533611123</w:t>
        </w:r>
      </w:hyperlink>
    </w:p>
    <w:p>
      <w:pPr>
        <w:spacing w:before="0" w:after="120"/>
      </w:pPr>
      <w:r>
        <w:rPr>
          <w:b/>
        </w:rPr>
        <w:t xml:space="preserve">Notes: </w:t>
      </w:r>
      <w:r>
        <w:t>abstract_source=crossref</w:t>
      </w:r>
    </w:p>
    <w:p>
      <w:pPr>
        <w:spacing w:before="0" w:after="80" w:lineRule="auto" w:line="276"/>
      </w:pPr>
      <w:r>
        <w:rPr>
          <w:b/>
        </w:rPr>
        <w:t xml:space="preserve">摘要（ZH）: </w:t>
      </w:r>
      <w:r>
        <w:t>物种形成和灭绝事件在空间和时间上分布不均，塑造了现存生物多样性的全球分布。栖息地通过决定生态景观并为多样化提供基质，在短时间尺度上调节这些动态。这引发了关于生物和非生物异质性是否也在地质时间尺度上影响多样化速率的问题。在此，我们展示了物种多样化速率随着时间的推移而变化，这取决于鳍鱼类水生栖息地之间的主要差异，鳍鱼类占脊椎动物多样性的一半以上。系统发育范围内的净多样化速率在与珊瑚礁相关的、淡水底栖和淡水底栖线系中加速了1.5到1.7倍，这些线系栖息在复杂的</w:t>
      </w:r>
    </w:p>
    <w:p>
      <w:pPr>
        <w:spacing w:before="0" w:after="200" w:lineRule="auto" w:line="276"/>
      </w:pPr>
      <w:r>
        <w:rPr>
          <w:b/>
        </w:rPr>
        <w:t xml:space="preserve">Abstract (EN): </w:t>
      </w:r>
      <w:r>
        <w:t>Speciation and extinction events are concentrated unevenly through space and time, shaping the global distribution of extant biodiversity. Habitats modulate these dynamics over short timescales by determining the ecological landscape and providing substrate for diversification. This raises questions about whether biotic and abiotic heterogeneity across habitats also influenced diversification rate over geological timescales. Here, we show the rate of species diversification varies through time according to major differences between aquatic habitats for ray-finned fishes, which comprise over half of vertebrate diversity. Phylogeny-wide net diversification rates have accelerated 1.5 to 1.7× in reef-associated, freshwater benthopelagic, and freshwater demersal lineages, which inhabit complex benthic habitats, while remaining constant through time in other less complex habitats such as the pelagic zone. Combined evidence across multiple diversification models implicates the rise of benthic-feeding fishes, which capitalized on functional feeding innovations and the reorganization of benthic resources following the Paleocene–Eocene Thermal Maximum. Our results show that the global biodiversity of ray-finned fishes is shaped by a combination of clade-specific pulses and tree-wide rate shifts, an outcome of the dynamic interplay between the traits of species and the features of the habitats they occupy.</w:t>
      </w:r>
    </w:p>
    <w:p>
      <w:pPr>
        <w:spacing w:before="120" w:after="120"/>
      </w:pPr>
      <w:r>
        <w:rPr>
          <w:sz w:val="18"/>
        </w:rPr>
        <w:t>——————————————————————————————————————————————————————————————————————</w:t>
      </w:r>
    </w:p>
    <w:p>
      <w:pPr>
        <w:spacing w:before="160" w:after="40" w:line="240" w:lineRule="auto"/>
      </w:pPr>
      <w:r>
        <w:rPr>
          <w:b/>
        </w:rPr>
        <w:t xml:space="preserve">[94] </w:t>
      </w:r>
      <w:hyperlink r:id="rId344">
        <w:r>
          <w:rPr>
            <w:color w:val="1155CC"/>
            <w:u w:val="single"/>
          </w:rPr>
          <w:t>当更大的大脑更好时：蜜蜂嗅觉学习的案例</w:t>
        </w:r>
      </w:hyperlink>
    </w:p>
    <w:p>
      <w:pPr>
        <w:spacing w:before="0" w:after="80"/>
      </w:pPr>
      <w:r>
        <w:rPr>
          <w:i/>
          <w:sz w:val="20"/>
        </w:rPr>
        <w:t>EN: When a bigger brain is better: The case of bee olfactory learning</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45">
        <w:r>
          <w:rPr>
            <w:color w:val="1155CC"/>
            <w:u w:val="single"/>
          </w:rPr>
          <w:t>10.1073/pnas.2514030123</w:t>
        </w:r>
      </w:hyperlink>
    </w:p>
    <w:p>
      <w:pPr>
        <w:spacing w:before="0" w:after="120"/>
      </w:pPr>
      <w:r>
        <w:rPr>
          <w:b/>
        </w:rPr>
        <w:t xml:space="preserve">Notes: </w:t>
      </w:r>
      <w:r>
        <w:t>abstract_source=crossref</w:t>
      </w:r>
    </w:p>
    <w:p>
      <w:pPr>
        <w:spacing w:before="0" w:after="80" w:lineRule="auto" w:line="276"/>
      </w:pPr>
      <w:r>
        <w:rPr>
          <w:b/>
        </w:rPr>
        <w:t xml:space="preserve">摘要（ZH）: </w:t>
      </w:r>
      <w:r>
        <w:t>大脑是否更大提供了增强的认知能力是一个长期存在且有争议的问题。虽然大脑不一定需要很大才能产生复杂的行为，但它们可能有助于信息处理和记忆存储。在此，我们报告了在两种模式蜜蜂物种中，头部大小与学习表现之间的正相关关系，使用了2,141个个体的数据。在蜜蜂中，头部大小变化约30%，头部较大的蜜蜂在难度不同的联想任务中表现出更高的嗅觉学习能力。微计算机断层扫描测量表明，这种关系与大脑大小变化有关：最佳气味学习者具有最大的触角叶。我们在大黄蜂中也观察到了类似的现象，表明自然大脑大小变化</w:t>
      </w:r>
    </w:p>
    <w:p>
      <w:pPr>
        <w:spacing w:before="0" w:after="200" w:lineRule="auto" w:line="276"/>
      </w:pPr>
      <w:r>
        <w:rPr>
          <w:b/>
        </w:rPr>
        <w:t xml:space="preserve">Abstract (EN): </w:t>
      </w:r>
      <w:r>
        <w:t>Whether bigger brains provide enhanced cognitive capacities is a long-lasting and controversial question. While big brains may not be required for producing sophisticated behavior, they could facilitate information processing and memory storage. Here, we report a positive relationship between head size and learning performance in two model bee species, using data from 2,141 individuals. Among honey bees, head size varied by about 30%, and those with larger heads showed higher olfactory learning performance for associative tasks that varied in difficulty. Microcomputed tomography measures indicated that this relationship was linked to brain size variation: The best odor learners had the largest antennal lobes. We made similar observations in bumblebees, suggesting that natural brain size variation is associated with individual cognitive variation in these social bees.</w:t>
      </w:r>
    </w:p>
    <w:p>
      <w:pPr>
        <w:spacing w:before="120" w:after="120"/>
      </w:pPr>
      <w:r>
        <w:rPr>
          <w:sz w:val="18"/>
        </w:rPr>
        <w:t>——————————————————————————————————————————————————————————————————————</w:t>
      </w:r>
    </w:p>
    <w:p>
      <w:pPr>
        <w:spacing w:before="160" w:after="40" w:line="240" w:lineRule="auto"/>
      </w:pPr>
      <w:r>
        <w:rPr>
          <w:b/>
        </w:rPr>
        <w:t xml:space="preserve">[95] </w:t>
      </w:r>
      <w:hyperlink r:id="rId346">
        <w:r>
          <w:rPr>
            <w:color w:val="1155CC"/>
            <w:u w:val="single"/>
          </w:rPr>
          <w:t>一种改良的CRISPR/Cas9方法用于沉默唐氏综合症中的三倍体：一种治疗路径XISTs</w:t>
        </w:r>
      </w:hyperlink>
    </w:p>
    <w:p>
      <w:pPr>
        <w:spacing w:before="0" w:after="80"/>
      </w:pPr>
      <w:r>
        <w:rPr>
          <w:i/>
          <w:sz w:val="20"/>
        </w:rPr>
        <w:t>EN: A modified CRISPR/Cas9 approach in silencing the triplication in Down syndrome: A treatment path XISTs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47">
        <w:r>
          <w:rPr>
            <w:color w:val="1155CC"/>
            <w:u w:val="single"/>
          </w:rPr>
          <w:t>10.1073/pnas.2517953123</w:t>
        </w:r>
      </w:hyperlink>
    </w:p>
    <w:p>
      <w:pPr>
        <w:spacing w:before="0" w:after="120"/>
      </w:pPr>
      <w:r>
        <w:rPr>
          <w:b/>
        </w:rPr>
        <w:t xml:space="preserve">Notes: </w:t>
      </w:r>
      <w:r>
        <w:t>abstract_source=crossref</w:t>
      </w:r>
    </w:p>
    <w:p>
      <w:pPr>
        <w:spacing w:before="0" w:after="80" w:lineRule="auto" w:line="276"/>
      </w:pPr>
      <w:r>
        <w:rPr>
          <w:b/>
        </w:rPr>
        <w:t xml:space="preserve">摘要（ZH）: </w:t>
      </w:r>
      <w:r>
        <w:t>唐氏综合症（DS）是最常见的人类发育遗传疾病之一，由于21号染色体（HSA21）的三倍体导致。尽管先前使用长非编码RNA XIST对HSA21进行表观遗传抑制的研究显示出治疗DS的潜力，但传统锌指核酸酶对XIST的整合效率太低，无法实现实际应用。在此，我们报告了一种改良的CRISPR/Cas9方法，提高了XIST基因整合的效率。首先，将密码子优化的λ噬菌体外切酶（exo）与Cas9融合，在供体DNA和受体染色体DNA的切割位点创建5'和3'末端悬垂。其次，将四个sgRNA，其中两个分别选择性地靶向受体或供体DNA，串联组装到一个Cas9质粒（PX459）中以</w:t>
      </w:r>
    </w:p>
    <w:p>
      <w:pPr>
        <w:spacing w:before="0" w:after="200" w:lineRule="auto" w:line="276"/>
      </w:pPr>
      <w:r>
        <w:rPr>
          <w:b/>
        </w:rPr>
        <w:t xml:space="preserve">Abstract (EN): </w:t>
      </w:r>
      <w:r>
        <w:t>Down syndrome (DS) is one of the most common developmental human genetic disorders and is due to triplication of chromosome 21 (HSA21). Although previous studies using epigenetic suppression of HSA21 by the long noncoding RNA XIST showed a potential for DS treatment, integration efficiency of XIST by conventional zinc finger nucleases is too low to allow for practical implementation. Here, we report a modified CRISPR/Cas9 approach, which enhances the efficiency of XIST gene integration. First, a codon-optimized λ-phage exonuclease (exo) was fused with Cas9 to create 5’- and 3’-end overhangs at cutting sites of donor DNA and acceptor chromosome DNA. Second, four sgRNAs, two of which selectively targeted each the acceptor or donor DNA, were assembled tandemly into one Cas9 plasmid (PX459) to increase the Cas9-cutting efficiency and promote donor DNA integration. Third, sgRNAs were designed by searching for unique single nucleotide polymorphism nucleotides distinct between the three HSA21 copies, as a protospacer adjacent motif site to specifically target one HSA21 copy. Fourth, donor DNA plasmid containing XIST was modified to disable replication and inhibit transcription function and allow for inducible expression. Our modified CRISPR method significantly enhanced the integration efficiency (20 to 40%) of long XIST gene (14 kb) into an extra chromosome 21 (HSA21), as was identified with PCR, cell cloning, immunostaining, and FISH. RNA sequencing results showed that imbalance of gene transcription across extra HSA21 can be partially corrected by XIST gene integration. The modified CRISPR method with XIST paves a road for therapeutic treatment for DS.</w:t>
      </w:r>
    </w:p>
    <w:p>
      <w:pPr>
        <w:spacing w:before="120" w:after="120"/>
      </w:pPr>
      <w:r>
        <w:rPr>
          <w:sz w:val="18"/>
        </w:rPr>
        <w:t>——————————————————————————————————————————————————————————————————————</w:t>
      </w:r>
    </w:p>
    <w:p>
      <w:pPr>
        <w:spacing w:before="160" w:after="40" w:line="240" w:lineRule="auto"/>
      </w:pPr>
      <w:r>
        <w:rPr>
          <w:b/>
        </w:rPr>
        <w:t xml:space="preserve">[96] </w:t>
      </w:r>
      <w:hyperlink r:id="rId348">
        <w:r>
          <w:rPr>
            <w:color w:val="1155CC"/>
            <w:u w:val="single"/>
          </w:rPr>
          <w:t>Helen M. Piwnica-Worms简介</w:t>
        </w:r>
      </w:hyperlink>
    </w:p>
    <w:p>
      <w:pPr>
        <w:spacing w:before="0" w:after="80"/>
      </w:pPr>
      <w:r>
        <w:rPr>
          <w:i/>
          <w:sz w:val="20"/>
        </w:rPr>
        <w:t>EN: Profile of Helen M. Piwnica-Worms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49">
        <w:r>
          <w:rPr>
            <w:color w:val="1155CC"/>
            <w:u w:val="single"/>
          </w:rPr>
          <w:t>10.1073/pnas.2609807123</w:t>
        </w:r>
      </w:hyperlink>
    </w:p>
    <w:p>
      <w:pPr>
        <w:spacing w:before="0" w:after="120"/>
      </w:pPr>
      <w:r>
        <w:rPr>
          <w:b/>
        </w:rPr>
        <w:t xml:space="preserve">Notes: </w:t>
      </w:r>
      <w:r>
        <w:t>abstract_source=crossref</w:t>
      </w:r>
    </w:p>
    <w:p>
      <w:pPr>
        <w:spacing w:before="0" w:after="80" w:lineRule="auto" w:line="276"/>
      </w:pPr>
      <w:r>
        <w:rPr>
          <w:b/>
        </w:rPr>
        <w:t xml:space="preserve">摘要（ZH）: </w:t>
      </w:r>
      <w:r>
        <w:t>Helen M. Piwnica-Worms致力于揭示癌细胞如何逃避控制和抵抗治疗。从细胞周期检查点的开创性工作到揭示乳腺癌的耐药机制，她的研究涵盖了从基础发现到临床转化的全过程。作为使用患者衍生模型的领导者，她展示了肿瘤如何采用可逆的、耐药的状态并发展出耐药性。她最近在PNAS的就职文章中指出了BRCA1突变肿瘤在使用talazoparib治疗时的两条逃逸途径，指向新的联合疗法。她强调了在科学中指导和坚持的重要性。</w:t>
      </w:r>
    </w:p>
    <w:p>
      <w:pPr>
        <w:spacing w:before="0" w:after="200" w:lineRule="auto" w:line="276"/>
      </w:pPr>
      <w:r>
        <w:rPr>
          <w:b/>
        </w:rPr>
        <w:t xml:space="preserve">Abstract (EN): </w:t>
      </w:r>
      <w:r>
        <w:t>Helen M. Piwnica-Worms has devoted her career to uncovering how cancer cells evade control and resist treatment. From pioneering work on cell cycle checkpoints to revealing drug resistance mechanisms in breast cancer, her research spans the continuum from basic discovery to clinical translation. A leader in using patient-derived models, she has shown how tumors can adopt reversible, drug-tolerant states and develop resistance. Her recent PNAS Inaugural Article identifies two escape routes in</w:t>
      </w:r>
      <w:r>
        <w:t xml:space="preserve"> </w:t>
      </w:r>
      <w:r>
        <w:t>BRCA1</w:t>
      </w:r>
      <w:r>
        <w:t xml:space="preserve"> </w:t>
      </w:r>
      <w:r>
        <w:t>-mutant tumors treated with talazoparib, pointing to new combination therapies. She emphasizes the value of mentorship and persistence in science.</w:t>
      </w:r>
    </w:p>
    <w:p>
      <w:pPr>
        <w:spacing w:before="120" w:after="120"/>
      </w:pPr>
      <w:r>
        <w:rPr>
          <w:sz w:val="18"/>
        </w:rPr>
        <w:t>——————————————————————————————————————————————————————————————————————</w:t>
      </w:r>
    </w:p>
    <w:p>
      <w:pPr>
        <w:spacing w:before="160" w:after="40" w:line="240" w:lineRule="auto"/>
      </w:pPr>
      <w:r>
        <w:rPr>
          <w:b/>
        </w:rPr>
        <w:t xml:space="preserve">[97] </w:t>
      </w:r>
      <w:hyperlink r:id="rId350">
        <w:r>
          <w:rPr>
            <w:color w:val="1155CC"/>
            <w:u w:val="single"/>
          </w:rPr>
          <w:t>下一个前沿：通过合成生物学探索植物缺氧感知和响应机制</w:t>
        </w:r>
      </w:hyperlink>
    </w:p>
    <w:p>
      <w:pPr>
        <w:spacing w:before="0" w:after="80"/>
      </w:pPr>
      <w:r>
        <w:rPr>
          <w:i/>
          <w:sz w:val="20"/>
        </w:rPr>
        <w:t>EN: The next frontier: Exploring plant hypoxia sensing and response mechanisms through synthetic biology</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51">
        <w:r>
          <w:rPr>
            <w:color w:val="1155CC"/>
            <w:u w:val="single"/>
          </w:rPr>
          <w:t>10.1073/pnas.2606254123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352">
        <w:r>
          <w:rPr>
            <w:color w:val="1155CC"/>
            <w:u w:val="single"/>
          </w:rPr>
          <w:t>合作特性维持细菌生态位广度</w:t>
        </w:r>
      </w:hyperlink>
    </w:p>
    <w:p>
      <w:pPr>
        <w:spacing w:before="0" w:after="80"/>
      </w:pPr>
      <w:r>
        <w:rPr>
          <w:i/>
          <w:sz w:val="20"/>
        </w:rPr>
        <w:t>EN: Cooperative traits maintain bacterial niche breadth</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53">
        <w:r>
          <w:rPr>
            <w:color w:val="1155CC"/>
            <w:u w:val="single"/>
          </w:rPr>
          <w:t>10.1073/pnas.2605415123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354">
        <w:r>
          <w:rPr>
            <w:color w:val="1155CC"/>
            <w:u w:val="single"/>
          </w:rPr>
          <w:t>结合基于过程的模型与机器学习集成提高土壤氧化亚氮估算</w:t>
        </w:r>
      </w:hyperlink>
    </w:p>
    <w:p>
      <w:pPr>
        <w:spacing w:before="0" w:after="80"/>
      </w:pPr>
      <w:r>
        <w:rPr>
          <w:i/>
          <w:sz w:val="20"/>
        </w:rPr>
        <w:t>EN: Combining process-based models with machine learning ensemble improves soil nitrous oxide estimates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55">
        <w:r>
          <w:rPr>
            <w:color w:val="1155CC"/>
            <w:u w:val="single"/>
          </w:rPr>
          <w:t>10.1073/pnas.2605414123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356">
        <w:r>
          <w:rPr>
            <w:color w:val="1155CC"/>
            <w:u w:val="single"/>
          </w:rPr>
          <w:t>局部负载的局部解决方案：Myo1E作为网格蛋白介导的内吞作用中的张力响应执行器</w:t>
        </w:r>
      </w:hyperlink>
    </w:p>
    <w:p>
      <w:pPr>
        <w:spacing w:before="0" w:after="80"/>
      </w:pPr>
      <w:r>
        <w:rPr>
          <w:i/>
          <w:sz w:val="20"/>
        </w:rPr>
        <w:t>EN: A local solution to local load: Myo1E as a tension-responsive actuator in clathrin-mediated endocytosis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57">
        <w:r>
          <w:rPr>
            <w:color w:val="1155CC"/>
            <w:u w:val="single"/>
          </w:rPr>
          <w:t>10.1073/pnas.2605026123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358">
        <w:r>
          <w:rPr>
            <w:color w:val="1155CC"/>
            <w:u w:val="single"/>
          </w:rPr>
          <w:t>高视觉敏锐度的沙漏：时间和空间交汇处的视锥可塑性塑造了中心凹</w:t>
        </w:r>
      </w:hyperlink>
    </w:p>
    <w:p>
      <w:pPr>
        <w:spacing w:before="0" w:after="80"/>
      </w:pPr>
      <w:r>
        <w:rPr>
          <w:i/>
          <w:sz w:val="20"/>
        </w:rPr>
        <w:t>EN: The hourglass of high acuity vision: Cone plasticity at the intersection of time and space shapes the foveola</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59">
        <w:r>
          <w:rPr>
            <w:color w:val="1155CC"/>
            <w:u w:val="single"/>
          </w:rPr>
          <w:t>10.1073/pnas.2602950123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360">
        <w:r>
          <w:rPr>
            <w:color w:val="1155CC"/>
            <w:u w:val="single"/>
          </w:rPr>
          <w:t>市政水氟化、青少年智商和生命历程中的认知：来自威斯康星纵向研究的证据</w:t>
        </w:r>
      </w:hyperlink>
    </w:p>
    <w:p>
      <w:pPr>
        <w:spacing w:before="0" w:after="80"/>
      </w:pPr>
      <w:r>
        <w:rPr>
          <w:i/>
          <w:sz w:val="20"/>
        </w:rPr>
        <w:t>EN: Municipal water fluoridation, adolescent IQ, and cognition across the life course: Evidence from the Wisconsin Longitudinal Study</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61">
        <w:r>
          <w:rPr>
            <w:color w:val="1155CC"/>
            <w:u w:val="single"/>
          </w:rPr>
          <w:t>10.1073/pnas.2536005123</w:t>
        </w:r>
      </w:hyperlink>
    </w:p>
    <w:p>
      <w:pPr>
        <w:spacing w:before="0" w:after="120"/>
      </w:pPr>
      <w:r>
        <w:rPr>
          <w:b/>
        </w:rPr>
        <w:t xml:space="preserve">Notes: </w:t>
      </w:r>
      <w:r>
        <w:t>abstract_source=crossref</w:t>
      </w:r>
    </w:p>
    <w:p>
      <w:pPr>
        <w:spacing w:before="0" w:after="80" w:lineRule="auto" w:line="276"/>
      </w:pPr>
      <w:r>
        <w:rPr>
          <w:b/>
        </w:rPr>
        <w:t xml:space="preserve">摘要（ZH）: </w:t>
      </w:r>
      <w:r>
        <w:t>我们使用来自美国威斯康星州的代表性数据，研究社区水氟化（CWF）、青少年智商和整个生命过程中的认知之间的关联。通过社区水氟化的历史记录推断暴露；青少年智商通过州测试记录确定；晚年认知作为威斯康星纵向研究的一部分进行评估[P. Herd等，Int. J. Epidemiol. 43, 34–41 (2014)。]。与最近在犹他州、佛罗里达州和其他地方决定终止CWF的研究相反，我们没有发现CWF与青少年智商或成人认知功能负相关的证据。</w:t>
      </w:r>
    </w:p>
    <w:p>
      <w:pPr>
        <w:spacing w:before="0" w:after="200" w:lineRule="auto" w:line="276"/>
      </w:pPr>
      <w:r>
        <w:rPr>
          <w:b/>
        </w:rPr>
        <w:t xml:space="preserve">Abstract (EN): </w:t>
      </w:r>
      <w:r>
        <w:t>We investigate associations between community water fluoridation (CWF), adolescent IQ, and cognition across the life course using representative data from the US state of Wisconsin. Exposure is inferred from historical records on community water fluoridation; adolescent IQ is ascertained from state testing records; and cognition in later life is assessed as part of the Wisconsin Longitudinal Study [P. Herd</w:t>
      </w:r>
      <w:r>
        <w:t xml:space="preserve"> </w:t>
      </w:r>
      <w:r>
        <w:t>et al.</w:t>
      </w:r>
      <w:r>
        <w:t xml:space="preserve"> </w:t>
      </w:r>
      <w:r>
        <w:t>,</w:t>
      </w:r>
      <w:r>
        <w:t xml:space="preserve"> </w:t>
      </w:r>
      <w:r>
        <w:t>Int. J. Epidemiol.</w:t>
      </w:r>
      <w:r>
        <w:rPr>
          <w:vertAlign w:val="subscript"/>
        </w:rPr>
        <w:t>43</w:t>
      </w:r>
      <w:r>
        <w:t>, 34–41 (2014).]. In contrast to studies cited in recent decisions to end CWF in Utah, Florida, and elsewhere, we find no evidence that CWF is negatively associated with adolescent IQ or adult cognitive functioning.</w:t>
      </w:r>
    </w:p>
    <w:p>
      <w:pPr>
        <w:spacing w:before="120" w:after="120"/>
      </w:pPr>
      <w:r>
        <w:rPr>
          <w:sz w:val="18"/>
        </w:rPr>
        <w:t>——————————————————————————————————————————————————————————————————————</w:t>
      </w:r>
    </w:p>
    <w:p>
      <w:pPr>
        <w:spacing w:before="160" w:after="40" w:line="240" w:lineRule="auto"/>
      </w:pPr>
      <w:r>
        <w:rPr>
          <w:b/>
        </w:rPr>
        <w:t xml:space="preserve">[103] </w:t>
      </w:r>
      <w:hyperlink r:id="rId362">
        <w:r>
          <w:rPr>
            <w:color w:val="1155CC"/>
            <w:u w:val="single"/>
          </w:rPr>
          <w:t>Halibee成员考古学：中石器时代的环境、技术和死后改造</w:t>
        </w:r>
      </w:hyperlink>
    </w:p>
    <w:p>
      <w:pPr>
        <w:spacing w:before="0" w:after="80"/>
      </w:pPr>
      <w:r>
        <w:rPr>
          <w:i/>
          <w:sz w:val="20"/>
        </w:rPr>
        <w:t>EN: Halibee member archaeology: Middle Stone Age environment, technology, and postmortem modifications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63">
        <w:r>
          <w:rPr>
            <w:color w:val="1155CC"/>
            <w:u w:val="single"/>
          </w:rPr>
          <w:t>10.1073/pnas.2534441123</w:t>
        </w:r>
      </w:hyperlink>
    </w:p>
    <w:p>
      <w:pPr>
        <w:spacing w:before="0" w:after="120"/>
      </w:pPr>
      <w:r>
        <w:rPr>
          <w:b/>
        </w:rPr>
        <w:t xml:space="preserve">Notes: </w:t>
      </w:r>
      <w:r>
        <w:t>abstract_source=crossref</w:t>
      </w:r>
    </w:p>
    <w:p>
      <w:pPr>
        <w:spacing w:before="0" w:after="80" w:lineRule="auto" w:line="276"/>
      </w:pPr>
      <w:r>
        <w:rPr>
          <w:b/>
        </w:rPr>
        <w:t xml:space="preserve">摘要（ZH）: </w:t>
      </w:r>
      <w:r>
        <w:t>埃塞俄比亚阿法尔裂谷的中阿瓦什研究区具有超过1公里的复合地层厚度。在这一连续层的顶部附近是下哈利比成员的沉积物，包括法罗达巴和柴巴罗层。前者的放射性同位素测年约为10万年，包含丰富的化石和与中石器时代（MSA）相关的石器制品。从这些沉积物中恢复的地质、古生物学和考古数据扩大了非洲人类演化的稀少晚更新世记录，这是我们物种的解剖学现代人群扩展到欧亚大陆之前的时期。法罗达巴的发现是研究区及其以外地区许多露天MSA遗址中最丰富、最少受干扰和空间范围最广的。</w:t>
      </w:r>
    </w:p>
    <w:p>
      <w:pPr>
        <w:spacing w:before="0" w:after="200" w:lineRule="auto" w:line="276"/>
      </w:pPr>
      <w:r>
        <w:rPr>
          <w:b/>
        </w:rPr>
        <w:t xml:space="preserve">Abstract (EN): </w:t>
      </w:r>
      <w:r>
        <w:t>The Middle Awash study area of Ethiopia’s Afar Rift features a composite stratigraphic thickness of &amp;gt;1 km. Near the top of this succession lie sediments of the lower Halibee member, comprising the Faro Daba and Chai Baro beds. The former are radioisotopically dated to ~100,000 y in age and contain abundant fossils and associated lithic artifacts representing the Middle Stone Age (MSA). Geological, paleontological, and archaeological datasets recovered from these sediments enlarge a sparse later Pleistocene record of African human evolution, a time before anatomically modern populations of our species expanded into Eurasia. The Faro Daba occurrences comprise the richest, least disturbed, and most spatially extensive of many open-air MSA-bearing localities in the study area and beyond. Protected atop a resistant underlying conglomerate, the largely horizontal outcrops of the soft, eroding fossiliferous Faro Daba sediments provide spatially extensive access to in situ assemblages of artifacts and fossils. Sedimentology, faunal composition, and combustion features are consistent with a wooded depositional environment with seasonal flooding distant from the main river channel. Archaeological and paleontological assemblages indicate minimal postdepositional disturbance of primary lithic tool manufacture and discard during ephemeral human occupations on this floodplain. Among the recovered fossils are three partial human skeletons with taphonomic evidence of different postmortem pathways.</w:t>
      </w:r>
    </w:p>
    <w:p>
      <w:pPr>
        <w:spacing w:before="120" w:after="120"/>
      </w:pPr>
      <w:r>
        <w:rPr>
          <w:sz w:val="18"/>
        </w:rPr>
        <w:t>——————————————————————————————————————————————————————————————————————</w:t>
      </w:r>
    </w:p>
    <w:p>
      <w:pPr>
        <w:spacing w:before="160" w:after="40" w:line="240" w:lineRule="auto"/>
      </w:pPr>
      <w:r>
        <w:rPr>
          <w:b/>
        </w:rPr>
        <w:t xml:space="preserve">[104] </w:t>
      </w:r>
      <w:hyperlink r:id="rId364">
        <w:r>
          <w:rPr>
            <w:color w:val="1155CC"/>
            <w:u w:val="single"/>
          </w:rPr>
          <w:t>分枝杆菌胞壁重塑依赖的形态转换差异性调节定植和组织持久性</w:t>
        </w:r>
      </w:hyperlink>
    </w:p>
    <w:p>
      <w:pPr>
        <w:spacing w:before="0" w:after="80"/>
      </w:pPr>
      <w:r>
        <w:rPr>
          <w:i/>
          <w:sz w:val="20"/>
        </w:rPr>
        <w:t>EN: Cell wall remodeling–dependent morphotype switch in Mycobacterium avium differentially regulates colonization and tissue persistence</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65">
        <w:r>
          <w:rPr>
            <w:color w:val="1155CC"/>
            <w:u w:val="single"/>
          </w:rPr>
          <w:t>10.1073/pnas.2533019123</w:t>
        </w:r>
      </w:hyperlink>
    </w:p>
    <w:p>
      <w:pPr>
        <w:spacing w:before="0" w:after="120"/>
      </w:pPr>
      <w:r>
        <w:rPr>
          <w:b/>
        </w:rPr>
        <w:t xml:space="preserve">Notes: </w:t>
      </w:r>
      <w:r>
        <w:t>abstract_source=crossref</w:t>
      </w:r>
    </w:p>
    <w:p>
      <w:pPr>
        <w:spacing w:before="0" w:after="80" w:lineRule="auto" w:line="276"/>
      </w:pPr>
      <w:r>
        <w:rPr>
          <w:b/>
        </w:rPr>
        <w:t xml:space="preserve">摘要（ZH）: </w:t>
      </w:r>
      <w:r>
        <w:t>鸟分枝杆菌复合体的物种显示两种主要的菌落形态，光滑透明（SmT）和光滑不透明（SmO），其中SmT与人类疾病和抗菌素耐药性相关。先前的研究表明，光滑细菌可以在透明和不透明形式之间可逆转换，但形态转换的机制仍然未知。使用一种临床菌株的鸟分枝杆菌亚种，我们表明透明到不透明的转换可以在没有可逆基因重排的情况下发生，并且与参与肽聚糖水解的基因的失调和突变有关。</w:t>
      </w:r>
    </w:p>
    <w:p>
      <w:pPr>
        <w:spacing w:before="0" w:after="200" w:lineRule="auto" w:line="276"/>
      </w:pPr>
      <w:r>
        <w:rPr>
          <w:b/>
        </w:rPr>
        <w:t xml:space="preserve">Abstract (EN): </w:t>
      </w:r>
      <w:r>
        <w:t>Species of the</w:t>
      </w:r>
      <w:r>
        <w:t xml:space="preserve"> </w:t>
      </w:r>
      <w:r>
        <w:t>Mycobacterium avium</w:t>
      </w:r>
      <w:r>
        <w:t xml:space="preserve"> </w:t>
      </w:r>
      <w:r>
        <w:t>complex display two main colony morphologies, smooth transparent (SmT) and smooth opaque (SmO), where SmT is associated with human disease and antimicrobial resistance. Previous studies have suggested that smooth bacteria can reversibly switch between the transparent and opaque forms, but the mechanism underlying morphotype transition has remained unknown. Using a clinical strain of</w:t>
      </w:r>
      <w:r>
        <w:t xml:space="preserve"> </w:t>
      </w:r>
      <w:r>
        <w:t>M. avium</w:t>
      </w:r>
      <w:r>
        <w:t xml:space="preserve"> </w:t>
      </w:r>
      <w:r>
        <w:t>ssp</w:t>
      </w:r>
      <w:r>
        <w:t xml:space="preserve"> </w:t>
      </w:r>
      <w:r>
        <w:t>hominissuis,</w:t>
      </w:r>
      <w:r>
        <w:t xml:space="preserve"> </w:t>
      </w:r>
      <w:r>
        <w:t>we show that transparent-to-opaque conversion can occur without reversible genetic rearrangement and is associated with deregulation and mutations in genes involved in peptidoglycan hydrolysis (</w:t>
      </w:r>
      <w:r>
        <w:t xml:space="preserve"> </w:t>
      </w:r>
      <w:r>
        <w:t>marP</w:t>
      </w:r>
      <w:r>
        <w:t xml:space="preserve"> </w:t>
      </w:r>
      <w:r>
        <w:t>and</w:t>
      </w:r>
      <w:r>
        <w:t xml:space="preserve"> </w:t>
      </w:r>
      <w:r>
        <w:t>ripA</w:t>
      </w:r>
      <w:r>
        <w:t xml:space="preserve"> </w:t>
      </w:r>
      <w:r>
        <w:t>), an interpretation supported by integrated phenotypic, genomic, and transcriptomic analyses. Macrophage infections demonstrate robust SmO morphotype–dependent activation of the NLRP3/ASC inflammasome. Analyses in a murine aerosol instillation model for pulmonary infection show that SmO, while unable to persist in the tissue, exhibits drastically increased capacity to colonize lungs compared to virulent SmT, a feature dependent on inflammasome activation. In contrast, SmT bacteria exhibit poor ability to colonize lungs but persist efficiently in an inflammasome-independent manner, likely explaining the selection for the SmT morphotype in patients. These results indicate a cell wall peptidoglycan remodeling–dependent mechanism for morphotype transition in</w:t>
      </w:r>
      <w:r>
        <w:t xml:space="preserve"> </w:t>
      </w:r>
      <w:r>
        <w:t>M. avium</w:t>
      </w:r>
      <w:r>
        <w:t xml:space="preserve"> </w:t>
      </w:r>
      <w:r>
        <w:t>and reveal discrete host–pathogen interactions and functional roles for SmT and SmO morphotypes during pulmonary infection.</w:t>
      </w:r>
    </w:p>
    <w:p>
      <w:pPr>
        <w:spacing w:before="120" w:after="120"/>
      </w:pPr>
      <w:r>
        <w:rPr>
          <w:sz w:val="18"/>
        </w:rPr>
        <w:t>——————————————————————————————————————————————————————————————————————</w:t>
      </w:r>
    </w:p>
    <w:p>
      <w:pPr>
        <w:spacing w:before="160" w:after="40" w:line="240" w:lineRule="auto"/>
      </w:pPr>
      <w:r>
        <w:rPr>
          <w:b/>
        </w:rPr>
        <w:t xml:space="preserve">[105] </w:t>
      </w:r>
      <w:hyperlink r:id="rId366">
        <w:r>
          <w:rPr>
            <w:color w:val="1155CC"/>
            <w:u w:val="single"/>
          </w:rPr>
          <w:t>探索2’-dG核糖开关适配体的功能转变</w:t>
        </w:r>
      </w:hyperlink>
    </w:p>
    <w:p>
      <w:pPr>
        <w:spacing w:before="0" w:after="80"/>
      </w:pPr>
      <w:r>
        <w:rPr>
          <w:i/>
          <w:sz w:val="20"/>
        </w:rPr>
        <w:t>EN: Exploring functional transitions of the 2’-dG riboswitch aptamer</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67">
        <w:r>
          <w:rPr>
            <w:color w:val="1155CC"/>
            <w:u w:val="single"/>
          </w:rPr>
          <w:t>10.1073/pnas.2528806123</w:t>
        </w:r>
      </w:hyperlink>
    </w:p>
    <w:p>
      <w:pPr>
        <w:spacing w:before="0" w:after="120"/>
      </w:pPr>
      <w:r>
        <w:rPr>
          <w:b/>
        </w:rPr>
        <w:t xml:space="preserve">Notes: </w:t>
      </w:r>
      <w:r>
        <w:t>abstract_source=crossref</w:t>
      </w:r>
    </w:p>
    <w:p>
      <w:pPr>
        <w:spacing w:before="0" w:after="80" w:lineRule="auto" w:line="276"/>
      </w:pPr>
      <w:r>
        <w:rPr>
          <w:b/>
        </w:rPr>
        <w:t xml:space="preserve">摘要（ZH）: </w:t>
      </w:r>
      <w:r>
        <w:t>核糖开关是mRNA的5'非翻译区中的结构元素，在不同条件下采用不同的构象。这些不同状态之间的转换涉及基因表达的控制，并发生在相对较慢的时间尺度上。基于RNA结构的模型是一种粗粒度描述，通过结合结构信息和RNA分子的静电相互作用开发而成。该模型的简单性允许探索更长的时间尺度和核糖开关适配体的整个能量景观，这是物理力场无法实现的。使用这种更简单的表示进行的分子动力学模拟与显式溶剂模拟以及SHAPE和NMR实验一致。我们的模拟揭示了一个温度范围，</w:t>
      </w:r>
    </w:p>
    <w:p>
      <w:pPr>
        <w:spacing w:before="0" w:after="200" w:lineRule="auto" w:line="276"/>
      </w:pPr>
      <w:r>
        <w:rPr>
          <w:b/>
        </w:rPr>
        <w:t xml:space="preserve">Abstract (EN): </w:t>
      </w:r>
      <w:r>
        <w:t>Riboswitches are structural elements in the 5’ untranslated region of mRNAs that adopt different conformations under different conditions. Transitions between these different states are involved in controlling gene expression and occur on relatively slow timescales. The RNA structure based model is a coarse-grained description developed by combining structural information with electrostatic interactions for RNA molecules. The simplicity of this model allows for the exploration of longer timescales and the entire energy landscape of the riboswitch aptamer which is not possible with physical force fields. Molecular dynamics simulations using this simpler representation are consistent with explicit solvent simulations and SHAPE and NMR experiments. Our simulations reveal a temperature range, which includes room temperature, where the P1 helix is stable in the presence of ligand binding while flexible in the ligand-free state. These simulations suggest a multibasin free energy profile for the aptamer domain of the 2’-dG riboswitch, where the secondary structures are stably formed with a different organization of the tertiary structures, especially in the absence of the ligand. It is also suggested that the Mg</w:t>
      </w:r>
      <w:r>
        <w:t xml:space="preserve"> </w:t>
      </w:r>
      <w:r>
        <w:t>2+</w:t>
      </w:r>
      <w:r>
        <w:t xml:space="preserve"> </w:t>
      </w:r>
      <w:r>
        <w:t>ions have a significant stabilizing effect, especially on the tertiary structures and on the regulatory helix P1, creating magnesium-mediated attractive interactions between phosphate groups in some cases. The mechanism proposed by experimentalists for the functional transition requires the breaking of the P1 helix. This process occurs on relatively slow timescales, and therefore necessitates the proposed model which allows direct connection to experimental observations.</w:t>
      </w:r>
    </w:p>
    <w:p>
      <w:pPr>
        <w:spacing w:before="120" w:after="120"/>
      </w:pPr>
      <w:r>
        <w:rPr>
          <w:sz w:val="18"/>
        </w:rPr>
        <w:t>——————————————————————————————————————————————————————————————————————</w:t>
      </w:r>
    </w:p>
    <w:p>
      <w:pPr>
        <w:spacing w:before="160" w:after="40" w:line="240" w:lineRule="auto"/>
      </w:pPr>
      <w:r>
        <w:rPr>
          <w:b/>
        </w:rPr>
        <w:t xml:space="preserve">[106] </w:t>
      </w:r>
      <w:hyperlink r:id="rId368">
        <w:r>
          <w:rPr>
            <w:color w:val="1155CC"/>
            <w:u w:val="single"/>
          </w:rPr>
          <w:t>用于量化粘细菌自组织的深度学习框架</w:t>
        </w:r>
      </w:hyperlink>
    </w:p>
    <w:p>
      <w:pPr>
        <w:spacing w:before="0" w:after="80"/>
      </w:pPr>
      <w:r>
        <w:rPr>
          <w:i/>
          <w:sz w:val="20"/>
        </w:rPr>
        <w:t>EN: Deep learning framework for quantifying self-organization in Myxococcus xanthus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69">
        <w:r>
          <w:rPr>
            <w:color w:val="1155CC"/>
            <w:u w:val="single"/>
          </w:rPr>
          <w:t>10.1073/pnas.2532223123</w:t>
        </w:r>
      </w:hyperlink>
    </w:p>
    <w:p>
      <w:pPr>
        <w:spacing w:before="0" w:after="120"/>
      </w:pPr>
      <w:r>
        <w:rPr>
          <w:b/>
        </w:rPr>
        <w:t xml:space="preserve">Notes: </w:t>
      </w:r>
      <w:r>
        <w:t>abstract_source=crossref</w:t>
      </w:r>
    </w:p>
    <w:p>
      <w:pPr>
        <w:spacing w:before="0" w:after="80" w:lineRule="auto" w:line="276"/>
      </w:pPr>
      <w:r>
        <w:rPr>
          <w:b/>
        </w:rPr>
        <w:t xml:space="preserve">摘要（ZH）: </w:t>
      </w:r>
      <w:r>
        <w:t>在饥饿条件下，</w:t>
      </w:r>
      <w:r>
        <w:t xml:space="preserve"> </w:t>
      </w:r>
      <w:r>
        <w:t>Myxococcus xanthus</w:t>
      </w:r>
      <w:r>
        <w:t xml:space="preserve"> </w:t>
      </w:r>
      <w:r>
        <w:t>细菌启动一个多细胞发育程序，其中细胞移动形成子实体并分化为不同的细胞类型。许多影响这一过程的基因已被识别，并假设在同一途径中扰动基因会引起表型的类似变化，尽管这些变化可能是微妙的或被多效性掩盖。然而，这些途径无法系统地映射，因为没有可靠的方法来量化表型相似性。在这里，我们应用深度学习来量化292种基因不同菌株的表型模式和自组织动态。我们将ResNet和StyleGAN2集成到变分自编码器中，并与其一起训练</w:t>
      </w:r>
    </w:p>
    <w:p>
      <w:pPr>
        <w:spacing w:before="0" w:after="200" w:lineRule="auto" w:line="276"/>
      </w:pPr>
      <w:r>
        <w:rPr>
          <w:b/>
        </w:rPr>
        <w:t xml:space="preserve">Abstract (EN): </w:t>
      </w:r>
      <w:r>
        <w:t>Under starvation,</w:t>
      </w:r>
      <w:r>
        <w:t xml:space="preserve"> </w:t>
      </w:r>
      <w:r>
        <w:t>Myxococcus xanthus</w:t>
      </w:r>
      <w:r>
        <w:t xml:space="preserve"> </w:t>
      </w:r>
      <w:r>
        <w:t>bacteria initiate a multicellular developmental program in which cells move to form fruiting bodies and differentiate into distinct cell types. Many genes affecting this process have been identified, and it is assumed that perturbing genes within the same pathway induces similar changes in the phenotype, although these changes may be subtle or obscured by pleiotropy. However, these pathways cannot be systematically mapped because there are no reliable methods for quantifying phenotype similarity. Here, we applied deep learning to quantify phenotype patterns and self-organization dynamics of 292 genetically distinct strains. We integrated ResNet and StyleGAN2 into a Variational Autoencoder and trained it together with a Siamese network that learns phenotypic similarity. This end-to-end system encoded high-resolution microscopy images into 13-dimensional feature vectors, effectively capturing variation in aggregation patterns across time and strains. Human evaluation confirmed that our model’s reconstructions were visually indistinguishable from real images and closely aligned with input phenotypes. Importantly, the feature space is interpretable: Individual dimensions correlate with biological features such as aggregate number and size, and extrapolation along these dimensions produces predictable morphological changes. Remarkably, our model revealed that developmental phenotypes and ultimate aggregation fate are predictable from the earliest images before visible aggregation begins. This predictability held across both genetic and environmental sources of variation, suggesting that subtle, early-stage phenotypic signatures carry critical information about developmental trajectories. These results demonstrate how machine learning can reveal hidden aspects of complex multicellular dynamics and provide methods for phenotypic analysis without manual annotation.</w:t>
      </w:r>
    </w:p>
    <w:p>
      <w:pPr>
        <w:spacing w:before="120" w:after="120"/>
      </w:pPr>
      <w:r>
        <w:rPr>
          <w:sz w:val="18"/>
        </w:rPr>
        <w:t>——————————————————————————————————————————————————————————————————————</w:t>
      </w:r>
    </w:p>
    <w:p>
      <w:pPr>
        <w:spacing w:before="160" w:after="40" w:line="240" w:lineRule="auto"/>
      </w:pPr>
      <w:r>
        <w:rPr>
          <w:b/>
        </w:rPr>
        <w:t xml:space="preserve">[107] </w:t>
      </w:r>
      <w:hyperlink r:id="rId370">
        <w:r>
          <w:rPr>
            <w:color w:val="1155CC"/>
            <w:u w:val="single"/>
          </w:rPr>
          <w:t>Rbm24基因的可变剪接对于小鼠耳蜗毛细胞立体纤毛的完整性和听力功能至关重要</w:t>
        </w:r>
      </w:hyperlink>
    </w:p>
    <w:p>
      <w:pPr>
        <w:spacing w:before="0" w:after="80"/>
      </w:pPr>
      <w:r>
        <w:rPr>
          <w:i/>
          <w:sz w:val="20"/>
        </w:rPr>
        <w:t>EN: Alternative splicing of the Rbm24 gene is essential for cochlear hair cell stereocilia integrity and hearing function in mice</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71">
        <w:r>
          <w:rPr>
            <w:color w:val="1155CC"/>
            <w:u w:val="single"/>
          </w:rPr>
          <w:t>10.1073/pnas.2531564123</w:t>
        </w:r>
      </w:hyperlink>
    </w:p>
    <w:p>
      <w:pPr>
        <w:spacing w:before="0" w:after="120"/>
      </w:pPr>
      <w:r>
        <w:rPr>
          <w:b/>
        </w:rPr>
        <w:t xml:space="preserve">Notes: </w:t>
      </w:r>
      <w:r>
        <w:t>abstract_source=crossref</w:t>
      </w:r>
    </w:p>
    <w:p>
      <w:pPr>
        <w:spacing w:before="0" w:after="80" w:lineRule="auto" w:line="276"/>
      </w:pPr>
      <w:r>
        <w:rPr>
          <w:b/>
        </w:rPr>
        <w:t xml:space="preserve">摘要（ZH）: </w:t>
      </w:r>
      <w:r>
        <w:t>耳蜗毛细胞是负责检测声音信息的机械敏感受体细胞。它们的特点是顶端充满F-肌动蛋白的纤毛，这对于机械-电信号转导至关重要。之前，我们和其他研究小组报道了RNA结合基序蛋白24（RBM24）通过调节前mRNA选择性剪接和mRNA稳定性在纤毛发育和维持中起关键作用。在本研究中，我们显示小鼠</w:t>
      </w:r>
      <w:r>
        <w:t xml:space="preserve"> </w:t>
      </w:r>
      <w:r>
        <w:t>Rbm24</w:t>
      </w:r>
      <w:r>
        <w:t xml:space="preserve"> </w:t>
      </w:r>
      <w:r>
        <w:t>基因的外显子4受到选择性剪接的影响。在</w:t>
      </w:r>
      <w:r>
        <w:t xml:space="preserve"> </w:t>
      </w:r>
      <w:r>
        <w:t>Rbm24</w:t>
      </w:r>
      <w:r>
        <w:t xml:space="preserve"> </w:t>
      </w:r>
      <w:r>
        <w:t>mRNA中包含外显子4会导致翻译提前终止，产生RBM24的短异构体（RBM24-S）。值得注意的是，尽管共享相同的RNA识别基序，</w:t>
      </w:r>
    </w:p>
    <w:p>
      <w:pPr>
        <w:spacing w:before="0" w:after="200" w:lineRule="auto" w:line="276"/>
      </w:pPr>
      <w:r>
        <w:rPr>
          <w:b/>
        </w:rPr>
        <w:t xml:space="preserve">Abstract (EN): </w:t>
      </w:r>
      <w:r>
        <w:t>Cochlear hair cells are the mechanosensitive receptor cells responsible for detecting sound information. They are characterized by their apical F-actin-filled stereocilia that are essential for mechano-electrical transduction. Previously, we and other groups reported that RNA Binding Motif Protein 24 (RBM24) plays pivotal roles in stereocilia development and maintenance by regulating pre-mRNA alternative splicing and mRNA stability. In the present work, we show that exon 4 of the mouse</w:t>
      </w:r>
      <w:r>
        <w:t xml:space="preserve"> </w:t>
      </w:r>
      <w:r>
        <w:t>Rbm24</w:t>
      </w:r>
      <w:r>
        <w:t xml:space="preserve"> </w:t>
      </w:r>
      <w:r>
        <w:t>gene is subjected to alternative splicing. Inclusion of exon 4 in</w:t>
      </w:r>
      <w:r>
        <w:t xml:space="preserve"> </w:t>
      </w:r>
      <w:r>
        <w:t>Rbm24</w:t>
      </w:r>
      <w:r>
        <w:t xml:space="preserve"> </w:t>
      </w:r>
      <w:r>
        <w:t>mRNA results in premature translational stop, giving rise to a short isoform of RBM24 (RBM24-S). Notably, while sharing the same RNA-recognition motif, the canonical RBM24 long isoform (RBM24-L) and RBM24-S can bind different mRNA targets to affect their splicing and/or stability. Deletion of</w:t>
      </w:r>
      <w:r>
        <w:t xml:space="preserve"> </w:t>
      </w:r>
      <w:r>
        <w:t>Rbm24</w:t>
      </w:r>
      <w:r>
        <w:t xml:space="preserve"> </w:t>
      </w:r>
      <w:r>
        <w:t>exon 4 in mice abolishes the expression of</w:t>
      </w:r>
      <w:r>
        <w:t xml:space="preserve"> </w:t>
      </w:r>
      <w:r>
        <w:t>Rbm24(+e4)</w:t>
      </w:r>
      <w:r>
        <w:t xml:space="preserve"> </w:t>
      </w:r>
      <w:r>
        <w:t>transcripts that encode for RBM24-S, and both homozygote and heterozygote mice suffer from severe hearing loss. Further investigations revealed that</w:t>
      </w:r>
      <w:r>
        <w:t xml:space="preserve"> </w:t>
      </w:r>
      <w:r>
        <w:t>Rbm24</w:t>
      </w:r>
      <w:r>
        <w:t xml:space="preserve"> </w:t>
      </w:r>
      <w:r>
        <w:t>exon 4 deletion leads to stereocilia disorganization and eventually hair cell loss. Moreover, overexpression of RBM24-L in the hair cells leads to significant stereocilia deficits as well as profound hearing loss. Finally, we identified several RBM24 targets such as</w:t>
      </w:r>
      <w:r>
        <w:t xml:space="preserve"> </w:t>
      </w:r>
      <w:r>
        <w:t>Strc</w:t>
      </w:r>
      <w:r>
        <w:t xml:space="preserve"> </w:t>
      </w:r>
      <w:r>
        <w:t>, whose dysregulation contributes to stereocilia disorganization as well as hearing loss in</w:t>
      </w:r>
      <w:r>
        <w:t xml:space="preserve"> </w:t>
      </w:r>
      <w:r>
        <w:t>Rbm24</w:t>
      </w:r>
      <w:r>
        <w:t xml:space="preserve"> </w:t>
      </w:r>
      <w:r>
        <w:t>deficient mice. Taken together, our present data suggest that</w:t>
      </w:r>
      <w:r>
        <w:t xml:space="preserve"> </w:t>
      </w:r>
      <w:r>
        <w:t>Rbm24</w:t>
      </w:r>
      <w:r>
        <w:t xml:space="preserve"> </w:t>
      </w:r>
      <w:r>
        <w:t>is subjected to alternative splicing and appropriate RBM24 expression levels are important for stereocilia integrity and hearing function.</w:t>
      </w:r>
    </w:p>
    <w:p>
      <w:pPr>
        <w:spacing w:before="120" w:after="120"/>
      </w:pPr>
      <w:r>
        <w:rPr>
          <w:sz w:val="18"/>
        </w:rPr>
        <w:t>——————————————————————————————————————————————————————————————————————</w:t>
      </w:r>
    </w:p>
    <w:p>
      <w:pPr>
        <w:spacing w:before="160" w:after="40" w:line="240" w:lineRule="auto"/>
      </w:pPr>
      <w:r>
        <w:rPr>
          <w:b/>
        </w:rPr>
        <w:t xml:space="preserve">[108] </w:t>
      </w:r>
      <w:hyperlink r:id="rId372">
        <w:r>
          <w:rPr>
            <w:color w:val="1155CC"/>
            <w:u w:val="single"/>
          </w:rPr>
          <w:t>mRNA m6A修饰和RNA结合蛋白YTHDF1影响正常和病理学习中的翻译控制</w:t>
        </w:r>
      </w:hyperlink>
    </w:p>
    <w:p>
      <w:pPr>
        <w:spacing w:before="0" w:after="80"/>
      </w:pPr>
      <w:r>
        <w:rPr>
          <w:i/>
          <w:sz w:val="20"/>
        </w:rPr>
        <w:t>EN: mRNA m6A modifications and the RNA-binding protein YTHDF1 affect translational control in both normal and pathological learning</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73">
        <w:r>
          <w:rPr>
            <w:color w:val="1155CC"/>
            <w:u w:val="single"/>
          </w:rPr>
          <w:t>10.1073/pnas.2518250123</w:t>
        </w:r>
      </w:hyperlink>
    </w:p>
    <w:p>
      <w:pPr>
        <w:spacing w:before="0" w:after="120"/>
      </w:pPr>
      <w:r>
        <w:rPr>
          <w:b/>
        </w:rPr>
        <w:t xml:space="preserve">Notes: </w:t>
      </w:r>
      <w:r>
        <w:t>abstract_source=crossref</w:t>
      </w:r>
    </w:p>
    <w:p>
      <w:pPr>
        <w:spacing w:before="0" w:after="80" w:lineRule="auto" w:line="276"/>
      </w:pPr>
      <w:r>
        <w:rPr>
          <w:b/>
        </w:rPr>
        <w:t xml:space="preserve">摘要（ZH）: </w:t>
      </w:r>
      <w:r>
        <w:t>动物学习并适应环境变化。然而，神经可塑性也可能变得不适应，导致神经和精神疾病。我们如何利用已知的分子机制来利用神经可塑性的力量来预防和治疗疾病？已知巩固学习需要新的蛋白质合成。我们发现mRNA m</w:t>
      </w:r>
      <w:r>
        <w:rPr>
          <w:vertAlign w:val="subscript"/>
        </w:rPr>
        <w:t>6</w:t>
      </w:r>
      <w:r>
        <w:t>A修饰和RNA结合蛋白YTHDF1对于分子、细胞和行为适应环境变化是必需的。删除</w:t>
      </w:r>
      <w:r>
        <w:t xml:space="preserve"> </w:t>
      </w:r>
      <w:r>
        <w:t>Ythdf1</w:t>
      </w:r>
      <w:r>
        <w:t xml:space="preserve"> </w:t>
      </w:r>
      <w:r>
        <w:t>在多巴胺D1或D2受体表达的神经元中分别选择性地损害D1或D2依赖的学习，包括适应性和不适应性学习。这突显了YTHDF1</w:t>
      </w:r>
    </w:p>
    <w:p>
      <w:pPr>
        <w:spacing w:before="0" w:after="200" w:lineRule="auto" w:line="276"/>
      </w:pPr>
      <w:r>
        <w:rPr>
          <w:b/>
        </w:rPr>
        <w:t xml:space="preserve">Abstract (EN): </w:t>
      </w:r>
      <w:r>
        <w:t>Animals learn and adapt to environmental changes. However, neural plasticity can also become maladaptive, leading to neurological and psychiatric disorders. How do we use known molecular mechanisms to harness the power of neural plasticity to prevent and treat diseases? Consolidating learning is known to require new protein synthesis. We found that mRNA m</w:t>
      </w:r>
      <w:r>
        <w:rPr>
          <w:vertAlign w:val="subscript"/>
        </w:rPr>
        <w:t>6</w:t>
      </w:r>
      <w:r>
        <w:t>A modifications and the RNA-binding protein YTHDF1 are required for molecular, cellular, and behavioral adaptations in response to environmental changes. Deletion of</w:t>
      </w:r>
      <w:r>
        <w:t xml:space="preserve"> </w:t>
      </w:r>
      <w:r>
        <w:t>Ythdf1</w:t>
      </w:r>
      <w:r>
        <w:t xml:space="preserve"> </w:t>
      </w:r>
      <w:r>
        <w:t>in dopamine D1- or D2 receptor-expressing neurons selectively impaired D1- or D2-dependent learning, respectively, including both adaptive and maladaptive learning. This highlights YTHDF1 as a potential therapeutic target for preventing pathological plasticity. YTHDF1 recognizes m</w:t>
      </w:r>
      <w:r>
        <w:rPr>
          <w:vertAlign w:val="subscript"/>
        </w:rPr>
        <w:t>6</w:t>
      </w:r>
      <w:r>
        <w:t>A modifications on transcripts and regulates their translation. Elevated cAMP triggered increased protein synthesis in control striatal neurons but not in</w:t>
      </w:r>
      <w:r>
        <w:t xml:space="preserve"> </w:t>
      </w:r>
      <w:r>
        <w:t>Ythdf1</w:t>
      </w:r>
      <w:r>
        <w:t xml:space="preserve"> </w:t>
      </w:r>
      <w:r>
        <w:t>-deficient neurons. Behaviorally, cell-type-specific</w:t>
      </w:r>
      <w:r>
        <w:t xml:space="preserve"> </w:t>
      </w:r>
      <w:r>
        <w:t>Ythdf1</w:t>
      </w:r>
      <w:r>
        <w:t xml:space="preserve"> </w:t>
      </w:r>
      <w:r>
        <w:t>deletion resembled learning phenotypes caused by deletion of the m</w:t>
      </w:r>
      <w:r>
        <w:rPr>
          <w:vertAlign w:val="subscript"/>
        </w:rPr>
        <w:t>6</w:t>
      </w:r>
      <w:r>
        <w:t>A methyltransferase gene</w:t>
      </w:r>
      <w:r>
        <w:t xml:space="preserve"> </w:t>
      </w:r>
      <w:r>
        <w:t>Mettl14</w:t>
      </w:r>
      <w:r>
        <w:t xml:space="preserve"> </w:t>
      </w:r>
      <w:r>
        <w:t>, suggesting YTHDF1 as the main mediator of m</w:t>
      </w:r>
      <w:r>
        <w:rPr>
          <w:vertAlign w:val="subscript"/>
        </w:rPr>
        <w:t>6</w:t>
      </w:r>
      <w:r>
        <w:t>A-dependent regulation in the striatum.</w:t>
      </w:r>
    </w:p>
    <w:p>
      <w:pPr>
        <w:spacing w:before="120" w:after="120"/>
      </w:pPr>
      <w:r>
        <w:rPr>
          <w:sz w:val="18"/>
        </w:rPr>
        <w:t>——————————————————————————————————————————————————————————————————————</w:t>
      </w:r>
    </w:p>
    <w:p>
      <w:pPr>
        <w:spacing w:before="160" w:after="40" w:line="240" w:lineRule="auto"/>
      </w:pPr>
      <w:r>
        <w:rPr>
          <w:b/>
        </w:rPr>
        <w:t xml:space="preserve">[109] </w:t>
      </w:r>
      <w:hyperlink r:id="rId374">
        <w:r>
          <w:rPr>
            <w:color w:val="1155CC"/>
            <w:u w:val="single"/>
          </w:rPr>
          <w:t>SCD1通过脂肪酸去饱和介导的膜重塑许可STING信号传导</w:t>
        </w:r>
      </w:hyperlink>
    </w:p>
    <w:p>
      <w:pPr>
        <w:spacing w:before="0" w:after="80"/>
      </w:pPr>
      <w:r>
        <w:rPr>
          <w:i/>
          <w:sz w:val="20"/>
        </w:rPr>
        <w:t>EN: SCD1 licenses STING signaling through fatty acid desaturation–mediated membrane remodeling</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75">
        <w:r>
          <w:rPr>
            <w:color w:val="1155CC"/>
            <w:u w:val="single"/>
          </w:rPr>
          <w:t>10.1073/pnas.2528843123</w:t>
        </w:r>
      </w:hyperlink>
    </w:p>
    <w:p>
      <w:pPr>
        <w:spacing w:before="0" w:after="120"/>
      </w:pPr>
      <w:r>
        <w:rPr>
          <w:b/>
        </w:rPr>
        <w:t xml:space="preserve">Notes: </w:t>
      </w:r>
      <w:r>
        <w:t>abstract_source=crossref</w:t>
      </w:r>
    </w:p>
    <w:p>
      <w:pPr>
        <w:spacing w:before="0" w:after="80" w:lineRule="auto" w:line="276"/>
      </w:pPr>
      <w:r>
        <w:rPr>
          <w:b/>
        </w:rPr>
        <w:t xml:space="preserve">摘要（ZH）: </w:t>
      </w:r>
      <w:r>
        <w:t>干扰素基因刺激因子（STING）是对抗胞质DNA病原体的先天免疫的关键介质，需要精确调节以平衡抗病毒防御和免疫耐受。虽然脂质代谢影响免疫信号传导，但硬脂酰辅酶A去饱和酶1（SCD1），一种将饱和脂肪酸（SFA）转化为单不饱和脂肪酸（MUFA）的关键酶，在STING激活中的作用尚未被探索。在此，我们确定SCD1作为一种代谢检查点，通过生物物理膜重塑许可STING激活。在机制上，SCD1生成的MUFA掺入内质网（ER）磷脂中，增强膜的曲率和流动性。这种生物物理重塑促进了环鸟苷酸（GMP）-腺苷酸（AMP）（cG</w:t>
      </w:r>
    </w:p>
    <w:p>
      <w:pPr>
        <w:spacing w:before="0" w:after="200" w:lineRule="auto" w:line="276"/>
      </w:pPr>
      <w:r>
        <w:rPr>
          <w:b/>
        </w:rPr>
        <w:t xml:space="preserve">Abstract (EN): </w:t>
      </w:r>
      <w:r>
        <w:t>The stimulator of interferon genes (STING) is a critical mediator of innate immunity against cytosolic DNA pathogens, requiring precise regulation to balance antiviral defense and immune tolerance. While lipid metabolism influences immune signaling, the role of stearoyl-CoA desaturase 1 (SCD1), a key enzyme converting saturated fatty acids (SFAs) to monounsaturated fatty acids (MUFAs), in STING activation remains unexplored. Here, we identify SCD1 as a metabolic checkpoint that licenses STING activation through biophysical membrane remodeling. Mechanistically, SCD1-generated MUFAs incorporate into endoplasmic reticulum (ER) phospholipids, enhancing membrane curvature and fluidity. This biophysical remodeling facilitates cyclic guanosine monophosphate (GMP)-adenosine monophosphate (AMP) (cGAMP) binding to STING and promotes its dimerization, enabling downstream TBK1-IRF3 signaling and type I interferons (IFNs) production. Consequently,</w:t>
      </w:r>
      <w:r>
        <w:t xml:space="preserve"> </w:t>
      </w:r>
      <w:r>
        <w:t>Scd1</w:t>
      </w:r>
      <w:r>
        <w:t xml:space="preserve"> </w:t>
      </w:r>
      <w:r>
        <w:t>deficiency or pharmacological inhibition impairs STING activation, attenuates antiviral responses against herpes simplex virus-1 (HSV-1), and exacerbates viral replication in vitro and in vivo. Conversely, MUFAs supplementation rescues STING activation in</w:t>
      </w:r>
      <w:r>
        <w:t xml:space="preserve"> </w:t>
      </w:r>
      <w:r>
        <w:t>Scd1</w:t>
      </w:r>
      <w:r>
        <w:t xml:space="preserve"> </w:t>
      </w:r>
      <w:r>
        <w:t>-deficient models. Our findings establish SCD1-mediated lipid desaturation as a fundamental regulator of STING-driven immunity, highlighting its therapeutic potential for disorders of aberrant STING activation.</w:t>
      </w:r>
    </w:p>
    <w:p>
      <w:pPr>
        <w:spacing w:before="120" w:after="120"/>
      </w:pPr>
      <w:r>
        <w:rPr>
          <w:sz w:val="18"/>
        </w:rPr>
        <w:t>——————————————————————————————————————————————————————————————————————</w:t>
      </w:r>
    </w:p>
    <w:p>
      <w:pPr>
        <w:spacing w:before="160" w:after="40" w:line="240" w:lineRule="auto"/>
      </w:pPr>
      <w:r>
        <w:rPr>
          <w:b/>
        </w:rPr>
        <w:t xml:space="preserve">[110] </w:t>
      </w:r>
      <w:hyperlink r:id="rId376">
        <w:r>
          <w:rPr>
            <w:color w:val="1155CC"/>
            <w:u w:val="single"/>
          </w:rPr>
          <w:t>电压门控质子通道Hv1/VSOP调节小胶质细胞中F-肌动蛋白和内涵体之间的相互作用</w:t>
        </w:r>
      </w:hyperlink>
    </w:p>
    <w:p>
      <w:pPr>
        <w:spacing w:before="0" w:after="80"/>
      </w:pPr>
      <w:r>
        <w:rPr>
          <w:i/>
          <w:sz w:val="20"/>
        </w:rPr>
        <w:t>EN: Voltage-gated proton channel Hv1/VSOP regulates reciprocal interactions between F-actin and endosomes in microglia</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77">
        <w:r>
          <w:rPr>
            <w:color w:val="1155CC"/>
            <w:u w:val="single"/>
          </w:rPr>
          <w:t>10.1073/pnas.2521977123</w:t>
        </w:r>
      </w:hyperlink>
    </w:p>
    <w:p>
      <w:pPr>
        <w:spacing w:before="0" w:after="120"/>
      </w:pPr>
      <w:r>
        <w:rPr>
          <w:b/>
        </w:rPr>
        <w:t xml:space="preserve">Notes: </w:t>
      </w:r>
      <w:r>
        <w:t>abstract_source=crossref</w:t>
      </w:r>
    </w:p>
    <w:p>
      <w:pPr>
        <w:spacing w:before="0" w:after="80" w:lineRule="auto" w:line="276"/>
      </w:pPr>
      <w:r>
        <w:rPr>
          <w:b/>
        </w:rPr>
        <w:t xml:space="preserve">摘要（ZH）: </w:t>
      </w:r>
      <w:r>
        <w:t>电压门控质子通道Hv1/VSOP长期以来被认为是一种调节细胞内pH值和膜电位以支持免疫细胞功能的质膜蛋白。在此，我们揭示了小胶质细胞中Hv1在内体膜上的一个意想不到的细胞内库，它在内体运输和肌动蛋白细胞骨架之间协调相互作用。结合内体膜片钳记录和高分辨率成像，我们证明了功能性内体Hv1与F-肌动蛋白形成紧密且动态的关联。Hv1的基因缺失显著延长了肌动蛋白丝，这种表型似乎依赖于细胞内而非质膜Hv1的活性。异源表达野生型Hv1，而非质子不导电突变体，减少了F-肌动蛋白st</w:t>
      </w:r>
    </w:p>
    <w:p>
      <w:pPr>
        <w:spacing w:before="0" w:after="200" w:lineRule="auto" w:line="276"/>
      </w:pPr>
      <w:r>
        <w:rPr>
          <w:b/>
        </w:rPr>
        <w:t xml:space="preserve">Abstract (EN): </w:t>
      </w:r>
      <w:r>
        <w:t>Voltage-gated proton channel Hv1/VSOP has long been regarded as a plasma membrane protein that modulates intracellular pH and membrane potential to support immune cell function. Here, we reveal an unexpected intracellular pool of Hv1 on endosomal membranes in microglia, where it orchestrates a reciprocal interplay between endosomal trafficking and the actin cytoskeleton. Combining endosome patch-clamp recordings with high-resolution imaging, we demonstrate that functional endosomal Hv1 forms tight and dynamic associations with F-actin. Genetic deletion of Hv1 markedly elongates actin filaments, a phenotype that appears to depend on intracellular rather than plasma membrane Hv1 activity. Heterologous expression of wild-type Hv1, but not a proton-non-conducting mutant, reduced the F-actin staining, indicating that the ion-conducting function is required for this regulation. Live-cell imaging reveals that Hv1-positive endosomes move in concert with F-actin networks and frequently engage with their terminal regions, suggesting that filament barbed ends are trapped at Hv1-positive endosomes. Proximity-labeling proteomics identifies the actin-capping protein CAPZ as a critical mediator of Hv1-dependent actin remodeling, and genetic ablation of CAPZ abolishes the actin phenotype in Hv1-deficient microglia. These findings uncover a previously unrecognized ion channel–cytoskeleton crosstalk that shapes endosomal function and microglial physiology, redefining the functional landscape of voltage-gated proton channels.</w:t>
      </w:r>
    </w:p>
    <w:p>
      <w:pPr>
        <w:spacing w:before="120" w:after="120"/>
      </w:pPr>
      <w:r>
        <w:rPr>
          <w:sz w:val="18"/>
        </w:rPr>
        <w:t>——————————————————————————————————————————————————————————————————————</w:t>
      </w:r>
    </w:p>
    <w:p>
      <w:pPr>
        <w:spacing w:before="160" w:after="40" w:line="240" w:lineRule="auto"/>
      </w:pPr>
      <w:r>
        <w:rPr>
          <w:b/>
        </w:rPr>
        <w:t xml:space="preserve">[111] </w:t>
      </w:r>
      <w:hyperlink r:id="rId378">
        <w:r>
          <w:rPr>
            <w:color w:val="1155CC"/>
            <w:u w:val="single"/>
          </w:rPr>
          <w:t>随着气候变暖，天气预报在减少死亡率方面变得更加重要</w:t>
        </w:r>
      </w:hyperlink>
    </w:p>
    <w:p>
      <w:pPr>
        <w:spacing w:before="0" w:after="80"/>
      </w:pPr>
      <w:r>
        <w:rPr>
          <w:i/>
          <w:sz w:val="20"/>
        </w:rPr>
        <w:t>EN: Weather forecasts become more important for reducing mortality as the climate warms</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79">
        <w:r>
          <w:rPr>
            <w:color w:val="1155CC"/>
            <w:u w:val="single"/>
          </w:rPr>
          <w:t>10.1073/pnas.2523372123</w:t>
        </w:r>
      </w:hyperlink>
    </w:p>
    <w:p>
      <w:pPr>
        <w:spacing w:before="0" w:after="120"/>
      </w:pPr>
      <w:r>
        <w:rPr>
          <w:b/>
        </w:rPr>
        <w:t xml:space="preserve">Notes: </w:t>
      </w:r>
      <w:r>
        <w:t>abstract_source=crossref</w:t>
      </w:r>
    </w:p>
    <w:p>
      <w:pPr>
        <w:spacing w:before="0" w:after="80" w:lineRule="auto" w:line="276"/>
      </w:pPr>
      <w:r>
        <w:rPr>
          <w:b/>
        </w:rPr>
        <w:t xml:space="preserve">摘要（ZH）: </w:t>
      </w:r>
      <w:r>
        <w:t>气候变化将增加极端高温的频率和严重性，这是与天气相关的死亡的主要原因。我们结合了温度预测准确性如何影响美国死亡率的因果估计与专家对未来一个世纪预测准确性变化的预测。我们的分析显示，按照专家的中心预测改善短期温度预测，到2100年将减少约18%的年度热相关死亡率，每年拯救数千人的生命。如果对地球观测网络和天气模型的投资使预测改善符合乐观的专家预测，到2100年年度热相关死亡率将下降约25%。改善预测有助于适应气候变化，在气候</w:t>
      </w:r>
    </w:p>
    <w:p>
      <w:pPr>
        <w:spacing w:before="0" w:after="200" w:lineRule="auto" w:line="276"/>
      </w:pPr>
      <w:r>
        <w:rPr>
          <w:b/>
        </w:rPr>
        <w:t xml:space="preserve">Abstract (EN): </w:t>
      </w:r>
      <w:r>
        <w:t>Climate change will increase the frequency and severity of extreme heat, which is a leading cause of weather-related mortality. We combine causal estimates of how temperature forecast accuracy affects mortality in the United States with expert projections of changes in forecast accuracy over the coming century. Our analysis shows that improving short-run temperature forecasts in line with central expert projections would reduce annual heat-related mortality by about 18% by 2100, saving thousands of lives per year. If investments in earth observation networks and weather models improve forecasts in line with optimistic expert projections, annual heat-related mortality would fall by around 25% by 2100. Improving forecasts facilitates adaptation to climate change, saving more lives when climate change is more severe.</w:t>
      </w:r>
    </w:p>
    <w:p>
      <w:pPr>
        <w:spacing w:before="120" w:after="120"/>
      </w:pPr>
      <w:r>
        <w:rPr>
          <w:sz w:val="18"/>
        </w:rPr>
        <w:t>——————————————————————————————————————————————————————————————————————</w:t>
      </w:r>
    </w:p>
    <w:p>
      <w:pPr>
        <w:spacing w:before="160" w:after="40" w:line="240" w:lineRule="auto"/>
      </w:pPr>
      <w:r>
        <w:rPr>
          <w:b/>
        </w:rPr>
        <w:t xml:space="preserve">[112] </w:t>
      </w:r>
      <w:hyperlink r:id="rId380">
        <w:r>
          <w:rPr>
            <w:color w:val="1155CC"/>
            <w:u w:val="single"/>
          </w:rPr>
          <w:t>硫酸化多糖通过重新编程内软骨化骨化的动脉化血管生成来拯救缺陷性骨坏死治疗</w:t>
        </w:r>
      </w:hyperlink>
    </w:p>
    <w:p>
      <w:pPr>
        <w:spacing w:before="0" w:after="80"/>
      </w:pPr>
      <w:r>
        <w:rPr>
          <w:i/>
          <w:sz w:val="20"/>
        </w:rPr>
        <w:t>EN: Sulfated polysaccharide reprograms arterialized angiogenesis of endochondral ossification to rescue defective osteonecrosis therapy</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81">
        <w:r>
          <w:rPr>
            <w:color w:val="1155CC"/>
            <w:u w:val="single"/>
          </w:rPr>
          <w:t>10.1073/pnas.2520755123</w:t>
        </w:r>
      </w:hyperlink>
    </w:p>
    <w:p>
      <w:pPr>
        <w:spacing w:before="0" w:after="120"/>
      </w:pPr>
      <w:r>
        <w:rPr>
          <w:b/>
        </w:rPr>
        <w:t xml:space="preserve">Notes: </w:t>
      </w:r>
      <w:r>
        <w:t>abstract_source=crossref</w:t>
      </w:r>
    </w:p>
    <w:p>
      <w:pPr>
        <w:spacing w:before="0" w:after="80" w:lineRule="auto" w:line="276"/>
      </w:pPr>
      <w:r>
        <w:rPr>
          <w:b/>
        </w:rPr>
        <w:t xml:space="preserve">摘要（ZH）: </w:t>
      </w:r>
      <w:r>
        <w:t>过量使用糖皮质激素会导致动脉受累并诱发骨坏死。传统的基于生物材料的直接血管化策略显示出有限的治疗效果，主要是由于新生血管的明显异质性和血管模式错误。在此，我们报告了一种半合成的硫酸化壳聚糖（SCS），当与骨形态发生蛋白-2（BMP-2）结合时，能够在退化的骨骼中快速重建动脉化血管（H型血管和小动脉），从而结合活跃的成骨祖细胞。SCS积极调节BMP-2诱导的肥大软骨细胞，这些细胞反过来分泌内源性血管内皮生长因子以介导动脉新生血管化。与其直接增强Smad1/5/8信号</w:t>
      </w:r>
    </w:p>
    <w:p>
      <w:pPr>
        <w:spacing w:before="0" w:after="200" w:lineRule="auto" w:line="276"/>
      </w:pPr>
      <w:r>
        <w:rPr>
          <w:b/>
        </w:rPr>
        <w:t xml:space="preserve">Abstract (EN): </w:t>
      </w:r>
      <w:r>
        <w:t>Excessive administration of glucocorticoids leads to arterial involvement and induces osteonecrosis. Conventional biomaterial-based strategies aimed at direct vascularization have shown limited therapeutic efficacy, primarily due to pronounced heterogeneity of neovasculature and vascular mispatterning. Here, we report a semisynthetic sulfated chitosan (SCS) that, when combined with bone morphogenetic protein-2 (BMP-2), rapidly reconstructs arterialized vasculature (type H vessels and arterioles) within the deteriorated bone, thereby coupling active osteoprogenitor cells. SCS positively regulates BMP-2-induced hypertrophic chondrocytes, which in turn secrete endogenous vascular endothelial growth factor to mediate arterial neovascularization. Instead of directly enhancing the Smad1/5/8 signaling pathway, SCS mitigates the intrinsic chronic inflammatory process of bone deterioration, preventing inflammatory factors from disrupting cartilage-to-bone transformation. In an osteonecrosis model, the synergistic effect of SCS and BMP-2 sustainably improved the femoral head’s internal circulation system, rather than merely delaying disease progression. Therefore, this bioactive polysaccharide combined with an osteogenic factor enables arterialized vascularization during endochondral ossification, representing a promising therapeutic strategy for the treatment of ischemia-associated bone homeostasis disruption.</w:t>
      </w:r>
    </w:p>
    <w:p>
      <w:pPr>
        <w:spacing w:before="120" w:after="120"/>
      </w:pPr>
      <w:r>
        <w:rPr>
          <w:sz w:val="18"/>
        </w:rPr>
        <w:t>——————————————————————————————————————————————————————————————————————</w:t>
      </w:r>
    </w:p>
    <w:p>
      <w:pPr>
        <w:spacing w:before="160" w:after="40" w:line="240" w:lineRule="auto"/>
      </w:pPr>
      <w:r>
        <w:rPr>
          <w:b/>
        </w:rPr>
        <w:t xml:space="preserve">[113] </w:t>
      </w:r>
      <w:hyperlink r:id="rId382">
        <w:r>
          <w:rPr>
            <w:color w:val="1155CC"/>
            <w:u w:val="single"/>
          </w:rPr>
          <w:t>古环境基因组揭示了全新世早期斯堪的纳维亚的一只迁徙棕熊个体</w:t>
        </w:r>
      </w:hyperlink>
    </w:p>
    <w:p>
      <w:pPr>
        <w:spacing w:before="0" w:after="80"/>
      </w:pPr>
      <w:r>
        <w:rPr>
          <w:i/>
          <w:sz w:val="20"/>
        </w:rPr>
        <w:t>EN: Ancient environmental genome reveals a migratory brown bear individual in Early Holocene Scandinavia</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83">
        <w:r>
          <w:rPr>
            <w:color w:val="1155CC"/>
            <w:u w:val="single"/>
          </w:rPr>
          <w:t>10.1073/pnas.2527944123</w:t>
        </w:r>
      </w:hyperlink>
    </w:p>
    <w:p>
      <w:pPr>
        <w:spacing w:before="0" w:after="120"/>
      </w:pPr>
      <w:r>
        <w:rPr>
          <w:b/>
        </w:rPr>
        <w:t xml:space="preserve">Notes: </w:t>
      </w:r>
      <w:r>
        <w:t>abstract_source=crossref</w:t>
      </w:r>
    </w:p>
    <w:p>
      <w:pPr>
        <w:spacing w:before="0" w:after="80" w:lineRule="auto" w:line="276"/>
      </w:pPr>
      <w:r>
        <w:rPr>
          <w:b/>
        </w:rPr>
        <w:t xml:space="preserve">摘要（ZH）: </w:t>
      </w:r>
      <w:r>
        <w:t>在最后一个冰河时期之后，物种迁移到新解冻的斯堪的纳维亚。棕熊的重新定居被认为是从两个方向发生的——从南部和东北部——导致两个不同线粒体谱系的非重叠分布。瑞典中部的接触区将南部的线粒体谱系1a种群与北部的谱系3a种群分开。然而，斯堪的纳维亚棕熊亚化石的稀缺限制了使用古代DNA测试这一普遍模型。在此，我们展示了从瑞典北部湖泊沉积物中提取的高覆盖率棕熊线粒体基因组（231×）和核基因组数据（0.05×），其年代为9.6校准千年BP，代表了该地区已知最古老的棕熊记录。在全新世早期的这一点</w:t>
      </w:r>
    </w:p>
    <w:p>
      <w:pPr>
        <w:spacing w:before="0" w:after="200" w:lineRule="auto" w:line="276"/>
      </w:pPr>
      <w:r>
        <w:rPr>
          <w:b/>
        </w:rPr>
        <w:t xml:space="preserve">Abstract (EN): </w:t>
      </w:r>
      <w:r>
        <w:t>After the last ice age, species migrated into a newly deglaciated Scandinavia. Brown bear recolonization is thought to have occurred from two directions—from the south and the northeast—resulting in a nonoverlapping distribution of two distinct mitochondrial clades. A contact zone in central Sweden separates populations with mitochondrial clade 1a in the south from those with clade 3a in the north. However, a paucity of brown bear subfossils in Scandinavia has limited testing of this prevailing model using ancient DNA. Here, we present a high-coverage brown bear mitogenome (231×) and nuclear genome-wide data (0.05×) extracted from lake sediment dated to 9.6 cal. ka BP from northern Sweden, representing the oldest known record of brown bear in the region. At this point in the Early Holocene, the Fennoscandian Ice Sheet was in its final stages of recession. Surprisingly, our analyses suggest that this environmental genome represents one male individual carrying clade 1a and with southern brown bear nuclear ancestry, despite being found far north of the contact zone. This suggests the individual was a migratory bear and had dispersed northward from its birthplace. Our finding adds to the scarce genomic record of Early Holocene brown bears and highlights the use of sedimentary ancient DNA as a powerful source of genomic information.</w:t>
      </w:r>
    </w:p>
    <w:p>
      <w:pPr>
        <w:spacing w:before="120" w:after="120"/>
      </w:pPr>
      <w:r>
        <w:rPr>
          <w:sz w:val="18"/>
        </w:rPr>
        <w:t>——————————————————————————————————————————————————————————————————————</w:t>
      </w:r>
    </w:p>
    <w:p>
      <w:pPr>
        <w:spacing w:before="160" w:after="40" w:line="240" w:lineRule="auto"/>
      </w:pPr>
      <w:r>
        <w:rPr>
          <w:b/>
        </w:rPr>
        <w:t xml:space="preserve">[114] </w:t>
      </w:r>
      <w:hyperlink r:id="rId384">
        <w:r>
          <w:rPr>
            <w:color w:val="1155CC"/>
            <w:u w:val="single"/>
          </w:rPr>
          <w:t>玻璃态界面通过增强应变下的体积膨胀来增强弹性纳米复合材料</w:t>
        </w:r>
      </w:hyperlink>
    </w:p>
    <w:p>
      <w:pPr>
        <w:spacing w:before="0" w:after="80"/>
      </w:pPr>
      <w:r>
        <w:rPr>
          <w:i/>
          <w:sz w:val="20"/>
        </w:rPr>
        <w:t>EN: Glassy interphases reinforce elastomeric nanocomposites by enhancing volume expansion under strain</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85">
        <w:r>
          <w:rPr>
            <w:color w:val="1155CC"/>
            <w:u w:val="single"/>
          </w:rPr>
          <w:t>10.1073/pnas.2528108123</w:t>
        </w:r>
      </w:hyperlink>
    </w:p>
    <w:p>
      <w:pPr>
        <w:spacing w:before="0" w:after="120"/>
      </w:pPr>
      <w:r>
        <w:rPr>
          <w:b/>
        </w:rPr>
        <w:t xml:space="preserve">Notes: </w:t>
      </w:r>
      <w:r>
        <w:t>abstract_source=crossref</w:t>
      </w:r>
    </w:p>
    <w:p>
      <w:pPr>
        <w:spacing w:before="0" w:after="80" w:lineRule="auto" w:line="276"/>
      </w:pPr>
      <w:r>
        <w:rPr>
          <w:b/>
        </w:rPr>
        <w:t xml:space="preserve">摘要（ZH）: </w:t>
      </w:r>
      <w:r>
        <w:t>近一个世纪以来，向弹性体中引入纳米颗粒产生了极其坚韧的纳米复合材料，这对于从执行器到轮胎的技术至关重要。然而，这种增强发生的机制仍然是材料科学中的一个核心未解之谜。一种广泛争论的假设认为，聚合物与颗粒之间的强相互作用会诱导“玻璃桥”，将颗粒粘结成一个抵抗伸长的粘合渗透网络。在此，分子动力学模拟表明，玻璃颗粒壳并不主要提供伸长粘合。相反，它们放大了一种潜在机制，其中填料和弹性体网络之间的竞争导致弹性体在变形时体积增加。这导致贡献</w:t>
      </w:r>
    </w:p>
    <w:p>
      <w:pPr>
        <w:spacing w:before="0" w:after="200" w:lineRule="auto" w:line="276"/>
      </w:pPr>
      <w:r>
        <w:rPr>
          <w:b/>
        </w:rPr>
        <w:t xml:space="preserve">Abstract (EN): </w:t>
      </w:r>
      <w:r>
        <w:t>For nearly a century, introduction of nanoparticles to elastomers has yielded extraordinarily tough nanocomposites that are critical to technologies from actuators to tires. The mechanisms by which this reinforcement occurs have nevertheless remained a central open question in material science. One widely debated hypothesis posits that strong interactions between polymer and particles induce “glassy bridges” that cement particles into a cohesive percolating network that resists elongation. Here, molecular dynamics simulations show that glassy particle shells do not primarily provide elongational cohesion. Instead, they amplify an underlying mechanism wherein competition between filler and elastomer networks causes the elastomer’s volume to increase on deformation. This induces contributions from the elastomer’s bulk modulus, which is of order 1,000 times larger than its Young’s modulus. These findings establish a unified understanding of low-strain reinforcement in filled elastomers as emanating from volumetric competition between coexisting particulate and elastomeric networks. This reframes and unifies our understanding of low-strain reinforcement, provides a clear-cut diagnostic for the presence of glassy bridging, and offers a design principle for tough elastomeric nanocomposites.</w:t>
      </w:r>
    </w:p>
    <w:p>
      <w:pPr>
        <w:spacing w:before="120" w:after="120"/>
      </w:pPr>
      <w:r>
        <w:rPr>
          <w:sz w:val="18"/>
        </w:rPr>
        <w:t>——————————————————————————————————————————————————————————————————————</w:t>
      </w:r>
    </w:p>
    <w:p>
      <w:pPr>
        <w:spacing w:before="160" w:after="40" w:line="240" w:lineRule="auto"/>
      </w:pPr>
      <w:r>
        <w:rPr>
          <w:b/>
        </w:rPr>
        <w:t xml:space="preserve">[115] </w:t>
      </w:r>
      <w:hyperlink r:id="rId386">
        <w:r>
          <w:rPr>
            <w:color w:val="1155CC"/>
            <w:u w:val="single"/>
          </w:rPr>
          <w:t>飓风过后树木的生长反映了干扰前的活力而非树冠损伤</w:t>
        </w:r>
      </w:hyperlink>
    </w:p>
    <w:p>
      <w:pPr>
        <w:spacing w:before="0" w:after="80"/>
      </w:pPr>
      <w:r>
        <w:rPr>
          <w:i/>
          <w:sz w:val="20"/>
        </w:rPr>
        <w:t>EN: Tree growth after a major hurricane reflects predisturbance vigor rather than canopy damage</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87">
        <w:r>
          <w:rPr>
            <w:color w:val="1155CC"/>
            <w:u w:val="single"/>
          </w:rPr>
          <w:t>10.1073/pnas.2532451123</w:t>
        </w:r>
      </w:hyperlink>
    </w:p>
    <w:p>
      <w:pPr>
        <w:spacing w:before="0" w:after="120"/>
      </w:pPr>
      <w:r>
        <w:rPr>
          <w:b/>
        </w:rPr>
        <w:t xml:space="preserve">Notes: </w:t>
      </w:r>
      <w:r>
        <w:t>abstract_source=crossref</w:t>
      </w:r>
    </w:p>
    <w:p>
      <w:pPr>
        <w:spacing w:before="0" w:after="80" w:lineRule="auto" w:line="276"/>
      </w:pPr>
      <w:r>
        <w:rPr>
          <w:b/>
        </w:rPr>
        <w:t xml:space="preserve">摘要（ZH）: </w:t>
      </w:r>
      <w:r>
        <w:t>来自干扰事件的树冠损伤强烈影响森林人口统计学，但其对树干生长的影响仍然量化不足，报告中有正面和负面影响。飓风提供了一个强大的自然实验来研究这些动态，在个体和森林群落中产生了广泛的结构性损伤。在这里，我们通过结合机载LiDAR与1,082棵树的现场测量，评估了2017年飓风玛丽亚对波多黎各湿润亚热带森林中风暴后树干生长的影响。与以往的研究不同，成对的飓风前后LiDAR评估使我们能够将树冠损伤量化为整个树冠的连续、客观变量。使用因果推断框架，我们将个体层面与邻域层面的影响分开。</w:t>
      </w:r>
    </w:p>
    <w:p>
      <w:pPr>
        <w:spacing w:before="0" w:after="200" w:lineRule="auto" w:line="276"/>
      </w:pPr>
      <w:r>
        <w:rPr>
          <w:b/>
        </w:rPr>
        <w:t xml:space="preserve">Abstract (EN): </w:t>
      </w:r>
      <w:r>
        <w:t>Tree crown damage from disturbance events strongly influences forest demography, yet its effect on stem growth remains poorly quantified, with both positive and negative impacts reported. Hurricanes provide a powerful natural experiment to examine these dynamics, generating a broad range of structural damage across individuals and forest stands. Here we assess how crown damage from Hurricane María (2017) affected poststorm stem growth in a wet subtropical forest in Puerto Rico by combining airborne LiDAR with field measurements for 1,082 trees. Unlike previous studies, paired pre- and posthurricane LiDAR assessment enabled us to quantify crown damage as a continuous, objective variable across the canopy. Using a causal inference framework, we separated individual- from neighborhood-level effects, defined as the damage that occurred within a 5 m radius of each tree. Repeated stem growth censuses allowed direct comparison of individual growth responses before and after the hurricane. Across the community, posthurricane stem growth rates were similar to prehurricane values. Larger and more heavily damaged trees exhibited moderately reduced growth, while neighborhood crown damage and mortality had no detectable effect. However, these damage effects were smaller than the influence of prehurricane growth rates, indicating that prehurricane individual vigor outweighed biomass loss and competitive release in shaping growth responses. These findings highlight the resilience of surviving trees in sustaining carbon uptake after a severe disturbance and challenge the assumption of strong postdamage growth suppression that is embedded in dynamic vegetation models.</w:t>
      </w:r>
    </w:p>
    <w:p>
      <w:pPr>
        <w:spacing w:before="120" w:after="120"/>
      </w:pPr>
      <w:r>
        <w:rPr>
          <w:sz w:val="18"/>
        </w:rPr>
        <w:t>——————————————————————————————————————————————————————————————————————</w:t>
      </w:r>
    </w:p>
    <w:p>
      <w:pPr>
        <w:spacing w:before="160" w:after="40" w:line="240" w:lineRule="auto"/>
      </w:pPr>
      <w:r>
        <w:rPr>
          <w:b/>
        </w:rPr>
        <w:t xml:space="preserve">[116] </w:t>
      </w:r>
      <w:hyperlink r:id="rId388">
        <w:r>
          <w:rPr>
            <w:color w:val="1155CC"/>
            <w:u w:val="single"/>
          </w:rPr>
          <w:t>基于空间的全球城市甲烷排放增加观测（2019-2023）</w:t>
        </w:r>
      </w:hyperlink>
    </w:p>
    <w:p>
      <w:pPr>
        <w:spacing w:before="0" w:after="80"/>
      </w:pPr>
      <w:r>
        <w:rPr>
          <w:i/>
          <w:sz w:val="20"/>
        </w:rPr>
        <w:t>EN: Space-based observation of global increase in urban methane emissions from 2019–2023</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89">
        <w:r>
          <w:rPr>
            <w:color w:val="1155CC"/>
            <w:u w:val="single"/>
          </w:rPr>
          <w:t>10.1073/pnas.2504211123</w:t>
        </w:r>
      </w:hyperlink>
    </w:p>
    <w:p>
      <w:pPr>
        <w:spacing w:before="0" w:after="120"/>
      </w:pPr>
      <w:r>
        <w:rPr>
          <w:b/>
        </w:rPr>
        <w:t xml:space="preserve">Notes: </w:t>
      </w:r>
      <w:r>
        <w:t>abstract_source=crossref</w:t>
      </w:r>
    </w:p>
    <w:p>
      <w:pPr>
        <w:spacing w:before="0" w:after="80" w:lineRule="auto" w:line="276"/>
      </w:pPr>
      <w:r>
        <w:rPr>
          <w:b/>
        </w:rPr>
        <w:t xml:space="preserve">摘要（ZH）: </w:t>
      </w:r>
      <w:r>
        <w:t>世界各地的城市联合起来形成联盟，如C40网络，以追求雄心勃勃的气候目标。这些努力通常包括减少甲烷排放。然而，城市甲烷排放的来源和规模尚不清楚，目前没有评估减排措施实施的方法。在这里，我们通过使用TROPOspheric Monitoring Instrument卫星仪器的甲烷和一氧化碳的空间观测，填补了这一观测空白。我们测量了92个全球城市的甲烷排放，包括其更广泛的大都市区，并发现2023年的总排放量为31.2 Tg CH</w:t>
      </w:r>
      <w:r>
        <w:rPr>
          <w:vertAlign w:val="subscript"/>
        </w:rPr>
        <w:t>4</w:t>
      </w:r>
      <w:r>
        <w:t>/y（95%CI：22.3, 40.4 Tg CH</w:t>
      </w:r>
      <w:r>
        <w:rPr>
          <w:vertAlign w:val="subscript"/>
        </w:rPr>
        <w:t>4</w:t>
      </w:r>
      <w:r>
        <w:t>/y）。</w:t>
      </w:r>
    </w:p>
    <w:p>
      <w:pPr>
        <w:spacing w:before="0" w:after="200" w:lineRule="auto" w:line="276"/>
      </w:pPr>
      <w:r>
        <w:rPr>
          <w:b/>
        </w:rPr>
        <w:t xml:space="preserve">Abstract (EN): </w:t>
      </w:r>
      <w:r>
        <w:t>Cities around the world have united to form coalitions, like the C40 network, in pursuit of ambitious climate goals. These efforts often include reducing methane emissions. However, sources and magnitudes of urban methane emissions are not well known, and there is not currently a method to evaluate implementation of mitigation measures. Here, we fill this observational gap with a tracer–tracer approach using space-based observations of methane and carbon monoxide from the TROPOspheric Monitoring Instrument satellite instrument. We measure methane emissions of 92 global cities, including their broader metropolitan area, and find aggregate emissions of 31.2 Tg CH</w:t>
      </w:r>
      <w:r>
        <w:rPr>
          <w:vertAlign w:val="subscript"/>
        </w:rPr>
        <w:t>4</w:t>
      </w:r>
      <w:r>
        <w:t>/y (95%CI: 22.3, 40.4 Tg CH</w:t>
      </w:r>
      <w:r>
        <w:rPr>
          <w:vertAlign w:val="subscript"/>
        </w:rPr>
        <w:t>4</w:t>
      </w:r>
      <w:r>
        <w:t>/y) in 2023, equivalent to</w:t>
      </w:r>
      <w:r>
        <w:t xml:space="preserve"> </w:t>
      </w:r>
      <w:r>
        <w:t>∼</w:t>
      </w:r>
      <w:r>
        <w:t xml:space="preserve"> </w:t>
      </w:r>
      <w:r>
        <w:t>10% of the global anthropogenic methane budget. We track emissions for 72 of these cities (51 C40 cities and 21 non-C40 cities) from 2019–2023. Methane emissions from these cities weakly declined in 2020 followed by steady growth, with a 2.3 Tg aggregate increase over 4 y. This growth contributes minimally to the recent atmospheric methane surge. While C40 cities have largely pledged 34% reductions by 2030, we observe significant growth from 2020 to 2023 (10%, 95%CI: 2%, 17%), similar to growth observed in non-C40 cities (12%, 95%CI:</w:t>
      </w:r>
      <w:r>
        <w:t xml:space="preserve"> </w:t>
      </w:r>
      <w:r>
        <w:t>−</w:t>
      </w:r>
      <w:r>
        <w:t xml:space="preserve"> </w:t>
      </w:r>
      <w:r>
        <w:t>1.5%, 25%). Inventories fail to capture observed growth, suggesting urban emissions are not well characterized, and mitigation approaches may not be optimally designed. For the C40 network to achieve its methane target (34% by 2030), steep, rapid reductions will be needed. Emission reductions of this magnitude would be detectable with the space-based approach used in this work.</w:t>
      </w:r>
    </w:p>
    <w:p>
      <w:pPr>
        <w:spacing w:before="120" w:after="120"/>
      </w:pPr>
      <w:r>
        <w:rPr>
          <w:sz w:val="18"/>
        </w:rPr>
        <w:t>——————————————————————————————————————————————————————————————————————</w:t>
      </w:r>
    </w:p>
    <w:p>
      <w:pPr>
        <w:spacing w:before="160" w:after="40" w:line="240" w:lineRule="auto"/>
      </w:pPr>
      <w:r>
        <w:rPr>
          <w:b/>
        </w:rPr>
        <w:t xml:space="preserve">[117] </w:t>
      </w:r>
      <w:hyperlink r:id="rId390">
        <w:r>
          <w:rPr>
            <w:color w:val="1155CC"/>
            <w:u w:val="single"/>
          </w:rPr>
          <w:t>工业化增加肠道微生物群的雌激素循环能力</w:t>
        </w:r>
      </w:hyperlink>
    </w:p>
    <w:p>
      <w:pPr>
        <w:spacing w:before="0" w:after="80"/>
      </w:pPr>
      <w:r>
        <w:rPr>
          <w:i/>
          <w:sz w:val="20"/>
        </w:rPr>
        <w:t>EN: Industrialization increases the estrogen-recycling capacity of the gut microbiome</w:t>
      </w:r>
    </w:p>
    <w:p>
      <w:pPr>
        <w:spacing w:before="0" w:after="120"/>
      </w:pPr>
      <w:r>
        <w:rPr>
          <w:b/>
        </w:rPr>
        <w:t xml:space="preserve">Source: </w:t>
      </w:r>
      <w:r>
        <w:t>Proceedings of the National Academy of Sciences: Keyword search for query</w:t>
      </w:r>
      <w:r>
        <w:t xml:space="preserve">    </w:t>
      </w:r>
      <w:r>
        <w:rPr>
          <w:b/>
        </w:rPr>
        <w:t xml:space="preserve">Pub date: </w:t>
      </w:r>
      <w:r>
        <w:t>2026-04-13 07:00:00+00:00</w:t>
      </w:r>
      <w:r>
        <w:t xml:space="preserve">    </w:t>
      </w:r>
      <w:r>
        <w:rPr>
          <w:b/>
        </w:rPr>
        <w:t xml:space="preserve">DOI: </w:t>
      </w:r>
      <w:hyperlink r:id="rId391">
        <w:r>
          <w:rPr>
            <w:color w:val="1155CC"/>
            <w:u w:val="single"/>
          </w:rPr>
          <w:t>10.1073/pnas.2523589123</w:t>
        </w:r>
      </w:hyperlink>
    </w:p>
    <w:p>
      <w:pPr>
        <w:spacing w:before="0" w:after="120"/>
      </w:pPr>
      <w:r>
        <w:rPr>
          <w:b/>
        </w:rPr>
        <w:t xml:space="preserve">Notes: </w:t>
      </w:r>
      <w:r>
        <w:t>abstract_source=crossref</w:t>
      </w:r>
    </w:p>
    <w:p>
      <w:pPr>
        <w:spacing w:before="0" w:after="80" w:lineRule="auto" w:line="276"/>
      </w:pPr>
      <w:r>
        <w:rPr>
          <w:b/>
        </w:rPr>
        <w:t xml:space="preserve">摘要（ZH）: </w:t>
      </w:r>
      <w:r>
        <w:t>雌激素影响人类生理和健康的许多方面，包括生育、成长、代谢功能和疾病易感性。多达65%的循环雌激素通过胆汁排泄到肠道中，但只有10-15%通过粪便排出，表明雌激素的再吸收相当显著[H. Adlercreutz 和 P. Järvenpää,</w:t>
      </w:r>
      <w:r>
        <w:t xml:space="preserve"> </w:t>
      </w:r>
      <w:r>
        <w:t>J. Steroid Biochem.</w:t>
      </w:r>
      <w:r>
        <w:rPr>
          <w:vertAlign w:val="subscript"/>
        </w:rPr>
        <w:t>17</w:t>
      </w:r>
      <w:r>
        <w:t>, 639–645 (1982); A. A. Sandberg 和 W. R. Slaunwhite,</w:t>
      </w:r>
      <w:r>
        <w:t xml:space="preserve"> </w:t>
      </w:r>
      <w:r>
        <w:t>J. Clin. Investig.</w:t>
      </w:r>
      <w:r>
        <w:rPr>
          <w:vertAlign w:val="subscript"/>
        </w:rPr>
        <w:t>36</w:t>
      </w:r>
      <w:r>
        <w:t>, 1266–1278 (1957)]。这种雌激素循环由肠道雌激素群体实现，这是一组在胃肠道中去结合结合雌激素的微生物，促进其重新吸收到全身循环中[C. S. Plottel 和</w:t>
      </w:r>
    </w:p>
    <w:p>
      <w:pPr>
        <w:spacing w:before="0" w:after="200" w:lineRule="auto" w:line="276"/>
      </w:pPr>
      <w:r>
        <w:rPr>
          <w:b/>
        </w:rPr>
        <w:t xml:space="preserve">Abstract (EN): </w:t>
      </w:r>
      <w:r>
        <w:t>Estrogens influence many aspects of human physiology and health, including fertility, growth, metabolic function, and susceptibility to disease. Up to 65% of circulating estrogens are excreted into the gut via bile, but only 10-15% are eliminated in feces, indicating substantial estrogen reabsorption [H. Adlercreutz and P. Järvenpää,</w:t>
      </w:r>
      <w:r>
        <w:t xml:space="preserve"> </w:t>
      </w:r>
      <w:r>
        <w:t>J. Steroid Biochem.</w:t>
      </w:r>
      <w:r>
        <w:rPr>
          <w:vertAlign w:val="subscript"/>
        </w:rPr>
        <w:t>17</w:t>
      </w:r>
      <w:r>
        <w:t>, 639–645 (1982); A. A. Sandberg and W. R. Slaunwhite,</w:t>
      </w:r>
      <w:r>
        <w:t xml:space="preserve"> </w:t>
      </w:r>
      <w:r>
        <w:t>J. Clin. Investig.</w:t>
      </w:r>
      <w:r>
        <w:rPr>
          <w:vertAlign w:val="subscript"/>
        </w:rPr>
        <w:t>36</w:t>
      </w:r>
      <w:r>
        <w:t>, 1266–1278 (1957)]. This estrogen recycling is enabled by the gut estrobolome, a subset of microbes that deconjugate conjugated estrogens in the gastrointestinal tract, facilitating their reabsorption into systemic circulation [C. S. Plottel and M. J. Blaser,</w:t>
      </w:r>
      <w:r>
        <w:t xml:space="preserve"> </w:t>
      </w:r>
      <w:r>
        <w:t>Cell Host Microbe</w:t>
      </w:r>
      <w:r>
        <w:rPr>
          <w:vertAlign w:val="subscript"/>
        </w:rPr>
        <w:t>10</w:t>
      </w:r>
      <w:r>
        <w:t>, 324–335 (2011)]. To date, it is not known if populations differ in this microbial function, and little is known about its determinants. Here we analyze estrobolomes using publicly available gut microbiome data from 24 populations spanning four continents and subsistence modes ranging from hunting and gathering to pastoralism, rural farming, and industrialized agriculture. We show that industrialized populations exhibit up to seven times greater estrogen-recycling capacity and nearly twofold higher estrobolome diversity compared with nonindustrial groups. We further find that formula-fed infants display two- to threefold higher recycling capacity and as much as eleven times greater estrobolome diversity than breastfed counterparts, revealing early-life divergence in microbial estrogen metabolism. By contrast, sex, age, and BMI are not associated with estrobolome characteristics. These findings demonstrate the crucial impact of industrialized lifestyles, including formula feeding, on the microbial capacity to influence systemic estrogen levels, with implications for life history, reproductive biology, and estrogen-associated diseases, including cancer.</w:t>
      </w:r>
    </w:p>
    <w:p>
      <w:pPr>
        <w:spacing w:before="120" w:after="120"/>
      </w:pPr>
      <w:r>
        <w:rPr>
          <w:sz w:val="18"/>
        </w:rPr>
        <w:t>——————————————————————————————————————————————————————————————————————</w:t>
      </w:r>
    </w:p>
    <w:p>
      <w:pPr>
        <w:spacing w:before="160" w:after="40" w:line="240" w:lineRule="auto"/>
      </w:pPr>
      <w:r>
        <w:rPr>
          <w:b/>
        </w:rPr>
        <w:t xml:space="preserve">[118] </w:t>
      </w:r>
      <w:hyperlink r:id="rId392">
        <w:r>
          <w:rPr>
            <w:color w:val="1155CC"/>
            <w:u w:val="single"/>
          </w:rPr>
          <w:t>[ASAP] 局部构象限制和偶极工程用于相位匹配的太阳盲紫外非线性光学晶体</w:t>
        </w:r>
      </w:hyperlink>
    </w:p>
    <w:p>
      <w:pPr>
        <w:spacing w:before="0" w:after="80"/>
      </w:pPr>
      <w:r>
        <w:rPr>
          <w:i/>
          <w:sz w:val="20"/>
        </w:rPr>
        <w:t>EN: [ASAP] Local Conformational Confinement and Dipole Engineering for Phase-Matchable Solar-Blind Ultraviolet Nonlinear Optical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2026-04-13 10:42:36+00:00</w:t>
      </w:r>
      <w:r>
        <w:t xml:space="preserve">    </w:t>
      </w:r>
      <w:r>
        <w:rPr>
          <w:b/>
        </w:rPr>
        <w:t xml:space="preserve">DOI: </w:t>
      </w:r>
      <w:hyperlink r:id="rId393">
        <w:r>
          <w:rPr>
            <w:color w:val="1155CC"/>
            <w:u w:val="single"/>
          </w:rPr>
          <w:t>10.1021/jacs.6c05196</w:t>
        </w:r>
      </w:hyperlink>
    </w:p>
    <w:p>
      <w:pPr>
        <w:spacing w:before="0" w:after="120"/>
      </w:pPr>
      <w:r>
        <w:rPr>
          <w:b/>
        </w:rPr>
        <w:t xml:space="preserve">Notes: </w:t>
      </w:r>
      <w:r>
        <w:t>abstract_source=pubmed</w:t>
      </w:r>
    </w:p>
    <w:p>
      <w:pPr>
        <w:spacing w:before="0" w:after="80" w:lineRule="auto" w:line="276"/>
      </w:pPr>
      <w:r>
        <w:rPr>
          <w:b/>
        </w:rPr>
        <w:t xml:space="preserve">摘要（ZH）: </w:t>
      </w:r>
      <w:r>
        <w:t>设计太阳盲紫外非线性光学晶体很困难，因为有效的频率转换需要同时实现非中心对称性、相位匹配的双折射和足够宽的带隙。在此，我们引入了一种局部构象限制策略，将柔性丙二酸酯转化为螯合的[C3H2O4BFR]-（R = F, Me, CF3）发色团，其中一个六元环固定了两个羧酸盐π共轭单元的相对取向。这种几何锁定增强了极化率各向异性和微观超极化率，而不牺牲带隙。同时，硼结合的R位的取代调节了阴离子功能单元的基态偶极矩，抑制了反平行偶极堆积并促进了非</w:t>
      </w:r>
    </w:p>
    <w:p>
      <w:pPr>
        <w:spacing w:before="0" w:after="200" w:lineRule="auto" w:line="276"/>
      </w:pPr>
      <w:r>
        <w:rPr>
          <w:b/>
        </w:rPr>
        <w:t xml:space="preserve">Abstract (EN): </w:t>
      </w:r>
      <w:r>
        <w:t>Solar-blind ultraviolet nonlinear optical crystals are difficult to design because efficient frequency conversion requires the simultaneous realization of noncentrosymmetry, phase-matchable birefringence, and a sufficiently wide band gap. Here, we introduce a local conformational-confinement strategy that transforms flexible malonate into chelated [C3H2O4BFR]- (R = F, Me, CF3) chromophores, in which a six-membered ring fixes the relative orientation of two carboxylate π-conjugated units. This geometric locking enhances polarizability anisotropy and microscopic hyperpolarizability without sacrificing the band gap. In parallel, substitution at the boron-bound R site tunes the ground-state dipole moment of the anionic functional unit, suppressing antiparallel dipole packing and promoting noncentrosymmetric crystallization. Guided by this dual design principle, we obtained NaMaBFMe, which combines a UV cutoff edge near 220 nm, birefringence of 0.131 at 1064 nm, a phase-matchable SHG response of 2.4 × KDP, and a laser-induced damage threshold of 1.258 GW·cm-2. These results establish conformational locking coupled with dipole engineering as a general route to high-performance solar-blind UV NLO crystals.</w:t>
      </w:r>
    </w:p>
    <w:p>
      <w:pPr>
        <w:spacing w:before="120" w:after="120"/>
      </w:pPr>
      <w:r>
        <w:rPr>
          <w:sz w:val="18"/>
        </w:rPr>
        <w:t>——————————————————————————————————————————————————————————————————————</w:t>
      </w:r>
    </w:p>
    <w:p>
      <w:pPr>
        <w:spacing w:before="160" w:after="40" w:line="240" w:lineRule="auto"/>
      </w:pPr>
      <w:r>
        <w:rPr>
          <w:b/>
        </w:rPr>
        <w:t xml:space="preserve">[119] </w:t>
      </w:r>
      <w:hyperlink r:id="rId394">
        <w:r>
          <w:rPr>
            <w:color w:val="1155CC"/>
            <w:u w:val="single"/>
          </w:rPr>
          <w:t>具有下颌血管单元模拟的二原子Mn/Ca纳米酶用于骨放射性坏死的三重酶协同治疗（Adv. Mater. 21/2026）</w:t>
        </w:r>
      </w:hyperlink>
    </w:p>
    <w:p>
      <w:pPr>
        <w:spacing w:before="0" w:after="80"/>
      </w:pPr>
      <w:r>
        <w:rPr>
          <w:i/>
          <w:sz w:val="20"/>
        </w:rPr>
        <w:t>EN: Diatomic Mn/Ca Nanozymes with Jaw Vascular Unit Mimicry for Triple‐Enzyme Synergistic Therapy of Osteoradionecrosis (Adv. Mater. 21/2026)</w:t>
      </w:r>
    </w:p>
    <w:p>
      <w:pPr>
        <w:spacing w:before="0" w:after="120"/>
      </w:pPr>
      <w:r>
        <w:rPr>
          <w:b/>
        </w:rPr>
        <w:t xml:space="preserve">Source: </w:t>
      </w:r>
      <w:r>
        <w:t>Wiley: Advanced Materials: Table of Contents</w:t>
      </w:r>
      <w:r>
        <w:t xml:space="preserve">    </w:t>
      </w:r>
      <w:r>
        <w:rPr>
          <w:b/>
        </w:rPr>
        <w:t xml:space="preserve">Pub date: </w:t>
      </w:r>
      <w:r>
        <w:t>2026-04-13 11:15:17+00:00</w:t>
      </w:r>
      <w:r>
        <w:t xml:space="preserve">    </w:t>
      </w:r>
      <w:r>
        <w:rPr>
          <w:b/>
        </w:rPr>
        <w:t xml:space="preserve">DOI: </w:t>
      </w:r>
      <w:hyperlink r:id="rId395">
        <w:r>
          <w:rPr>
            <w:color w:val="1155CC"/>
            <w:u w:val="single"/>
          </w:rPr>
          <w:t>10.1002/adma.72956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396">
        <w:r>
          <w:rPr>
            <w:color w:val="1155CC"/>
            <w:u w:val="single"/>
          </w:rPr>
          <w:t>自适应扭曲超材料（Adv. Mater. 21/2026）</w:t>
        </w:r>
      </w:hyperlink>
    </w:p>
    <w:p>
      <w:pPr>
        <w:spacing w:before="0" w:after="80"/>
      </w:pPr>
      <w:r>
        <w:rPr>
          <w:i/>
          <w:sz w:val="20"/>
        </w:rPr>
        <w:t>EN: Adaptive Twisting Metamaterials (Adv. Mater. 21/2026)</w:t>
      </w:r>
    </w:p>
    <w:p>
      <w:pPr>
        <w:spacing w:before="0" w:after="120"/>
      </w:pPr>
      <w:r>
        <w:rPr>
          <w:b/>
        </w:rPr>
        <w:t xml:space="preserve">Source: </w:t>
      </w:r>
      <w:r>
        <w:t>Wiley: Advanced Materials: Table of Contents</w:t>
      </w:r>
      <w:r>
        <w:t xml:space="preserve">    </w:t>
      </w:r>
      <w:r>
        <w:rPr>
          <w:b/>
        </w:rPr>
        <w:t xml:space="preserve">Pub date: </w:t>
      </w:r>
      <w:r>
        <w:t>2026-04-13 11:15:17+00:00</w:t>
      </w:r>
      <w:r>
        <w:t xml:space="preserve">    </w:t>
      </w:r>
      <w:r>
        <w:rPr>
          <w:b/>
        </w:rPr>
        <w:t xml:space="preserve">DOI: </w:t>
      </w:r>
      <w:hyperlink r:id="rId397">
        <w:r>
          <w:rPr>
            <w:color w:val="1155CC"/>
            <w:u w:val="single"/>
          </w:rPr>
          <w:t>10.1002/adma.72953</w:t>
        </w:r>
      </w:hyperlink>
    </w:p>
    <w:p>
      <w:pPr>
        <w:spacing w:before="0" w:after="120"/>
      </w:pPr>
      <w:r>
        <w:rPr>
          <w:b/>
        </w:rPr>
        <w:t xml:space="preserve">Notes: </w:t>
      </w:r>
      <w:r>
        <w:t>abstract_source=openalex</w:t>
      </w:r>
    </w:p>
    <w:p>
      <w:pPr>
        <w:spacing w:before="0" w:after="80" w:lineRule="auto" w:line="276"/>
      </w:pPr>
      <w:r>
        <w:rPr>
          <w:b/>
        </w:rPr>
        <w:t xml:space="preserve">摘要（ZH）: </w:t>
      </w:r>
      <w:r>
        <w:t>自适应扭转超材料 扭转超材料在结构化晶格中解锁按需机械适应性。通过控制扭转，螺旋结构实现可调节的刚度、崩溃应力和能量吸收。结合多尺度建模、增材制造和实验，该平台实现实时冲击缓解，为汽车、航空航天、铁路和国防应用中的下一代能量吸收系统提供多功能策略。更多详情请参见Mattia Utzeri、Shanmugam Kumar及其合作者的研究文章（DOI: 10.1002/adma.202513714）。</w:t>
      </w:r>
    </w:p>
    <w:p>
      <w:pPr>
        <w:spacing w:before="0" w:after="200" w:lineRule="auto" w:line="276"/>
      </w:pPr>
      <w:r>
        <w:rPr>
          <w:b/>
        </w:rPr>
        <w:t xml:space="preserve">Abstract (EN): </w:t>
      </w:r>
      <w:r>
        <w:t>Adaptive Twisting Metamaterials Twisting metamaterials unlock on-demand mechanical adaptivity in architected lattices. Through controlled torsion, gyroid structures achieve tuneable stiffness, collapse stress, and energy absorption. Combining multiscale modelling, additive manufacturing, and experiments, this platform enables real-time impact mitigation, offering a versatile strategy for next-generation energy-absorbing systems across automotive, aerospace, rail, and defence applications. More details can be found in the Research Article by Mattia Utzeri, Shanmugam Kumar, and co-workers (DOI: 10.1002/adma.202513714).</w:t>
      </w:r>
    </w:p>
    <w:p>
      <w:pPr>
        <w:spacing w:before="120" w:after="120"/>
      </w:pPr>
      <w:r>
        <w:rPr>
          <w:sz w:val="18"/>
        </w:rPr>
        <w:t>——————————————————————————————————————————————————————————————————————</w:t>
      </w:r>
    </w:p>
    <w:p>
      <w:pPr>
        <w:spacing w:before="160" w:after="40" w:line="240" w:lineRule="auto"/>
      </w:pPr>
      <w:r>
        <w:rPr>
          <w:b/>
        </w:rPr>
        <w:t xml:space="preserve">[121] </w:t>
      </w:r>
      <w:hyperlink r:id="rId398">
        <w:r>
          <w:rPr>
            <w:color w:val="1155CC"/>
            <w:u w:val="single"/>
          </w:rPr>
          <w:t>准二维金属卤化物钙钛矿薄膜中的低阈值超荧光和相位动力学（Adv. Mater. 21/2026）</w:t>
        </w:r>
      </w:hyperlink>
    </w:p>
    <w:p>
      <w:pPr>
        <w:spacing w:before="0" w:after="80"/>
      </w:pPr>
      <w:r>
        <w:rPr>
          <w:i/>
          <w:sz w:val="20"/>
        </w:rPr>
        <w:t>EN: Low‐Threshold Superfluorescence and Phase Dynamics in Quasi‐2D Metal Halide Perovskite Thin Films (Adv. Mater. 21/2026)</w:t>
      </w:r>
    </w:p>
    <w:p>
      <w:pPr>
        <w:spacing w:before="0" w:after="120"/>
      </w:pPr>
      <w:r>
        <w:rPr>
          <w:b/>
        </w:rPr>
        <w:t xml:space="preserve">Source: </w:t>
      </w:r>
      <w:r>
        <w:t>Wiley: Advanced Materials: Table of Contents</w:t>
      </w:r>
      <w:r>
        <w:t xml:space="preserve">    </w:t>
      </w:r>
      <w:r>
        <w:rPr>
          <w:b/>
        </w:rPr>
        <w:t xml:space="preserve">Pub date: </w:t>
      </w:r>
      <w:r>
        <w:t>2026-04-13 11:15:17+00:00</w:t>
      </w:r>
      <w:r>
        <w:t xml:space="preserve">    </w:t>
      </w:r>
      <w:r>
        <w:rPr>
          <w:b/>
        </w:rPr>
        <w:t xml:space="preserve">DOI: </w:t>
      </w:r>
      <w:hyperlink r:id="rId399">
        <w:r>
          <w:rPr>
            <w:color w:val="1155CC"/>
            <w:u w:val="single"/>
          </w:rPr>
          <w:t>10.1002/adma.72958</w:t>
        </w:r>
      </w:hyperlink>
    </w:p>
    <w:p>
      <w:pPr>
        <w:spacing w:before="0" w:after="120"/>
      </w:pPr>
      <w:r>
        <w:rPr>
          <w:b/>
        </w:rPr>
        <w:t xml:space="preserve">Notes: </w:t>
      </w:r>
      <w:r>
        <w:t>abstract_source=openalex</w:t>
      </w:r>
    </w:p>
    <w:p>
      <w:pPr>
        <w:spacing w:before="0" w:after="80" w:lineRule="auto" w:line="276"/>
      </w:pPr>
      <w:r>
        <w:rPr>
          <w:b/>
        </w:rPr>
        <w:t xml:space="preserve">摘要（ZH）: </w:t>
      </w:r>
      <w:r>
        <w:t>准二维金属卤化物钙钛矿薄膜 本封面展示了准二维金属卤化物钙钛矿薄膜中的超荧光。光学激发驱动载流子同步和集体爆发，支撑了本研究中报道的超荧光-放大自发辐射-自发辐射相图和量子理论模拟。更多详情请参见Tze Chien Sum、Subodh G. Mhaisalkar、Annalisa Bruno及其合作者的研究文章（DOI: 10.1002/adma.202518842）。</w:t>
      </w:r>
    </w:p>
    <w:p>
      <w:pPr>
        <w:spacing w:before="0" w:after="200" w:lineRule="auto" w:line="276"/>
      </w:pPr>
      <w:r>
        <w:rPr>
          <w:b/>
        </w:rPr>
        <w:t xml:space="preserve">Abstract (EN): </w:t>
      </w:r>
      <w:r>
        <w:t>Quasi-2D Metal Halide Perovskite Thin Films This cover illustrates superfluorescence in quasi-2D metal halide perovskite thin films. Optical excitation drives carrier synchronization and a collective burst, underpinning the superfluorescence–amplified spontaneous emission–spontaneous emission phase diagram and quantum theoretical simulations reported in this work. More details can be found in the Research Article by Tze Chien Sum, Subodh G. Mhaisalkar, Annalisa Bruno, and co-workers (DOI: 10.1002/adma.202518842).</w:t>
      </w:r>
    </w:p>
    <w:p>
      <w:pPr>
        <w:spacing w:before="120" w:after="120"/>
      </w:pPr>
      <w:r>
        <w:rPr>
          <w:sz w:val="18"/>
        </w:rPr>
        <w:t>——————————————————————————————————————————————————————————————————————</w:t>
      </w:r>
    </w:p>
    <w:p>
      <w:pPr>
        <w:spacing w:before="160" w:after="40" w:line="240" w:lineRule="auto"/>
      </w:pPr>
      <w:r>
        <w:rPr>
          <w:b/>
        </w:rPr>
        <w:t xml:space="preserve">[122] </w:t>
      </w:r>
      <w:hyperlink r:id="rId400">
        <w:r>
          <w:rPr>
            <w:color w:val="1155CC"/>
            <w:u w:val="single"/>
          </w:rPr>
          <w:t>通过双栅设计实现晶体管级激活函数：从模拟Sigmoid和高斯控制到实时硬件演示（Adv. Mater. 21/2026）</w:t>
        </w:r>
      </w:hyperlink>
    </w:p>
    <w:p>
      <w:pPr>
        <w:spacing w:before="0" w:after="80"/>
      </w:pPr>
      <w:r>
        <w:rPr>
          <w:i/>
          <w:sz w:val="20"/>
        </w:rPr>
        <w:t>EN: Transistor‐Level Activation Functions via Two‐Gate Designs: From Analog Sigmoid and Gaussian Control to Real‐Time Hardware Demonstrations (Adv. Mater. 21/2026)</w:t>
      </w:r>
    </w:p>
    <w:p>
      <w:pPr>
        <w:spacing w:before="0" w:after="120"/>
      </w:pPr>
      <w:r>
        <w:rPr>
          <w:b/>
        </w:rPr>
        <w:t xml:space="preserve">Source: </w:t>
      </w:r>
      <w:r>
        <w:t>Wiley: Advanced Materials: Table of Contents</w:t>
      </w:r>
      <w:r>
        <w:t xml:space="preserve">    </w:t>
      </w:r>
      <w:r>
        <w:rPr>
          <w:b/>
        </w:rPr>
        <w:t xml:space="preserve">Pub date: </w:t>
      </w:r>
      <w:r>
        <w:t>2026-04-13 11:15:17+00:00</w:t>
      </w:r>
      <w:r>
        <w:t xml:space="preserve">    </w:t>
      </w:r>
      <w:r>
        <w:rPr>
          <w:b/>
        </w:rPr>
        <w:t xml:space="preserve">DOI: </w:t>
      </w:r>
      <w:hyperlink r:id="rId401">
        <w:r>
          <w:rPr>
            <w:color w:val="1155CC"/>
            <w:u w:val="single"/>
          </w:rPr>
          <w:t>10.1002/adma.72957</w:t>
        </w:r>
      </w:hyperlink>
    </w:p>
    <w:p>
      <w:pPr>
        <w:spacing w:before="0" w:after="120"/>
      </w:pPr>
      <w:r>
        <w:rPr>
          <w:b/>
        </w:rPr>
        <w:t xml:space="preserve">Notes: </w:t>
      </w:r>
      <w:r>
        <w:t>abstract_source=openalex</w:t>
      </w:r>
    </w:p>
    <w:p>
      <w:pPr>
        <w:spacing w:before="0" w:after="80" w:lineRule="auto" w:line="276"/>
      </w:pPr>
      <w:r>
        <w:rPr>
          <w:b/>
        </w:rPr>
        <w:t xml:space="preserve">摘要（ZH）: </w:t>
      </w:r>
      <w:r>
        <w:t>通过双栅设计实现晶体管级激活函数 在他们的研究文章（DOI: 10.1002/adma.202511018）中，Hocheon Yoo、Young-Joon Kim、Wonjun Shin及其同事展示了通过具有内在高斯和S型激活函数的双栅模拟晶体管实现的实时虹膜分类。这些设备执行基于激活函数的计算和模拟特征提取，实现即时硬件级推理。</w:t>
      </w:r>
    </w:p>
    <w:p>
      <w:pPr>
        <w:spacing w:before="0" w:after="200" w:lineRule="auto" w:line="276"/>
      </w:pPr>
      <w:r>
        <w:rPr>
          <w:b/>
        </w:rPr>
        <w:t xml:space="preserve">Abstract (EN): </w:t>
      </w:r>
      <w:r>
        <w:t>Transistor-Level Activation Functions via Two-Gate Designs In their Research Article (DOI: 10.1002/adma.202511018), Hocheon Yoo, Young-Joon Kim, Wonjun Shin, and colleagues demonstrate real-time iris classification enabled by two-gate analog transistors with intrinsic Gaussian and sigmoid activation functions. These devices perform activation function-based computing and analog feature extraction, enabling immediate hardware-level inference.</w:t>
      </w:r>
    </w:p>
    <w:p>
      <w:pPr>
        <w:spacing w:before="120" w:after="120"/>
      </w:pPr>
      <w:r>
        <w:rPr>
          <w:sz w:val="18"/>
        </w:rPr>
        <w:t>——————————————————————————————————————————————————————————————————————</w:t>
      </w:r>
    </w:p>
    <w:p>
      <w:pPr>
        <w:spacing w:before="160" w:after="40" w:line="240" w:lineRule="auto"/>
      </w:pPr>
      <w:r>
        <w:rPr>
          <w:b/>
        </w:rPr>
        <w:t xml:space="preserve">[123] </w:t>
      </w:r>
      <w:hyperlink r:id="rId402">
        <w:r>
          <w:rPr>
            <w:color w:val="1155CC"/>
            <w:u w:val="single"/>
          </w:rPr>
          <w:t>[ASAP] 核/壳卤化物钙钛矿/硫属化物外延纳米晶体：神话、挑战与迫在眉睫的现实</w:t>
        </w:r>
      </w:hyperlink>
    </w:p>
    <w:p>
      <w:pPr>
        <w:spacing w:before="0" w:after="80"/>
      </w:pPr>
      <w:r>
        <w:rPr>
          <w:i/>
          <w:sz w:val="20"/>
        </w:rPr>
        <w:t>EN: [ASAP] Core/Shell Halide Perovskite/Chalcogenide Epitaxial Nanocrystals: Myth, Challenges and Imminent Reality</w:t>
      </w:r>
    </w:p>
    <w:p>
      <w:pPr>
        <w:spacing w:before="0" w:after="120"/>
      </w:pPr>
      <w:r>
        <w:rPr>
          <w:b/>
        </w:rPr>
        <w:t xml:space="preserve">Source: </w:t>
      </w:r>
      <w:r>
        <w:t>ACS Energy Letters: Latest Articles (ACS Publications)</w:t>
      </w:r>
      <w:r>
        <w:t xml:space="preserve">    </w:t>
      </w:r>
      <w:r>
        <w:rPr>
          <w:b/>
        </w:rPr>
        <w:t xml:space="preserve">Pub date: </w:t>
      </w:r>
      <w:r>
        <w:t>2026-04-13 12:04:37+00:00</w:t>
      </w:r>
      <w:r>
        <w:t xml:space="preserve">    </w:t>
      </w:r>
      <w:r>
        <w:rPr>
          <w:b/>
        </w:rPr>
        <w:t xml:space="preserve">DOI: </w:t>
      </w:r>
      <w:hyperlink r:id="rId403">
        <w:r>
          <w:rPr>
            <w:color w:val="1155CC"/>
            <w:u w:val="single"/>
          </w:rPr>
          <w:t>10.1021/acsenergylett.6c00537</w:t>
        </w:r>
      </w:hyperlink>
    </w:p>
    <w:p>
      <w:pPr>
        <w:spacing w:before="0" w:after="120"/>
      </w:pPr>
      <w:r>
        <w:rPr>
          <w:b/>
        </w:rPr>
        <w:t xml:space="preserve">Notes: </w:t>
      </w:r>
      <w:r>
        <w:t>abstract_source=openalex</w:t>
      </w:r>
    </w:p>
    <w:p>
      <w:pPr>
        <w:spacing w:before="0" w:after="80" w:lineRule="auto" w:line="276"/>
      </w:pPr>
      <w:r>
        <w:rPr>
          <w:b/>
        </w:rPr>
        <w:t xml:space="preserve">摘要（ZH）: </w:t>
      </w:r>
      <w:r>
        <w:t>铅卤化物钙钛矿和硫属化物的核/壳纳米晶体是最受追捧的材料之一，因为它们能够保持强烈的发光并确保在恶劣条件下的稳定性。各种表面保护策略，如有机配体钝化、二氧化硅包覆和聚合物涂层，已被广泛研究，但外延无机共价半导体壳层仍然发展不足。这种壳层可以在保持整体颗粒尺寸小的同时增强相态和环境稳定性。在这篇展望中，我们讨论了理解核/壳卤化物钙钛矿的挑战和潜在途径，其中宽带隙无机半导体作为钙钛矿核周围的保护壳。使用CsPbBr3作为模型系统，ZnS作为代表。</w:t>
      </w:r>
    </w:p>
    <w:p>
      <w:pPr>
        <w:spacing w:before="0" w:after="200" w:lineRule="auto" w:line="276"/>
      </w:pPr>
      <w:r>
        <w:rPr>
          <w:b/>
        </w:rPr>
        <w:t xml:space="preserve">Abstract (EN): </w:t>
      </w:r>
      <w:r>
        <w:t>Core/shell nanocrystals of lead halide perovskites and chalcogenides are among the most sought after for preserving intense emission and ensuring stability under harsh conditions. Various surface protection strategies, such as organic ligand passivation, silica encapsulation, and polymer coatings, have been extensively explored, but epitaxial inorganic covalent semiconductor shells remain largely underdeveloped. Such shells can enhance both phase and environmental stability while maintaining overall particle sizes small. In this Perspective, we discuss the challenges and potential pathways toward understanding the core/shell halide perovskite where wide-band gap inorganic semiconductors serve as protective shells around perovskite cores. Using CsPbBr3 as a model system and ZnS as a representative shell material, we examine the feasibility of their epitaxial integration and underlying formation chemistry. We first summarize existing reports of successes and limitations in achieving well-defined core/shell architectures. Then we outline possible synthetic strategies and key characterization approaches required to realize such nanocrystals.</w:t>
      </w:r>
    </w:p>
    <w:p>
      <w:pPr>
        <w:spacing w:before="120" w:after="120"/>
      </w:pPr>
      <w:r>
        <w:rPr>
          <w:sz w:val="18"/>
        </w:rPr>
        <w:t>——————————————————————————————————————————————————————————————————————</w:t>
      </w:r>
    </w:p>
    <w:p>
      <w:pPr>
        <w:spacing w:before="160" w:after="40" w:line="240" w:lineRule="auto"/>
      </w:pPr>
      <w:r>
        <w:rPr>
          <w:b/>
        </w:rPr>
        <w:t xml:space="preserve">[124] </w:t>
      </w:r>
      <w:hyperlink r:id="rId404">
        <w:r>
          <w:rPr>
            <w:color w:val="1155CC"/>
            <w:u w:val="single"/>
          </w:rPr>
          <w:t>相变驱动的可穿戴设备自适应重构用于贴合生物界面</w:t>
        </w:r>
      </w:hyperlink>
    </w:p>
    <w:p>
      <w:pPr>
        <w:spacing w:before="0" w:after="80"/>
      </w:pPr>
      <w:r>
        <w:rPr>
          <w:i/>
          <w:sz w:val="20"/>
        </w:rPr>
        <w:t>EN: Phase‐Transition‐Driven Adaptive Reconfiguration of Wearable Devices for Conformal Biointerfaces</w:t>
      </w:r>
    </w:p>
    <w:p>
      <w:pPr>
        <w:spacing w:before="0" w:after="120"/>
      </w:pPr>
      <w:r>
        <w:rPr>
          <w:b/>
        </w:rPr>
        <w:t xml:space="preserve">Source: </w:t>
      </w:r>
      <w:r>
        <w:t>Wiley: Advanced Materials: Table of Contents</w:t>
      </w:r>
      <w:r>
        <w:t xml:space="preserve">    </w:t>
      </w:r>
      <w:r>
        <w:rPr>
          <w:b/>
        </w:rPr>
        <w:t xml:space="preserve">Pub date: </w:t>
      </w:r>
      <w:r>
        <w:t>2026-04-13 12:25:36+00:00</w:t>
      </w:r>
      <w:r>
        <w:t xml:space="preserve">    </w:t>
      </w:r>
      <w:r>
        <w:rPr>
          <w:b/>
        </w:rPr>
        <w:t xml:space="preserve">DOI: </w:t>
      </w:r>
      <w:hyperlink r:id="rId405">
        <w:r>
          <w:rPr>
            <w:color w:val="1155CC"/>
            <w:u w:val="single"/>
          </w:rPr>
          <w:t>10.1002/adma.73074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电子设备与非标准化生物组织的共形集成对于下一代可穿戴设备至关重要。然而，柔性设备主要以传统平面格式制造，与生物体的非平面、多毛或动态表面不兼容。在此，我们通过引入一种通用的固-液-固相变策略来解决这一冲突。这种方法利用水溶性聚乙烯醇作为基底，在润湿时暂时液化并流动以匹配目标地形，然后在原位固化，从而实现完美的共形界面。这样的过程有助于重建的设备建立稳固的（界面韧性约29 J m−2）。</w:t>
      </w:r>
    </w:p>
    <w:p>
      <w:pPr>
        <w:spacing w:before="0" w:after="200" w:lineRule="auto" w:line="276"/>
      </w:pPr>
      <w:r>
        <w:rPr>
          <w:b/>
        </w:rPr>
        <w:t xml:space="preserve">Abstract (EN): </w:t>
      </w:r>
      <w:r>
        <w:t>Conformal integration of flexible electronics with unstandardized biological tissues is critical for next‐generation wearables. However, flexible devices are predominantly fabricated in conventional planar formats, incompatible with the nonplanar, hairy, or dynamic surfaces of biological organisms. Here, we resolve this conflict by introducing a universal solid‐liquid‐solid phase transition strategy. This approach utilizes water‐soluble polyvinyl alcohol as a substrate, which temporarily liquefies and flows to match target topography upon wetting, then solidifies in place, enabling a perfect conformal interface. Such a process helps the reconstructed devices to establish robust (interfacial toughness ∼29 J m</w:t>
      </w:r>
      <w:r>
        <w:t xml:space="preserve"> </w:t>
      </w:r>
      <w:r>
        <w:t>−2</w:t>
      </w:r>
      <w:r>
        <w:t xml:space="preserve"> </w:t>
      </w:r>
      <w:r>
        <w:t>, tensile strength of ∼161 kPa), stretchable, and stress‐free interfaces with skin. Furthermore, this robust interface permits reversible switching between strong to weak adhesion, while dissolving on‐demand for painless, non‐traumatic removal. We validate the approach with shape‐adaptable sensors and electrodes that seamlessly wrap the vulnerable, peristaltic bodies of silkworms for motion tracking, and hairy, thorn‐laden leaves for plant electrophysiology monitoring, expanding the utility of wearable electronics to previously inaccessible biological surfaces.</w:t>
      </w:r>
    </w:p>
    <w:p>
      <w:pPr>
        <w:spacing w:before="120" w:after="120"/>
      </w:pPr>
      <w:r>
        <w:rPr>
          <w:sz w:val="18"/>
        </w:rPr>
        <w:t>——————————————————————————————————————————————————————————————————————</w:t>
      </w:r>
    </w:p>
    <w:p>
      <w:pPr>
        <w:spacing w:before="160" w:after="40" w:line="240" w:lineRule="auto"/>
      </w:pPr>
      <w:r>
        <w:rPr>
          <w:b/>
        </w:rPr>
        <w:t xml:space="preserve">[125] </w:t>
      </w:r>
      <w:hyperlink r:id="rId406">
        <w:r>
          <w:rPr>
            <w:color w:val="1155CC"/>
            <w:u w:val="single"/>
          </w:rPr>
          <w:t>多功能气凝胶结构的超织物由分级多孔微球/纳米纤维组装而成</w:t>
        </w:r>
      </w:hyperlink>
    </w:p>
    <w:p>
      <w:pPr>
        <w:spacing w:before="0" w:after="80"/>
      </w:pPr>
      <w:r>
        <w:rPr>
          <w:i/>
          <w:sz w:val="20"/>
        </w:rPr>
        <w:t>EN: Multifunctional Aerogel‐Structured Metafabrics Assembled by Hierarchically Porous Microsphere/Nanofibril</w:t>
      </w:r>
    </w:p>
    <w:p>
      <w:pPr>
        <w:spacing w:before="0" w:after="120"/>
      </w:pPr>
      <w:r>
        <w:rPr>
          <w:b/>
        </w:rPr>
        <w:t xml:space="preserve">Source: </w:t>
      </w:r>
      <w:r>
        <w:t>Wiley: Advanced Materials: Table of Contents</w:t>
      </w:r>
      <w:r>
        <w:t xml:space="preserve">    </w:t>
      </w:r>
      <w:r>
        <w:rPr>
          <w:b/>
        </w:rPr>
        <w:t xml:space="preserve">Pub date: </w:t>
      </w:r>
      <w:r>
        <w:t>2026-04-13 12:28:30+00:00</w:t>
      </w:r>
      <w:r>
        <w:t xml:space="preserve">    </w:t>
      </w:r>
      <w:r>
        <w:rPr>
          <w:b/>
        </w:rPr>
        <w:t xml:space="preserve">DOI: </w:t>
      </w:r>
      <w:hyperlink r:id="rId407">
        <w:r>
          <w:rPr>
            <w:color w:val="1155CC"/>
            <w:u w:val="single"/>
          </w:rPr>
          <w:t>10.1002/adma.202521428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分级孔结构和稳健机械性能的微/纳米多孔材料在从阻尼和过滤分离到吸附材料的各个领域都有广泛的应用前景；然而，创造这样的微/纳米多孔材料被证明极具挑战性。在此，通过创新性地将毫秒微相分离成型技术与多参数耦合控制策略相结合，制备了由全孔微球和纳米纤维支架组成的多功能气凝胶结构的超织物。通过定制泰勒锥喷射形态和调节双向传质，可以实现具有丰富涡流片的气凝胶状多孔微球。</w:t>
      </w:r>
    </w:p>
    <w:p>
      <w:pPr>
        <w:spacing w:before="0" w:after="200" w:lineRule="auto" w:line="276"/>
      </w:pPr>
      <w:r>
        <w:rPr>
          <w:b/>
        </w:rPr>
        <w:t xml:space="preserve">Abstract (EN): </w:t>
      </w:r>
      <w:r>
        <w:t>The micro/nanoporous materials that have both hierarchical pore structures and robust mechanical properties would have broad implications for areas ranging from damping and filter separation to adsorbent materials; however, creating such micro/nanoporous materials has proven extremely challenging. Herein, the multifunctional aerogel‐structured metafabrics composed of wholly porous microspheres and nanofibril scaffolds are fabricated by innovatively integrating millisecond microphase separation molding technology with multi‐parameter coupling control strategy. The aerogel‐like porous microspheres with abundant vortex sheets can be realized by customizing the Taylor cone ejection morphology and regulating the bidirectional mass‐transfer between the external environment and solvents. The hierarchical pore structure consisting of micro/nanofibrous networks and porous aerogel microspheres is developed, which endows metafabrics with high porosity (&amp;gt;90%). Attributed to the flexible and stable structure of micro/nanofibrils, the resulting aerogel‐structured metafabrics exhibit mechanical robustness and shape‐memory property even under −196°C. Moreover, such aerogel structures endow the metafabrics with surprising potential for energy dissipation and filtration separation, particularly ultrathin noise reduction (NRC of 0.5 at 10 mm), high‐efficiency air filtration (99.96% efficiency, 23.3 Pa air resistance), and high‐utilisation CO</w:t>
      </w:r>
      <w:r>
        <w:rPr>
          <w:vertAlign w:val="subscript"/>
        </w:rPr>
        <w:t>2</w:t>
      </w:r>
      <w:r>
        <w:t>capture (0.68 mmol g</w:t>
      </w:r>
      <w:r>
        <w:t xml:space="preserve"> </w:t>
      </w:r>
      <w:r>
        <w:t>−1</w:t>
      </w:r>
      <w:r>
        <w:t xml:space="preserve"> </w:t>
      </w:r>
      <w:r>
        <w:t>) at extremely low amine loading, obviously superior to cutting‐edge materials. This work provides a new pathway for the design of multifunctional aerogel‐structured metafabrics.</w:t>
      </w:r>
    </w:p>
    <w:p>
      <w:pPr>
        <w:spacing w:before="120" w:after="120"/>
      </w:pPr>
      <w:r>
        <w:rPr>
          <w:sz w:val="18"/>
        </w:rPr>
        <w:t>——————————————————————————————————————————————————————————————————————</w:t>
      </w:r>
    </w:p>
    <w:p>
      <w:pPr>
        <w:spacing w:before="160" w:after="40" w:line="240" w:lineRule="auto"/>
      </w:pPr>
      <w:r>
        <w:rPr>
          <w:b/>
        </w:rPr>
        <w:t xml:space="preserve">[126] </w:t>
      </w:r>
      <w:hyperlink r:id="rId408">
        <w:r>
          <w:rPr>
            <w:color w:val="1155CC"/>
            <w:u w:val="single"/>
          </w:rPr>
          <w:t>通过榫卯锁定的单原子钡介导氢键相互作用用于纯水中可充电生物质电氧化</w:t>
        </w:r>
      </w:hyperlink>
    </w:p>
    <w:p>
      <w:pPr>
        <w:spacing w:before="0" w:after="80"/>
      </w:pPr>
      <w:r>
        <w:rPr>
          <w:i/>
          <w:sz w:val="20"/>
        </w:rPr>
        <w:t>EN: Single‐Atom Barium‐Mediated Hydrogen‐Bonding Interaction via Mortise‐and‐Tenon Interlock for Rechargeable Biomass Electrooxidation in Pure Water</w:t>
      </w:r>
    </w:p>
    <w:p>
      <w:pPr>
        <w:spacing w:before="0" w:after="120"/>
      </w:pPr>
      <w:r>
        <w:rPr>
          <w:b/>
        </w:rPr>
        <w:t xml:space="preserve">Source: </w:t>
      </w:r>
      <w:r>
        <w:t>Wiley: Angewandte Chemie International Edition: Table of Contents</w:t>
      </w:r>
      <w:r>
        <w:t xml:space="preserve">    </w:t>
      </w:r>
      <w:r>
        <w:rPr>
          <w:b/>
        </w:rPr>
        <w:t xml:space="preserve">Pub date: </w:t>
      </w:r>
      <w:r>
        <w:t>2026-04-13 12:30:46+00:00</w:t>
      </w:r>
      <w:r>
        <w:t xml:space="preserve">    </w:t>
      </w:r>
      <w:r>
        <w:rPr>
          <w:b/>
        </w:rPr>
        <w:t xml:space="preserve">DOI: </w:t>
      </w:r>
      <w:hyperlink r:id="rId409">
        <w:r>
          <w:rPr>
            <w:color w:val="1155CC"/>
            <w:u w:val="single"/>
          </w:rPr>
          <w:t>10.1002/anie.9910443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衍生分子如5-羟甲基糠醛（HMF）的电氧化升级提供了一种碳中和的蓝图来生产有价值的化学品，其转化效率高度依赖于强碱和昂贵膜的使用。在此，我们将单原子Ba锚定在镍氧氢化物中作为硫酸盐（榫）的榫眼，构建可充电阳极S-Ba</w:t>
      </w:r>
      <w:r>
        <w:rPr>
          <w:vertAlign w:val="subscript"/>
        </w:rPr>
        <w:t>1</w:t>
      </w:r>
      <w:r>
        <w:t>Ni</w:t>
      </w:r>
      <w:r>
        <w:t xml:space="preserve"> </w:t>
      </w:r>
      <w:r>
        <w:t>1-</w:t>
      </w:r>
      <w:r>
        <w:t xml:space="preserve"> </w:t>
      </w:r>
      <w:r>
        <w:t>x</w:t>
      </w:r>
      <w:r>
        <w:t xml:space="preserve"> </w:t>
      </w:r>
      <w:r>
        <w:t>OOH以解耦HMF电氧化，实现无碱、无电位和无膜的定量2,5-呋喃二甲酸（FDCA）生产。该解耦系统涉及i) 活性Ni</w:t>
      </w:r>
      <w:r>
        <w:t xml:space="preserve"> </w:t>
      </w:r>
      <w:r>
        <w:t>3+</w:t>
      </w:r>
    </w:p>
    <w:p>
      <w:pPr>
        <w:spacing w:before="0" w:after="200" w:lineRule="auto" w:line="276"/>
      </w:pPr>
      <w:r>
        <w:rPr>
          <w:b/>
        </w:rPr>
        <w:t xml:space="preserve">Abstract (EN): </w:t>
      </w:r>
      <w:r>
        <w:t>Electrooxidative upgradation of biomass‐derived molecules like 5‐hydroxymethylfurfural (HMF) offers a carbon‐neutral blueprint to produce valuable chemicals, with conversion efficiency highly relying on the strong base and costly membrane use. Herein, we anchor single‐atom Ba into nickel‐oxyhydroxide as the mortise of sulfate (tenon) to construct a rechargeable anode S‐Ba</w:t>
      </w:r>
      <w:r>
        <w:rPr>
          <w:vertAlign w:val="subscript"/>
        </w:rPr>
        <w:t>1</w:t>
      </w:r>
      <w:r>
        <w:t>Ni</w:t>
      </w:r>
      <w:r>
        <w:t xml:space="preserve"> </w:t>
      </w:r>
      <w:r>
        <w:t>1‐</w:t>
      </w:r>
      <w:r>
        <w:t xml:space="preserve"> </w:t>
      </w:r>
      <w:r>
        <w:t>x</w:t>
      </w:r>
      <w:r>
        <w:t xml:space="preserve"> </w:t>
      </w:r>
      <w:r>
        <w:t>OOH for decoupling HMF electrooxidation, enabling quantitative 2,5‐furandicarboxylic acid (FDCA) production without alkali, potential, and membrane. This decoupling system involves i) active Ni</w:t>
      </w:r>
      <w:r>
        <w:t xml:space="preserve"> </w:t>
      </w:r>
      <w:r>
        <w:t>3+</w:t>
      </w:r>
      <w:r>
        <w:t xml:space="preserve"> </w:t>
      </w:r>
      <w:r>
        <w:t>−O (re)generation via charging and ii) extraction of H atoms of HMF with Ni</w:t>
      </w:r>
      <w:r>
        <w:t xml:space="preserve"> </w:t>
      </w:r>
      <w:r>
        <w:t>3+</w:t>
      </w:r>
      <w:r>
        <w:t xml:space="preserve"> </w:t>
      </w:r>
      <w:r>
        <w:t>−O to undergo deprotonation into FDCA (∼100% conversion and selectivity) in pure water without electricity (discharging). Hydrogen‐bonding interaction between surficial sulfate and hydroxide of HMF can accelerate the substrate migration toward solid–liquid interface with enhanced conversion. Theoretical calculations expound that hydrogen‐bonding interaction decreases the hybridization degree between O‐2p and H‐1s orbitals in O─H bond of HMF to heighten its H removability, thereby fostering complete HMF oxidation into FDCA. Various biomass derivatives are also amenable to this decoupling system, affording &amp;gt;96.3% yields for acids. Techno‐economic analysis illustrates that replacing strong alkali with pure water can reduce the production cost of FDCA by 50.5%, underlining the wide prospect of this decoupling strategy and endowing an attractive route for biomass valorization.</w:t>
      </w:r>
    </w:p>
    <w:p>
      <w:pPr>
        <w:spacing w:before="120" w:after="120"/>
      </w:pPr>
      <w:r>
        <w:rPr>
          <w:sz w:val="18"/>
        </w:rPr>
        <w:t>——————————————————————————————————————————————————————————————————————</w:t>
      </w:r>
    </w:p>
    <w:p>
      <w:pPr>
        <w:spacing w:before="160" w:after="40" w:line="240" w:lineRule="auto"/>
      </w:pPr>
      <w:r>
        <w:rPr>
          <w:b/>
        </w:rPr>
        <w:t xml:space="preserve">[127] </w:t>
      </w:r>
      <w:hyperlink r:id="rId410">
        <w:r>
          <w:rPr>
            <w:color w:val="1155CC"/>
            <w:u w:val="single"/>
          </w:rPr>
          <w:t>光笼氧催产素和加压素探针用于高时空分辨率解码神经肽信号传导</w:t>
        </w:r>
      </w:hyperlink>
    </w:p>
    <w:p>
      <w:pPr>
        <w:spacing w:before="0" w:after="80"/>
      </w:pPr>
      <w:r>
        <w:rPr>
          <w:i/>
          <w:sz w:val="20"/>
        </w:rPr>
        <w:t>EN: Photocaged Oxytocin and Vasopressin Probes to Decipher Neuropeptide Signalling With High Spatiotemporal Resolution</w:t>
      </w:r>
    </w:p>
    <w:p>
      <w:pPr>
        <w:spacing w:before="0" w:after="120"/>
      </w:pPr>
      <w:r>
        <w:rPr>
          <w:b/>
        </w:rPr>
        <w:t xml:space="preserve">Source: </w:t>
      </w:r>
      <w:r>
        <w:t>Wiley: Angewandte Chemie International Edition: Table of Contents</w:t>
      </w:r>
      <w:r>
        <w:t xml:space="preserve">    </w:t>
      </w:r>
      <w:r>
        <w:rPr>
          <w:b/>
        </w:rPr>
        <w:t xml:space="preserve">Pub date: </w:t>
      </w:r>
      <w:r>
        <w:t>2026-04-13 12:32:13+00:00</w:t>
      </w:r>
      <w:r>
        <w:t xml:space="preserve">    </w:t>
      </w:r>
      <w:r>
        <w:rPr>
          <w:b/>
        </w:rPr>
        <w:t xml:space="preserve">DOI: </w:t>
      </w:r>
      <w:hyperlink r:id="rId411">
        <w:r>
          <w:rPr>
            <w:color w:val="1155CC"/>
            <w:u w:val="single"/>
          </w:rPr>
          <w:t>10.1002/anie.202513373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产素/加压素（OT/VP）神经肽信号系统对于调节社会行为、情感、学习和记忆至关重要，其失调与多种神经系统疾病相关。然而，由于受体表达广泛、肽半衰期长和扩散广泛，准确研究大脑中的OT/VP信号仍然困难。为了解决这些挑战，我们研究了三类光敏保护基团——香豆素、硝基苯丙基和硼二吡咯甲烷——以实现精确的光触发OT/VP释放。这些光笼允许通过单光子（365–527 nm）或双光子（730–780 nm）照射进行控制激活，并且不会产生细胞毒性副产物。使用这些笼，我们</w:t>
      </w:r>
    </w:p>
    <w:p>
      <w:pPr>
        <w:spacing w:before="0" w:after="200" w:lineRule="auto" w:line="276"/>
      </w:pPr>
      <w:r>
        <w:rPr>
          <w:b/>
        </w:rPr>
        <w:t xml:space="preserve">Abstract (EN): </w:t>
      </w:r>
      <w:r>
        <w:t>The oxytocin/vasopressin (OT/VP) neuropeptide signalling system is essential for regulating social behaviour, emotion, learning, and memory, and its dysregulation is associated with multiple neurological disorders. However, accurately studying OT/VP signalling in the brain remains difficult due to widespread receptor expression, long peptide half‐lives, and extensive diffusion. To address these challenges, we investigated three classes of photolabile protecting groups—coumarin, nitrophenylpropyl, and borondipyrromethene—to enable precise, light‐triggered OT/VP release. These photocages allow controlled activation with one‐photon (365–527 nm) or two‐photon (730–780 nm) irradiation and do not generate cytotoxic by‐products. Using these cages, we synthesised OT/VP photoprobes and characterised their photopharmacological properties at their neuronal receptors (OTR, V</w:t>
      </w:r>
      <w:r>
        <w:t xml:space="preserve"> </w:t>
      </w:r>
      <w:r>
        <w:t>1a</w:t>
      </w:r>
      <w:r>
        <w:t xml:space="preserve"> </w:t>
      </w:r>
      <w:r>
        <w:t>R, V</w:t>
      </w:r>
      <w:r>
        <w:t xml:space="preserve"> </w:t>
      </w:r>
      <w:r>
        <w:t>1b</w:t>
      </w:r>
      <w:r>
        <w:t xml:space="preserve"> </w:t>
      </w:r>
      <w:r>
        <w:t>R). The coumarin cage proved the most effective, suppressing OT/VP bioactivity until rapid photouncaging enabled on‐demand receptor activation. It excelled in cellular assays, primary rat hippocampal neurones, and ex vivo acute mouse brain slices, demonstrating broad applicability. It is biocompatible, readily incorporated into peptides, and compatible with various neuronal experimental setups. Photo‐uncaging can be performed with inexpensive light‐emitting diode (LED) setups, as well as with extreme precision via two‐photon excitation, enabling investigations of neuropeptide signalling with high spatiotemporal resolution, offering new opportunities to investigate neuropeptide function in health and disease.</w:t>
      </w:r>
    </w:p>
    <w:p>
      <w:pPr>
        <w:spacing w:before="120" w:after="120"/>
      </w:pPr>
      <w:r>
        <w:rPr>
          <w:sz w:val="18"/>
        </w:rPr>
        <w:t>——————————————————————————————————————————————————————————————————————</w:t>
      </w:r>
    </w:p>
    <w:p>
      <w:pPr>
        <w:spacing w:before="160" w:after="40" w:line="240" w:lineRule="auto"/>
      </w:pPr>
      <w:r>
        <w:rPr>
          <w:b/>
        </w:rPr>
        <w:t xml:space="preserve">[128] </w:t>
      </w:r>
      <w:hyperlink r:id="rId412">
        <w:r>
          <w:rPr>
            <w:color w:val="1155CC"/>
            <w:u w:val="single"/>
          </w:rPr>
          <w:t>具有离子泵效应的分级结构中的电催化热点实现中性电解质中5-羟甲基糠醛到2,5-呋喃二甲酸的高选择性合成</w:t>
        </w:r>
      </w:hyperlink>
    </w:p>
    <w:p>
      <w:pPr>
        <w:spacing w:before="0" w:after="80"/>
      </w:pPr>
      <w:r>
        <w:rPr>
          <w:i/>
          <w:sz w:val="20"/>
        </w:rPr>
        <w:t>EN: Electrocatalytic Hotspots in Hierarchical Structures with Ion‐Pump Effect Enable High‐Selectivity Synthesis of 2,5‐Furandicarboxylic Acid From 5‐Hydroxymethylfurfural in Neutral Electrolyte</w:t>
      </w:r>
    </w:p>
    <w:p>
      <w:pPr>
        <w:spacing w:before="0" w:after="120"/>
      </w:pPr>
      <w:r>
        <w:rPr>
          <w:b/>
        </w:rPr>
        <w:t xml:space="preserve">Source: </w:t>
      </w:r>
      <w:r>
        <w:t>Wiley: Angewandte Chemie International Edition: Table of Contents</w:t>
      </w:r>
      <w:r>
        <w:t xml:space="preserve">    </w:t>
      </w:r>
      <w:r>
        <w:rPr>
          <w:b/>
        </w:rPr>
        <w:t xml:space="preserve">Pub date: </w:t>
      </w:r>
      <w:r>
        <w:t>2026-04-13 12:33:24+00:00</w:t>
      </w:r>
      <w:r>
        <w:t xml:space="preserve">    </w:t>
      </w:r>
      <w:r>
        <w:rPr>
          <w:b/>
        </w:rPr>
        <w:t xml:space="preserve">DOI: </w:t>
      </w:r>
      <w:hyperlink r:id="rId413">
        <w:r>
          <w:rPr>
            <w:color w:val="1155CC"/>
            <w:u w:val="single"/>
          </w:rPr>
          <w:t>10.1002/anie.3041586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热点效应是光催化中一个有据可查的现象，指的是在中尺度上具有较高催化活性的区域。类似的效应是否存在于电催化中是一个值得探索的有趣问题。在这项工作中，合成了具有针状、棒状、片状和块状形貌的分级NiCo</w:t>
      </w:r>
      <w:r>
        <w:rPr>
          <w:vertAlign w:val="subscript"/>
        </w:rPr>
        <w:t>2</w:t>
      </w:r>
      <w:r>
        <w:t>O</w:t>
      </w:r>
      <w:r>
        <w:rPr>
          <w:vertAlign w:val="subscript"/>
        </w:rPr>
        <w:t>4</w:t>
      </w:r>
      <w:r>
        <w:t>催化剂，并用于探索电催化中的热点效应。针状分级催化剂表现出最佳性能，在中性电解质中从5-羟甲基糠醛中获得93%的2,5-呋喃二甲酸（FDCA）产率，与碱性条件下相当，而</w:t>
      </w:r>
    </w:p>
    <w:p>
      <w:pPr>
        <w:spacing w:before="0" w:after="200" w:lineRule="auto" w:line="276"/>
      </w:pPr>
      <w:r>
        <w:rPr>
          <w:b/>
        </w:rPr>
        <w:t xml:space="preserve">Abstract (EN): </w:t>
      </w:r>
      <w:r>
        <w:t>The catalytic hotspot effect is a well‐documented phenomenon in photocatalysis, referring to regions with higher catalytic activity at the mesoscale. Whether analogous effect exists in electrocatalysis presents an intriguing question worthy of exploration. In this work, hierarchical NiCo</w:t>
      </w:r>
      <w:r>
        <w:rPr>
          <w:vertAlign w:val="subscript"/>
        </w:rPr>
        <w:t>2</w:t>
      </w:r>
      <w:r>
        <w:t>O</w:t>
      </w:r>
      <w:r>
        <w:rPr>
          <w:vertAlign w:val="subscript"/>
        </w:rPr>
        <w:t>4</w:t>
      </w:r>
      <w:r>
        <w:t>catalysts with needle‐like, rod‐like, sheet‐like, and bulk‐like morphologies were synthesized and used to explore the hotspot effect in electrocatalysis. The needle‐like hierarchical catalyst demonstrated optimal performance, achieving a 93% yield of 2,5‐furandicarboxylic acid (FDCA) from 5‐hydroxymethylfurfural in neutral electrolyte, comparable to alkaline conditions, while other morphologies yielded less than 40%. In situ Raman spectroscopy revealed that the exceptional catalytic performance stems from a localized high‐pH environment on the surface of the needle‐like catalyst. Finite element simulations reveal that the high pH environment is related to high density of corner sites where the electric field is highly concentrated, resulting in formation of catalytic hotspots. These hotspots can play a role of ion pumps by attracting anions ions which subsequently diffuse into the surrounding regions. The ion pump effect establishes an alkaline local microenvironment which greatly boosts FDCA yield. This work demonstrates that the surface microenvironment of heterogeneous electrocatalysts can be modulated by hotspot engineering, and thus offers a new strategy for catalyst design.</w:t>
      </w:r>
    </w:p>
    <w:p>
      <w:pPr>
        <w:spacing w:before="120" w:after="120"/>
      </w:pPr>
      <w:r>
        <w:rPr>
          <w:sz w:val="18"/>
        </w:rPr>
        <w:t>——————————————————————————————————————————————————————————————————————</w:t>
      </w:r>
    </w:p>
    <w:p>
      <w:pPr>
        <w:spacing w:before="160" w:after="40" w:line="240" w:lineRule="auto"/>
      </w:pPr>
      <w:r>
        <w:rPr>
          <w:b/>
        </w:rPr>
        <w:t xml:space="preserve">[129] </w:t>
      </w:r>
      <w:hyperlink r:id="rId414">
        <w:r>
          <w:rPr>
            <w:color w:val="1155CC"/>
            <w:u w:val="single"/>
          </w:rPr>
          <w:t>具有协同多维增强的异构拉曼报告分子的分子工程用于呼吸道病原体的即时SERS筛查</w:t>
        </w:r>
      </w:hyperlink>
    </w:p>
    <w:p>
      <w:pPr>
        <w:spacing w:before="0" w:after="80"/>
      </w:pPr>
      <w:r>
        <w:rPr>
          <w:i/>
          <w:sz w:val="20"/>
        </w:rPr>
        <w:t>EN: Molecular Engineering of an Isomeric Raman Reporter Palette With Synergistic Multidimensional Enhancement for Point‐of‐Care SERS Screening of Respiratory Pathogens</w:t>
      </w:r>
    </w:p>
    <w:p>
      <w:pPr>
        <w:spacing w:before="0" w:after="120"/>
      </w:pPr>
      <w:r>
        <w:rPr>
          <w:b/>
        </w:rPr>
        <w:t xml:space="preserve">Source: </w:t>
      </w:r>
      <w:r>
        <w:t>Wiley: Angewandte Chemie International Edition: Table of Contents</w:t>
      </w:r>
      <w:r>
        <w:t xml:space="preserve">    </w:t>
      </w:r>
      <w:r>
        <w:rPr>
          <w:b/>
        </w:rPr>
        <w:t xml:space="preserve">Pub date: </w:t>
      </w:r>
      <w:r>
        <w:t>2026-04-13 12:38:26+00:00</w:t>
      </w:r>
      <w:r>
        <w:t xml:space="preserve">    </w:t>
      </w:r>
      <w:r>
        <w:rPr>
          <w:b/>
        </w:rPr>
        <w:t xml:space="preserve">DOI: </w:t>
      </w:r>
      <w:hyperlink r:id="rId415">
        <w:r>
          <w:rPr>
            <w:color w:val="1155CC"/>
            <w:u w:val="single"/>
          </w:rPr>
          <w:t>10.1002/anie.8848523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增强拉曼散射（SERS）结合了分子特异性指纹和信号放大，使其非常适合用于多重化床边诊断。然而，SERS的实际应用受到拉曼报告分子的经验筛选缺乏合理的光谱可调性以及使用手持设备在大型临床队列中缺乏严格验证的阻碍。为此，我们引入了一种以原理为导向的分子工程方法，通过大规模呼吸道病原体筛查进行临床验证，创建了一组可调谐的异构体拉曼报告分子调色板。在分子对称性原理和电子效应的指导下，我们构建了一个由24种具有独特振动</w:t>
      </w:r>
    </w:p>
    <w:p>
      <w:pPr>
        <w:spacing w:before="0" w:after="200" w:lineRule="auto" w:line="276"/>
      </w:pPr>
      <w:r>
        <w:rPr>
          <w:b/>
        </w:rPr>
        <w:t xml:space="preserve">Abstract (EN): </w:t>
      </w:r>
      <w:r>
        <w:t>Surface‐enhanced Raman scattering (SERS) combines molecular‐specific fingerprints and signal amplification, making it ideally suited for multiplexed point‐of‐care (POC) diagnostics. Yet, the translation of SERS into practical use has been hindered by the empirical screening of Raman reporters without rational spectral tunability and the lack of rigorous validation in large clinical cohorts using handheld instrumentation. To this end, we introduce a principle‐driven molecular engineering approach to create a palette of tunable isomeric Raman reporters with clinical validation through large‐scale respiratory pathogen screening. Guided by molecular symmetry principles and electronic effects, we construct an isomeric palette of 24 Raman reporters with unique vibrational signatures. These reporters are enhanced by a multilayer Ag‐on‐Cu reporter structures (MARS) and a sub‐10 nm engineered nanogap SERS enhancer (SENSE) array to maximize signal amplification. The integrated isomeric‐MARS‐SENSE platform enables the simultaneous identification of six respiratory pathogens in 139 clinical nasal swab samples using a handheld Raman spectrometer, achieving satisfactory sensitivity, specificity, and accuracy comparable to RT‐PCR. By combining rational molecular design with robust clinical validation, we expect this work to advance next‐generation multiplexed SERS diagnostics at the POC.</w:t>
      </w:r>
    </w:p>
    <w:p>
      <w:pPr>
        <w:spacing w:before="120" w:after="120"/>
      </w:pPr>
      <w:r>
        <w:rPr>
          <w:sz w:val="18"/>
        </w:rPr>
        <w:t>——————————————————————————————————————————————————————————————————————</w:t>
      </w:r>
    </w:p>
    <w:p>
      <w:pPr>
        <w:spacing w:before="160" w:after="40" w:line="240" w:lineRule="auto"/>
      </w:pPr>
      <w:r>
        <w:rPr>
          <w:b/>
        </w:rPr>
        <w:t xml:space="preserve">[130] </w:t>
      </w:r>
      <w:hyperlink r:id="rId416">
        <w:r>
          <w:rPr>
            <w:color w:val="1155CC"/>
            <w:u w:val="single"/>
          </w:rPr>
          <w:t>用于智能防伪的多色柔性电致变色装置</w:t>
        </w:r>
      </w:hyperlink>
    </w:p>
    <w:p>
      <w:pPr>
        <w:spacing w:before="0" w:after="80"/>
      </w:pPr>
      <w:r>
        <w:rPr>
          <w:i/>
          <w:sz w:val="20"/>
        </w:rPr>
        <w:t>EN: Multi‐Color Flexible Electrochromic Device for Smart Anti‐Counterfeiting</w:t>
      </w:r>
    </w:p>
    <w:p>
      <w:pPr>
        <w:spacing w:before="0" w:after="120"/>
      </w:pPr>
      <w:r>
        <w:rPr>
          <w:b/>
        </w:rPr>
        <w:t xml:space="preserve">Source: </w:t>
      </w:r>
      <w:r>
        <w:t>Wiley: Angewandte Chemie International Edition: Table of Contents</w:t>
      </w:r>
      <w:r>
        <w:t xml:space="preserve">    </w:t>
      </w:r>
      <w:r>
        <w:rPr>
          <w:b/>
        </w:rPr>
        <w:t xml:space="preserve">Pub date: </w:t>
      </w:r>
      <w:r>
        <w:t>2026-04-13 12:42:33+00:00</w:t>
      </w:r>
      <w:r>
        <w:t xml:space="preserve">    </w:t>
      </w:r>
      <w:r>
        <w:rPr>
          <w:b/>
        </w:rPr>
        <w:t xml:space="preserve">DOI: </w:t>
      </w:r>
      <w:hyperlink r:id="rId417">
        <w:r>
          <w:rPr>
            <w:color w:val="1155CC"/>
            <w:u w:val="single"/>
          </w:rPr>
          <w:t>10.1002/anie.6863859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信息安全至关重要。我们提出了一种多级电致变色显示设计用于动态信息加密，由普鲁士蓝、锌和钾镍氰化铁实现。所制备的电致变色设备提供二维CIE色彩空间调制，具有从透明到蓝色、绿色和黄色的四种不同状态。设备通过精心设计和独立可寻址的图案配置，促进电致变色的精确、局部和动态调制，实现高级加密和身份认证，增强适应性。该方法通过多阶段认证、实时色彩调制和可调节的智能加密级别实现卓越的安全性</w:t>
      </w:r>
    </w:p>
    <w:p>
      <w:pPr>
        <w:spacing w:before="0" w:after="200" w:lineRule="auto" w:line="276"/>
      </w:pPr>
      <w:r>
        <w:rPr>
          <w:b/>
        </w:rPr>
        <w:t xml:space="preserve">Abstract (EN): </w:t>
      </w:r>
      <w:r>
        <w:t>Information security is critically important. We propose a multilevel electrochromic display design for dynamic information encryption, enabled by Prussian blue, zinc, and potassium nickel hexacyanoferrate. The as‐fabricated electrochromic devices offer a two‐dimensional CIE color space modulation with four distinct states from transparent to blue, green, and yellow. The devices facilitate precise, localized, and dynamic modulation of electrochromism via an elaborately designed and independently addressable pattern configuration, enabling advanced encryption and identity authentication with enhanced adaptability. This approach achieves superior security through multi‐stage authentication, real‐time color modulation, and adjustable smart encryption levels tailored to different specific requirements. Our work envisions a new generation of flexible electrochromic devices that elevate both display performance and information security.</w:t>
      </w:r>
    </w:p>
    <w:p>
      <w:pPr>
        <w:spacing w:before="120" w:after="120"/>
      </w:pPr>
      <w:r>
        <w:rPr>
          <w:sz w:val="18"/>
        </w:rPr>
        <w:t>——————————————————————————————————————————————————————————————————————</w:t>
      </w:r>
    </w:p>
    <w:p>
      <w:pPr>
        <w:spacing w:before="160" w:after="40" w:line="240" w:lineRule="auto"/>
      </w:pPr>
      <w:r>
        <w:rPr>
          <w:b/>
        </w:rPr>
        <w:t xml:space="preserve">[131] </w:t>
      </w:r>
      <w:hyperlink r:id="rId418">
        <w:r>
          <w:rPr>
            <w:color w:val="1155CC"/>
            <w:u w:val="single"/>
          </w:rPr>
          <w:t>电化学仿生铁催化苄基C─H键羟基化</w:t>
        </w:r>
      </w:hyperlink>
    </w:p>
    <w:p>
      <w:pPr>
        <w:spacing w:before="0" w:after="80"/>
      </w:pPr>
      <w:r>
        <w:rPr>
          <w:i/>
          <w:sz w:val="20"/>
        </w:rPr>
        <w:t>EN: Electrochemical Biomimetic Iron‐Catalyzed Benzylic C─H Bonds Hydroxylation</w:t>
      </w:r>
    </w:p>
    <w:p>
      <w:pPr>
        <w:spacing w:before="0" w:after="120"/>
      </w:pPr>
      <w:r>
        <w:rPr>
          <w:b/>
        </w:rPr>
        <w:t xml:space="preserve">Source: </w:t>
      </w:r>
      <w:r>
        <w:t>Wiley: Angewandte Chemie International Edition: Table of Contents</w:t>
      </w:r>
      <w:r>
        <w:t xml:space="preserve">    </w:t>
      </w:r>
      <w:r>
        <w:rPr>
          <w:b/>
        </w:rPr>
        <w:t xml:space="preserve">Pub date: </w:t>
      </w:r>
      <w:r>
        <w:t>2026-04-13 12:44:09+00:00</w:t>
      </w:r>
      <w:r>
        <w:t xml:space="preserve">    </w:t>
      </w:r>
      <w:r>
        <w:rPr>
          <w:b/>
        </w:rPr>
        <w:t xml:space="preserve">DOI: </w:t>
      </w:r>
      <w:hyperlink r:id="rId419">
        <w:r>
          <w:rPr>
            <w:color w:val="1155CC"/>
            <w:u w:val="single"/>
          </w:rPr>
          <w:t>10.1002/anie.9980873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电化学合成作为一种绿色合成技术引起了广泛关注，特别是在选择性氧化和还原领域，这在该领域中仍然是一个重要但持续的挑战。该方案提出了一种仿生铁催化电化学苄基C─H键羟基化，通过水活化策略，其中原位生成的高价铁氧物种介导，实现高效且高度选择性的苄基羟基化。该方法表现出优异的选择性和广泛的官能团兼容性，适用于初级、次级和三级苄基C─H键，并适合生物活性分子的后期修饰。机制研究强调了双重</w:t>
      </w:r>
    </w:p>
    <w:p>
      <w:pPr>
        <w:spacing w:before="0" w:after="200" w:lineRule="auto" w:line="276"/>
      </w:pPr>
      <w:r>
        <w:rPr>
          <w:b/>
        </w:rPr>
        <w:t xml:space="preserve">Abstract (EN): </w:t>
      </w:r>
      <w:r>
        <w:t>Electrochemical synthesis has attracted considerable attention as a green synthetic technology in recent years, particularly in the domain of selective oxidation and reduction, which represents a significant yet ongoing challenge in the field. This protocol presents a biomimetic iron‐catalyzed electrochemical benzylic C─H bond hydroxylation through a water activation strategy, where in situ‐generated high‐valent iron‐oxo species mediate, enabling efficient and highly selective benzylic hydroxylation. The method exhibits excellent selectivity and broad functional group compatibility, applicable to primary, secondary, and tertiary benzylic C─H bonds, and suitable for late‐stage modification of bioactive molecules. Mechanistic studies highlight the efficacy of a dual‐control approach combining indirect electrolysis with a detached reaction layer to prevent direct substrate oxidation. This method offers a practical and green route to the synthesis of diverse benzyl alcohols.</w:t>
      </w:r>
    </w:p>
    <w:p>
      <w:pPr>
        <w:spacing w:before="120" w:after="120"/>
      </w:pPr>
      <w:r>
        <w:rPr>
          <w:sz w:val="18"/>
        </w:rPr>
        <w:t>——————————————————————————————————————————————————————————————————————</w:t>
      </w:r>
    </w:p>
    <w:p>
      <w:pPr>
        <w:spacing w:before="160" w:after="40" w:line="240" w:lineRule="auto"/>
      </w:pPr>
      <w:r>
        <w:rPr>
          <w:b/>
        </w:rPr>
        <w:t xml:space="preserve">[132] </w:t>
      </w:r>
      <w:hyperlink r:id="rId420">
        <w:r>
          <w:rPr>
            <w:color w:val="1155CC"/>
            <w:u w:val="single"/>
          </w:rPr>
          <w:t>通过后锁定环编辑实现立体定义的不可能[3]轮烷</w:t>
        </w:r>
      </w:hyperlink>
    </w:p>
    <w:p>
      <w:pPr>
        <w:spacing w:before="0" w:after="80"/>
      </w:pPr>
      <w:r>
        <w:rPr>
          <w:i/>
          <w:sz w:val="20"/>
        </w:rPr>
        <w:t>EN: Stereodefined Improbable [3]Rotaxane by Post‐Interlocking Ring Editing</w:t>
      </w:r>
    </w:p>
    <w:p>
      <w:pPr>
        <w:spacing w:before="0" w:after="120"/>
      </w:pPr>
      <w:r>
        <w:rPr>
          <w:b/>
        </w:rPr>
        <w:t xml:space="preserve">Source: </w:t>
      </w:r>
      <w:r>
        <w:t>Wiley: Angewandte Chemie International Edition: Table of Contents</w:t>
      </w:r>
      <w:r>
        <w:t xml:space="preserve">    </w:t>
      </w:r>
      <w:r>
        <w:rPr>
          <w:b/>
        </w:rPr>
        <w:t xml:space="preserve">Pub date: </w:t>
      </w:r>
      <w:r>
        <w:t>2026-04-13 12:44:57+00:00</w:t>
      </w:r>
      <w:r>
        <w:t xml:space="preserve">    </w:t>
      </w:r>
      <w:r>
        <w:rPr>
          <w:b/>
        </w:rPr>
        <w:t xml:space="preserve">DOI: </w:t>
      </w:r>
      <w:hyperlink r:id="rId421">
        <w:r>
          <w:rPr>
            <w:color w:val="1155CC"/>
            <w:u w:val="single"/>
          </w:rPr>
          <w:t>10.1002/anie.4543318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高阶机械互锁分子在针对所谓的不可能轮烷时具有挑战性——这些结构在统计上不利，其环和轴组件缺乏相互识别。当环是外消旋或立体不稳定时，这一挑战变得更加严峻，因为任何成功的组装将不可避免地产生立体异构体混合物，而不是明确的产物。在此，我们展示了一种使用共价有机柱COP-1作为环组件的后互锁环编辑策略。纳米管状COP-1通过两个固有手性y的动态共价亚胺缩合组装而成。</w:t>
      </w:r>
    </w:p>
    <w:p>
      <w:pPr>
        <w:spacing w:before="0" w:after="200" w:lineRule="auto" w:line="276"/>
      </w:pPr>
      <w:r>
        <w:rPr>
          <w:b/>
        </w:rPr>
        <w:t xml:space="preserve">Abstract (EN): </w:t>
      </w:r>
      <w:r>
        <w:t>The synthesis of higher‐order mechanically interlocked molecules is challenging when targeting so‐called improbable rotaxanes—statistically disfavored architectures whose ring and axle components lack mutual recognition. This challenge becomes more severe when the rings are racemic or stereolabile, as any successful assembly will inevitably produce a stereoisomeric mixture rather than a well‐defined product. Herein, we demonstrate a</w:t>
      </w:r>
      <w:r>
        <w:t xml:space="preserve"> </w:t>
      </w:r>
      <w:r>
        <w:t>post‐interlocking ring editing</w:t>
      </w:r>
      <w:r>
        <w:t xml:space="preserve"> </w:t>
      </w:r>
      <w:r>
        <w:t>strategy using covalent organic pillar</w:t>
      </w:r>
      <w:r>
        <w:t xml:space="preserve"> </w:t>
      </w:r>
      <w:r>
        <w:t>COP‐1</w:t>
      </w:r>
      <w:r>
        <w:t xml:space="preserve"> </w:t>
      </w:r>
      <w:r>
        <w:t>as the ring component. Nanotubular</w:t>
      </w:r>
      <w:r>
        <w:t xml:space="preserve"> </w:t>
      </w:r>
      <w:r>
        <w:t>COP‐1</w:t>
      </w:r>
      <w:r>
        <w:t xml:space="preserve"> </w:t>
      </w:r>
      <w:r>
        <w:t>is assembled by dynamic covalent imine condensation of two inherently chiral yet stereolabile macrocyclic building blocks that exhibit negligible binding towards long</w:t>
      </w:r>
      <w:r>
        <w:t xml:space="preserve"> </w:t>
      </w:r>
      <w:r>
        <w:t>n</w:t>
      </w:r>
      <w:r>
        <w:t xml:space="preserve"> </w:t>
      </w:r>
      <w:r>
        <w:t>‐alkyl threads. Preorganization within</w:t>
      </w:r>
      <w:r>
        <w:t xml:space="preserve"> </w:t>
      </w:r>
      <w:r>
        <w:t>COP‐1</w:t>
      </w:r>
      <w:r>
        <w:t xml:space="preserve"> </w:t>
      </w:r>
      <w:r>
        <w:t>renders the duplex scaffold stereostable, enabling its chiral resolution and switching on ring‐axle recognition. Using the resolved</w:t>
      </w:r>
      <w:r>
        <w:t xml:space="preserve"> </w:t>
      </w:r>
      <w:r>
        <w:t>CO</w:t>
      </w:r>
      <w:r>
        <w:t xml:space="preserve"> </w:t>
      </w:r>
      <w:r>
        <w:t>P</w:t>
      </w:r>
      <w:r>
        <w:t xml:space="preserve"> </w:t>
      </w:r>
      <w:r>
        <w:t>‐1</w:t>
      </w:r>
      <w:r>
        <w:t xml:space="preserve"> </w:t>
      </w:r>
      <w:r>
        <w:t>, a threading‐followed‐by‐stoppering protocol furnishes enantiopure [2]rotaxanes. Subsequent imine hydrolysis edits the interlocked</w:t>
      </w:r>
      <w:r>
        <w:t xml:space="preserve"> </w:t>
      </w:r>
      <w:r>
        <w:t>COP‐1</w:t>
      </w:r>
      <w:r>
        <w:t xml:space="preserve"> </w:t>
      </w:r>
      <w:r>
        <w:t>duplex into its two parent macrocycles, converting each [2]rotaxane into the corresponding improbable [3]rotaxane. The mechanical bond preserves the stereochemical configuration inherited from</w:t>
      </w:r>
      <w:r>
        <w:t xml:space="preserve"> </w:t>
      </w:r>
      <w:r>
        <w:t>COP‐1</w:t>
      </w:r>
      <w:r>
        <w:t xml:space="preserve"> </w:t>
      </w:r>
      <w:r>
        <w:t>, without loss of enantiopurity. This</w:t>
      </w:r>
      <w:r>
        <w:t xml:space="preserve"> </w:t>
      </w:r>
      <w:r>
        <w:t>post‐interlocking ring editing</w:t>
      </w:r>
      <w:r>
        <w:t xml:space="preserve"> </w:t>
      </w:r>
      <w:r>
        <w:t>strategy circumvents the statistical limitations of direct multiring interlocking, providing a programmable route to stereodefined improbable rotaxanes and design principles for higher‐order chiral mechanically interlocked architectures.</w:t>
      </w:r>
    </w:p>
    <w:p>
      <w:pPr>
        <w:spacing w:before="120" w:after="120"/>
      </w:pPr>
      <w:r>
        <w:rPr>
          <w:sz w:val="18"/>
        </w:rPr>
        <w:t>——————————————————————————————————————————————————————————————————————</w:t>
      </w:r>
    </w:p>
    <w:p>
      <w:pPr>
        <w:spacing w:before="160" w:after="40" w:line="240" w:lineRule="auto"/>
      </w:pPr>
      <w:r>
        <w:rPr>
          <w:b/>
        </w:rPr>
        <w:t xml:space="preserve">[133] </w:t>
      </w:r>
      <w:hyperlink r:id="rId422">
        <w:r>
          <w:rPr>
            <w:color w:val="1155CC"/>
            <w:u w:val="single"/>
          </w:rPr>
          <w:t>阳离子大小依赖的胍基丙酸构象折叠：实现可调双折射和平衡的二次谐波生成性能</w:t>
        </w:r>
      </w:hyperlink>
    </w:p>
    <w:p>
      <w:pPr>
        <w:spacing w:before="0" w:after="80"/>
      </w:pPr>
      <w:r>
        <w:rPr>
          <w:i/>
          <w:sz w:val="20"/>
        </w:rPr>
        <w:t>EN: Anion Size‐Dependent Conformational Folding of Guanidinopropionate: Enabling Tunable Birefringence and Balanced Second‐Harmonic Generation Performance</w:t>
      </w:r>
    </w:p>
    <w:p>
      <w:pPr>
        <w:spacing w:before="0" w:after="120"/>
      </w:pPr>
      <w:r>
        <w:rPr>
          <w:b/>
        </w:rPr>
        <w:t xml:space="preserve">Source: </w:t>
      </w:r>
      <w:r>
        <w:t>Wiley: Angewandte Chemie International Edition: Table of Contents</w:t>
      </w:r>
      <w:r>
        <w:t xml:space="preserve">    </w:t>
      </w:r>
      <w:r>
        <w:rPr>
          <w:b/>
        </w:rPr>
        <w:t xml:space="preserve">Pub date: </w:t>
      </w:r>
      <w:r>
        <w:t>2026-04-13 12:45:29+00:00</w:t>
      </w:r>
      <w:r>
        <w:t xml:space="preserve">    </w:t>
      </w:r>
      <w:r>
        <w:rPr>
          <w:b/>
        </w:rPr>
        <w:t xml:space="preserve">DOI: </w:t>
      </w:r>
      <w:hyperlink r:id="rId423">
        <w:r>
          <w:rPr>
            <w:color w:val="1155CC"/>
            <w:u w:val="single"/>
          </w:rPr>
          <w:t>10.1002/anie.3114156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结构-性能关系研究构成了高性能功能材料的合理设计和合成的基本范式。在此，报道了四种胍基丙酸盐（C4H10N3O2）X（X = Cl–（GPC），Br−（GPB），[HSeO3]−（GPSe），和[NH2SO3]−（GPMS））。阴离子尺寸依赖的C2─</w:t>
      </w:r>
    </w:p>
    <w:p>
      <w:pPr>
        <w:spacing w:before="0" w:after="200" w:lineRule="auto" w:line="276"/>
      </w:pPr>
      <w:r>
        <w:rPr>
          <w:b/>
        </w:rPr>
        <w:t xml:space="preserve">Abstract (EN): </w:t>
      </w:r>
      <w:r>
        <w:t>The structure–property relationship investigations constitute a fundamental paradigm for the rational design and synthesis of high‐performance functional materials. Herein, four guanidinopropionates (C</w:t>
      </w:r>
      <w:r>
        <w:rPr>
          <w:vertAlign w:val="subscript"/>
        </w:rPr>
        <w:t>4</w:t>
      </w:r>
      <w:r>
        <w:t>H</w:t>
      </w:r>
      <w:r>
        <w:rPr>
          <w:vertAlign w:val="subscript"/>
        </w:rPr>
        <w:t>10</w:t>
      </w:r>
      <w:r>
        <w:t>N</w:t>
      </w:r>
      <w:r>
        <w:rPr>
          <w:vertAlign w:val="subscript"/>
        </w:rPr>
        <w:t>3</w:t>
      </w:r>
      <w:r>
        <w:t>O</w:t>
      </w:r>
      <w:r>
        <w:rPr>
          <w:vertAlign w:val="subscript"/>
        </w:rPr>
        <w:t>2</w:t>
      </w:r>
      <w:r>
        <w:t>)X (X = Cl– (GPC), Br</w:t>
      </w:r>
      <w:r>
        <w:t xml:space="preserve"> </w:t>
      </w:r>
      <w:r>
        <w:t>−</w:t>
      </w:r>
      <w:r>
        <w:t>(GPB), [HSeO</w:t>
      </w:r>
      <w:r>
        <w:rPr>
          <w:vertAlign w:val="subscript"/>
        </w:rPr>
        <w:t>3</w:t>
      </w:r>
      <w:r>
        <w:t>]</w:t>
      </w:r>
      <w:r>
        <w:t xml:space="preserve"> </w:t>
      </w:r>
      <w:r>
        <w:t>−</w:t>
      </w:r>
      <w:r>
        <w:t>(GPSe), and [NH</w:t>
      </w:r>
      <w:r>
        <w:rPr>
          <w:vertAlign w:val="subscript"/>
        </w:rPr>
        <w:t>2</w:t>
      </w:r>
      <w:r>
        <w:t>SO</w:t>
      </w:r>
      <w:r>
        <w:rPr>
          <w:vertAlign w:val="subscript"/>
        </w:rPr>
        <w:t>3</w:t>
      </w:r>
      <w:r>
        <w:t>]</w:t>
      </w:r>
      <w:r>
        <w:t xml:space="preserve"> </w:t>
      </w:r>
      <w:r>
        <w:t>−</w:t>
      </w:r>
      <w:r>
        <w:t>(GPMS)) were reported. Anion‐size‐dependent modulation of the C2─C3 single bond rotation (linking guanidino and carboxylic π‐conjugated groups) induces a reduction of the dihedral angle between the two π‐conjugated planes (</w:t>
      </w:r>
      <w:r>
        <w:t xml:space="preserve"> </w:t>
      </w:r>
      <w:r>
        <w:t>α</w:t>
      </w:r>
      <w:r>
        <w:t xml:space="preserve"> </w:t>
      </w:r>
      <w:r>
        <w:t>) from 175° to 65°. With such a coplanarity reduction, the optical anisotropy property (birefringence, Δ</w:t>
      </w:r>
      <w:r>
        <w:t xml:space="preserve"> </w:t>
      </w:r>
      <w:r>
        <w:t>n</w:t>
      </w:r>
      <w:r>
        <w:t xml:space="preserve"> </w:t>
      </w:r>
      <w:r>
        <w:t>) decreases from an excessive 0.20 in GPC to a favorable 0.11 in GPMS. Remarkably, GPMS also exhibits a large band gap (5.63 eV) and an enhanced second‐harmonic generation (SHG) response (3.3 × KH</w:t>
      </w:r>
      <w:r>
        <w:rPr>
          <w:vertAlign w:val="subscript"/>
        </w:rPr>
        <w:t>2</w:t>
      </w:r>
      <w:r>
        <w:t>PO</w:t>
      </w:r>
      <w:r>
        <w:rPr>
          <w:vertAlign w:val="subscript"/>
        </w:rPr>
        <w:t>4</w:t>
      </w:r>
      <w:r>
        <w:t>). DFT reveals these four conformations are nearly degenerated, and the HOMO–LUMO gap, polarizability anisotropy, and hyperpolarizability across these four conformers are broadly tunable. This work first demonstrates how conformational folding control of flexible π‐conjugated units effectively modulates and optimally balances three critical yet mutually restrictive parameters essential for high‐performance SHG materials.</w:t>
      </w:r>
    </w:p>
    <w:p>
      <w:pPr>
        <w:spacing w:before="120" w:after="120"/>
      </w:pPr>
      <w:r>
        <w:rPr>
          <w:sz w:val="18"/>
        </w:rPr>
        <w:t>——————————————————————————————————————————————————————————————————————</w:t>
      </w:r>
    </w:p>
    <w:p>
      <w:pPr>
        <w:spacing w:before="160" w:after="40" w:line="240" w:lineRule="auto"/>
      </w:pPr>
      <w:r>
        <w:rPr>
          <w:b/>
        </w:rPr>
        <w:t xml:space="preserve">[134] </w:t>
      </w:r>
      <w:hyperlink r:id="rId424">
        <w:r>
          <w:rPr>
            <w:color w:val="1155CC"/>
            <w:u w:val="single"/>
          </w:rPr>
          <w:t>在工业相关电流密度下选择性电催化苯酚加氢为环己酮</w:t>
        </w:r>
      </w:hyperlink>
    </w:p>
    <w:p>
      <w:pPr>
        <w:spacing w:before="0" w:after="80"/>
      </w:pPr>
      <w:r>
        <w:rPr>
          <w:i/>
          <w:sz w:val="20"/>
        </w:rPr>
        <w:t>EN: Selective Electrocatalytic Hydrogenation of Phenol to Cyclohexanone at Industrial‐Relevant Current Density</w:t>
      </w:r>
    </w:p>
    <w:p>
      <w:pPr>
        <w:spacing w:before="0" w:after="120"/>
      </w:pPr>
      <w:r>
        <w:rPr>
          <w:b/>
        </w:rPr>
        <w:t xml:space="preserve">Source: </w:t>
      </w:r>
      <w:r>
        <w:t>Wiley: Angewandte Chemie International Edition: Table of Contents</w:t>
      </w:r>
      <w:r>
        <w:t xml:space="preserve">    </w:t>
      </w:r>
      <w:r>
        <w:rPr>
          <w:b/>
        </w:rPr>
        <w:t xml:space="preserve">Pub date: </w:t>
      </w:r>
      <w:r>
        <w:t>2026-04-13 12:48:06+00:00</w:t>
      </w:r>
      <w:r>
        <w:t xml:space="preserve">    </w:t>
      </w:r>
      <w:r>
        <w:rPr>
          <w:b/>
        </w:rPr>
        <w:t xml:space="preserve">DOI: </w:t>
      </w:r>
      <w:hyperlink r:id="rId425">
        <w:r>
          <w:rPr>
            <w:color w:val="1155CC"/>
            <w:u w:val="single"/>
          </w:rPr>
          <w:t>10.1002/anie.2978958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衍生酚的电催化加氢是一种可持续的替代途径，通过替代当前能量密集的热催化过程来生产增值化学品如环己酮。然而，迄今为止，选择性电催化酚转化为环己酮的电流密度显著低于工业应用的要求。在此，我们报告了一种铂钯（PtPd）合金电催化剂，在工业相关电流密度565 mA cm−2下，以51%的法拉第效率和88%的选择性生产环己酮，电位为-0.40 V相对于可逆氢电极。机制研究表明Pt位点</w:t>
      </w:r>
    </w:p>
    <w:p>
      <w:pPr>
        <w:spacing w:before="0" w:after="200" w:lineRule="auto" w:line="276"/>
      </w:pPr>
      <w:r>
        <w:rPr>
          <w:b/>
        </w:rPr>
        <w:t xml:space="preserve">Abstract (EN): </w:t>
      </w:r>
      <w:r>
        <w:t>Electrocatalytic hydrogenation of biomass‐derived phenol represents a sustainable alternative route to produce value‐added chemicals such as cyclohexanone by replacing current energy‐intensive thermo‐catalytic processes. However, to date, the current densities of selective electrocatalytic phenol‐to‐cyclohexanone conversions are significantly lower than the requirements for industrial applications. Herein, we report a platinum‐palladium (PtPd) alloy electrocatalyst, exhibiting cyclohexanone production with 51% Faradaic efficiency and 88% selectivity at an industrial‐relevant current density of 565 mA cm</w:t>
      </w:r>
      <w:r>
        <w:t xml:space="preserve"> </w:t>
      </w:r>
      <w:r>
        <w:t>−2</w:t>
      </w:r>
      <w:r>
        <w:t xml:space="preserve"> </w:t>
      </w:r>
      <w:r>
        <w:t>under −0.40 V versus reversible hydrogen electrode. Mechanistic studies indicate that the Pt sites catalyze active hydrogen species generation, which experience spillover to Pd, while Pd sites are responsible for phenol adsorption and hydrogenation, cooperatively promoting cyclohexanone production via a non‐competitive Langmuir–Hinshelwood mechanism. This work provides guidelines for the rational design of efficient electrocatalytic hydrogenation catalysts toward biomass upgrading at industrially relevant current densities.</w:t>
      </w:r>
    </w:p>
    <w:p>
      <w:pPr>
        <w:spacing w:before="120" w:after="120"/>
      </w:pPr>
      <w:r>
        <w:rPr>
          <w:sz w:val="18"/>
        </w:rPr>
        <w:t>——————————————————————————————————————————————————————————————————————</w:t>
      </w:r>
    </w:p>
    <w:p>
      <w:pPr>
        <w:spacing w:before="160" w:after="40" w:line="240" w:lineRule="auto"/>
      </w:pPr>
      <w:r>
        <w:rPr>
          <w:b/>
        </w:rPr>
        <w:t xml:space="preserve">[135] </w:t>
      </w:r>
      <w:hyperlink r:id="rId426">
        <w:r>
          <w:rPr>
            <w:color w:val="1155CC"/>
            <w:u w:val="single"/>
          </w:rPr>
          <w:t>从Pourbaix图解开N掺杂石墨烯支持的单原子和双原子催化剂的稳定性</w:t>
        </w:r>
      </w:hyperlink>
    </w:p>
    <w:p>
      <w:pPr>
        <w:spacing w:before="0" w:after="80"/>
      </w:pPr>
      <w:r>
        <w:rPr>
          <w:i/>
          <w:sz w:val="20"/>
        </w:rPr>
        <w:t>EN: Unraveling the Stability of N‐Doped Graphene Supported Single‐Atom and Dual‐Atom Catalysts From Pourbaix Diagram</w:t>
      </w:r>
    </w:p>
    <w:p>
      <w:pPr>
        <w:spacing w:before="0" w:after="120"/>
      </w:pPr>
      <w:r>
        <w:rPr>
          <w:b/>
        </w:rPr>
        <w:t xml:space="preserve">Source: </w:t>
      </w:r>
      <w:r>
        <w:t>Wiley: Angewandte Chemie International Edition: Table of Contents</w:t>
      </w:r>
      <w:r>
        <w:t xml:space="preserve">    </w:t>
      </w:r>
      <w:r>
        <w:rPr>
          <w:b/>
        </w:rPr>
        <w:t xml:space="preserve">Pub date: </w:t>
      </w:r>
      <w:r>
        <w:t>2026-04-13 12:51:20+00:00</w:t>
      </w:r>
      <w:r>
        <w:t xml:space="preserve">    </w:t>
      </w:r>
      <w:r>
        <w:rPr>
          <w:b/>
        </w:rPr>
        <w:t xml:space="preserve">DOI: </w:t>
      </w:r>
      <w:hyperlink r:id="rId427">
        <w:r>
          <w:rPr>
            <w:color w:val="1155CC"/>
            <w:u w:val="single"/>
          </w:rPr>
          <w:t>10.1002/anie.3532397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单原子催化剂（SACs）和双原子催化剂（DACs）在多相催化中表现出巨大潜力。然而，研究其在实际反应条件下的稳定性仍然是一个挑战。本研究从理论上研究了五种金属（Cr、Mn、Fe、Co 和 Ni）在不同 pH 值和电位下，N 掺杂石墨烯支持的 SAC 和 DAC 的电化学稳定性。我们提出了一种通用方法，不仅考虑了溶液中浸出金属的化学形态（离子、氢氧化物和氧阴离子），还引入了基底空位的结构修饰（与 H 结合）。通过构建 pH-电位依赖的吉布斯自由能标准，绘制了每种催化剂在无吸附物和有吸附物情况下的 Pourbaix 图（稳定性）。</w:t>
      </w:r>
    </w:p>
    <w:p>
      <w:pPr>
        <w:spacing w:before="0" w:after="200" w:lineRule="auto" w:line="276"/>
      </w:pPr>
      <w:r>
        <w:rPr>
          <w:b/>
        </w:rPr>
        <w:t xml:space="preserve">Abstract (EN): </w:t>
      </w:r>
      <w:r>
        <w:t>Single‐atom catalysts (SACs) and dual‐atom catalysts (DACs) exhibit great potential in heterogeneous catalysis. However, studying their stability under practical reaction conditions remains a challenge. This work theoretically studies the electrochemical stability of N‐doped graphene‐supported SAC and DAC of five metals (Cr, Mn, Fe, Co, and Ni) under different pH and electric potentials. We propose a universal method that not only considers the chemical speciation of leached metal in solution (ions, hydroxides, and oxyanions) but also introduces structural modification for the substrate vacancy (binding with H). By constructing pH‐potential dependent Gibbs free‐energy criteria, Pourbaix diagrams (stability) for each catalyst without and with adsorbates were plotted. The results show that Co‐ and Ni‐SAC possess good stability over a wide range of potentials and pH, and Co‐SAC can be further stabilized by adsorbates (*H, *OH, or *OOH). Fe‐SAC can only be stable with *H, *O, and *OOH, while Mn‐SAC only exhibits stability with *O, under certain potentials and pH. Cr‐SAC and Cr‐, Mn‐, Fe‐DAC are unstable under all conditions. The stable regions of DAC are generally smaller than those of SAC, indicating potential difficulties in synthesis and applications. This study provides a theoretical model for evaluating and screening durable catalysts in realistic applications.</w:t>
      </w:r>
    </w:p>
    <w:p>
      <w:pPr>
        <w:spacing w:before="120" w:after="120"/>
      </w:pPr>
      <w:r>
        <w:rPr>
          <w:sz w:val="18"/>
        </w:rPr>
        <w:t>——————————————————————————————————————————————————————————————————————</w:t>
      </w:r>
    </w:p>
    <w:p>
      <w:pPr>
        <w:spacing w:before="160" w:after="40" w:line="240" w:lineRule="auto"/>
      </w:pPr>
      <w:r>
        <w:rPr>
          <w:b/>
        </w:rPr>
        <w:t xml:space="preserve">[136] </w:t>
      </w:r>
      <w:hyperlink r:id="rId428">
        <w:r>
          <w:rPr>
            <w:color w:val="1155CC"/>
            <w:u w:val="single"/>
          </w:rPr>
          <w:t>融合环工程诱导共价有机框架中的拓扑控制：解锁促进的光催化H2O2生产和选择性甲烷氧化</w:t>
        </w:r>
      </w:hyperlink>
    </w:p>
    <w:p>
      <w:pPr>
        <w:spacing w:before="0" w:after="80"/>
      </w:pPr>
      <w:r>
        <w:rPr>
          <w:i/>
          <w:sz w:val="20"/>
        </w:rPr>
        <w:t>EN: Fused Ring Engineering Induced Topology Control in Covalent Organic Frameworks: Unlocking Promoted Photocatalytic H2O2 Production and Selective Methane Oxidation</w:t>
      </w:r>
    </w:p>
    <w:p>
      <w:pPr>
        <w:spacing w:before="0" w:after="120"/>
      </w:pPr>
      <w:r>
        <w:rPr>
          <w:b/>
        </w:rPr>
        <w:t xml:space="preserve">Source: </w:t>
      </w:r>
      <w:r>
        <w:t>Wiley: Angewandte Chemie International Edition: Table of Contents</w:t>
      </w:r>
      <w:r>
        <w:t xml:space="preserve">    </w:t>
      </w:r>
      <w:r>
        <w:rPr>
          <w:b/>
        </w:rPr>
        <w:t xml:space="preserve">Pub date: </w:t>
      </w:r>
      <w:r>
        <w:t>2026-04-13 12:51:22+00:00</w:t>
      </w:r>
      <w:r>
        <w:t xml:space="preserve">    </w:t>
      </w:r>
      <w:r>
        <w:rPr>
          <w:b/>
        </w:rPr>
        <w:t xml:space="preserve">DOI: </w:t>
      </w:r>
      <w:hyperlink r:id="rId429">
        <w:r>
          <w:rPr>
            <w:color w:val="1155CC"/>
            <w:u w:val="single"/>
          </w:rPr>
          <w:t>10.1002/anie.1288153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高效的太阳能到化学能转换和甲烷的选择性活化仍然是人工光合作用中的重大挑战。在此，我们报告了两种共价有机框架（COFs）的合理设计，Phen-TTA 和 O-TTA，其中框架拓扑和 π-共轭通过将三嗪基受体与刚性 1,10-菲咯啉或扭曲的 2,2′-联吡啶供体配对来调节。结果表明，具有刚性 kgd-v 拓扑的 Phen-TTA 相对于具有 hcb 拓扑的 O-TTA，具有缩小的带隙、降低的激子结合能和加速的载流子动力学。因此，Phen-TTA 提供了高光催化活性。</w:t>
      </w:r>
    </w:p>
    <w:p>
      <w:pPr>
        <w:spacing w:before="0" w:after="200" w:lineRule="auto" w:line="276"/>
      </w:pPr>
      <w:r>
        <w:rPr>
          <w:b/>
        </w:rPr>
        <w:t xml:space="preserve">Abstract (EN): </w:t>
      </w:r>
      <w:r>
        <w:t>Efficient solar‐to‐chemical energy conversion and the selective activation of methane remain grand challenges in artificial photosynthesis. Here, we report the rational design of two covalent organic frameworks (COFs), Phen‐TTA and O‐TTA, in which framework topology and π‐conjugation are regulated by pairing a triazine‐based acceptor with either a rigid 1,10‐phenanthroline or a twisted 2,2′‐bipyridine donor. The results show that the Phen‐TTA, bearing a rigid</w:t>
      </w:r>
      <w:r>
        <w:t xml:space="preserve"> </w:t>
      </w:r>
      <w:r>
        <w:t>kgd‐v</w:t>
      </w:r>
      <w:r>
        <w:t xml:space="preserve"> </w:t>
      </w:r>
      <w:r>
        <w:t>topology, features a narrowed bandgap, reduced exciton binding energy, and accelerated charge‐carrier kinetics relative to O‐TTA with an</w:t>
      </w:r>
      <w:r>
        <w:t xml:space="preserve"> </w:t>
      </w:r>
      <w:r>
        <w:t>hcb</w:t>
      </w:r>
      <w:r>
        <w:t xml:space="preserve"> </w:t>
      </w:r>
      <w:r>
        <w:t>topology. Consequently, Phen‐TTA delivers a high photocatalytic H</w:t>
      </w:r>
      <w:r>
        <w:rPr>
          <w:vertAlign w:val="subscript"/>
        </w:rPr>
        <w:t>2</w:t>
      </w:r>
      <w:r>
        <w:t>O</w:t>
      </w:r>
      <w:r>
        <w:rPr>
          <w:vertAlign w:val="subscript"/>
        </w:rPr>
        <w:t>2</w:t>
      </w:r>
      <w:r>
        <w:t>production behavior (21.5 mmol h</w:t>
      </w:r>
      <w:r>
        <w:t xml:space="preserve"> </w:t>
      </w:r>
      <w:r>
        <w:t>−1</w:t>
      </w:r>
      <w:r>
        <w:t xml:space="preserve"> </w:t>
      </w:r>
      <w:r>
        <w:t>g</w:t>
      </w:r>
      <w:r>
        <w:t xml:space="preserve"> </w:t>
      </w:r>
      <w:r>
        <w:t>−1</w:t>
      </w:r>
      <w:r>
        <w:t xml:space="preserve"> </w:t>
      </w:r>
      <w:r>
        <w:t>and an apparent quantum yield of 5.45% at 450 nm), placing it among the most active COF‐based photocatalysts ever reported. Notably, Phen‐TTA further enables selective photocatalytic methane oxidation to ethanol (30.1 µmol h</w:t>
      </w:r>
      <w:r>
        <w:t xml:space="preserve"> </w:t>
      </w:r>
      <w:r>
        <w:t>−1</w:t>
      </w:r>
      <w:r>
        <w:t xml:space="preserve"> </w:t>
      </w:r>
      <w:r>
        <w:t>g</w:t>
      </w:r>
      <w:r>
        <w:t xml:space="preserve"> </w:t>
      </w:r>
      <w:r>
        <w:t>−1</w:t>
      </w:r>
      <w:r>
        <w:t xml:space="preserve"> </w:t>
      </w:r>
      <w:r>
        <w:t>, 365 nm irradiation) in the absence of noble‐metal cocatalysts. Mechanistic investigations indicate that the enhanced framework rigidity promotes sequential one‐electron oxygen reduction to H</w:t>
      </w:r>
      <w:r>
        <w:rPr>
          <w:vertAlign w:val="subscript"/>
        </w:rPr>
        <w:t>2</w:t>
      </w:r>
      <w:r>
        <w:t>O</w:t>
      </w:r>
      <w:r>
        <w:rPr>
          <w:vertAlign w:val="subscript"/>
        </w:rPr>
        <w:t>2</w:t>
      </w:r>
      <w:r>
        <w:t>, while the sustained H</w:t>
      </w:r>
      <w:r>
        <w:rPr>
          <w:vertAlign w:val="subscript"/>
        </w:rPr>
        <w:t>2</w:t>
      </w:r>
      <w:r>
        <w:t>O</w:t>
      </w:r>
      <w:r>
        <w:rPr>
          <w:vertAlign w:val="subscript"/>
        </w:rPr>
        <w:t>2</w:t>
      </w:r>
      <w:r>
        <w:t>supply undergoes photolysis to yield</w:t>
      </w:r>
      <w:r>
        <w:t xml:space="preserve"> </w:t>
      </w:r>
      <w:r>
        <w:t>•</w:t>
      </w:r>
      <w:r>
        <w:t xml:space="preserve"> </w:t>
      </w:r>
      <w:r>
        <w:t>OH that drive C─H activation. This work establishes topology engineering as an effective strategy to overcome excitonic and charge‐transport limitations in polymeric photocatalysts and demonstrates a rare single‐component organic framework for tandem solar‐driven methane valorization.</w:t>
      </w:r>
    </w:p>
    <w:p>
      <w:pPr>
        <w:spacing w:before="120" w:after="120"/>
      </w:pPr>
      <w:r>
        <w:rPr>
          <w:sz w:val="18"/>
        </w:rPr>
        <w:t>——————————————————————————————————————————————————————————————————————</w:t>
      </w:r>
    </w:p>
    <w:p>
      <w:pPr>
        <w:spacing w:before="160" w:after="40" w:line="240" w:lineRule="auto"/>
      </w:pPr>
      <w:r>
        <w:rPr>
          <w:b/>
        </w:rPr>
        <w:t xml:space="preserve">[137] </w:t>
      </w:r>
      <w:hyperlink r:id="rId430">
        <w:r>
          <w:rPr>
            <w:color w:val="1155CC"/>
            <w:u w:val="single"/>
          </w:rPr>
          <w:t>通过直接不对称Prins环合水合反应获得天然蚊虫驱避剂p-薄荷烷-3,8-二醇的生物催化途径</w:t>
        </w:r>
      </w:hyperlink>
    </w:p>
    <w:p>
      <w:pPr>
        <w:spacing w:before="0" w:after="80"/>
      </w:pPr>
      <w:r>
        <w:rPr>
          <w:i/>
          <w:sz w:val="20"/>
        </w:rPr>
        <w:t>EN: Biocatalytic Access to Natural Mosquito Repellent p‐Menthane‐3,8‐diol via Direct Asymmetric Prins Cyclohydration</w:t>
      </w:r>
    </w:p>
    <w:p>
      <w:pPr>
        <w:spacing w:before="0" w:after="120"/>
      </w:pPr>
      <w:r>
        <w:rPr>
          <w:b/>
        </w:rPr>
        <w:t xml:space="preserve">Source: </w:t>
      </w:r>
      <w:r>
        <w:t>Wiley: Angewandte Chemie International Edition: Table of Contents</w:t>
      </w:r>
      <w:r>
        <w:t xml:space="preserve">    </w:t>
      </w:r>
      <w:r>
        <w:rPr>
          <w:b/>
        </w:rPr>
        <w:t xml:space="preserve">Pub date: </w:t>
      </w:r>
      <w:r>
        <w:t>2026-04-13 12:55:55+00:00</w:t>
      </w:r>
      <w:r>
        <w:t xml:space="preserve">    </w:t>
      </w:r>
      <w:r>
        <w:rPr>
          <w:b/>
        </w:rPr>
        <w:t xml:space="preserve">DOI: </w:t>
      </w:r>
      <w:hyperlink r:id="rId431">
        <w:r>
          <w:rPr>
            <w:color w:val="1155CC"/>
            <w:u w:val="single"/>
          </w:rPr>
          <w:t>10.1002/anie.8826784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媒介传播疾病构成了日益严重的全球健康挑战，迫切需要开发安全有效的害虫防护剂。在此，我们报道了一种高度选择性的生物催化直接Prins环合水合反应，用于合成(1R)-顺式-p-薄荷烷-3,8-二醇(PMD)，这是一种具有高效力的天然驱虫剂。通过战略性地工程化鲨烯-霍普烯环化酶(SHCs)，我们实现了超过96%的非对映体过量，超越了先前的合成方法。结构和机制分析表明，直接Prins环合水合反应以及酶活性口袋内精确定位的水分子在f附近。</w:t>
      </w:r>
    </w:p>
    <w:p>
      <w:pPr>
        <w:spacing w:before="0" w:after="200" w:lineRule="auto" w:line="276"/>
      </w:pPr>
      <w:r>
        <w:rPr>
          <w:b/>
        </w:rPr>
        <w:t xml:space="preserve">Abstract (EN): </w:t>
      </w:r>
      <w:r>
        <w:t>Vector‐borne diseases pose a rising global health challenge, necessitating the development of safe and effective pest protection agents. Here, we report a highly selective biocatalytic direct Prins cyclohydration for the synthesis of (1</w:t>
      </w:r>
      <w:r>
        <w:t xml:space="preserve"> </w:t>
      </w:r>
      <w:r>
        <w:t>R</w:t>
      </w:r>
      <w:r>
        <w:t xml:space="preserve"> </w:t>
      </w:r>
      <w:r>
        <w:t>)‐</w:t>
      </w:r>
      <w:r>
        <w:t xml:space="preserve"> </w:t>
      </w:r>
      <w:r>
        <w:t>cis</w:t>
      </w:r>
      <w:r>
        <w:t xml:space="preserve"> </w:t>
      </w:r>
      <w:r>
        <w:t>‐</w:t>
      </w:r>
      <w:r>
        <w:t xml:space="preserve"> </w:t>
      </w:r>
      <w:r>
        <w:t>p</w:t>
      </w:r>
      <w:r>
        <w:t xml:space="preserve"> </w:t>
      </w:r>
      <w:r>
        <w:t>‐menthane‐3,8‐diol (PMD), a natural insect repellent with high efficacy. By strategically engineering squalene‐hopene cyclases (SHCs), we achieved &amp;gt;96% diastereomeric excess, surpassing previous synthetic methods. Structural and mechanistic analyses suggest direct Prins cyclohydration and a precisely positioned water molecule within the enzyme's active pocket adjacent to the final carbocation that drives hydration and catalytic efficiency. Fine‐tuning the biocatalytic setup enabled preparative scale production, without losing much product selectivity. Moreover, we demonstrate access to the other naturally occurring PMD isomers from (</w:t>
      </w:r>
      <w:r>
        <w:t xml:space="preserve"> </w:t>
      </w:r>
      <w:r>
        <w:t>R</w:t>
      </w:r>
      <w:r>
        <w:t xml:space="preserve"> </w:t>
      </w:r>
      <w:r>
        <w:t>)‐ and (</w:t>
      </w:r>
      <w:r>
        <w:t xml:space="preserve"> </w:t>
      </w:r>
      <w:r>
        <w:t>S</w:t>
      </w:r>
      <w:r>
        <w:t xml:space="preserve"> </w:t>
      </w:r>
      <w:r>
        <w:t>)‐citronellal, as well as a one‐pot cascade starting from</w:t>
      </w:r>
      <w:r>
        <w:t xml:space="preserve"> </w:t>
      </w:r>
      <w:r>
        <w:t>E</w:t>
      </w:r>
      <w:r>
        <w:t xml:space="preserve"> </w:t>
      </w:r>
      <w:r>
        <w:t>/</w:t>
      </w:r>
      <w:r>
        <w:t>Z</w:t>
      </w:r>
      <w:r>
        <w:t xml:space="preserve"> </w:t>
      </w:r>
      <w:r>
        <w:t>‐citral. This study paves the way for highly selective access to stereodefined terpene‐derived repellents and establishes engineered squalene‐hopene cyclases as a tool for direct asymmetric Prins cyclohydration.</w:t>
      </w:r>
    </w:p>
    <w:p>
      <w:pPr>
        <w:spacing w:before="120" w:after="120"/>
      </w:pPr>
      <w:r>
        <w:rPr>
          <w:sz w:val="18"/>
        </w:rPr>
        <w:t>——————————————————————————————————————————————————————————————————————</w:t>
      </w:r>
    </w:p>
    <w:p>
      <w:pPr>
        <w:spacing w:before="160" w:after="40" w:line="240" w:lineRule="auto"/>
      </w:pPr>
      <w:r>
        <w:rPr>
          <w:b/>
        </w:rPr>
        <w:t xml:space="preserve">[138] </w:t>
      </w:r>
      <w:hyperlink r:id="rId432">
        <w:r>
          <w:rPr>
            <w:color w:val="1155CC"/>
            <w:u w:val="single"/>
          </w:rPr>
          <w:t>光裂聚合物刷：使用水和光进行表面减法3D结构化</w:t>
        </w:r>
      </w:hyperlink>
    </w:p>
    <w:p>
      <w:pPr>
        <w:spacing w:before="0" w:after="80"/>
      </w:pPr>
      <w:r>
        <w:rPr>
          <w:i/>
          <w:sz w:val="20"/>
        </w:rPr>
        <w:t>EN: Photolyzable Polymer Brushes: Subtractive 3D Structuring of Surfaces Using Water and Light</w:t>
      </w:r>
    </w:p>
    <w:p>
      <w:pPr>
        <w:spacing w:before="0" w:after="120"/>
      </w:pPr>
      <w:r>
        <w:rPr>
          <w:b/>
        </w:rPr>
        <w:t xml:space="preserve">Source: </w:t>
      </w:r>
      <w:r>
        <w:t>Wiley: Angewandte Chemie International Edition: Table of Contents</w:t>
      </w:r>
      <w:r>
        <w:t xml:space="preserve">    </w:t>
      </w:r>
      <w:r>
        <w:rPr>
          <w:b/>
        </w:rPr>
        <w:t xml:space="preserve">Pub date: </w:t>
      </w:r>
      <w:r>
        <w:t>2026-04-13 12:57:15+00:00</w:t>
      </w:r>
      <w:r>
        <w:t xml:space="preserve">    </w:t>
      </w:r>
      <w:r>
        <w:rPr>
          <w:b/>
        </w:rPr>
        <w:t xml:space="preserve">DOI: </w:t>
      </w:r>
      <w:hyperlink r:id="rId433">
        <w:r>
          <w:rPr>
            <w:color w:val="1155CC"/>
            <w:u w:val="single"/>
          </w:rPr>
          <w:t>10.1002/anie.2790800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刷是一项设计表面的关键技术，仅在生物医学中的应用就包括生物传感、细胞培养、再生医学和抗菌涂层。聚合物刷的结构化有可能精确定制界面以满足特定应用需求。然而，复杂的制造工艺可能限制聚合物刷的应用。在此，报道了一种减法图案化工艺，该工艺将初始制造与结构化过程分离。通过使用具有光可裂解环丁烷环的环状单体的自由基开环聚合，将光降解目标直接嵌入聚合物刷的主链中。在初始制造后，这些刷子可以通过l轻松降解。</w:t>
      </w:r>
    </w:p>
    <w:p>
      <w:pPr>
        <w:spacing w:before="0" w:after="200" w:lineRule="auto" w:line="276"/>
      </w:pPr>
      <w:r>
        <w:rPr>
          <w:b/>
        </w:rPr>
        <w:t xml:space="preserve">Abstract (EN): </w:t>
      </w:r>
      <w:r>
        <w:t>Polymer brushes are a key technology for designing surfaces, with applications in biomedicine alone including biosensing, cell culture, regenerative medicine, and antibacterial coatings. The structuring of polymer brushes has the potential to precisely tailor interfaces for specific application requirements. However, complex fabrication processes can limit the applications of polymer brushes. Herein, a subtractive patterning process is reported, which decouples initial fabrication from the structuring process. Using radical ring‐opening polymerization of cyclic monomers with photocleavable cyclobutane rings, photodegradable targets are directly embedded into the polymer brush main chains. After the initial fabrication, these brushes can be readily degraded with light, triggering photocleavage of the cyclobutane units. This enables continuous brush degradation of over 50% of brush height for topographical patterning without affecting brush properties such as hydrophilicity and adhesion force. The inherent photodegradability of the polymer brush eliminates the need for additional chemicals or catalysts and can be carried out using nothing but water and light at ambient temperature.</w:t>
      </w:r>
    </w:p>
    <w:p>
      <w:pPr>
        <w:spacing w:before="120" w:after="120"/>
      </w:pPr>
      <w:r>
        <w:rPr>
          <w:sz w:val="18"/>
        </w:rPr>
        <w:t>——————————————————————————————————————————————————————————————————————</w:t>
      </w:r>
    </w:p>
    <w:p>
      <w:pPr>
        <w:spacing w:before="160" w:after="40" w:line="240" w:lineRule="auto"/>
      </w:pPr>
      <w:r>
        <w:rPr>
          <w:b/>
        </w:rPr>
        <w:t xml:space="preserve">[139] </w:t>
      </w:r>
      <w:hyperlink r:id="rId434">
        <w:r>
          <w:rPr>
            <w:color w:val="1155CC"/>
            <w:u w:val="single"/>
          </w:rPr>
          <w:t>溶剂调节的晶格弹性和压力诱导的多刺激自旋态双稳态在多孔六方框架中</w:t>
        </w:r>
      </w:hyperlink>
    </w:p>
    <w:p>
      <w:pPr>
        <w:spacing w:before="0" w:after="80"/>
      </w:pPr>
      <w:r>
        <w:rPr>
          <w:i/>
          <w:sz w:val="20"/>
        </w:rPr>
        <w:t>EN: Solvent‐Regulated Lattice Elasticity and Pressure‐Induced Multi‐Stimuli Spin‐State Bistability in a Porous Hexagonal Framework</w:t>
      </w:r>
    </w:p>
    <w:p>
      <w:pPr>
        <w:spacing w:before="0" w:after="120"/>
      </w:pPr>
      <w:r>
        <w:rPr>
          <w:b/>
        </w:rPr>
        <w:t xml:space="preserve">Source: </w:t>
      </w:r>
      <w:r>
        <w:t>Wiley: Angewandte Chemie International Edition: Table of Contents</w:t>
      </w:r>
      <w:r>
        <w:t xml:space="preserve">    </w:t>
      </w:r>
      <w:r>
        <w:rPr>
          <w:b/>
        </w:rPr>
        <w:t xml:space="preserve">Pub date: </w:t>
      </w:r>
      <w:r>
        <w:t>2026-04-13 12:58:50+00:00</w:t>
      </w:r>
      <w:r>
        <w:t xml:space="preserve">    </w:t>
      </w:r>
      <w:r>
        <w:rPr>
          <w:b/>
        </w:rPr>
        <w:t xml:space="preserve">DOI: </w:t>
      </w:r>
      <w:hyperlink r:id="rId435">
        <w:r>
          <w:rPr>
            <w:color w:val="1155CC"/>
            <w:u w:val="single"/>
          </w:rPr>
          <w:t>10.1002/anie.9883802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当多种外部刺激汇聚于共同的结构路径时，分子材料中的自旋态转换最为有效。在此，我们报道了一种多孔氰化物桥接的{4d–3d}异双金属框架，其配方为</w:t>
      </w:r>
      <w:r>
        <w:t xml:space="preserve"> </w:t>
      </w:r>
      <w:r>
        <w:t>{[Mo(CN)8][Fe(v-im)4]2(BF4).2DMF.H2O}n</w:t>
      </w:r>
      <w:r>
        <w:t xml:space="preserve"> </w:t>
      </w:r>
      <w:r>
        <w:t>(1·2DMF·H2O</w:t>
      </w:r>
    </w:p>
    <w:p>
      <w:pPr>
        <w:spacing w:before="0" w:after="200" w:lineRule="auto" w:line="276"/>
      </w:pPr>
      <w:r>
        <w:rPr>
          <w:b/>
        </w:rPr>
        <w:t xml:space="preserve">Abstract (EN): </w:t>
      </w:r>
      <w:r>
        <w:t>Spin‐state switching in molecular materials becomes most effective when multiple external stimuli converge on a common structural pathway. Here we report a porous cyanide‐bridged {4d–3d} heterobimetallic framework formulated as</w:t>
      </w:r>
      <w:r>
        <w:t xml:space="preserve"> </w:t>
      </w:r>
      <w:r>
        <w:t>{[Mo(CN)</w:t>
      </w:r>
      <w:r>
        <w:rPr>
          <w:vertAlign w:val="subscript"/>
        </w:rPr>
        <w:t>8</w:t>
      </w:r>
      <w:r>
        <w:t>][Fe(v‐im)</w:t>
      </w:r>
      <w:r>
        <w:rPr>
          <w:vertAlign w:val="subscript"/>
        </w:rPr>
        <w:t>4</w:t>
      </w:r>
      <w:r>
        <w:t>]</w:t>
      </w:r>
      <w:r>
        <w:rPr>
          <w:vertAlign w:val="subscript"/>
        </w:rPr>
        <w:t>2</w:t>
      </w:r>
      <w:r>
        <w:t>(BF</w:t>
      </w:r>
      <w:r>
        <w:rPr>
          <w:vertAlign w:val="subscript"/>
        </w:rPr>
        <w:t>4</w:t>
      </w:r>
      <w:r>
        <w:t>).2DMF.H</w:t>
      </w:r>
      <w:r>
        <w:rPr>
          <w:vertAlign w:val="subscript"/>
        </w:rPr>
        <w:t>2</w:t>
      </w:r>
      <w:r>
        <w:t>O}</w:t>
      </w:r>
      <w:r>
        <w:t xml:space="preserve"> </w:t>
      </w:r>
      <w:r>
        <w:t>n</w:t>
      </w:r>
      <w:r>
        <w:t xml:space="preserve"> </w:t>
      </w:r>
      <w:r>
        <w:t>(</w:t>
      </w:r>
      <w:r>
        <w:rPr>
          <w:vertAlign w:val="subscript"/>
        </w:rPr>
        <w:t>1</w:t>
      </w:r>
      <w:r>
        <w:t xml:space="preserve"> </w:t>
      </w:r>
      <w:r>
        <w:t>·2DMF·H</w:t>
      </w:r>
      <w:r>
        <w:rPr>
          <w:vertAlign w:val="subscript"/>
        </w:rPr>
        <w:t>2</w:t>
      </w:r>
      <w:r>
        <w:t>O</w:t>
      </w:r>
      <w:r>
        <w:t xml:space="preserve"> </w:t>
      </w:r>
      <w:r>
        <w:t>) (v‐im = 1‐vinylimidazole). Single‐crystal x‐ray diffraction reveals a flexible 3D hexagonal network where [Mo(CN)</w:t>
      </w:r>
      <w:r>
        <w:rPr>
          <w:vertAlign w:val="subscript"/>
        </w:rPr>
        <w:t>8</w:t>
      </w:r>
      <w:r>
        <w:t>]</w:t>
      </w:r>
      <w:r>
        <w:rPr>
          <w:vertAlign w:val="subscript"/>
        </w:rPr>
        <w:t>3</w:t>
      </w:r>
      <w:r>
        <w:t>−</w:t>
      </w:r>
      <w:r>
        <w:t>units mediate magnetic communication through [Fe(v‐im)</w:t>
      </w:r>
      <w:r>
        <w:rPr>
          <w:vertAlign w:val="subscript"/>
        </w:rPr>
        <w:t>4</w:t>
      </w:r>
      <w:r>
        <w:t>] nodes. Partial desolvation generates an elastic lattice (</w:t>
      </w:r>
      <w:r>
        <w:rPr>
          <w:vertAlign w:val="subscript"/>
        </w:rPr>
        <w:t>1</w:t>
      </w:r>
      <w:r>
        <w:t>·2DMF) that exhibits reversible thermally induced spin‐state switching with</w:t>
      </w:r>
      <w:r>
        <w:t xml:space="preserve"> </w:t>
      </w:r>
      <w:r>
        <w:t>T</w:t>
      </w:r>
      <w:r>
        <w:t xml:space="preserve"> </w:t>
      </w:r>
      <w:r>
        <w:t>1/2</w:t>
      </w:r>
      <w:r>
        <w:t xml:space="preserve"> </w:t>
      </w:r>
      <w:r>
        <w:t>= 127 K and a pronounced light‐induced excited spin‐state trapping (LIESST) effect at</w:t>
      </w:r>
      <w:r>
        <w:t xml:space="preserve"> </w:t>
      </w:r>
      <w:r>
        <w:t>T</w:t>
      </w:r>
      <w:r>
        <w:t xml:space="preserve"> </w:t>
      </w:r>
      <w:r>
        <w:t>LIESST</w:t>
      </w:r>
      <w:r>
        <w:t xml:space="preserve"> </w:t>
      </w:r>
      <w:r>
        <w:t>= 60 K. In contrast, the fully solvated framework (</w:t>
      </w:r>
      <w:r>
        <w:rPr>
          <w:vertAlign w:val="subscript"/>
        </w:rPr>
        <w:t>1</w:t>
      </w:r>
      <w:r>
        <w:t>·2DMF·H</w:t>
      </w:r>
      <w:r>
        <w:rPr>
          <w:vertAlign w:val="subscript"/>
        </w:rPr>
        <w:t>2</w:t>
      </w:r>
      <w:r>
        <w:t>O) remains HS at ambient conditions, but switches under hydrostatic pressure, demonstrating structural matrix‐, stress‐ and squeeze‐driven bistability. The cooperative response originates from dynamic coupling between solvent molecules, counter‐ions, and the flexible framework, which collectively tune the spin‐state energetics. This study establishes elastic‐matrix squeezing as a unifying strategy for multi‐stimuli bistability and highlights the convergence of porosity, elasticity, and spin‐crossover behavior in adaptive molecular frameworks.</w:t>
      </w:r>
    </w:p>
    <w:p>
      <w:pPr>
        <w:spacing w:before="120" w:after="120"/>
      </w:pPr>
      <w:r>
        <w:rPr>
          <w:sz w:val="18"/>
        </w:rPr>
        <w:t>——————————————————————————————————————————————————————————————————————</w:t>
      </w:r>
    </w:p>
    <w:p>
      <w:pPr>
        <w:spacing w:before="160" w:after="40" w:line="240" w:lineRule="auto"/>
      </w:pPr>
      <w:r>
        <w:rPr>
          <w:b/>
        </w:rPr>
        <w:t xml:space="preserve">[140] </w:t>
      </w:r>
      <w:hyperlink r:id="rId436">
        <w:r>
          <w:rPr>
            <w:color w:val="1155CC"/>
            <w:u w:val="single"/>
          </w:rPr>
          <w:t>使用GeCl4和Al2Cl6的分子间亲电锗化反应</w:t>
        </w:r>
      </w:hyperlink>
    </w:p>
    <w:p>
      <w:pPr>
        <w:spacing w:before="0" w:after="80"/>
      </w:pPr>
      <w:r>
        <w:rPr>
          <w:i/>
          <w:sz w:val="20"/>
        </w:rPr>
        <w:t>EN: Intermolecular Electrophilic Germylation Using GeCl4 and Al2Cl6</w:t>
      </w:r>
    </w:p>
    <w:p>
      <w:pPr>
        <w:spacing w:before="0" w:after="120"/>
      </w:pPr>
      <w:r>
        <w:rPr>
          <w:b/>
        </w:rPr>
        <w:t xml:space="preserve">Source: </w:t>
      </w:r>
      <w:r>
        <w:t>Wiley: Angewandte Chemie International Edition: Table of Contents</w:t>
      </w:r>
      <w:r>
        <w:t xml:space="preserve">    </w:t>
      </w:r>
      <w:r>
        <w:rPr>
          <w:b/>
        </w:rPr>
        <w:t xml:space="preserve">Pub date: </w:t>
      </w:r>
      <w:r>
        <w:t>2026-04-13 13:00:23+00:00</w:t>
      </w:r>
      <w:r>
        <w:t xml:space="preserve">    </w:t>
      </w:r>
      <w:r>
        <w:rPr>
          <w:b/>
        </w:rPr>
        <w:t xml:space="preserve">DOI: </w:t>
      </w:r>
      <w:hyperlink r:id="rId437">
        <w:r>
          <w:rPr>
            <w:color w:val="1155CC"/>
            <w:u w:val="single"/>
          </w:rPr>
          <w:t>10.1002/anie.7070836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亲电芳香取代是轻14族元素的教科书转化。与酰化、烷基化和硅烷化相比，亲电锗化极为欠发达。在此，我们报告了首个有效的分子间锗-傅-克反应。具体而言，将关键工业前体GeCl</w:t>
      </w:r>
      <w:r>
        <w:rPr>
          <w:vertAlign w:val="subscript"/>
        </w:rPr>
        <w:t>4</w:t>
      </w:r>
      <w:r>
        <w:t>与Al</w:t>
      </w:r>
      <w:r>
        <w:rPr>
          <w:vertAlign w:val="subscript"/>
        </w:rPr>
        <w:t>2</w:t>
      </w:r>
      <w:r>
        <w:t>Cl</w:t>
      </w:r>
      <w:r>
        <w:rPr>
          <w:vertAlign w:val="subscript"/>
        </w:rPr>
        <w:t>6</w:t>
      </w:r>
      <w:r>
        <w:t>和廉价的阻碍吡啶碱结合，能够实现一系列芳烃的亲电C-H锗化。该过程可用于选择性合成单芳基或双芳基锗烷，ArGeCl</w:t>
      </w:r>
      <w:r>
        <w:rPr>
          <w:vertAlign w:val="subscript"/>
        </w:rPr>
        <w:t>3</w:t>
      </w:r>
      <w:r>
        <w:t>和Ar</w:t>
      </w:r>
    </w:p>
    <w:p>
      <w:pPr>
        <w:spacing w:before="0" w:after="200" w:lineRule="auto" w:line="276"/>
      </w:pPr>
      <w:r>
        <w:rPr>
          <w:b/>
        </w:rPr>
        <w:t xml:space="preserve">Abstract (EN): </w:t>
      </w:r>
      <w:r>
        <w:t>Electrophilic aromatic substitution is a textbook transformation for the lighter Group 14 elements. In contrast to acylation, alkylation, and silylation, electrophilic germylation is extremely underdeveloped. Herein we report the first effective intermolecular Germa–Friedel–Crafts reaction. Specifically, combining the key industrial precursor GeCl</w:t>
      </w:r>
      <w:r>
        <w:rPr>
          <w:vertAlign w:val="subscript"/>
        </w:rPr>
        <w:t>4</w:t>
      </w:r>
      <w:r>
        <w:t>, with Al</w:t>
      </w:r>
      <w:r>
        <w:rPr>
          <w:vertAlign w:val="subscript"/>
        </w:rPr>
        <w:t>2</w:t>
      </w:r>
      <w:r>
        <w:t>Cl</w:t>
      </w:r>
      <w:r>
        <w:rPr>
          <w:vertAlign w:val="subscript"/>
        </w:rPr>
        <w:t>6</w:t>
      </w:r>
      <w:r>
        <w:t>and an inexpensive hindered pyridine base enables electrophilic C‐H germylation of a range of arenes. The process can be applied for selective synthesis of either the mono‐ or the di‐aryl germanes, ArGeCl</w:t>
      </w:r>
      <w:r>
        <w:rPr>
          <w:vertAlign w:val="subscript"/>
        </w:rPr>
        <w:t>3</w:t>
      </w:r>
      <w:r>
        <w:t>and Ar</w:t>
      </w:r>
      <w:r>
        <w:rPr>
          <w:vertAlign w:val="subscript"/>
        </w:rPr>
        <w:t>2</w:t>
      </w:r>
      <w:r>
        <w:t>GeCl</w:t>
      </w:r>
      <w:r>
        <w:rPr>
          <w:vertAlign w:val="subscript"/>
        </w:rPr>
        <w:t>2</w:t>
      </w:r>
      <w:r>
        <w:t>, respectively. ArGeCl</w:t>
      </w:r>
      <w:r>
        <w:rPr>
          <w:vertAlign w:val="subscript"/>
        </w:rPr>
        <w:t>3</w:t>
      </w:r>
      <w:r>
        <w:t>are versatile intermediates that can be transformed in situ into the synthetically desirable ArGe(alkyl)</w:t>
      </w:r>
      <w:r>
        <w:rPr>
          <w:vertAlign w:val="subscript"/>
        </w:rPr>
        <w:t>3</w:t>
      </w:r>
      <w:r>
        <w:t>derivatives. Mechanistic and computational analysis support an S</w:t>
      </w:r>
      <w:r>
        <w:t xml:space="preserve"> </w:t>
      </w:r>
      <w:r>
        <w:t>E</w:t>
      </w:r>
      <w:r>
        <w:t xml:space="preserve"> </w:t>
      </w:r>
      <w:r>
        <w:t>Ar‐type process where Al</w:t>
      </w:r>
      <w:r>
        <w:rPr>
          <w:vertAlign w:val="subscript"/>
        </w:rPr>
        <w:t>2</w:t>
      </w:r>
      <w:r>
        <w:t>Cl</w:t>
      </w:r>
      <w:r>
        <w:rPr>
          <w:vertAlign w:val="subscript"/>
        </w:rPr>
        <w:t>6</w:t>
      </w:r>
      <w:r>
        <w:t>is the key halophilic activator that generates a germanium electrophile able to effect C–H germylation in combination with the base. Overall, this work demonstrates that a high‐yielding intermolecular Germa–Friedel–Crafts reaction is possible provided an appropriate Brønsted base is used.</w:t>
      </w:r>
    </w:p>
    <w:p>
      <w:pPr>
        <w:spacing w:before="120" w:after="120"/>
      </w:pPr>
      <w:r>
        <w:rPr>
          <w:sz w:val="18"/>
        </w:rPr>
        <w:t>——————————————————————————————————————————————————————————————————————</w:t>
      </w:r>
    </w:p>
    <w:p>
      <w:pPr>
        <w:spacing w:before="160" w:after="40" w:line="240" w:lineRule="auto"/>
      </w:pPr>
      <w:r>
        <w:rPr>
          <w:b/>
        </w:rPr>
        <w:t xml:space="preserve">[141] </w:t>
      </w:r>
      <w:hyperlink r:id="rId438">
        <w:r>
          <w:rPr>
            <w:color w:val="1155CC"/>
            <w:u w:val="single"/>
          </w:rPr>
          <w:t>光催化自由基-极性交叉反应实现对双环[2.m.n]烷醇生物等效物的模块化获取</w:t>
        </w:r>
      </w:hyperlink>
    </w:p>
    <w:p>
      <w:pPr>
        <w:spacing w:before="0" w:after="80"/>
      </w:pPr>
      <w:r>
        <w:rPr>
          <w:i/>
          <w:sz w:val="20"/>
        </w:rPr>
        <w:t>EN: Photocatalytic Radical‐Polar Crossover Enables Modular Access to Bicyclo[2.m.n]Alkane Alcohol Bioisosteres</w:t>
      </w:r>
    </w:p>
    <w:p>
      <w:pPr>
        <w:spacing w:before="0" w:after="120"/>
      </w:pPr>
      <w:r>
        <w:rPr>
          <w:b/>
        </w:rPr>
        <w:t xml:space="preserve">Source: </w:t>
      </w:r>
      <w:r>
        <w:t>Wiley: Angewandte Chemie International Edition: Table of Contents</w:t>
      </w:r>
      <w:r>
        <w:t xml:space="preserve">    </w:t>
      </w:r>
      <w:r>
        <w:rPr>
          <w:b/>
        </w:rPr>
        <w:t xml:space="preserve">Pub date: </w:t>
      </w:r>
      <w:r>
        <w:t>2026-04-13 13:01:23+00:00</w:t>
      </w:r>
      <w:r>
        <w:t xml:space="preserve">    </w:t>
      </w:r>
      <w:r>
        <w:rPr>
          <w:b/>
        </w:rPr>
        <w:t xml:space="preserve">DOI: </w:t>
      </w:r>
      <w:hyperlink r:id="rId439">
        <w:r>
          <w:rPr>
            <w:color w:val="1155CC"/>
            <w:u w:val="single"/>
          </w:rPr>
          <w:t>10.1002/anie.6606811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芳香环与饱和生物等排体的战略性替换已成为药物化学中的关键策略，提供了一条改善药物候选物代谢稳定性和安全性证明有效的途径。然而，传统获取这些有价值的饱和骨架严重依赖于需要使用高度应变、合成挑战性前体的应变释放策略。在此，我们报告了一种基于可见光诱导的自由基-极性交叉（RPC）平台。该方法使用台式稳定的γ-和δ-酮酸作为自由基前体，激活后与多种π-系统进行交叉偶联。这种简单的方法提供了直接高效获取广泛的sy</w:t>
      </w:r>
    </w:p>
    <w:p>
      <w:pPr>
        <w:spacing w:before="0" w:after="200" w:lineRule="auto" w:line="276"/>
      </w:pPr>
      <w:r>
        <w:rPr>
          <w:b/>
        </w:rPr>
        <w:t xml:space="preserve">Abstract (EN): </w:t>
      </w:r>
      <w:r>
        <w:t>The strategic replacement of aromatic rings with saturated bioisosteres has become a pivotal strategy in medicinal chemistry, offering a proven path to improve the metabolic stability and safety profiles of drug candidates. Conventional access to these valuable saturated scaffolds, however, heavily relies on strain‐release strategies that mandate the use of highly strained, synthetically challenging precursors. Herein, we report a general platform based on a visible‐light‐induced radical–polar crossover (RPC) manifold. This method employs bench‐stable γ‐ and δ‐keto acids as radical precursors, which, upon activation, engage in cross‐coupling with a diverse array of π‐systems. This straightforward approach provides direct and efficient access to a wide range of synthetically elusive saturated bicyclic alcohol bioisosteres. By circumventing the need for pre‐strained intermediates, our strategy delivers the target architectures in high yields with excellent functional group tolerance. Furthermore, successful product derivatizations underscore the synthetic utility of this method, while mechanistic investigations corroborate the proposed RPC pathway. Together, these findings establish our platform as a practical and robust alternative to current paradigms.</w:t>
      </w:r>
    </w:p>
    <w:p>
      <w:pPr>
        <w:spacing w:before="120" w:after="120"/>
      </w:pPr>
      <w:r>
        <w:rPr>
          <w:sz w:val="18"/>
        </w:rPr>
        <w:t>——————————————————————————————————————————————————————————————————————</w:t>
      </w:r>
    </w:p>
    <w:p>
      <w:pPr>
        <w:spacing w:before="160" w:after="40" w:line="240" w:lineRule="auto"/>
      </w:pPr>
      <w:r>
        <w:rPr>
          <w:b/>
        </w:rPr>
        <w:t xml:space="preserve">[142] </w:t>
      </w:r>
      <w:hyperlink r:id="rId440">
        <w:r>
          <w:rPr>
            <w:color w:val="1155CC"/>
            <w:u w:val="single"/>
          </w:rPr>
          <w:t>近红外门控纳米发电机实现低剂量一氧化氮增强的光疗</w:t>
        </w:r>
      </w:hyperlink>
    </w:p>
    <w:p>
      <w:pPr>
        <w:spacing w:before="0" w:after="80"/>
      </w:pPr>
      <w:r>
        <w:rPr>
          <w:i/>
          <w:sz w:val="20"/>
        </w:rPr>
        <w:t>EN: A NIR‐Gated Nanogenerator Enables Low‐Dose Nitric Oxide‐Potentiated Phototherapy</w:t>
      </w:r>
    </w:p>
    <w:p>
      <w:pPr>
        <w:spacing w:before="0" w:after="120"/>
      </w:pPr>
      <w:r>
        <w:rPr>
          <w:b/>
        </w:rPr>
        <w:t xml:space="preserve">Source: </w:t>
      </w:r>
      <w:r>
        <w:t>Wiley: Angewandte Chemie International Edition: Table of Contents</w:t>
      </w:r>
      <w:r>
        <w:t xml:space="preserve">    </w:t>
      </w:r>
      <w:r>
        <w:rPr>
          <w:b/>
        </w:rPr>
        <w:t xml:space="preserve">Pub date: </w:t>
      </w:r>
      <w:r>
        <w:t>2026-04-13 13:03:04+00:00</w:t>
      </w:r>
      <w:r>
        <w:t xml:space="preserve">    </w:t>
      </w:r>
      <w:r>
        <w:rPr>
          <w:b/>
        </w:rPr>
        <w:t xml:space="preserve">DOI: </w:t>
      </w:r>
      <w:hyperlink r:id="rId441">
        <w:r>
          <w:rPr>
            <w:color w:val="1155CC"/>
            <w:u w:val="single"/>
          </w:rPr>
          <w:t>10.1002/anie.7993582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光激活的一氧化氮（NO）供体在精准癌症治疗中具有前景，但由于过早泄漏和依赖高剂量可能导致非靶向细胞毒性而受到阻碍。在此，我们报告了一种近红外（NIR）门控纳米发生器（Cy-NO NPs），其设计用于低剂量、NO增强的多模式癌症光疗。通过将巯基功能化的邻三氟甲基硝基芳香基团锚定在菁染料（IR825）骨架上，该设计确保在氧化、还原和热应力下NO泄漏可忽略不计，从而消除系统毒性。在808 nm激发下，激发态能量耗散被平衡以驱动四个并发路径：（i）光诱导的分子内电子转移（PIET）p</w:t>
      </w:r>
    </w:p>
    <w:p>
      <w:pPr>
        <w:spacing w:before="0" w:after="200" w:lineRule="auto" w:line="276"/>
      </w:pPr>
      <w:r>
        <w:rPr>
          <w:b/>
        </w:rPr>
        <w:t xml:space="preserve">Abstract (EN): </w:t>
      </w:r>
      <w:r>
        <w:t>Light‐activatable nitric oxide (NO) donors are promising for precision cancer therapy but are hindered by premature leakage and a reliance on high dosages that may lead to off‐target cytotoxicity. Herein, we report a near‐infrared (NIR)‐gated nanogenerator (Cy‐NO NPs) engineered for low‐dose, NO‐potentiated multi‐modal cancer phototherapy. By anchoring a thiol‐functionalized ortho‐trifluoromethyl‐nitroaromatic moiety onto a cyanine (IR825) scaffold, the design ensures negligible NO leakage under oxidative, reductive, and thermal stresses, thereby eliminating systemic toxicity. Upon 808 nm excitation, the excited‐state energy dissipation is balanced to drive four concurrent pathways: (i) a photoinduced intramolecular electron transfer (PIET) process triggering a nitro‐to‐nitrite rearrangement for NO release; (ii) Type I &amp;amp; II photodynamic effects; (iii) photothermal conversion; and (iv) NIR‐II fluorescence emission. The released NO reacts in situ with simultaneous superoxide (O</w:t>
      </w:r>
      <w:r>
        <w:rPr>
          <w:vertAlign w:val="subscript"/>
        </w:rPr>
        <w:t>2</w:t>
      </w:r>
      <w:r>
        <w:t>•−</w:t>
      </w:r>
      <w:r>
        <w:t>) bursts to yield highly cytotoxic peroxynitrites (ONOO</w:t>
      </w:r>
      <w:r>
        <w:t xml:space="preserve"> </w:t>
      </w:r>
      <w:r>
        <w:t>−</w:t>
      </w:r>
      <w:r>
        <w:t>). This synergistic ROS/RNS surge targets mitochondria, inducing membrane depolarization and rapid ATP depletion to trigger apoptosis. Guided by NIR‐II fluorescence imaging, this multi‐modal therapy achieves efficient tumor ablation in vivo, validating a potent low‐dose strategy for integrating controlled gas release with phototherapy.</w:t>
      </w:r>
    </w:p>
    <w:p>
      <w:pPr>
        <w:spacing w:before="120" w:after="120"/>
      </w:pPr>
      <w:r>
        <w:rPr>
          <w:sz w:val="18"/>
        </w:rPr>
        <w:t>——————————————————————————————————————————————————————————————————————</w:t>
      </w:r>
    </w:p>
    <w:p>
      <w:pPr>
        <w:spacing w:before="160" w:after="40" w:line="240" w:lineRule="auto"/>
      </w:pPr>
      <w:r>
        <w:rPr>
          <w:b/>
        </w:rPr>
        <w:t xml:space="preserve">[143] </w:t>
      </w:r>
      <w:hyperlink r:id="rId442">
        <w:r>
          <w:rPr>
            <w:color w:val="1155CC"/>
            <w:u w:val="single"/>
          </w:rPr>
          <w:t>[ASAP] 高性能Rh-TMP-COF光催化剂用于H2O蒸气下CO2到CO的转化：从描述符预测到实验验证</w:t>
        </w:r>
      </w:hyperlink>
    </w:p>
    <w:p>
      <w:pPr>
        <w:spacing w:before="0" w:after="80"/>
      </w:pPr>
      <w:r>
        <w:rPr>
          <w:i/>
          <w:sz w:val="20"/>
        </w:rPr>
        <w:t>EN: [ASAP] A High-Performance Rh-TMP-COF Photocatalyst for CO2-to-CO Conversion with H2O Vapor: From Descriptor Prediction to Experimental Validation</w:t>
      </w:r>
    </w:p>
    <w:p>
      <w:pPr>
        <w:spacing w:before="0" w:after="120"/>
      </w:pPr>
      <w:r>
        <w:rPr>
          <w:b/>
        </w:rPr>
        <w:t xml:space="preserve">Source: </w:t>
      </w:r>
      <w:r>
        <w:t>Journal of the American Chemical Society: Latest Articles (ACS Publications)</w:t>
      </w:r>
      <w:r>
        <w:t xml:space="preserve">    </w:t>
      </w:r>
      <w:r>
        <w:rPr>
          <w:b/>
        </w:rPr>
        <w:t xml:space="preserve">Pub date: </w:t>
      </w:r>
      <w:r>
        <w:t>2026-04-13 13:06:47+00:00</w:t>
      </w:r>
      <w:r>
        <w:t xml:space="preserve">    </w:t>
      </w:r>
      <w:r>
        <w:rPr>
          <w:b/>
        </w:rPr>
        <w:t xml:space="preserve">DOI: </w:t>
      </w:r>
      <w:hyperlink r:id="rId443">
        <w:r>
          <w:rPr>
            <w:color w:val="1155CC"/>
            <w:u w:val="single"/>
          </w:rPr>
          <w:t>10.1021/jacs.6c02264</w:t>
        </w:r>
      </w:hyperlink>
    </w:p>
    <w:p>
      <w:pPr>
        <w:spacing w:before="0" w:after="120"/>
      </w:pPr>
      <w:r>
        <w:rPr>
          <w:b/>
        </w:rPr>
        <w:t xml:space="preserve">Notes: </w:t>
      </w:r>
      <w:r>
        <w:t>abstract_source=openalex</w:t>
      </w:r>
    </w:p>
    <w:p>
      <w:pPr>
        <w:spacing w:before="0" w:after="80" w:lineRule="auto" w:line="276"/>
      </w:pPr>
      <w:r>
        <w:rPr>
          <w:b/>
        </w:rPr>
        <w:t xml:space="preserve">摘要（ZH）: </w:t>
      </w:r>
      <w:r>
        <w:t>受自然光合作用的启发，光催化CO&lt;sub&gt;2&lt;/sub&gt;还原与水氧化耦合为生产可持续太阳能燃料和化学品提供了一种有前景的方法。然而，持续低效源于光催化系统内耦合的动力学-热力学限制。开发新型光催化剂是克服这些挑战的关键，但传统的试错方法存在开发周期长的问题。在此，我们提出使用两个描述符来评估金属负载共价有机框架（COFs）在光催化CO&lt;sub&gt;2&lt;/sub&gt;还原中的催化活性：催化剂的导带最低值（CBM）和CO&lt;sub&gt;2&lt;/sub&gt;转化为CO过程中形成COOH中间体的吉布斯自由能变化（Δ&lt;i&gt;G&lt;/i&gt;）</w:t>
      </w:r>
    </w:p>
    <w:p>
      <w:pPr>
        <w:spacing w:before="0" w:after="200" w:lineRule="auto" w:line="276"/>
      </w:pPr>
      <w:r>
        <w:rPr>
          <w:b/>
        </w:rPr>
        <w:t xml:space="preserve">Abstract (EN): </w:t>
      </w:r>
      <w:r>
        <w:t>Inspired by natural photosynthesis, photocatalytic CO&lt;sub&gt;2&lt;/sub&gt; reduction coupled with water oxidation presents a promising approach for producing sustainable solar fuels and chemicals. However, persistently low efficiency stems from coupled kinetic-thermodynamic constraints within the photocatalytic system. Developing novel photocatalysts holds the key to overcoming these challenges, yet traditional trial-and-error approaches suffer from lengthy development cycles. Herein, we propose using two descriptors to evaluate the catalytic activity of metal-loaded covalent organic frameworks (COFs) for photocatalytic CO&lt;sub&gt;2&lt;/sub&gt; reduction: the catalyst's conduction band minimum (CBM) and the Gibbs-free energy change (Δ&lt;i&gt;G&lt;/i&gt;) for forming the COOH intermediate during CO&lt;sub&gt;2&lt;/sub&gt;-to-CO conversion. Through the descriptor-based screening of a series of metal-loaded COFs and the computational investigation of their excited-state properties, the Rh-loaded COF is identified as optimal. Experimentally synthesized Rh-TMP-COF exhibits a CO production rate of 421 μmol g&lt;sup&gt;-1&lt;/sup&gt; h&lt;sup&gt;-1&lt;/sup&gt;, which positions it among the best-performing photocatalysts for overall CO&lt;sub&gt;2&lt;/sub&gt; reduction. Theoretical calculations and experimental verification further demonstrate that the Rh loading not only facilitates directional photogenerated electron migration from water oxidation sites to CO&lt;sub&gt;2&lt;/sub&gt; reduction sites but also significantly reduces the reaction energy barrier, thereby enhancing the reaction rate. This work establishes a descriptor-based methodology for predicting photocatalytic activity, providing a strategic framework for efficient photocatalyst development for overall CO&lt;sub&gt;2&lt;/sub&gt; reduction.</w:t>
      </w:r>
    </w:p>
    <w:p>
      <w:pPr>
        <w:spacing w:before="120" w:after="120"/>
      </w:pPr>
      <w:r>
        <w:rPr>
          <w:sz w:val="18"/>
        </w:rPr>
        <w:t>——————————————————————————————————————————————————————————————————————</w:t>
      </w:r>
    </w:p>
    <w:p>
      <w:pPr>
        <w:spacing w:before="160" w:after="40" w:line="240" w:lineRule="auto"/>
      </w:pPr>
      <w:r>
        <w:rPr>
          <w:b/>
        </w:rPr>
        <w:t xml:space="preserve">[144] </w:t>
      </w:r>
      <w:hyperlink r:id="rId444">
        <w:r>
          <w:rPr>
            <w:color w:val="1155CC"/>
            <w:u w:val="single"/>
          </w:rPr>
          <w:t>[ASAP] 多色，声敏化剂优化的有机机械发光纳米颗粒用于功能性声光遗传学</w:t>
        </w:r>
      </w:hyperlink>
    </w:p>
    <w:p>
      <w:pPr>
        <w:spacing w:before="0" w:after="80"/>
      </w:pPr>
      <w:r>
        <w:rPr>
          <w:i/>
          <w:sz w:val="20"/>
        </w:rPr>
        <w:t>EN: [ASAP] Multicolored, Sonosensitizer-Optimized Organic Mechanoluminescent Nanoparticles for Functional Sono-Optogenetics</w:t>
      </w:r>
    </w:p>
    <w:p>
      <w:pPr>
        <w:spacing w:before="0" w:after="120"/>
      </w:pPr>
      <w:r>
        <w:rPr>
          <w:b/>
        </w:rPr>
        <w:t xml:space="preserve">Source: </w:t>
      </w:r>
      <w:r>
        <w:t>Journal of the American Chemical Society: Latest Articles (ACS Publications)</w:t>
      </w:r>
      <w:r>
        <w:t xml:space="preserve">    </w:t>
      </w:r>
      <w:r>
        <w:rPr>
          <w:b/>
        </w:rPr>
        <w:t xml:space="preserve">Pub date: </w:t>
      </w:r>
      <w:r>
        <w:t>2026-04-13 13:33:53+00:00</w:t>
      </w:r>
      <w:r>
        <w:t xml:space="preserve">    </w:t>
      </w:r>
      <w:r>
        <w:rPr>
          <w:b/>
        </w:rPr>
        <w:t xml:space="preserve">DOI: </w:t>
      </w:r>
      <w:hyperlink r:id="rId445">
        <w:r>
          <w:rPr>
            <w:color w:val="1155CC"/>
            <w:u w:val="single"/>
          </w:rPr>
          <w:t>10.1021/jacs.5c22630</w:t>
        </w:r>
      </w:hyperlink>
    </w:p>
    <w:p>
      <w:pPr>
        <w:spacing w:before="0" w:after="120"/>
      </w:pPr>
      <w:r>
        <w:rPr>
          <w:b/>
        </w:rPr>
        <w:t xml:space="preserve">Notes: </w:t>
      </w:r>
      <w:r>
        <w:t>abstract_source=pubmed</w:t>
      </w:r>
    </w:p>
    <w:p>
      <w:pPr>
        <w:spacing w:before="0" w:after="80" w:lineRule="auto" w:line="276"/>
      </w:pPr>
      <w:r>
        <w:rPr>
          <w:b/>
        </w:rPr>
        <w:t xml:space="preserve">摘要（ZH）: </w:t>
      </w:r>
      <w:r>
        <w:t>光可以精确可视化和控制细胞过程，但其在深层组织中的效用由于光学穿透性差而受到根本限制，特别是在深脑中。超声触发的机械发光提供了一种非侵入性远程光传输策略，但现有有机系统仍然是单色和低强度的，主要是由于对超声诱导发射的理解不完整。在此，我们报告了一种多色机械发光平台，该平台通过福斯特共振能量转移将反应性氧物种响应的化学发光供体与荧光受体耦合，产生从蓝色（461 nm）到红色（592 nm）的可调发射。系统筛选可能揭示了电子能隙依赖的反应性氧物种生成</w:t>
      </w:r>
    </w:p>
    <w:p>
      <w:pPr>
        <w:spacing w:before="0" w:after="200" w:lineRule="auto" w:line="276"/>
      </w:pPr>
      <w:r>
        <w:rPr>
          <w:b/>
        </w:rPr>
        <w:t xml:space="preserve">Abstract (EN): </w:t>
      </w:r>
      <w:r>
        <w:t>Light enables precise visualization and control of cellular processes, but its utility in deep tissues is fundamentally limited by poor optical penetration, particularly in the deep brain. Ultrasound-triggered mechanoluminescence offers a noninvasive strategy for remote light delivery, yet existing organic systems remain monochromatic and low-intensity, largely due to an incomplete understanding of ultrasound-induced emission. Here, we report a multicolor mechanoluminescence platform that couples reactive oxygen species-responsive chemiluminescent donors with fluorescent acceptors via Förster resonance energy transfer, generating tunable emission from blue (461 nm) to red (592 nm). Systematic screening potentially reveals that electronic energy gap-dependent reactive oxygen species generation serves as a predictive design principle for high-performance mechanoluminescent materials. The emitted spectrum and intensity are sufficient to activate ChR2, eOPN3 and ChRmine, enabling in vitro neuromodulation under focused ultrasound. By integrating spatially precise ultrasound with programmable photon output, this platform establishes a noninvasive strategy for deep-tissue neuromodulation and provides a foundation for applications in bioimaging, gene editing, and precision therapeutics.</w:t>
      </w:r>
    </w:p>
    <w:p>
      <w:pPr>
        <w:spacing w:before="120" w:after="120"/>
      </w:pPr>
      <w:r>
        <w:rPr>
          <w:sz w:val="18"/>
        </w:rPr>
        <w:t>——————————————————————————————————————————————————————————————————————</w:t>
      </w:r>
    </w:p>
    <w:p>
      <w:pPr>
        <w:spacing w:before="160" w:after="40" w:line="240" w:lineRule="auto"/>
      </w:pPr>
      <w:r>
        <w:rPr>
          <w:b/>
        </w:rPr>
        <w:t xml:space="preserve">[145] </w:t>
      </w:r>
      <w:hyperlink r:id="rId446">
        <w:r>
          <w:rPr>
            <w:color w:val="1155CC"/>
            <w:u w:val="single"/>
          </w:rPr>
          <w:t>[ASAP] 灰烷类化合物 (−)-Mollfoliagein A 和 (−)-Rhodomollein XXV 的对映选择性全合成</w:t>
        </w:r>
      </w:hyperlink>
    </w:p>
    <w:p>
      <w:pPr>
        <w:spacing w:before="0" w:after="80"/>
      </w:pPr>
      <w:r>
        <w:rPr>
          <w:i/>
          <w:sz w:val="20"/>
        </w:rPr>
        <w:t>EN: [ASAP] Enantioselective Total Syntheses of Grayanoid (−)-Mollfoliagein A and (−)-Rhodomollein XXV</w:t>
      </w:r>
    </w:p>
    <w:p>
      <w:pPr>
        <w:spacing w:before="0" w:after="120"/>
      </w:pPr>
      <w:r>
        <w:rPr>
          <w:b/>
        </w:rPr>
        <w:t xml:space="preserve">Source: </w:t>
      </w:r>
      <w:r>
        <w:t>Journal of the American Chemical Society: Latest Articles (ACS Publications)</w:t>
      </w:r>
      <w:r>
        <w:t xml:space="preserve">    </w:t>
      </w:r>
      <w:r>
        <w:rPr>
          <w:b/>
        </w:rPr>
        <w:t xml:space="preserve">Pub date: </w:t>
      </w:r>
      <w:r>
        <w:t>2026-04-13 14:08:11+00:00</w:t>
      </w:r>
      <w:r>
        <w:t xml:space="preserve">    </w:t>
      </w:r>
      <w:r>
        <w:rPr>
          <w:b/>
        </w:rPr>
        <w:t xml:space="preserve">DOI: </w:t>
      </w:r>
      <w:hyperlink r:id="rId447">
        <w:r>
          <w:rPr>
            <w:color w:val="1155CC"/>
            <w:u w:val="single"/>
          </w:rPr>
          <w:t>10.1021/jacs.6c03596</w:t>
        </w:r>
      </w:hyperlink>
    </w:p>
    <w:p>
      <w:pPr>
        <w:spacing w:before="0" w:after="120"/>
      </w:pPr>
      <w:r>
        <w:rPr>
          <w:b/>
        </w:rPr>
        <w:t xml:space="preserve">Notes: </w:t>
      </w:r>
      <w:r>
        <w:t>abstract_source=openalex</w:t>
      </w:r>
    </w:p>
    <w:p>
      <w:pPr>
        <w:spacing w:before="0" w:after="80" w:lineRule="auto" w:line="276"/>
      </w:pPr>
      <w:r>
        <w:rPr>
          <w:b/>
        </w:rPr>
        <w:t xml:space="preserve">摘要（ZH）: </w:t>
      </w:r>
      <w:r>
        <w:t>在此，我们报告了(-)-mollfoliagein A和(-)-rhodomollein XXV的汇聚全合成，这两种高度氧化的灰烯类化合物具有合成上具有挑战性的oxa-tricyclo[3.3.1.0&lt;sup&gt;3.7&lt;/sup&gt;]nonane结构单元。mollfoliagein A的特征性5/7/6/5/5骨架通过Stille羰基化偶联/跨环氧Michael加成/共轭Knoevenagel缩合级联反应从两个片段中一步构建。其他显著特征包括通过重塑bicyclo[3.3.0]octene单元为高度功能化的bicyclo[3.2.1]octane环系统来形成C/D环，以及通过PPTS介导的程序将(-)-mollfoliagein A转化为(-)-rhodomollein XXV。</w:t>
      </w:r>
    </w:p>
    <w:p>
      <w:pPr>
        <w:spacing w:before="0" w:after="200" w:lineRule="auto" w:line="276"/>
      </w:pPr>
      <w:r>
        <w:rPr>
          <w:b/>
        </w:rPr>
        <w:t xml:space="preserve">Abstract (EN): </w:t>
      </w:r>
      <w:r>
        <w:t>Herein, we report the convergent total syntheses of (-)-mollfoliagein A and (-)-rhodomollein XXV, two highly oxygenated grayanoids featuring a synthetically challenging oxa-tricyclo[3.3.1.0&lt;sup&gt;3.7&lt;/sup&gt;]nonane structure unit. The characteristic 5/7/6/5/5 skeleton of mollfoliagein A was constructed in a single step from two fragments via a Stille carbonylative coupling/transannular oxa-Michael addition/vinylogous Knoevenagel condensation cascade. Other salient features are the C/D ring formation by reshaping the bicyclo[3.3.0]octene unit to the highly functional bicyclo[3.2.1]octane ring system and PPTS mediated procedure for converting (-)-mollfoliagein A to (-)-rhodomollein XXV.</w:t>
      </w:r>
    </w:p>
    <w:p>
      <w:pPr>
        <w:spacing w:before="120" w:after="120"/>
      </w:pPr>
      <w:r>
        <w:rPr>
          <w:sz w:val="18"/>
        </w:rPr>
        <w:t>——————————————————————————————————————————————————————————————————————</w:t>
      </w:r>
    </w:p>
    <w:p>
      <w:pPr>
        <w:spacing w:before="160" w:after="40" w:line="240" w:lineRule="auto"/>
      </w:pPr>
      <w:r>
        <w:rPr>
          <w:b/>
        </w:rPr>
        <w:t xml:space="preserve">[146] </w:t>
      </w:r>
      <w:hyperlink r:id="rId448">
        <w:r>
          <w:rPr>
            <w:color w:val="1155CC"/>
            <w:u w:val="single"/>
          </w:rPr>
          <w:t>[ASAP] 双靶向多价适配体-药物杂合物用于协同癌症免疫治疗</w:t>
        </w:r>
      </w:hyperlink>
    </w:p>
    <w:p>
      <w:pPr>
        <w:spacing w:before="0" w:after="80"/>
      </w:pPr>
      <w:r>
        <w:rPr>
          <w:i/>
          <w:sz w:val="20"/>
        </w:rPr>
        <w:t>EN: [ASAP] Dual-Targeting Multivalent Aptamer-Drug Hybrids for Synergistic Cancer 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2026-04-13 15:34:02+00:00</w:t>
      </w:r>
      <w:r>
        <w:t xml:space="preserve">    </w:t>
      </w:r>
      <w:r>
        <w:rPr>
          <w:b/>
        </w:rPr>
        <w:t xml:space="preserve">DOI: </w:t>
      </w:r>
      <w:hyperlink r:id="rId449">
        <w:r>
          <w:rPr>
            <w:color w:val="1155CC"/>
            <w:u w:val="single"/>
          </w:rPr>
          <w:t>10.1021/jacs.5c21968</w:t>
        </w:r>
      </w:hyperlink>
    </w:p>
    <w:p>
      <w:pPr>
        <w:spacing w:before="0" w:after="120"/>
      </w:pPr>
      <w:r>
        <w:rPr>
          <w:b/>
        </w:rPr>
        <w:t xml:space="preserve">Notes: </w:t>
      </w:r>
      <w:r>
        <w:t>abstract_source=openalex</w:t>
      </w:r>
    </w:p>
    <w:p>
      <w:pPr>
        <w:spacing w:before="0" w:after="80" w:lineRule="auto" w:line="276"/>
      </w:pPr>
      <w:r>
        <w:rPr>
          <w:b/>
        </w:rPr>
        <w:t xml:space="preserve">摘要（ZH）: </w:t>
      </w:r>
      <w:r>
        <w:t>靶向药物缀合物（TDCs）通过实现细胞毒性剂的选择性递送，已经改变了癌症治疗，但大多数现有设计依赖于单抗原靶向和单负载架构，限制了在异质性肿瘤中的疗效，并限制了整合正交作用机制的机会。在此，我们报告了环状、双靶向多价适配体-药物杂合物（&lt;sup&gt;&lt;i&gt;Dual&lt;/i&gt;&lt;/sup&gt;o-mvApDHs&lt;sup&gt;D/S&lt;/sup&gt;），其共同递送阿霉素（Dox）和STING激动剂（diABZI），用于协同化疗-免疫治疗。基于具有定义价态和高负载能力的可编程DNA支架，&lt;sup&gt;&lt;i&gt;Dual&lt;/i&gt;&lt;/sup&gt;o-mvApDHs&lt;sup&gt;D/S&lt;/sup&gt;同时结合c-Met和CD71，通过异质多受体介导的内吞作用增强肿瘤特异性摄取</w:t>
      </w:r>
    </w:p>
    <w:p>
      <w:pPr>
        <w:spacing w:before="0" w:after="200" w:lineRule="auto" w:line="276"/>
      </w:pPr>
      <w:r>
        <w:rPr>
          <w:b/>
        </w:rPr>
        <w:t xml:space="preserve">Abstract (EN): </w:t>
      </w:r>
      <w:r>
        <w:t>Targeted drug conjugates (TDCs) have transformed cancer therapy by enabling selective delivery of cytotoxic agents, yet most existing designs rely on single-antigen targeting and single-payload architectures that limit efficacy in heterogeneous tumors and restrict opportunities for integrating orthogonal mechanisms of action. Here, we report circular, dual-targeting multivalent aptamer-drug hybrids (&lt;sup&gt;&lt;i&gt;Dual&lt;/i&gt;&lt;/sup&gt;o-mvApDHs&lt;sup&gt;D/S&lt;/sup&gt;) that codeliver doxorubicin (Dox) and STING agonist (diABZI) for synergistic chemo-immunotherapy. Built on a programmable DNA scaffold with defined valence and high loading capacity, the &lt;sup&gt;&lt;i&gt;Dual&lt;/i&gt;&lt;/sup&gt;o-mvApDHs&lt;sup&gt;D/S&lt;/sup&gt; simultaneously engage c-Met and CD71 to enhance tumor-specific uptake through heteromultireceptor-mediated endocytosis, achieving efficient intracellular delivery and robust tumor accumulation &lt;i&gt;in vivo&lt;/i&gt;. Within tumor cells, Dox induces genotoxic stress and potent immunogenic cell death, while diABZI activates cGAS-STING signaling to amplify type I interferon responses. This coordinated action remodels the immunosuppressive tumor microenvironment, promoting dendritic cell recruitment and activation, expanding IFN-responsive macrophages and conventional dendritic cells, and driving the proliferation and functional maintenance of cytotoxic CD8&lt;sup&gt;+&lt;/sup&gt; T cells. Single-cell RNA and TCR sequencing revealed increased TCR diversity, reduced terminal exhaustion, and strengthened effector differentiation in response to combination therapy. Notably, &lt;sup&gt;&lt;i&gt;Dual&lt;/i&gt;&lt;/sup&gt;o-mvApDHs&lt;sup&gt;D/S&lt;/sup&gt; synergize with PD-1 blockade to achieve durable tumor eradication and long-term protection. These findings establish multivalent aptamer-drug hybrids as a versatile platform for multitarget, multipayload precision therapeutics and highlight their potential for next-generation TDC design.</w:t>
      </w:r>
    </w:p>
    <w:p>
      <w:pPr>
        <w:spacing w:before="120" w:after="120"/>
      </w:pPr>
      <w:r>
        <w:rPr>
          <w:sz w:val="18"/>
        </w:rPr>
        <w:t>——————————————————————————————————————————————————————————————————————</w:t>
      </w:r>
    </w:p>
    <w:p>
      <w:pPr>
        <w:spacing w:before="160" w:after="40" w:line="240" w:lineRule="auto"/>
      </w:pPr>
      <w:r>
        <w:rPr>
          <w:b/>
        </w:rPr>
        <w:t xml:space="preserve">[147] </w:t>
      </w:r>
      <w:hyperlink r:id="rId450">
        <w:r>
          <w:rPr>
            <w:color w:val="1155CC"/>
            <w:u w:val="single"/>
          </w:rPr>
          <w:t>[ASAP] 光介导原位同步捕获抗原和核酸作为纳米疫苗以增强肿瘤放射免疫治疗</w:t>
        </w:r>
      </w:hyperlink>
    </w:p>
    <w:p>
      <w:pPr>
        <w:spacing w:before="0" w:after="80"/>
      </w:pPr>
      <w:r>
        <w:rPr>
          <w:i/>
          <w:sz w:val="20"/>
        </w:rPr>
        <w:t>EN: [ASAP] Light-Mediated In Situ Synchronous Capture of Antigens and Nucleic Acids as Nanovaccines to Boost Tumor Radioimmunotherapy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2026-04-13 15:54:57+00:00</w:t>
      </w:r>
      <w:r>
        <w:t xml:space="preserve">    </w:t>
      </w:r>
      <w:r>
        <w:rPr>
          <w:b/>
        </w:rPr>
        <w:t xml:space="preserve">DOI: </w:t>
      </w:r>
      <w:hyperlink r:id="rId451">
        <w:r>
          <w:rPr>
            <w:color w:val="1155CC"/>
            <w:u w:val="single"/>
          </w:rPr>
          <w:t>10.1021/jacs.5c21345</w:t>
        </w:r>
      </w:hyperlink>
    </w:p>
    <w:p>
      <w:pPr>
        <w:spacing w:before="0" w:after="120"/>
      </w:pPr>
      <w:r>
        <w:rPr>
          <w:b/>
        </w:rPr>
        <w:t xml:space="preserve">Notes: </w:t>
      </w:r>
      <w:r>
        <w:t>abstract_source=openalex</w:t>
      </w:r>
    </w:p>
    <w:p>
      <w:pPr>
        <w:spacing w:before="0" w:after="80" w:lineRule="auto" w:line="276"/>
      </w:pPr>
      <w:r>
        <w:rPr>
          <w:b/>
        </w:rPr>
        <w:t xml:space="preserve">摘要（ZH）: </w:t>
      </w:r>
      <w:r>
        <w:t>放射治疗诱导的免疫原性癌细胞死亡以产生疫苗效应是一种增强肿瘤治疗效果的有效方法。然而，它通常受到树突状细胞（DCs）对释放的肿瘤抗原和损伤相关分子模式（DAMPs）摄取不足的限制。为了解决这个问题，报道了一种光介导的同步捕获抗原和核酸佐剂的策略，以原位生成疫苗以增强肿瘤放射免疫治疗。通过在金纳米颗粒表面修饰3-(2-呋喃基)丙酸和光敏剂叶绿素e6（Ce6），合理设计并制造了一种光响应纳米颗粒fAuNPs-Ce6。在660 nm激光照射下，由Ce6产生的&lt;sup&gt;1&lt;/sup&gt;O&lt;sub&gt;2&lt;/sub&gt;催化下</w:t>
      </w:r>
    </w:p>
    <w:p>
      <w:pPr>
        <w:spacing w:before="0" w:after="200" w:lineRule="auto" w:line="276"/>
      </w:pPr>
      <w:r>
        <w:rPr>
          <w:b/>
        </w:rPr>
        <w:t xml:space="preserve">Abstract (EN): </w:t>
      </w:r>
      <w:r>
        <w:t>Radiotherapy-induced immunogenic cancer cell death to generate vaccine effects is an effective approach to enhancing the efficacy of tumor therapy. However, it is often constrained by insufficient uptake of released tumor antigens and damage-associated molecular patterns (DAMPs) by dendritic cells (DCs). To address this issue, a light-mediated strategy for synchronous capture of antigens and nucleic acid adjuvants is reported to in situ generate vaccines for enhanced tumor radioimmunotherapy. A type of light-responsive nanoparticle fAuNPs-Ce6 is rationally designed and fabricated by modifying 3-(2-furyl) propanoic acids and photosensitizer Chlorin e6 (Ce6) on the surface of gold nanoparticles. Under the catalysis of &lt;sup&gt;1&lt;/sup&gt;O&lt;sub&gt;2&lt;/sub&gt; generated from Ce6 upon a 660 nm laser irradiation, fAuNPs-Ce6 nanoparticles can capture the tumor-derived protein antigens and nucleic acid fragments simultaneously through the furan-mediated covalent reactions with amino group or nucleobase, which significantly prolongs the retention time of antigens and adjuvants in the tumor microenvironment, promoting robust DC maturation without exogenous adjuvants and eliciting potent systemic antitumor immunity. More notably, these nanovaccines in combination with PD-L1 blockade can remarkably enhance the radiotherapeutic efficacy, achieving significant suppression of both primary and distant tumor growth. Therefore, this light-mediated in situ vaccination may offer a promising strategy for the precise treatment of malignant tumors.</w:t>
      </w:r>
    </w:p>
    <w:p>
      <w:pPr>
        <w:spacing w:before="120" w:after="120"/>
      </w:pPr>
      <w:r>
        <w:rPr>
          <w:sz w:val="18"/>
        </w:rPr>
        <w:t>——————————————————————————————————————————————————————————————————————</w:t>
      </w:r>
    </w:p>
    <w:p>
      <w:pPr>
        <w:spacing w:before="160" w:after="40" w:line="240" w:lineRule="auto"/>
      </w:pPr>
      <w:r>
        <w:rPr>
          <w:b/>
        </w:rPr>
        <w:t xml:space="preserve">[148] </w:t>
      </w:r>
      <w:hyperlink r:id="rId452">
        <w:r>
          <w:rPr>
            <w:color w:val="1155CC"/>
            <w:u w:val="single"/>
          </w:rPr>
          <w:t>[ASAP] 具有双阶段充电的复合阳极用于高效双波段电致变色器件</w:t>
        </w:r>
      </w:hyperlink>
    </w:p>
    <w:p>
      <w:pPr>
        <w:spacing w:before="0" w:after="80"/>
      </w:pPr>
      <w:r>
        <w:rPr>
          <w:i/>
          <w:sz w:val="20"/>
        </w:rPr>
        <w:t>EN: [ASAP] Composite Anodes with Dual-Stage Charging for Efficient Dual-Band Electrochromic Devices</w:t>
      </w:r>
    </w:p>
    <w:p>
      <w:pPr>
        <w:spacing w:before="0" w:after="120"/>
      </w:pPr>
      <w:r>
        <w:rPr>
          <w:b/>
        </w:rPr>
        <w:t xml:space="preserve">Source: </w:t>
      </w:r>
      <w:r>
        <w:t>ACS Energy Letters: Latest Articles (ACS Publications)</w:t>
      </w:r>
      <w:r>
        <w:t xml:space="preserve">    </w:t>
      </w:r>
      <w:r>
        <w:rPr>
          <w:b/>
        </w:rPr>
        <w:t xml:space="preserve">Pub date: </w:t>
      </w:r>
      <w:r>
        <w:t>2026-04-13 17:49:48+00:00</w:t>
      </w:r>
      <w:r>
        <w:t xml:space="preserve">    </w:t>
      </w:r>
      <w:r>
        <w:rPr>
          <w:b/>
        </w:rPr>
        <w:t xml:space="preserve">DOI: </w:t>
      </w:r>
      <w:hyperlink r:id="rId453">
        <w:r>
          <w:rPr>
            <w:color w:val="1155CC"/>
            <w:u w:val="single"/>
          </w:rPr>
          <w:t>10.1021/acsenergylett.5c04322</w:t>
        </w:r>
      </w:hyperlink>
    </w:p>
    <w:p>
      <w:pPr>
        <w:spacing w:before="0" w:after="120"/>
      </w:pPr>
      <w:r>
        <w:rPr>
          <w:b/>
        </w:rPr>
        <w:t xml:space="preserve">Notes: </w:t>
      </w:r>
      <w:r>
        <w:t>abstract_source=openalex</w:t>
      </w:r>
    </w:p>
    <w:p>
      <w:pPr>
        <w:spacing w:before="0" w:after="80" w:lineRule="auto" w:line="276"/>
      </w:pPr>
      <w:r>
        <w:rPr>
          <w:b/>
        </w:rPr>
        <w:t xml:space="preserve">摘要（ZH）: </w:t>
      </w:r>
      <w:r>
        <w:t>在双波段电致变色设备中实现高效和选择性调制仍然具有挑战性，因为在控制电致变色阳极的光谱响应方面的进展有限，而这些阳极可以补充双波段阴极的进展。在这项工作中，我们设计了一种复合阳极，由层状氧化钒和氧化镍纳米晶薄膜组成，通过双阶段充电过程运行。我们展示了其在与氧化铌双波段阴极结合的完整设备中的性能。在着色过程中，氧化钒首先经历法拉第氧化，使氧化铌的近红外调制实现最小的可见着色。在进一步充电时，氧化镍通过电容过程贡献电荷，诱导可见范围的着色，从而</w:t>
      </w:r>
    </w:p>
    <w:p>
      <w:pPr>
        <w:spacing w:before="0" w:after="200" w:lineRule="auto" w:line="276"/>
      </w:pPr>
      <w:r>
        <w:rPr>
          <w:b/>
        </w:rPr>
        <w:t xml:space="preserve">Abstract (EN): </w:t>
      </w:r>
      <w:r>
        <w:t>Achieving efficient and selective modulation in dual-band electrochromic devices remains challenging, due to the limited progress in controlling the spectral response of electrochromic anodes that can complement the advances in dual-band cathodes. In this work, we designed a composite anode consisting of layered vanadium oxide and nickel oxide nanocrystal films that operates through a dual-stage charging process. We demonstrate its performance in a full device in conjunction with a niobium oxide dual-band cathode. During coloration, vanadium oxide undergoes faradaic oxidation first, enabling near-infrared modulation of niobium oxide with minimal visible coloration. Upon further charging, nickel oxide contributes charge via capacitive processes, inducing visible-range tinting and thereby enhancing the overall dynamic optical response of the full device. As a result, the dual-band device employing this composite anode exhibits a high optical contrast of 56.1% at 550 nm and 71.2% at 1600 nm, with a dark mode transmittance of below 2% at 550 nm.</w:t>
      </w:r>
    </w:p>
    <w:p>
      <w:pPr>
        <w:spacing w:before="120" w:after="120"/>
      </w:pPr>
      <w:r>
        <w:rPr>
          <w:sz w:val="18"/>
        </w:rPr>
        <w:t>——————————————————————————————————————————————————————————————————————</w:t>
      </w:r>
    </w:p>
    <w:p>
      <w:pPr>
        <w:spacing w:before="160" w:after="40" w:line="240" w:lineRule="auto"/>
      </w:pPr>
      <w:r>
        <w:rPr>
          <w:b/>
        </w:rPr>
        <w:t xml:space="preserve">[149] </w:t>
      </w:r>
      <w:hyperlink r:id="rId454">
        <w:r>
          <w:rPr>
            <w:color w:val="1155CC"/>
            <w:u w:val="single"/>
          </w:rPr>
          <w:t>[ASAP] 解码外膜β-桶：从结构好奇到工程化纳米治疗</w:t>
        </w:r>
      </w:hyperlink>
    </w:p>
    <w:p>
      <w:pPr>
        <w:spacing w:before="0" w:after="80"/>
      </w:pPr>
      <w:r>
        <w:rPr>
          <w:i/>
          <w:sz w:val="20"/>
        </w:rPr>
        <w:t>EN: [ASAP] Decoding Outer Membrane β-Barrels: From Structural Curiosity to Engineered Nanotherapeutics</w:t>
      </w:r>
    </w:p>
    <w:p>
      <w:pPr>
        <w:spacing w:before="0" w:after="120"/>
      </w:pPr>
      <w:r>
        <w:rPr>
          <w:b/>
        </w:rPr>
        <w:t xml:space="preserve">Source: </w:t>
      </w:r>
      <w:r>
        <w:t>Chemical Reviews: Latest Articles (ACS Publications)</w:t>
      </w:r>
      <w:r>
        <w:t xml:space="preserve">    </w:t>
      </w:r>
      <w:r>
        <w:rPr>
          <w:b/>
        </w:rPr>
        <w:t xml:space="preserve">Pub date: </w:t>
      </w:r>
      <w:r>
        <w:t>2026-04-13 17:52:12+00:00</w:t>
      </w:r>
      <w:r>
        <w:t xml:space="preserve">    </w:t>
      </w:r>
      <w:r>
        <w:rPr>
          <w:b/>
        </w:rPr>
        <w:t xml:space="preserve">DOI: </w:t>
      </w:r>
      <w:hyperlink r:id="rId455">
        <w:r>
          <w:rPr>
            <w:color w:val="1155CC"/>
            <w:u w:val="single"/>
          </w:rPr>
          <w:t>10.1021/acs.chemrev.5c00902</w:t>
        </w:r>
      </w:hyperlink>
    </w:p>
    <w:p>
      <w:pPr>
        <w:spacing w:before="0" w:after="120"/>
      </w:pPr>
      <w:r>
        <w:rPr>
          <w:b/>
        </w:rPr>
        <w:t xml:space="preserve">Notes: </w:t>
      </w:r>
      <w:r>
        <w:t>abstract_source=pubmed</w:t>
      </w:r>
    </w:p>
    <w:p>
      <w:pPr>
        <w:spacing w:before="0" w:after="80" w:lineRule="auto" w:line="276"/>
      </w:pPr>
      <w:r>
        <w:rPr>
          <w:b/>
        </w:rPr>
        <w:t xml:space="preserve">摘要（ZH）: </w:t>
      </w:r>
      <w:r>
        <w:t>跨膜β-桶状外膜蛋白或OMPs是嵌入在革兰氏阴性细菌、线粒体和叶绿体外膜中的专门分子守门员。这些蛋白质协调广泛的生物功能，作为(i)单向或双向传递信号的传感器，(ii)从小代谢物到大蛋白质运输体的通道，(iii)用于通信的粘附素和受体，以及(iv)用于蛋白质和细胞器生物发生的伴侣，它们是调节细胞稳态和决定生物体命运的生物学重要分子支架。OMPs已成为结构多样且功能动态的实体，对未来的治疗和精准干预具有重要意义。科学和技术</w:t>
      </w:r>
    </w:p>
    <w:p>
      <w:pPr>
        <w:spacing w:before="0" w:after="200" w:lineRule="auto" w:line="276"/>
      </w:pPr>
      <w:r>
        <w:rPr>
          <w:b/>
        </w:rPr>
        <w:t xml:space="preserve">Abstract (EN): </w:t>
      </w:r>
      <w:r>
        <w:t>Transmembrane β-barrel outer membrane proteins or OMPs are specialized molecular gatekeepers embedded in the outer membranes of Gram-negative bacteria, mitochondria, and chloroplast. These proteins orchestrate a wide spectrum of biological functions, serving as (i) sensors transferring signals uni- or bidirectionally, (ii) channels conducting small metabolites to transporters of large proteins, (iii) adhesins and receptors for communication, and (iv) chaperones for protein and organelle biogenesis, and they are biologically important molecular scaffolds that regulate cellular homeostasis and decide the fate of the organism. OMPs have emerged as structurally versatile and functionally dynamic entities important for future therapeutics and precision interventions. Scientific and technological advances (cryo-EM, NMR, MD simulations, AlphaFold) have enhanced our understanding of the structures, biochemical functions, and interactomes of OMPs, revealing unprecedented insights on their molecular biogenesis and energetics, structural organization and dynamic regulation, and function in vivo. This review integrates the discovery and early studies of OMP structures and folding energy landscapes with their organizational, mechanistic, and functional diversity. Insights from rational engineering of β-barrels highlight their application in biosensing, drug delivery, diagnostics, synthetic biology, and nanomedicine. These developments will transform our understanding of OMPs from structural curiosity to precision biomolecular design and next-generation nanotherapeutics.</w:t>
      </w:r>
    </w:p>
    <w:p>
      <w:pPr>
        <w:spacing w:before="120" w:after="120"/>
      </w:pPr>
      <w:r>
        <w:rPr>
          <w:sz w:val="18"/>
        </w:rPr>
        <w:t>——————————————————————————————————————————————————————————————————————</w:t>
      </w:r>
    </w:p>
    <w:p>
      <w:pPr>
        <w:spacing w:before="160" w:after="40" w:line="240" w:lineRule="auto"/>
      </w:pPr>
      <w:r>
        <w:rPr>
          <w:b/>
        </w:rPr>
        <w:t xml:space="preserve">[150] </w:t>
      </w:r>
      <w:hyperlink r:id="rId456">
        <w:r>
          <w:rPr>
            <w:color w:val="1155CC"/>
            <w:u w:val="single"/>
          </w:rPr>
          <w:t>[ASAP] 一种pH响应的Cu-Corrole基笼体，可在低对称性变形腔中可逆包封富勒烯</w:t>
        </w:r>
      </w:hyperlink>
    </w:p>
    <w:p>
      <w:pPr>
        <w:spacing w:before="0" w:after="80"/>
      </w:pPr>
      <w:r>
        <w:rPr>
          <w:i/>
          <w:sz w:val="20"/>
        </w:rPr>
        <w:t>EN: [ASAP] A pH-Responsive Cu-Corrole-Based Cage That Reversibly Encapsulates Fullerene in a Shapeshifting Low-Symmetry Cavity</w:t>
      </w:r>
    </w:p>
    <w:p>
      <w:pPr>
        <w:spacing w:before="0" w:after="120"/>
      </w:pPr>
      <w:r>
        <w:rPr>
          <w:b/>
        </w:rPr>
        <w:t xml:space="preserve">Source: </w:t>
      </w:r>
      <w:r>
        <w:t>Journal of the American Chemical Society: Latest Articles (ACS Publications)</w:t>
      </w:r>
      <w:r>
        <w:t xml:space="preserve">    </w:t>
      </w:r>
      <w:r>
        <w:rPr>
          <w:b/>
        </w:rPr>
        <w:t xml:space="preserve">Pub date: </w:t>
      </w:r>
      <w:r>
        <w:t>2026-04-13 18:10:24+00:00</w:t>
      </w:r>
      <w:r>
        <w:t xml:space="preserve">    </w:t>
      </w:r>
      <w:r>
        <w:rPr>
          <w:b/>
        </w:rPr>
        <w:t xml:space="preserve">DOI: </w:t>
      </w:r>
      <w:hyperlink r:id="rId457">
        <w:r>
          <w:rPr>
            <w:color w:val="1155CC"/>
            <w:u w:val="single"/>
          </w:rPr>
          <w:t>10.1021/jacs.5c21440</w:t>
        </w:r>
      </w:hyperlink>
    </w:p>
    <w:p>
      <w:pPr>
        <w:spacing w:before="0" w:after="120"/>
      </w:pPr>
      <w:r>
        <w:rPr>
          <w:b/>
        </w:rPr>
        <w:t xml:space="preserve">Notes: </w:t>
      </w:r>
      <w:r>
        <w:t>abstract_source=openalex</w:t>
      </w:r>
    </w:p>
    <w:p>
      <w:pPr>
        <w:spacing w:before="0" w:after="80" w:lineRule="auto" w:line="276"/>
      </w:pPr>
      <w:r>
        <w:rPr>
          <w:b/>
        </w:rPr>
        <w:t xml:space="preserve">摘要（ZH）: </w:t>
      </w:r>
      <w:r>
        <w:t>人工宿主结合化学功能（识别位点、刺激响应行为）在低对称性和客体适应性环境中，是更好地理解和模拟蛋白质受体的主要兴趣。然而，分子笼通常限于由刚性亚单元构建的对称空腔。例如，卟啉构建块在受体和受限催化剂的制备中具有悠久的作用。在此，我们引入了一种基于咯咯的分子笼新设计，咯咯是卟啉的低对称性类似物，为去对称化空腔注入生命。一个（CuIII）咯咯络合物通过pH响应侧臂配备了一个形状变换的环三香豆素（CTV）顶盖。后者使得第一个基于金属咯咯的笼CuIII（Hm-Cor）能够</w:t>
      </w:r>
    </w:p>
    <w:p>
      <w:pPr>
        <w:spacing w:before="0" w:after="200" w:lineRule="auto" w:line="276"/>
      </w:pPr>
      <w:r>
        <w:rPr>
          <w:b/>
        </w:rPr>
        <w:t xml:space="preserve">Abstract (EN): </w:t>
      </w:r>
      <w:r>
        <w:t>Artificial hosts combining chemical functionalities (recognition sites, stimuli responsive behaviour) in a low-symmetrical and guest-adaptive environment, are of major interest to better understand and mimic protein receptors. However, molecular cages are generally restricted to symmetrical cavities built from rigid subunits. For instance, porphyrin building blocks have a time-honoured role in the preparation of receptors and confined catalysts. Here, we introduce a new design for molecular cages based on corroles, the low symmetrical analogue of porphyrins, breathing life to desymmetrized cavities. A (CuIII)corrole complex was equipped with a shapeshifting cyclotriveratrylene (CTV) roof, via pH-responsive side arms. The latter enables the first metallocorrole-based cage CuIII(Hm-Cor) to reversibly bind fullerenes in a unique low-symmetry, conformationally adaptive, and pH-responsive cavity. Experimental and computational studies evidence flipping of the CTV roof upon fullerene binding, enabling structural reconfiguration of the host to optimise its size and shape to accommodate the guest. Such conformational changes also respond to the protonation of the cage’s side-arms. The reversible nature of this pH-responsive cavity allows fullerene release and reuse of the host. Beyond establishing a key precedent for preparation of caged metallocorroles, the present study provides a unique approach for the on-demand fullerene encapsulation in a low symmetry environment.</w:t>
      </w:r>
    </w:p>
    <w:p>
      <w:pPr>
        <w:spacing w:before="120" w:after="120"/>
      </w:pPr>
      <w:r>
        <w:rPr>
          <w:sz w:val="18"/>
        </w:rPr>
        <w:t>——————————————————————————————————————————————————————————————————————</w:t>
      </w:r>
    </w:p>
    <w:p>
      <w:pPr>
        <w:spacing w:before="160" w:after="40" w:line="240" w:lineRule="auto"/>
      </w:pPr>
      <w:r>
        <w:rPr>
          <w:b/>
        </w:rPr>
        <w:t xml:space="preserve">[151] </w:t>
      </w:r>
      <w:hyperlink r:id="rId458">
        <w:r>
          <w:rPr>
            <w:color w:val="1155CC"/>
            <w:u w:val="single"/>
          </w:rPr>
          <w:t>[ASAP] 通过乙烯基阳离子进行炔烃环化和萜烯合酶的立体选择性烯烃形成</w:t>
        </w:r>
      </w:hyperlink>
    </w:p>
    <w:p>
      <w:pPr>
        <w:spacing w:before="0" w:after="80"/>
      </w:pPr>
      <w:r>
        <w:rPr>
          <w:i/>
          <w:sz w:val="20"/>
        </w:rPr>
        <w:t>EN: [ASAP] Alkyne Cyclizations through Vinyl Cations and Stereoselective Allene Formation by Terpene Synthases</w:t>
      </w:r>
    </w:p>
    <w:p>
      <w:pPr>
        <w:spacing w:before="0" w:after="120"/>
      </w:pPr>
      <w:r>
        <w:rPr>
          <w:b/>
        </w:rPr>
        <w:t xml:space="preserve">Source: </w:t>
      </w:r>
      <w:r>
        <w:t>Journal of the American Chemical Society: Latest Articles (ACS Publications)</w:t>
      </w:r>
      <w:r>
        <w:t xml:space="preserve">    </w:t>
      </w:r>
      <w:r>
        <w:rPr>
          <w:b/>
        </w:rPr>
        <w:t xml:space="preserve">Pub date: </w:t>
      </w:r>
      <w:r>
        <w:t>2026-04-13 19:57:57+00:00</w:t>
      </w:r>
      <w:r>
        <w:t xml:space="preserve">    </w:t>
      </w:r>
      <w:r>
        <w:rPr>
          <w:b/>
        </w:rPr>
        <w:t xml:space="preserve">DOI: </w:t>
      </w:r>
      <w:hyperlink r:id="rId459">
        <w:r>
          <w:rPr>
            <w:color w:val="1155CC"/>
            <w:u w:val="single"/>
          </w:rPr>
          <w:t>10.1021/jacs.6c05306</w:t>
        </w:r>
      </w:hyperlink>
    </w:p>
    <w:p>
      <w:pPr>
        <w:spacing w:before="0" w:after="120"/>
      </w:pPr>
      <w:r>
        <w:rPr>
          <w:b/>
        </w:rPr>
        <w:t xml:space="preserve">Notes: </w:t>
      </w:r>
      <w:r>
        <w:t>abstract_source=pubmed</w:t>
      </w:r>
    </w:p>
    <w:p>
      <w:pPr>
        <w:spacing w:before="0" w:after="80" w:lineRule="auto" w:line="276"/>
      </w:pPr>
      <w:r>
        <w:rPr>
          <w:b/>
        </w:rPr>
        <w:t xml:space="preserve">摘要（ZH）: </w:t>
      </w:r>
      <w:r>
        <w:t>一种端双键被炔基功能团取代的倍半萜前体法呢基焦磷酸盐的类似物被合成并与七种倍半萜合酶进行酶促转化。在某些情况下，炔基功能未参与环化反应，导致已知倍半萜的炔基类似物，但在其他情况下，炔基功能直接参与环化级联，通过乙烯基阳离子进行。反应产生了萜类烃或醇，或者如果乙烯基阳离子被水淬灭或发生去质子化，则分别生成酮或烯烃。从Embleya scabrispora中新表征的δ-卡地烯合酶中分离出的Scabrisporallene包含嵌入在大环结构中的烯烃功能</w:t>
      </w:r>
    </w:p>
    <w:p>
      <w:pPr>
        <w:spacing w:before="0" w:after="200" w:lineRule="auto" w:line="276"/>
      </w:pPr>
      <w:r>
        <w:rPr>
          <w:b/>
        </w:rPr>
        <w:t xml:space="preserve">Abstract (EN): </w:t>
      </w:r>
      <w:r>
        <w:t>An analog of the sesquiterpene precursor farnesyl pyrophosphate with the terminal double bond substituted by an alkyne functional group was synthesized and enzymatically converted with seven sesquiterpene synthases. In some cases, the alkyne function did not participate in the cyclization reaction, leading to alkyne analogs of known sesquiterpenes, but in other cases, the alkyne function was directly involved in the cyclization cascade, progressing through vinyl cations. The reactions yielded either terpenoid hydrocarbons or alcohols, or, if the vinyl cation was quenched by water or underwent deprotonation, ketones or allenes, respectively. Scabrisporallene isolated from a newly characterized δ-cadinene synthase from Embleya scabrispora contained an allene function embedded in a macrocyclic ring. A heating experiment revealed racemization of this compound at 120 °C with a half-life of about 24 h. Also, elongation of the FPP analog with one more isoprene unit by a geranylgeranyl pyrophosphate synthase and subsequent cyclization using a diterpene synthase proved to be possible. The absolute configurations of the isolated compounds and the cyclization mechanisms toward them were investigated through isotopic labeling experiments and through computational methods.</w:t>
      </w:r>
    </w:p>
    <w:p>
      <w:pPr>
        <w:spacing w:before="120" w:after="120"/>
      </w:pPr>
      <w:r>
        <w:rPr>
          <w:sz w:val="18"/>
        </w:rPr>
        <w:t>——————————————————————————————————————————————————————————————————————</w:t>
      </w:r>
    </w:p>
    <w:p>
      <w:pPr>
        <w:spacing w:before="160" w:after="40" w:line="240" w:lineRule="auto"/>
      </w:pPr>
      <w:r>
        <w:rPr>
          <w:b/>
        </w:rPr>
        <w:t xml:space="preserve">[152] </w:t>
      </w:r>
      <w:hyperlink r:id="rId460">
        <w:r>
          <w:rPr>
            <w:color w:val="1155CC"/>
            <w:u w:val="single"/>
          </w:rPr>
          <w:t>葡萄糖探针在生物系统中的传感和成像的设计与开发</w:t>
        </w:r>
      </w:hyperlink>
    </w:p>
    <w:p>
      <w:pPr>
        <w:spacing w:before="0" w:after="80"/>
      </w:pPr>
      <w:r>
        <w:rPr>
          <w:i/>
          <w:sz w:val="20"/>
        </w:rPr>
        <w:t>EN: The design and development of glucose probes for sensing and imaging within biological systems</w:t>
      </w:r>
    </w:p>
    <w:p>
      <w:pPr>
        <w:spacing w:before="0" w:after="120"/>
      </w:pPr>
      <w:r>
        <w:rPr>
          <w:b/>
        </w:rPr>
        <w:t xml:space="preserve">Source: </w:t>
      </w:r>
      <w:r>
        <w:t>RSC - Chem. Soc. Rev. latest articles</w:t>
      </w:r>
      <w:r>
        <w:t xml:space="preserve">    </w:t>
      </w:r>
      <w:r>
        <w:rPr>
          <w:b/>
        </w:rPr>
        <w:t xml:space="preserve">Pub date: </w:t>
      </w:r>
      <w:r>
        <w:t>2026-04-13 23:00:00+00:00</w:t>
      </w:r>
    </w:p>
    <w:p>
      <w:pPr>
        <w:spacing w:before="0" w:after="120"/>
      </w:pPr>
      <w:r>
        <w:rPr>
          <w:b/>
        </w:rPr>
        <w:t xml:space="preserve">Notes: </w:t>
      </w:r>
      <w:r>
        <w:t>abstract_source=rsc_html</w:t>
      </w:r>
    </w:p>
    <w:p>
      <w:pPr>
        <w:spacing w:before="0" w:after="80" w:lineRule="auto" w:line="276"/>
      </w:pPr>
      <w:r>
        <w:rPr>
          <w:b/>
        </w:rPr>
        <w:t xml:space="preserve">摘要（ZH）: </w:t>
      </w:r>
      <w:r>
        <w:t>葡萄糖和葡萄糖稳态对生物过程的调节至关重要，开发用于生物系统中葡萄糖传感和成像的探针长期以来一直受到生物和化学科学界的极大关注。因此，相关文献非常广泛，本综述旨在概述主要贡献和方法，以提供对这些探针工作机制的见解，旨在促进新型葡萄糖传感系统的发展。本综述总结了生物传感葡萄糖探针设计的进展，并讨论了开创性和较新葡萄糖探针背后的设计原则，涵盖了葡萄糖类似物为基础的示踪剂、酶为基础的探针、荧光蛋白为基础的探针、凝集素为基础的探针等。</w:t>
      </w:r>
    </w:p>
    <w:p>
      <w:pPr>
        <w:spacing w:before="0" w:after="200" w:lineRule="auto" w:line="276"/>
      </w:pPr>
      <w:r>
        <w:rPr>
          <w:b/>
        </w:rPr>
        <w:t xml:space="preserve">Abstract (EN): </w:t>
      </w:r>
      <w:r>
        <w:t>Glucose and glucose homeostasis are central to the regulation of biological processes, and the development of probes for glucose sensing and imaging in biological systems has long been of significant interest to the biological and chemical sciences community. The resulting body of literature is therefore vast, and this review aims to outline major contributions and approaches to provide insight into these probes’ working mechanisms with the aim of fostering the development of new glucose-sensing systems. This review summarizes advances in the design of glucose probes for biological sensing, and discusses the design principles behind seminal and more recent glucose probes, covering glucose analogue-based tracers, enzyme-based probes, fluorescent protein-based probes, lectin-based probes, and boronic acid-based glucose probes. Throughout, design principles will be emphasized and limitations and challenges of the existing landscape will be discussed, highlighting future opportunities and potential research directions.</w:t>
      </w:r>
    </w:p>
    <w:p>
      <w:pPr>
        <w:spacing w:before="120" w:after="120"/>
      </w:pPr>
      <w:r>
        <w:rPr>
          <w:sz w:val="18"/>
        </w:rPr>
        <w:t>——————————————————————————————————————————————————————————————————————</w:t>
      </w:r>
    </w:p>
    <w:p>
      <w:pPr>
        <w:spacing w:before="160" w:after="40" w:line="240" w:lineRule="auto"/>
      </w:pPr>
      <w:r>
        <w:rPr>
          <w:b/>
        </w:rPr>
        <w:t xml:space="preserve">[153] </w:t>
      </w:r>
      <w:hyperlink r:id="rId461">
        <w:r>
          <w:rPr>
            <w:color w:val="1155CC"/>
            <w:u w:val="single"/>
          </w:rPr>
          <w:t>金属有机框架的热力学：从基础到高级应用</w:t>
        </w:r>
      </w:hyperlink>
    </w:p>
    <w:p>
      <w:pPr>
        <w:spacing w:before="0" w:after="80"/>
      </w:pPr>
      <w:r>
        <w:rPr>
          <w:i/>
          <w:sz w:val="20"/>
        </w:rPr>
        <w:t>EN: Thermodynamics of metal–organic frameworks: from fundamentals to advanced applications</w:t>
      </w:r>
    </w:p>
    <w:p>
      <w:pPr>
        <w:spacing w:before="0" w:after="120"/>
      </w:pPr>
      <w:r>
        <w:rPr>
          <w:b/>
        </w:rPr>
        <w:t xml:space="preserve">Source: </w:t>
      </w:r>
      <w:r>
        <w:t>RSC - Chem. Soc. Rev. latest articles</w:t>
      </w:r>
      <w:r>
        <w:t xml:space="preserve">    </w:t>
      </w:r>
      <w:r>
        <w:rPr>
          <w:b/>
        </w:rPr>
        <w:t xml:space="preserve">Pub date: </w:t>
      </w:r>
      <w:r>
        <w:t>2026-04-13 23:00:00+00:00</w:t>
      </w:r>
    </w:p>
    <w:p>
      <w:pPr>
        <w:spacing w:before="0" w:after="120"/>
      </w:pPr>
      <w:r>
        <w:rPr>
          <w:b/>
        </w:rPr>
        <w:t xml:space="preserve">Notes: </w:t>
      </w:r>
      <w:r>
        <w:t>abstract_source=rsc_html</w:t>
      </w:r>
    </w:p>
    <w:p>
      <w:pPr>
        <w:spacing w:before="0" w:after="80" w:lineRule="auto" w:line="276"/>
      </w:pPr>
      <w:r>
        <w:rPr>
          <w:b/>
        </w:rPr>
        <w:t xml:space="preserve">摘要（ZH）: </w:t>
      </w:r>
      <w:r>
        <w:t>金属有机框架（MOFs）的基本热力学是定义MOFs适用于广泛应用的关键方面，包括作为气体储存和水收集的吸附剂、固态电解质、放射性核素储存材料和多相催化剂。然而，由于MOF的不溶性、分析物通过框架孔的扩散受限以及潜在的结构缺陷，可靠地实验评估与框架稳定性、客体吸附或结合以及相变相关的热力学参数可能具有挑战性。本综述旨在讨论实用方法和可访问的实验技术，如量热法、热测量、吸收和发射光谱以及电化学实验。</w:t>
      </w:r>
    </w:p>
    <w:p>
      <w:pPr>
        <w:spacing w:before="0" w:after="200" w:lineRule="auto" w:line="276"/>
      </w:pPr>
      <w:r>
        <w:rPr>
          <w:b/>
        </w:rPr>
        <w:t xml:space="preserve">Abstract (EN): </w:t>
      </w:r>
      <w:r>
        <w:t>The fundamental thermodynamics of metal–organic frameworks (MOFs) is a key aspect that defines the suitability of MOFs for a wide range of applications, including as sorbents for gas storage and water harvesting, solid-state electrolytes, radionuclide storage materials, and heterogeneous catalysts. However, reliable experimental evaluation of thermodynamic parameters related to, for example, framework stability, guest adsorption or binding, and phase transitions can be challenging due to MOF insolubility, limited diffusion of analytes through framework pores, and potential structural defects. The presented review aims to discuss practical methods and accessible experimental techniques, such as calorimetry, thermal measurements, absorbance and emission spectroscopies, and electrochemical experiments, for determining various thermodynamic aspects that are useful for predicting and tailoring MOF performance. By highlighting the advantages and potential outcomes of each class of considered techniques, this review serves as a guide for selecting and combining experimental methods to evaluate the detailed thermodynamics and kinetics of MOF-based processes, ranging from framework formation, post-synthetic modification, diffusion and binding of guest molecules, phase changes, and energy storage. In addition, this review highlights how theoretical modeling could potentially complement experimental work to provide a more comprehensive overview of the MOF thermodynamic landscape. Overall, each of the discussed case studies emphasizes how fundamental thermodynamics can shed light on the design of functional materials to address emergent global challenges in the technological, energy, and biomedical sectors and beyond.</w:t>
      </w:r>
    </w:p>
    <w:p>
      <w:pPr>
        <w:spacing w:before="120" w:after="120"/>
      </w:pPr>
      <w:r>
        <w:rPr>
          <w:sz w:val="18"/>
        </w:rPr>
        <w:t>——————————————————————————————————————————————————————————————————————</w:t>
      </w:r>
    </w:p>
    <w:p>
      <w:pPr>
        <w:spacing w:before="160" w:after="40" w:line="240" w:lineRule="auto"/>
      </w:pPr>
      <w:r>
        <w:rPr>
          <w:b/>
        </w:rPr>
        <w:t xml:space="preserve">[154] </w:t>
      </w:r>
      <w:hyperlink r:id="rId462">
        <w:r>
          <w:rPr>
            <w:color w:val="1155CC"/>
            <w:u w:val="single"/>
          </w:rPr>
          <w:t>利用浮动光化学酶促多米诺催化剂对生物柴油合成副产品进行双相增值</w:t>
        </w:r>
      </w:hyperlink>
    </w:p>
    <w:p>
      <w:pPr>
        <w:spacing w:before="0" w:after="80"/>
      </w:pPr>
      <w:r>
        <w:rPr>
          <w:i/>
          <w:sz w:val="20"/>
        </w:rPr>
        <w:t>EN: Biphasic valorization of byproducts from biodiesel synthesis using floating photochemo-enzymatic domino catalysis</w:t>
      </w:r>
    </w:p>
    <w:p>
      <w:pPr>
        <w:spacing w:before="0" w:after="120"/>
      </w:pPr>
      <w:r>
        <w:rPr>
          <w:b/>
        </w:rPr>
        <w:t xml:space="preserve">Source: </w:t>
      </w:r>
      <w:r>
        <w:t>RSC - Energy Environ. Sci. latest articles</w:t>
      </w:r>
      <w:r>
        <w:t xml:space="preserve">    </w:t>
      </w:r>
      <w:r>
        <w:rPr>
          <w:b/>
        </w:rPr>
        <w:t xml:space="preserve">Pub date: </w:t>
      </w:r>
      <w:r>
        <w:t>2026-04-13 23:00:00+00:00</w:t>
      </w:r>
    </w:p>
    <w:p>
      <w:pPr>
        <w:spacing w:before="0" w:after="120"/>
      </w:pPr>
      <w:r>
        <w:rPr>
          <w:b/>
        </w:rPr>
        <w:t xml:space="preserve">Notes: </w:t>
      </w:r>
      <w:r>
        <w:t>abstract_source=rsc_html</w:t>
      </w:r>
    </w:p>
    <w:p>
      <w:pPr>
        <w:spacing w:before="0" w:after="80" w:lineRule="auto" w:line="276"/>
      </w:pPr>
      <w:r>
        <w:rPr>
          <w:b/>
        </w:rPr>
        <w:t xml:space="preserve">摘要（ZH）: </w:t>
      </w:r>
      <w:r>
        <w:t>可持续化学合成需要从摇篮到摇篮的设计策略，以最佳的原子和步骤经济性对废物流进行升级循环。在这里，我们展示了使用可扩展的两步过程对植物油的完全增值。首先，使用水相NaOH将甘油三酯（植物油）与甲醇进行酯交换生成生物柴油，同时产生甘油和未反应的不饱和脂肪酸作为副产物。在分离生物柴油后，甘油和脂肪酸通过在液-液界面上的双相多米诺反应与浮动光化学酶促平台进行增值。具体而言，可浮动的聚合物碳氮化物/聚丙烯（CNx/PP）复合材料首先光催化O2还原为H2O2，使用水相甘油作为电子供体生成甘油醛</w:t>
      </w:r>
    </w:p>
    <w:p>
      <w:pPr>
        <w:spacing w:before="0" w:after="200" w:lineRule="auto" w:line="276"/>
      </w:pPr>
      <w:r>
        <w:rPr>
          <w:b/>
        </w:rPr>
        <w:t xml:space="preserve">Abstract (EN): </w:t>
      </w:r>
      <w:r>
        <w:t>Sustainable chemical synthesis requires a cradle-to-cradle design strategy to upcycle waste streams with optimal atom and step economy. Here, we demonstrate the full valorization of vegetable oil using a scalable two-step process. First, transesterification of triglycerides (vegetable oil) with methanol in aqueous NaOH generates biodiesel, together with glycerol and unreacted unsaturated fatty acids as byproducts. Following separation of biodiesel, glycerol and fatty acids were valorized using a biphasic domino reaction at the liquid-liquid interface with a floating photochemo-enzymatic platform. Specifically, a floatable polymeric carbon nitride/polypropylene (CNx/PP) composite photocatalyzes first the reduction of O2 to H2O2 using aqueous glycerol as the electron donor to produce glyceraldehyde and dihydroxyacetone. An immobilized lipase on a floating acrylic resin support subsequently utilizes the in situ generated aqueous H2O2 for the conversion of unsaturated fatty acids into epoxides in ethyl acetate. This novel photochemo-enzymatic domino reaction enables the full valorization of waste cooking oil at 1 kg scale, producing biodiesel (550 g), epoxidized fatty acids (438 g) and glyceraldehyde (663 g) in a 100 mL scale reactor under blue LED (λ = 450 nm, 40±4 mW cm-2 ) and simulated solar light (AM1.5G) at 40 °C generated by solar heating. A comparative life cycle assessment indicates that our integrated solar-driven process with optimized catalyst recyclability over 100 cycles has an expected 39% lower global warming potential compared to a decentralized process for conventional biodiesel, epoxy fatty acids and glyceraldehyde synthesis.</w:t>
      </w:r>
    </w:p>
    <w:p>
      <w:pPr>
        <w:spacing w:before="120" w:after="120"/>
      </w:pPr>
      <w:r>
        <w:rPr>
          <w:sz w:val="18"/>
        </w:rPr>
        <w:t>——————————————————————————————————————————————————————————————————————</w:t>
      </w:r>
    </w:p>
    <w:p>
      <w:pPr>
        <w:spacing w:before="160" w:after="40" w:line="240" w:lineRule="auto"/>
      </w:pPr>
      <w:r>
        <w:rPr>
          <w:b/>
        </w:rPr>
        <w:t xml:space="preserve">[155] </w:t>
      </w:r>
      <w:hyperlink r:id="rId463">
        <w:r>
          <w:rPr>
            <w:color w:val="1155CC"/>
            <w:u w:val="single"/>
          </w:rPr>
          <w:t>研究人员：如何审计你分散的数字身份</w:t>
        </w:r>
      </w:hyperlink>
    </w:p>
    <w:p>
      <w:pPr>
        <w:spacing w:before="0" w:after="80"/>
      </w:pPr>
      <w:r>
        <w:rPr>
          <w:i/>
          <w:sz w:val="20"/>
        </w:rPr>
        <w:t>EN: Researchers: here’s how to audit your fragmented digital identity</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64">
        <w:r>
          <w:rPr>
            <w:color w:val="1155CC"/>
            <w:u w:val="single"/>
          </w:rPr>
          <w:t>10.1038/d41586-025-04132-y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465">
        <w:r>
          <w:rPr>
            <w:color w:val="1155CC"/>
            <w:u w:val="single"/>
          </w:rPr>
          <w:t>NSF在意外举动中授予创纪录数量的备受瞩目的博士奖学金</w:t>
        </w:r>
      </w:hyperlink>
    </w:p>
    <w:p>
      <w:pPr>
        <w:spacing w:before="0" w:after="80"/>
      </w:pPr>
      <w:r>
        <w:rPr>
          <w:i/>
          <w:sz w:val="20"/>
        </w:rPr>
        <w:t>EN: NSF awards record number of coveted PhD fellowships in surprise move</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66">
        <w:r>
          <w:rPr>
            <w:color w:val="1155CC"/>
            <w:u w:val="single"/>
          </w:rPr>
          <w:t>10.1038/d41586-026-01119-1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467">
        <w:r>
          <w:rPr>
            <w:color w:val="1155CC"/>
            <w:u w:val="single"/>
          </w:rPr>
          <w:t>停止‘太空竞赛’：太空探索必须是人类共同的事业</w:t>
        </w:r>
      </w:hyperlink>
    </w:p>
    <w:p>
      <w:pPr>
        <w:spacing w:before="0" w:after="80"/>
      </w:pPr>
      <w:r>
        <w:rPr>
          <w:i/>
          <w:sz w:val="20"/>
        </w:rPr>
        <w:t>EN: Stop the ‘space race’: space exploration must be a shared human endeavour</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68">
        <w:r>
          <w:rPr>
            <w:color w:val="1155CC"/>
            <w:u w:val="single"/>
          </w:rPr>
          <w:t>10.1038/d41586-026-01194-4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469">
        <w:r>
          <w:rPr>
            <w:color w:val="1155CC"/>
            <w:u w:val="single"/>
          </w:rPr>
          <w:t>用肽嵌合体编程细胞外蛋白命运</w:t>
        </w:r>
      </w:hyperlink>
    </w:p>
    <w:p>
      <w:pPr>
        <w:spacing w:before="0" w:after="80"/>
      </w:pPr>
      <w:r>
        <w:rPr>
          <w:i/>
          <w:sz w:val="20"/>
        </w:rPr>
        <w:t>EN: Programming extracellular protein fate with peptide chimeras</w:t>
      </w:r>
    </w:p>
    <w:p>
      <w:pPr>
        <w:spacing w:before="0" w:after="120"/>
      </w:pPr>
      <w:r>
        <w:rPr>
          <w:b/>
        </w:rPr>
        <w:t xml:space="preserve">Source: </w:t>
      </w:r>
      <w:r>
        <w:t>Chem</w:t>
      </w:r>
      <w:r>
        <w:t xml:space="preserve">    </w:t>
      </w:r>
      <w:r>
        <w:rPr>
          <w:b/>
        </w:rPr>
        <w:t xml:space="preserve">Pub date: </w:t>
      </w:r>
      <w:r>
        <w:t>2026-04-14 00:00:00+00:00</w:t>
      </w:r>
      <w:r>
        <w:t xml:space="preserve">    </w:t>
      </w:r>
      <w:r>
        <w:rPr>
          <w:b/>
        </w:rPr>
        <w:t xml:space="preserve">DOI: </w:t>
      </w:r>
      <w:hyperlink r:id="rId470">
        <w:r>
          <w:rPr>
            <w:color w:val="1155CC"/>
            <w:u w:val="single"/>
          </w:rPr>
          <w:t>10.1016/j.chempr.2026.103040</w:t>
        </w:r>
      </w:hyperlink>
    </w:p>
    <w:p>
      <w:pPr>
        <w:spacing w:before="0" w:after="120"/>
      </w:pPr>
      <w:r>
        <w:rPr>
          <w:b/>
        </w:rPr>
        <w:t xml:space="preserve">Notes: </w:t>
      </w:r>
      <w:r>
        <w:t>abstract_source=rss_cell</w:t>
      </w:r>
    </w:p>
    <w:p>
      <w:pPr>
        <w:spacing w:before="0" w:after="80" w:lineRule="auto" w:line="276"/>
      </w:pPr>
      <w:r>
        <w:rPr>
          <w:b/>
        </w:rPr>
        <w:t xml:space="preserve">摘要（ZH）: </w:t>
      </w:r>
      <w:r>
        <w:t>尽管靶向蛋白降解已经彻底改变了细胞内药物发现，但针对细胞外致病蛋白的策略仍然有限。在《Cell》杂志中，Teng等人介绍了合成肽编程的溶酶体靶向嵌合体（SPYTACs），将细胞外靶标识别与受体介导的摄取和降解结合起来，将细胞外蛋白降解重新定义为分子设计问题。</w:t>
      </w:r>
    </w:p>
    <w:p>
      <w:pPr>
        <w:spacing w:before="0" w:after="200" w:lineRule="auto" w:line="276"/>
      </w:pPr>
      <w:r>
        <w:rPr>
          <w:b/>
        </w:rPr>
        <w:t xml:space="preserve">Abstract (EN): </w:t>
      </w:r>
      <w:r>
        <w:t>Although targeted protein degradation has revolutionized intracellular drug discovery, strategies against extracellular disease-causing proteins remain limited. In Cell, Teng et al. introduce synthetic peptide programmed lysosome targeting chimeras (SPYTACs) to couple extracellular target recognition with receptor-mediated uptake and degradation, reframing extracellular protein degradation as a problem of molecular design.</w:t>
      </w:r>
    </w:p>
    <w:p>
      <w:pPr>
        <w:spacing w:before="120" w:after="120"/>
      </w:pPr>
      <w:r>
        <w:rPr>
          <w:sz w:val="18"/>
        </w:rPr>
        <w:t>——————————————————————————————————————————————————————————————————————</w:t>
      </w:r>
    </w:p>
    <w:p>
      <w:pPr>
        <w:spacing w:before="160" w:after="40" w:line="240" w:lineRule="auto"/>
      </w:pPr>
      <w:r>
        <w:rPr>
          <w:b/>
        </w:rPr>
        <w:t xml:space="preserve">[159] </w:t>
      </w:r>
      <w:hyperlink r:id="rId471">
        <w:r>
          <w:rPr>
            <w:color w:val="1155CC"/>
            <w:u w:val="single"/>
          </w:rPr>
          <w:t>AI比以往任何时候都更需要可靠的植物数据</w:t>
        </w:r>
      </w:hyperlink>
    </w:p>
    <w:p>
      <w:pPr>
        <w:spacing w:before="0" w:after="80"/>
      </w:pPr>
      <w:r>
        <w:rPr>
          <w:i/>
          <w:sz w:val="20"/>
        </w:rPr>
        <w:t>EN: AI needs solid botanical data more than ever</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72">
        <w:r>
          <w:rPr>
            <w:color w:val="1155CC"/>
            <w:u w:val="single"/>
          </w:rPr>
          <w:t>10.1038/d41586-026-01196-2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473">
        <w:r>
          <w:rPr>
            <w:color w:val="1155CC"/>
            <w:u w:val="single"/>
          </w:rPr>
          <w:t>空气中充满了DNA——科学家正在利用它做什么</w:t>
        </w:r>
      </w:hyperlink>
    </w:p>
    <w:p>
      <w:pPr>
        <w:spacing w:before="0" w:after="80"/>
      </w:pPr>
      <w:r>
        <w:rPr>
          <w:i/>
          <w:sz w:val="20"/>
        </w:rPr>
        <w:t>EN: The air is full of DNA — here’s what scientists are using it for</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74">
        <w:r>
          <w:rPr>
            <w:color w:val="1155CC"/>
            <w:u w:val="single"/>
          </w:rPr>
          <w:t>10.1038/d41586-026-01099-2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475">
        <w:r>
          <w:rPr>
            <w:color w:val="1155CC"/>
            <w:u w:val="single"/>
          </w:rPr>
          <w:t>中国停止著名期刊排名列表</w:t>
        </w:r>
      </w:hyperlink>
    </w:p>
    <w:p>
      <w:pPr>
        <w:spacing w:before="0" w:after="80"/>
      </w:pPr>
      <w:r>
        <w:rPr>
          <w:i/>
          <w:sz w:val="20"/>
        </w:rPr>
        <w:t>EN: China discontinues prominent journal ranking list</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76">
        <w:r>
          <w:rPr>
            <w:color w:val="1155CC"/>
            <w:u w:val="single"/>
          </w:rPr>
          <w:t>10.1038/d41586-026-01216-1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477">
        <w:r>
          <w:rPr>
            <w:color w:val="1155CC"/>
            <w:u w:val="single"/>
          </w:rPr>
          <w:t>欧尔班下台对全球研究的影响</w:t>
        </w:r>
      </w:hyperlink>
    </w:p>
    <w:p>
      <w:pPr>
        <w:spacing w:before="0" w:after="80"/>
      </w:pPr>
      <w:r>
        <w:rPr>
          <w:i/>
          <w:sz w:val="20"/>
        </w:rPr>
        <w:t>EN: What Orbán’s fall from power means for research around the world</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78">
        <w:r>
          <w:rPr>
            <w:color w:val="1155CC"/>
            <w:u w:val="single"/>
          </w:rPr>
          <w:t>10.1038/d41586-026-01225-0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479">
        <w:r>
          <w:rPr>
            <w:color w:val="1155CC"/>
            <w:u w:val="single"/>
          </w:rPr>
          <w:t>AI代理在几天内复制人类社会动态</w:t>
        </w:r>
      </w:hyperlink>
    </w:p>
    <w:p>
      <w:pPr>
        <w:spacing w:before="0" w:after="80"/>
      </w:pPr>
      <w:r>
        <w:rPr>
          <w:i/>
          <w:sz w:val="20"/>
        </w:rPr>
        <w:t>EN: AI agents replicate human social dynamics in days</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80">
        <w:r>
          <w:rPr>
            <w:color w:val="1155CC"/>
            <w:u w:val="single"/>
          </w:rPr>
          <w:t>10.1038/d41586-026-01218-z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481">
        <w:r>
          <w:rPr>
            <w:color w:val="1155CC"/>
            <w:u w:val="single"/>
          </w:rPr>
          <w:t>甲状腺自身免疫中免疫检查点突变的多克隆选择</w:t>
        </w:r>
      </w:hyperlink>
    </w:p>
    <w:p>
      <w:pPr>
        <w:spacing w:before="0" w:after="80"/>
      </w:pPr>
      <w:r>
        <w:rPr>
          <w:i/>
          <w:sz w:val="20"/>
        </w:rPr>
        <w:t>EN: Polyclonal selection of immune checkpoint mutations in thyroid autoimmunity</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82">
        <w:r>
          <w:rPr>
            <w:color w:val="1155CC"/>
            <w:u w:val="single"/>
          </w:rPr>
          <w:t>10.1038/s41586-026-10493-9</w:t>
        </w:r>
      </w:hyperlink>
    </w:p>
    <w:p>
      <w:pPr>
        <w:spacing w:before="0" w:after="120"/>
      </w:pPr>
      <w:r>
        <w:rPr>
          <w:b/>
        </w:rPr>
        <w:t xml:space="preserve">Notes: </w:t>
      </w:r>
      <w:r>
        <w:t>abstract_source=nature_html</w:t>
      </w:r>
    </w:p>
    <w:p>
      <w:pPr>
        <w:spacing w:before="0" w:after="80" w:lineRule="auto" w:line="276"/>
      </w:pPr>
      <w:r>
        <w:rPr>
          <w:b/>
        </w:rPr>
        <w:t xml:space="preserve">摘要（ZH）: </w:t>
      </w:r>
      <w:r>
        <w:t>我们的免疫系统包含多个检查点，以防止自反应性淋巴细胞的激活。某些淋巴细胞如何逃避这些限制以引发自身免疫性疾病仍然知之甚少。一个长期存在的假设认为，免疫调节基因中的体细胞突变可能使自反应性淋巴细胞绕过耐受性检查点1–3，但由于技术限制，测试这一点一直具有挑战性。在这里，我们使用全外显子组和靶向NanoSeq4,5，一种准确的单分子DNA测序协议，全面搜索自身免疫性甲状腺疾病中的驱动突变。这揭示了许多B细胞克隆趋同地获得了关键免疫检查点基因TNFRSF14（HVEM）和CD274（PD-L1）的功能丧失突变，以及较少见的突变</w:t>
      </w:r>
    </w:p>
    <w:p>
      <w:pPr>
        <w:spacing w:before="0" w:after="200" w:lineRule="auto" w:line="276"/>
      </w:pPr>
      <w:r>
        <w:rPr>
          <w:b/>
        </w:rPr>
        <w:t xml:space="preserve">Abstract (EN): </w:t>
      </w:r>
      <w:r>
        <w:t>Our immune system contains multiple checkpoints to prevent the activation of self-reactive lymphocytes. How some lymphocytes escape these constraints to cause autoimmune disease remains poorly understood. A long-standing hypothesis posits that somatic mutations in immune-regulatory genes may enable self-reactive lymphocytes to bypass tolerance checkpoints1–3, but testing this has been challenging due to technical limitations. Here, we use whole-exome and targeted NanoSeq4,5, an accurate single-molecule DNA sequencing protocol, to comprehensively search for driver mutations in autoimmune thyroid disease. This revealed many B cell clones convergently acquiring loss-of-function mutations in the key immune checkpoint genes TNFRSF14 (HVEM) and CD274 (PD-L1), as well as less frequent mutations in other immune genes. In highly inflamed biopsies, we detected tens to hundreds of independent immune checkpoint mutant clones. Laser microdissection, methylation sequencing, spatial transcriptomics, immunostaining, single-nucleus DNA sequencing, and antibody synthesis localised these mutations to B cells, confirmed some to be self-reactive, and identified clones carrying multiple hits. We found widespread TNFRSF14 biallelic loss, and clones with as many as 4-6 driver mutations. Whilst each clone accounts for a small fraction of cells (typically</w:t>
      </w:r>
    </w:p>
    <w:p>
      <w:pPr>
        <w:spacing w:before="120" w:after="120"/>
      </w:pPr>
      <w:r>
        <w:rPr>
          <w:sz w:val="18"/>
        </w:rPr>
        <w:t>——————————————————————————————————————————————————————————————————————</w:t>
      </w:r>
    </w:p>
    <w:p>
      <w:pPr>
        <w:spacing w:before="160" w:after="40" w:line="240" w:lineRule="auto"/>
      </w:pPr>
      <w:r>
        <w:rPr>
          <w:b/>
        </w:rPr>
        <w:t xml:space="preserve">[165] </w:t>
      </w:r>
      <w:hyperlink r:id="rId483">
        <w:r>
          <w:rPr>
            <w:color w:val="1155CC"/>
            <w:u w:val="single"/>
          </w:rPr>
          <w:t>用于可再现钙钛矿太阳能电池的自主闭环框架</w:t>
        </w:r>
      </w:hyperlink>
    </w:p>
    <w:p>
      <w:pPr>
        <w:spacing w:before="0" w:after="80"/>
      </w:pPr>
      <w:r>
        <w:rPr>
          <w:i/>
          <w:sz w:val="20"/>
        </w:rPr>
        <w:t>EN: Autonomous closed-loop framework for reproducible perovskite solar cells</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84">
        <w:r>
          <w:rPr>
            <w:color w:val="1155CC"/>
            <w:u w:val="single"/>
          </w:rPr>
          <w:t>10.1038/s41586-026-10482-y</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电池的商业化因依赖于人类专业知识的低效、试错方法而受阻（1-3）。在此，我们引入了一个自主闭环框架，将机器学习（ML）驱动的材料发现与自动化制造平台相结合。该系统采用主动学习和量子建模来快速识别高性能分子，而平台则在反馈回路中使用贝叶斯优化和符号回归来不断优化制造过程。这种集成方法使得发现了一种钝化分子，5-(氨甲基)烟腈氢碘酸盐（5ANI），其产生的0.05 cm²太阳能电池的功率转换效率（PCE）达到了27。</w:t>
      </w:r>
    </w:p>
    <w:p>
      <w:pPr>
        <w:spacing w:before="0" w:after="200" w:lineRule="auto" w:line="276"/>
      </w:pPr>
      <w:r>
        <w:rPr>
          <w:b/>
        </w:rPr>
        <w:t xml:space="preserve">Abstract (EN): </w:t>
      </w:r>
      <w:r>
        <w:t>The commercialization of perovskite solar cells is bottlenecked by inefficient, trial-and-error approaches reliant on human expertise in both material discovery and device fabrication (1-3). Here, we introduce an autonomous closed-loop framework that integrates machine learning (ML)-driven material discovery with an automated manufacturing platform. The system employs active learning and quantum modeling to rapidly identify high-performance molecules, while the platform uses Bayesian optimization and symbolic regression in a feedback loop to continuously refine the fabrication process. This integrated approach enabled the discovery of a passivation molecule, 5-(aminomethyl)nicotinonitrile hydroiodide (5ANI), which yielded 0.05 cm² solar cells with a power conversion efficiency (PCE) of 27.22% (certified maximum power point tracking (MPPT) efficiency of 27.18%) and 21.4 cm² mini-modules with a PCE of 23.49%. Moreover, the devices exhibited long-term operational stability, retaining 98.7% of their initial efficiency after 1,200 hours of continuous operation under the ISOS-L-1I protocol. Crucially, the automated platform achieved an efficiency reproducibility nearly 5 times that of manual fabrication. This work establishes an automated closed-loop system that synergizes ML-powered discovery with the high-fidelity data from automated manufacturing, setting a benchmark for autonomous discovery and manufacturing in photovoltaics and materials.</w:t>
      </w:r>
    </w:p>
    <w:p>
      <w:pPr>
        <w:spacing w:before="120" w:after="120"/>
      </w:pPr>
      <w:r>
        <w:rPr>
          <w:sz w:val="18"/>
        </w:rPr>
        <w:t>——————————————————————————————————————————————————————————————————————</w:t>
      </w:r>
    </w:p>
    <w:p>
      <w:pPr>
        <w:spacing w:before="160" w:after="40" w:line="240" w:lineRule="auto"/>
      </w:pPr>
      <w:r>
        <w:rPr>
          <w:b/>
        </w:rPr>
        <w:t xml:space="preserve">[166] </w:t>
      </w:r>
      <w:hyperlink r:id="rId485">
        <w:r>
          <w:rPr>
            <w:color w:val="1155CC"/>
            <w:u w:val="single"/>
          </w:rPr>
          <w:t>安全火柴的惊人历史</w:t>
        </w:r>
      </w:hyperlink>
    </w:p>
    <w:p>
      <w:pPr>
        <w:spacing w:before="0" w:after="80"/>
      </w:pPr>
      <w:r>
        <w:rPr>
          <w:i/>
          <w:sz w:val="20"/>
        </w:rPr>
        <w:t>EN: The striking history of safety matches</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86">
        <w:r>
          <w:rPr>
            <w:color w:val="1155CC"/>
            <w:u w:val="single"/>
          </w:rPr>
          <w:t>10.1038/d41586-026-00914-0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487">
        <w:r>
          <w:rPr>
            <w:color w:val="1155CC"/>
            <w:u w:val="single"/>
          </w:rPr>
          <w:t>不要忽视图书馆员的专业知识</w:t>
        </w:r>
      </w:hyperlink>
    </w:p>
    <w:p>
      <w:pPr>
        <w:spacing w:before="0" w:after="80"/>
      </w:pPr>
      <w:r>
        <w:rPr>
          <w:i/>
          <w:sz w:val="20"/>
        </w:rPr>
        <w:t>EN: Stop overlooking librarians’ expertise</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88">
        <w:r>
          <w:rPr>
            <w:color w:val="1155CC"/>
            <w:u w:val="single"/>
          </w:rPr>
          <w:t>10.1038/d41586-026-01217-0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489">
        <w:r>
          <w:rPr>
            <w:color w:val="1155CC"/>
            <w:u w:val="single"/>
          </w:rPr>
          <w:t>海洋热浪可以增强气旋</w:t>
        </w:r>
      </w:hyperlink>
    </w:p>
    <w:p>
      <w:pPr>
        <w:spacing w:before="0" w:after="80"/>
      </w:pPr>
      <w:r>
        <w:rPr>
          <w:i/>
          <w:sz w:val="20"/>
        </w:rPr>
        <w:t>EN: Marine heatwaves can supercharge cyclones</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90">
        <w:r>
          <w:rPr>
            <w:color w:val="1155CC"/>
            <w:u w:val="single"/>
          </w:rPr>
          <w:t>10.1038/d41586-026-01201-8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491">
        <w:r>
          <w:rPr>
            <w:color w:val="1155CC"/>
            <w:u w:val="single"/>
          </w:rPr>
          <w:t>对主要人工智能会议的抵制暴露了日益加剧的美中分歧</w:t>
        </w:r>
      </w:hyperlink>
    </w:p>
    <w:p>
      <w:pPr>
        <w:spacing w:before="0" w:after="80"/>
      </w:pPr>
      <w:r>
        <w:rPr>
          <w:i/>
          <w:sz w:val="20"/>
        </w:rPr>
        <w:t>EN: Boycott of major AI conference exposes a growing US–China divide</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92">
        <w:r>
          <w:rPr>
            <w:color w:val="1155CC"/>
            <w:u w:val="single"/>
          </w:rPr>
          <w:t>10.1038/d41586-026-01058-x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493">
        <w:r>
          <w:rPr>
            <w:color w:val="1155CC"/>
            <w:u w:val="single"/>
          </w:rPr>
          <w:t>利用弛豫时间分布探索锂离子电池的非稳态阻抗行为</w:t>
        </w:r>
      </w:hyperlink>
    </w:p>
    <w:p>
      <w:pPr>
        <w:spacing w:before="0" w:after="80"/>
      </w:pPr>
      <w:r>
        <w:rPr>
          <w:i/>
          <w:sz w:val="20"/>
        </w:rPr>
        <w:t>EN: Exploration of non-steady-state impedance behavior for lithium-ion batteries using distribution of relaxation time</w:t>
      </w:r>
    </w:p>
    <w:p>
      <w:pPr>
        <w:spacing w:before="0" w:after="120"/>
      </w:pPr>
      <w:r>
        <w:rPr>
          <w:b/>
        </w:rPr>
        <w:t xml:space="preserve">Source: </w:t>
      </w:r>
      <w:r>
        <w:t>ScienceDirect Publication: Applied Energy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494">
        <w:r>
          <w:rPr>
            <w:color w:val="1155CC"/>
            <w:u w:val="single"/>
          </w:rPr>
          <w:t>由SWOT揭示的隐藏的富涡南极大陆架</w:t>
        </w:r>
      </w:hyperlink>
    </w:p>
    <w:p>
      <w:pPr>
        <w:spacing w:before="0" w:after="80"/>
      </w:pPr>
      <w:r>
        <w:rPr>
          <w:i/>
          <w:sz w:val="20"/>
        </w:rPr>
        <w:t>EN: A hidden eddy-rich Antarctic shelf revealed by SWOT</w:t>
      </w:r>
    </w:p>
    <w:p>
      <w:pPr>
        <w:spacing w:before="0" w:after="120"/>
      </w:pPr>
      <w:r>
        <w:rPr>
          <w:b/>
        </w:rPr>
        <w:t xml:space="preserve">Source: </w:t>
      </w:r>
      <w:r>
        <w:t>National Science Review Advance Access</w:t>
      </w:r>
      <w:r>
        <w:t xml:space="preserve">    </w:t>
      </w:r>
      <w:r>
        <w:rPr>
          <w:b/>
        </w:rPr>
        <w:t xml:space="preserve">Pub date: </w:t>
      </w:r>
      <w:r>
        <w:t>2026-04-14 00:00:00+00:00</w:t>
      </w:r>
      <w:r>
        <w:t xml:space="preserve">    </w:t>
      </w:r>
      <w:r>
        <w:rPr>
          <w:b/>
        </w:rPr>
        <w:t xml:space="preserve">DOI: </w:t>
      </w:r>
      <w:hyperlink r:id="rId495">
        <w:r>
          <w:rPr>
            <w:color w:val="1155CC"/>
            <w:u w:val="single"/>
          </w:rPr>
          <w:t>10.1093/nsr/nwag222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496">
        <w:r>
          <w:rPr>
            <w:color w:val="1155CC"/>
            <w:u w:val="single"/>
          </w:rPr>
          <w:t>保全面子：为什么面部伤疤比背部伤疤小</w:t>
        </w:r>
      </w:hyperlink>
    </w:p>
    <w:p>
      <w:pPr>
        <w:spacing w:before="0" w:after="80"/>
      </w:pPr>
      <w:r>
        <w:rPr>
          <w:i/>
          <w:sz w:val="20"/>
        </w:rPr>
        <w:t>EN: Saving face: why facial scars are smaller than back scars</w:t>
      </w:r>
    </w:p>
    <w:p>
      <w:pPr>
        <w:spacing w:before="0" w:after="120"/>
      </w:pPr>
      <w:r>
        <w:rPr>
          <w:b/>
        </w:rPr>
        <w:t xml:space="preserve">Source: </w:t>
      </w:r>
      <w:r>
        <w:t>Nature</w:t>
      </w:r>
      <w:r>
        <w:t xml:space="preserve">    </w:t>
      </w:r>
      <w:r>
        <w:rPr>
          <w:b/>
        </w:rPr>
        <w:t xml:space="preserve">Pub date: </w:t>
      </w:r>
      <w:r>
        <w:t>2026-04-14 00:00:00+00:00</w:t>
      </w:r>
      <w:r>
        <w:t xml:space="preserve">    </w:t>
      </w:r>
      <w:r>
        <w:rPr>
          <w:b/>
        </w:rPr>
        <w:t xml:space="preserve">DOI: </w:t>
      </w:r>
      <w:hyperlink r:id="rId497">
        <w:r>
          <w:rPr>
            <w:color w:val="1155CC"/>
            <w:u w:val="single"/>
          </w:rPr>
          <w:t>10.1038/d41586-026-01044-3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498">
        <w:r>
          <w:rPr>
            <w:color w:val="1155CC"/>
            <w:u w:val="single"/>
          </w:rPr>
          <w:t>从增长到治理：是什么驱动撒哈拉以南非洲的能源消耗？</w:t>
        </w:r>
      </w:hyperlink>
    </w:p>
    <w:p>
      <w:pPr>
        <w:spacing w:before="0" w:after="80"/>
      </w:pPr>
      <w:r>
        <w:rPr>
          <w:i/>
          <w:sz w:val="20"/>
        </w:rPr>
        <w:t>EN: From growth to governance: What drives energy consumption in Sub-Saharan Africa?</w:t>
      </w:r>
    </w:p>
    <w:p>
      <w:pPr>
        <w:spacing w:before="0" w:after="120"/>
      </w:pPr>
      <w:r>
        <w:rPr>
          <w:b/>
        </w:rPr>
        <w:t xml:space="preserve">Source: </w:t>
      </w:r>
      <w:r>
        <w:t>ScienceDirect Publication: Energy Policy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499">
        <w:r>
          <w:rPr>
            <w:color w:val="1155CC"/>
            <w:u w:val="single"/>
          </w:rPr>
          <w:t>木质素圣杯的正确规模</w:t>
        </w:r>
      </w:hyperlink>
    </w:p>
    <w:p>
      <w:pPr>
        <w:spacing w:before="0" w:after="80"/>
      </w:pPr>
      <w:r>
        <w:rPr>
          <w:i/>
          <w:sz w:val="20"/>
        </w:rPr>
        <w:t>EN: The right scale for lignin’s grail</w:t>
      </w:r>
    </w:p>
    <w:p>
      <w:pPr>
        <w:spacing w:before="0" w:after="120"/>
      </w:pPr>
      <w:r>
        <w:rPr>
          <w:b/>
        </w:rPr>
        <w:t xml:space="preserve">Source: </w:t>
      </w:r>
      <w:r>
        <w:t>Nature Chemical Engineering</w:t>
      </w:r>
      <w:r>
        <w:t xml:space="preserve">    </w:t>
      </w:r>
      <w:r>
        <w:rPr>
          <w:b/>
        </w:rPr>
        <w:t xml:space="preserve">Pub date: </w:t>
      </w:r>
      <w:r>
        <w:t>2026-04-14 00:00:00+00:00</w:t>
      </w:r>
      <w:r>
        <w:t xml:space="preserve">    </w:t>
      </w:r>
      <w:r>
        <w:rPr>
          <w:b/>
        </w:rPr>
        <w:t xml:space="preserve">DOI: </w:t>
      </w:r>
      <w:hyperlink r:id="rId500">
        <w:r>
          <w:rPr>
            <w:color w:val="1155CC"/>
            <w:u w:val="single"/>
          </w:rPr>
          <w:t>10.1038/s44286-026-00380-5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01">
        <w:r>
          <w:rPr>
            <w:color w:val="1155CC"/>
            <w:u w:val="single"/>
          </w:rPr>
          <w:t>更快、更高、更公平？多层次工具正义如何重构中国的净零能源转型</w:t>
        </w:r>
      </w:hyperlink>
    </w:p>
    <w:p>
      <w:pPr>
        <w:spacing w:before="0" w:after="80"/>
      </w:pPr>
      <w:r>
        <w:rPr>
          <w:i/>
          <w:sz w:val="20"/>
        </w:rPr>
        <w:t>EN: Faster, higher, fairer? How multi-level instrumental justice reconfigures net-zero energy transitions in China</w:t>
      </w:r>
    </w:p>
    <w:p>
      <w:pPr>
        <w:spacing w:before="0" w:after="120"/>
      </w:pPr>
      <w:r>
        <w:rPr>
          <w:b/>
        </w:rPr>
        <w:t xml:space="preserve">Source: </w:t>
      </w:r>
      <w:r>
        <w:t>ScienceDirect Publication: Energy Policy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[176] </w:t>
      </w:r>
      <w:hyperlink r:id="rId502">
        <w:r>
          <w:rPr>
            <w:color w:val="1155CC"/>
            <w:u w:val="single"/>
          </w:rPr>
          <w:t>昆虫操控宿主的核运输和表观遗传调控以促进植食性</w:t>
        </w:r>
      </w:hyperlink>
    </w:p>
    <w:p>
      <w:pPr>
        <w:spacing w:before="0" w:after="80"/>
      </w:pPr>
      <w:r>
        <w:rPr>
          <w:i/>
          <w:sz w:val="20"/>
        </w:rPr>
        <w:t>EN: Insects manipulate host nuclear trafficking and epigenetic regulation to facilitate herbivory</w:t>
      </w:r>
    </w:p>
    <w:p>
      <w:pPr>
        <w:spacing w:before="0" w:after="120"/>
      </w:pPr>
      <w:r>
        <w:rPr>
          <w:b/>
        </w:rPr>
        <w:t xml:space="preserve">Source: </w:t>
      </w:r>
      <w:r>
        <w:t>Nature Communications</w:t>
      </w:r>
      <w:r>
        <w:t xml:space="preserve">    </w:t>
      </w:r>
      <w:r>
        <w:rPr>
          <w:b/>
        </w:rPr>
        <w:t xml:space="preserve">Pub date: </w:t>
      </w:r>
      <w:r>
        <w:t>2026-04-14 00:00:00+00:00</w:t>
      </w:r>
      <w:r>
        <w:t xml:space="preserve">    </w:t>
      </w:r>
      <w:r>
        <w:rPr>
          <w:b/>
        </w:rPr>
        <w:t xml:space="preserve">DOI: </w:t>
      </w:r>
      <w:hyperlink r:id="rId503">
        <w:r>
          <w:rPr>
            <w:color w:val="1155CC"/>
            <w:u w:val="single"/>
          </w:rPr>
          <w:t>10.1038/s41467-026-71908-9</w:t>
        </w:r>
      </w:hyperlink>
    </w:p>
    <w:p>
      <w:pPr>
        <w:spacing w:before="0" w:after="120"/>
      </w:pPr>
      <w:r>
        <w:rPr>
          <w:b/>
        </w:rPr>
        <w:t xml:space="preserve">Notes: </w:t>
      </w:r>
      <w:r>
        <w:t>abstract_source=nature_html</w:t>
      </w:r>
    </w:p>
    <w:p>
      <w:pPr>
        <w:spacing w:before="0" w:after="80" w:lineRule="auto" w:line="276"/>
      </w:pPr>
      <w:r>
        <w:rPr>
          <w:b/>
        </w:rPr>
        <w:t xml:space="preserve">摘要（ZH）: </w:t>
      </w:r>
      <w:r>
        <w:t>病原体或昆虫分泌的效应物根据其目标位置操纵宿主植物的细胞过程。然而，我们目前对来自食草昆虫的核定位效应物的了解仍然有限。在此，我们展示了褐飞虱进化出一种含有核定位信号（NLS）的唾液效应物NlAMSP，专门用于靶向宿主植物。NlAMSP存在于昆虫唾液腺的细胞质中，但在分泌后迁移到水稻细胞的细胞核中。这种核转运是通过其信号肽的切割实现的，允许通过宿主importin-α/β途径进行NLS依赖性导入。NLS内位点的SUMO化对于NlAMSP功能至关重要，增强了其核定位和蛋白质稳定性。</w:t>
      </w:r>
    </w:p>
    <w:p>
      <w:pPr>
        <w:spacing w:before="0" w:after="200" w:lineRule="auto" w:line="276"/>
      </w:pPr>
      <w:r>
        <w:rPr>
          <w:b/>
        </w:rPr>
        <w:t xml:space="preserve">Abstract (EN): </w:t>
      </w:r>
      <w:r>
        <w:t>Effectors secreted by pathogens or insects manipulate host plant cellular processes depending on their target destination. However, our current knowledge regarding nucleus-localized effectors from herbivorous insects remains limited. Here, we demonstrate that Nilaparvata lugens evolve a nuclear localization signal (NLS)-containing salivary effector NlAMSP that is specialized for targeting host plants. NlAMSP resides in the cytoplasm of insect salivary glands, but, upon secretion, migrates into the nucleus of rice cells. This nuclear translocation is enabled by the cleavage of its signal peptide, allowing the NLS-dependent import via the host importin-α/β pathway. SUMOylation at sites within the NLS is essential for the NlAMSP function, enhancing its nuclear localization and protein stability by preventing autophagy-associated degradation. In plants, NlAMSP interacts with the histone deacetylase OsHDA706 and redirects it from the cytoplasm to the nucleus, thereby disrupting its interaction with the JA biosynthesis regulator OsLOX14 in the cytoplasm. This interference reduces OsLOX14 accumulation and suppresses the JA-associated defense responses. Furthermore, nucleus-localized OsHDA706 diminishes histone H4K5ac and H4K8ac, thereby suppressing the expression of NLR and WRKY genes essential for rice resistance to N. lugens. Our findings uncover a mechanism by which an insect effector manipulates host nuclear trafficking and epigenetic regulation to facilitate herbivory.</w:t>
      </w:r>
    </w:p>
    <w:p>
      <w:pPr>
        <w:spacing w:before="120" w:after="120"/>
      </w:pPr>
      <w:r>
        <w:rPr>
          <w:sz w:val="18"/>
        </w:rPr>
        <w:t>——————————————————————————————————————————————————————————————————————</w:t>
      </w:r>
    </w:p>
    <w:p>
      <w:pPr>
        <w:spacing w:before="160" w:after="40" w:line="240" w:lineRule="auto"/>
      </w:pPr>
      <w:r>
        <w:rPr>
          <w:b/>
        </w:rPr>
        <w:t xml:space="preserve">[177] </w:t>
      </w:r>
      <w:hyperlink r:id="rId504">
        <w:r>
          <w:rPr>
            <w:color w:val="1155CC"/>
            <w:u w:val="single"/>
          </w:rPr>
          <w:t>催化中的金属-金属相互作用：从空间分离到物理混合</w:t>
        </w:r>
      </w:hyperlink>
    </w:p>
    <w:p>
      <w:pPr>
        <w:spacing w:before="0" w:after="80"/>
      </w:pPr>
      <w:r>
        <w:rPr>
          <w:i/>
          <w:sz w:val="20"/>
        </w:rPr>
        <w:t>EN: Metal-metal interactions in catalysis from spatial separation to physical mixtures</w:t>
      </w:r>
    </w:p>
    <w:p>
      <w:pPr>
        <w:spacing w:before="0" w:after="120"/>
      </w:pPr>
      <w:r>
        <w:rPr>
          <w:b/>
        </w:rPr>
        <w:t xml:space="preserve">Source: </w:t>
      </w:r>
      <w:r>
        <w:t>Nature Communications</w:t>
      </w:r>
      <w:r>
        <w:t xml:space="preserve">    </w:t>
      </w:r>
      <w:r>
        <w:rPr>
          <w:b/>
        </w:rPr>
        <w:t xml:space="preserve">Pub date: </w:t>
      </w:r>
      <w:r>
        <w:t>2026-04-14 00:00:00+00:00</w:t>
      </w:r>
      <w:r>
        <w:t xml:space="preserve">    </w:t>
      </w:r>
      <w:r>
        <w:rPr>
          <w:b/>
        </w:rPr>
        <w:t xml:space="preserve">DOI: </w:t>
      </w:r>
      <w:hyperlink r:id="rId505">
        <w:r>
          <w:rPr>
            <w:color w:val="1155CC"/>
            <w:u w:val="single"/>
          </w:rPr>
          <w:t>10.1038/s41467-026-71870-6</w:t>
        </w:r>
      </w:hyperlink>
    </w:p>
    <w:p>
      <w:pPr>
        <w:spacing w:before="0" w:after="120"/>
      </w:pPr>
      <w:r>
        <w:rPr>
          <w:b/>
        </w:rPr>
        <w:t xml:space="preserve">Notes: </w:t>
      </w:r>
      <w:r>
        <w:t>abstract_source=nature_html</w:t>
      </w:r>
    </w:p>
    <w:p>
      <w:pPr>
        <w:spacing w:before="0" w:after="80" w:lineRule="auto" w:line="276"/>
      </w:pPr>
      <w:r>
        <w:rPr>
          <w:b/>
        </w:rPr>
        <w:t xml:space="preserve">摘要（ZH）: </w:t>
      </w:r>
      <w:r>
        <w:t>最近，分离金属的物理混合物通过将特定的基本步骤分配给不同的位点来增强氧化还原反应的活性，从而通过高效转移反应中间体跨导电或还原性支撑体来完成催化循环。在此，我们描述了从单一静态合金位点到双重静态分离结构，最终到双重动态模式的基本转变。我们将这种机制称为动态界面协同催化。虽然相同单一位点之间的碰撞没有提供催化增强，但不同金属相之间的碰撞通过促进跨位点电子和中间体转移积极推动反应。这种动态协同作用为高浓度环境中的非合金设计提供了蓝图。</w:t>
      </w:r>
    </w:p>
    <w:p>
      <w:pPr>
        <w:spacing w:before="0" w:after="200" w:lineRule="auto" w:line="276"/>
      </w:pPr>
      <w:r>
        <w:rPr>
          <w:b/>
        </w:rPr>
        <w:t xml:space="preserve">Abstract (EN): </w:t>
      </w:r>
      <w:r>
        <w:t>Physical mixtures of segregated metals recently demonstrated enhanced activity in redox reactions by assigning specific elementary steps to distinct sites to close the catalytic cycle through efficient transfer of reaction intermediates across conductive or reductive supports. Here, we delineate the fundamental shift from single static alloy sites to dual static separated structures, and ultimately to a dual dynamic mode. We term this mechanism dynamic interfacial cooperative catalysis. While collisions between identical single-sites provide no catalytic enhancement, collisions between distinct metal phases actively drive the reaction by facilitating cross-site electron and intermediate transfers. This dynamic synergy offers a blueprint for non-alloyed designs in high-concentration environments and energy-storage systems, including redox flow batteries.</w:t>
      </w:r>
    </w:p>
    <w:p>
      <w:pPr>
        <w:spacing w:before="120" w:after="120"/>
      </w:pPr>
      <w:r>
        <w:rPr>
          <w:sz w:val="18"/>
        </w:rPr>
        <w:t>——————————————————————————————————————————————————————————————————————</w:t>
      </w:r>
    </w:p>
    <w:p>
      <w:pPr>
        <w:spacing w:before="160" w:after="40" w:line="240" w:lineRule="auto"/>
      </w:pPr>
      <w:r>
        <w:rPr>
          <w:b/>
        </w:rPr>
        <w:t xml:space="preserve">[178] </w:t>
      </w:r>
      <w:hyperlink r:id="rId506">
        <w:r>
          <w:rPr>
            <w:color w:val="1155CC"/>
            <w:u w:val="single"/>
          </w:rPr>
          <w:t>基于历史国家经验的全球风能和太阳能增长的概率预测</w:t>
        </w:r>
      </w:hyperlink>
    </w:p>
    <w:p>
      <w:pPr>
        <w:spacing w:before="0" w:after="80"/>
      </w:pPr>
      <w:r>
        <w:rPr>
          <w:i/>
          <w:sz w:val="20"/>
        </w:rPr>
        <w:t>EN: Probabilistic projections of global wind and solar power growth based on historical national experience</w:t>
      </w:r>
    </w:p>
    <w:p>
      <w:pPr>
        <w:spacing w:before="0" w:after="120"/>
      </w:pPr>
      <w:r>
        <w:rPr>
          <w:b/>
        </w:rPr>
        <w:t xml:space="preserve">Source: </w:t>
      </w:r>
      <w:r>
        <w:t>Nature Energy</w:t>
      </w:r>
      <w:r>
        <w:t xml:space="preserve">    </w:t>
      </w:r>
      <w:r>
        <w:rPr>
          <w:b/>
        </w:rPr>
        <w:t xml:space="preserve">Pub date: </w:t>
      </w:r>
      <w:r>
        <w:t>2026-04-14 00:00:00+00:00</w:t>
      </w:r>
      <w:r>
        <w:t xml:space="preserve">    </w:t>
      </w:r>
      <w:r>
        <w:rPr>
          <w:b/>
        </w:rPr>
        <w:t xml:space="preserve">DOI: </w:t>
      </w:r>
      <w:hyperlink r:id="rId507">
        <w:r>
          <w:rPr>
            <w:color w:val="1155CC"/>
            <w:u w:val="single"/>
          </w:rPr>
          <w:t>10.1038/s41560-026-02021-w</w:t>
        </w:r>
      </w:hyperlink>
    </w:p>
    <w:p>
      <w:pPr>
        <w:spacing w:before="0" w:after="120"/>
      </w:pPr>
      <w:r>
        <w:rPr>
          <w:b/>
        </w:rPr>
        <w:t xml:space="preserve">Notes: </w:t>
      </w:r>
      <w:r>
        <w:t>abstract_source=nature_html</w:t>
      </w:r>
    </w:p>
    <w:p>
      <w:pPr>
        <w:spacing w:before="0" w:after="80" w:lineRule="auto" w:line="276"/>
      </w:pPr>
      <w:r>
        <w:rPr>
          <w:b/>
        </w:rPr>
        <w:t xml:space="preserve">摘要（ZH）: </w:t>
      </w:r>
      <w:r>
        <w:t>尽管风能和太阳能最近激增，但两种技术都需要加速以实现气候目标。然而，目前没有可靠的方法来评估这种加速的可能性。在此，我们展示了可再生能源部署在各国遵循一种反复出现的模式，经历相对稳定增长的长时间段，并伴有增长脉冲。基于这一见解和在早期采用国家中观察到的增长轨迹，我们开发了一个概率模型（PROLONG）用于预测全球风能和太阳能的部署。在我们的中心预测中，风能和太阳能的增长与政府间气候变化专门委员会2°C兼容路径相似，并且比当前政策情景更快。COP28承诺到2030年将可再生能源增加三倍，接近第95个百分点。</w:t>
      </w:r>
    </w:p>
    <w:p>
      <w:pPr>
        <w:spacing w:before="0" w:after="200" w:lineRule="auto" w:line="276"/>
      </w:pPr>
      <w:r>
        <w:rPr>
          <w:b/>
        </w:rPr>
        <w:t xml:space="preserve">Abstract (EN): </w:t>
      </w:r>
      <w:r>
        <w:t>Despite the recent surge of wind and solar power, both technologies need to accelerate to meet climate goals. Yet, there are no robust methods to assess the likelihood of such acceleration. Here we show that renewable energy deployment follows a recurring pattern across countries with prolonged periods of relatively steady growth punctuated by growth pulses. Based on this insight and on observed growth trajectories in early adopting countries, we develop a probabilistic model (PROLONG) for projecting global wind and solar power deployment. In our central projections, both wind and solar power grow similarly to Intergovernmental Panel on Climate Change 2 °C-compatible pathways and faster than in current policy scenarios. The COP28 pledge to triple renewables by 2030 is near the 95th percentile of our projections and requires that the growth of wind and solar photovoltaics in major economies accelerate by 1.4–3 times and 2–5 times, respectively. PROLONG can be adopted for data-driven projections of other policy-dependent energy technologies.</w:t>
      </w:r>
    </w:p>
    <w:p>
      <w:pPr>
        <w:spacing w:before="120" w:after="120"/>
      </w:pPr>
      <w:r>
        <w:rPr>
          <w:sz w:val="18"/>
        </w:rPr>
        <w:t>——————————————————————————————————————————————————————————————————————</w:t>
      </w:r>
    </w:p>
    <w:p>
      <w:pPr>
        <w:spacing w:before="160" w:after="40" w:line="240" w:lineRule="auto"/>
      </w:pPr>
      <w:r>
        <w:rPr>
          <w:b/>
        </w:rPr>
        <w:t xml:space="preserve">[179] </w:t>
      </w:r>
      <w:hyperlink r:id="rId508">
        <w:r>
          <w:rPr>
            <w:color w:val="1155CC"/>
            <w:u w:val="single"/>
          </w:rPr>
          <w:t>EnergyCEA：一个多区域动态模拟框架，用于量化植物工厂中的能源决定因素和气候敏感性</w:t>
        </w:r>
      </w:hyperlink>
    </w:p>
    <w:p>
      <w:pPr>
        <w:spacing w:before="0" w:after="80"/>
      </w:pPr>
      <w:r>
        <w:rPr>
          <w:i/>
          <w:sz w:val="20"/>
        </w:rPr>
        <w:t>EN: EnergyCEA: A multi-zone dynamic simulation framework to quantify energy determinants and climate sensitivity in plant factories</w:t>
      </w:r>
    </w:p>
    <w:p>
      <w:pPr>
        <w:spacing w:before="0" w:after="120"/>
      </w:pPr>
      <w:r>
        <w:rPr>
          <w:b/>
        </w:rPr>
        <w:t xml:space="preserve">Source: </w:t>
      </w:r>
      <w:r>
        <w:t>ScienceDirect Publication: Applied Energy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509">
        <w:r>
          <w:rPr>
            <w:color w:val="1155CC"/>
            <w:u w:val="single"/>
          </w:rPr>
          <w:t>将竞标数据整合到电价预测中：一种可解释的图表示建模方法</w:t>
        </w:r>
      </w:hyperlink>
    </w:p>
    <w:p>
      <w:pPr>
        <w:spacing w:before="0" w:after="80"/>
      </w:pPr>
      <w:r>
        <w:rPr>
          <w:i/>
          <w:sz w:val="20"/>
        </w:rPr>
        <w:t>EN: Integrating bidding data into electricity price forecasting: An interpretable graph representation modeling approach</w:t>
      </w:r>
    </w:p>
    <w:p>
      <w:pPr>
        <w:spacing w:before="0" w:after="120"/>
      </w:pPr>
      <w:r>
        <w:rPr>
          <w:b/>
        </w:rPr>
        <w:t xml:space="preserve">Source: </w:t>
      </w:r>
      <w:r>
        <w:t>ScienceDirect Publication: Applied Energy</w:t>
      </w:r>
      <w:r>
        <w:t xml:space="preserve">    </w:t>
      </w:r>
      <w:r>
        <w:rPr>
          <w:b/>
        </w:rPr>
        <w:t xml:space="preserve">Pub date: </w:t>
      </w:r>
      <w:r>
        <w:t>2026-04-14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510">
        <w:r>
          <w:rPr>
            <w:color w:val="1155CC"/>
            <w:u w:val="single"/>
          </w:rPr>
          <w:t>无处不在的移动数据使城市交通的近实时排放估算成为可能</w:t>
        </w:r>
      </w:hyperlink>
    </w:p>
    <w:p>
      <w:pPr>
        <w:spacing w:before="0" w:after="80"/>
      </w:pPr>
      <w:r>
        <w:rPr>
          <w:i/>
          <w:sz w:val="20"/>
        </w:rPr>
        <w:t>EN: Ubiquitous mobility data enable near-real-time emission estimates for urban traffic</w:t>
      </w:r>
    </w:p>
    <w:p>
      <w:pPr>
        <w:spacing w:before="0" w:after="120"/>
      </w:pPr>
      <w:r>
        <w:rPr>
          <w:b/>
        </w:rPr>
        <w:t xml:space="preserve">Source: </w:t>
      </w:r>
      <w:r>
        <w:t>Nature Sustainability</w:t>
      </w:r>
      <w:r>
        <w:t xml:space="preserve">    </w:t>
      </w:r>
      <w:r>
        <w:rPr>
          <w:b/>
        </w:rPr>
        <w:t xml:space="preserve">Pub date: </w:t>
      </w:r>
      <w:r>
        <w:t>2026-04-14 00:00:00+00:00</w:t>
      </w:r>
      <w:r>
        <w:t xml:space="preserve">    </w:t>
      </w:r>
      <w:r>
        <w:rPr>
          <w:b/>
        </w:rPr>
        <w:t xml:space="preserve">DOI: </w:t>
      </w:r>
      <w:hyperlink r:id="rId511">
        <w:r>
          <w:rPr>
            <w:color w:val="1155CC"/>
            <w:u w:val="single"/>
          </w:rPr>
          <w:t>10.1038/s41893-026-01798-8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512">
        <w:r>
          <w:rPr>
            <w:color w:val="1155CC"/>
            <w:u w:val="single"/>
          </w:rPr>
          <w:t>用于合成可持续高性能环氧树脂的天然木质素衍生低聚物</w:t>
        </w:r>
      </w:hyperlink>
    </w:p>
    <w:p>
      <w:pPr>
        <w:spacing w:before="0" w:after="80"/>
      </w:pPr>
      <w:r>
        <w:rPr>
          <w:i/>
          <w:sz w:val="20"/>
        </w:rPr>
        <w:t>EN: Native lignin-derived oligomers for the synthesis of sustainable high-performance epoxy resins</w:t>
      </w:r>
    </w:p>
    <w:p>
      <w:pPr>
        <w:spacing w:before="0" w:after="120"/>
      </w:pPr>
      <w:r>
        <w:rPr>
          <w:b/>
        </w:rPr>
        <w:t xml:space="preserve">Source: </w:t>
      </w:r>
      <w:r>
        <w:t>Nature Chemical Engineering</w:t>
      </w:r>
      <w:r>
        <w:t xml:space="preserve">    </w:t>
      </w:r>
      <w:r>
        <w:rPr>
          <w:b/>
        </w:rPr>
        <w:t xml:space="preserve">Pub date: </w:t>
      </w:r>
      <w:r>
        <w:t>2026-04-14 00:00:00+00:00</w:t>
      </w:r>
      <w:r>
        <w:t xml:space="preserve">    </w:t>
      </w:r>
      <w:r>
        <w:rPr>
          <w:b/>
        </w:rPr>
        <w:t xml:space="preserve">DOI: </w:t>
      </w:r>
      <w:hyperlink r:id="rId513">
        <w:r>
          <w:rPr>
            <w:color w:val="1155CC"/>
            <w:u w:val="single"/>
          </w:rPr>
          <w:t>10.1038/s44286-026-00375-2</w:t>
        </w:r>
      </w:hyperlink>
    </w:p>
    <w:p>
      <w:pPr>
        <w:spacing w:before="0" w:after="120"/>
      </w:pPr>
      <w:r>
        <w:rPr>
          <w:b/>
        </w:rPr>
        <w:t xml:space="preserve">Notes: </w:t>
      </w:r>
      <w:r>
        <w:t>abstract_source=nature_html</w:t>
      </w:r>
    </w:p>
    <w:p>
      <w:pPr>
        <w:spacing w:before="0" w:after="80" w:lineRule="auto" w:line="276"/>
      </w:pPr>
      <w:r>
        <w:rPr>
          <w:b/>
        </w:rPr>
        <w:t xml:space="preserve">摘要（ZH）: </w:t>
      </w:r>
      <w:r>
        <w:t>直接从生物质开发出与化石衍生系统性能相匹配的环氧树脂仍然是一个挑战。在此，我们介绍了一种以前体为中心的策略，该策略利用还原催化分馏的内在灵活性，故意设计具有高环氧反应性所需分子特性的木质素低聚物。在此，通过系统地映射催化剂-溶剂环境，我们识别出一个可调节的羟基含量-分子量设计空间区域，该区域最大化了环氧化效率。在此基础上，我们建立了一种改进的环氧化过程，与传统的缩水甘油化不同，该过程激活脂肪族羟基并释放其对环氧功能的全部贡献。这种对前体结构和环氧化的综合控制</w:t>
      </w:r>
    </w:p>
    <w:p>
      <w:pPr>
        <w:spacing w:before="0" w:after="200" w:lineRule="auto" w:line="276"/>
      </w:pPr>
      <w:r>
        <w:rPr>
          <w:b/>
        </w:rPr>
        <w:t xml:space="preserve">Abstract (EN): </w:t>
      </w:r>
      <w:r>
        <w:t>Developing epoxy resins directly from biomass that match the performance of fossil-derived systems remains a challenge. Here we introduce a precursor-centric strategy that leverages the intrinsic flexibility of reductive catalytic fractionation to intentionally engineer lignin oligomers with the molecular attributes required for high epoxy reactivity. Here, by systematically mapping catalyst–solvent environments, we identify a tunable region in the hydroxyl content–molecular weight design space that maximizes epoxidation efficiency. Building on this, we establish a developed epoxidation process that, unlike conventional glycidylation, activates aliphatic hydroxyl groups and unlocks their full contribution to epoxy functionality. This combined control over precursor structure and epoxidation chemistry enables lignin-derived liquid resins that cure into high-performance thermosets, with birch-derived material matching commercial bisphenol A diglycidyl ether-based benchmarks. A techno-environmental analysis shows drop-in compatibility, high biomass-to-resin efficiency and meaningful carbon footprint reductions, establishing reductive catalytic fractionation-derived lignin oligomers as a scalable, high-performance epoxy platform.</w:t>
      </w:r>
    </w:p>
    <w:p>
      <w:pPr>
        <w:spacing w:before="120" w:after="120"/>
      </w:pPr>
      <w:r>
        <w:rPr>
          <w:sz w:val="18"/>
        </w:rPr>
        <w:t>——————————————————————————————————————————————————————————————————————</w:t>
      </w:r>
    </w:p>
    <w:p>
      <w:pPr>
        <w:spacing w:before="160" w:after="40" w:line="240" w:lineRule="auto"/>
      </w:pPr>
      <w:r>
        <w:rPr>
          <w:b/>
        </w:rPr>
        <w:t xml:space="preserve">[183] </w:t>
      </w:r>
      <w:hyperlink r:id="rId514">
        <w:r>
          <w:rPr>
            <w:color w:val="1155CC"/>
            <w:u w:val="single"/>
          </w:rPr>
          <w:t>单次固相合成胰岛素及其A/B链异二聚体类似物</w:t>
        </w:r>
      </w:hyperlink>
    </w:p>
    <w:p>
      <w:pPr>
        <w:spacing w:before="0" w:after="80"/>
      </w:pPr>
      <w:r>
        <w:rPr>
          <w:i/>
          <w:sz w:val="20"/>
        </w:rPr>
        <w:t>EN: Single-shot solid-phase synthesis of insulins and their A/B-chain heterodimeric analogs</w:t>
      </w:r>
    </w:p>
    <w:p>
      <w:pPr>
        <w:spacing w:before="0" w:after="120"/>
      </w:pPr>
      <w:r>
        <w:rPr>
          <w:b/>
        </w:rPr>
        <w:t xml:space="preserve">Source: </w:t>
      </w:r>
      <w:r>
        <w:t>Chem</w:t>
      </w:r>
      <w:r>
        <w:t xml:space="preserve">    </w:t>
      </w:r>
      <w:r>
        <w:rPr>
          <w:b/>
        </w:rPr>
        <w:t xml:space="preserve">Pub date: </w:t>
      </w:r>
      <w:r>
        <w:t>2026-04-14 00:00:00+00:00</w:t>
      </w:r>
      <w:r>
        <w:t xml:space="preserve">    </w:t>
      </w:r>
      <w:r>
        <w:rPr>
          <w:b/>
        </w:rPr>
        <w:t xml:space="preserve">DOI: </w:t>
      </w:r>
      <w:hyperlink r:id="rId515">
        <w:r>
          <w:rPr>
            <w:color w:val="1155CC"/>
            <w:u w:val="single"/>
          </w:rPr>
          <w:t>10.1016/j.chempr.2026.103022</w:t>
        </w:r>
      </w:hyperlink>
    </w:p>
    <w:p>
      <w:pPr>
        <w:spacing w:before="0" w:after="120"/>
      </w:pPr>
      <w:r>
        <w:rPr>
          <w:b/>
        </w:rPr>
        <w:t xml:space="preserve">Notes: </w:t>
      </w:r>
      <w:r>
        <w:t>abstract_source=rss_cell</w:t>
      </w:r>
    </w:p>
    <w:p>
      <w:pPr>
        <w:spacing w:before="0" w:after="80" w:lineRule="auto" w:line="276"/>
      </w:pPr>
      <w:r>
        <w:rPr>
          <w:b/>
        </w:rPr>
        <w:t xml:space="preserve">摘要（ZH）: </w:t>
      </w:r>
      <w:r>
        <w:t>当前的胰岛素合成方法仍然劳动密集且耗时。在此报道的是首个单次SPPS策略，该策略实现了增强的自动化，并在2-3天内仅通过三步快速合成各种胰岛素和其他A/B链异二聚体生物活性肽。</w:t>
      </w:r>
    </w:p>
    <w:p>
      <w:pPr>
        <w:spacing w:before="0" w:after="200" w:lineRule="auto" w:line="276"/>
      </w:pPr>
      <w:r>
        <w:rPr>
          <w:b/>
        </w:rPr>
        <w:t xml:space="preserve">Abstract (EN): </w:t>
      </w:r>
      <w:r>
        <w:t>Current synthetic approaches for insulin remain labor-intensive and time-consuming. Reported herein is the first single-shot SPPS strategy, which enables enhanced automation and the rapid total synthesis of various insulins and other A/B-chain heterodimeric bioactive peptides in just three steps over 2–3 days.</w:t>
      </w:r>
    </w:p>
    <w:p>
      <w:pPr>
        <w:spacing w:before="120" w:after="120"/>
      </w:pPr>
      <w:r>
        <w:rPr>
          <w:sz w:val="18"/>
        </w:rPr>
        <w:t>——————————————————————————————————————————————————————————————————————</w:t>
      </w:r>
    </w:p>
    <w:p>
      <w:pPr>
        <w:spacing w:before="160" w:after="40" w:line="240" w:lineRule="auto"/>
      </w:pPr>
      <w:r>
        <w:rPr>
          <w:b/>
        </w:rPr>
        <w:t xml:space="preserve">[184] </w:t>
      </w:r>
      <w:hyperlink r:id="rId516">
        <w:r>
          <w:rPr>
            <w:color w:val="1155CC"/>
            <w:u w:val="single"/>
          </w:rPr>
          <w:t>为什么欧洲的太阳能推广必须考虑太阳能反弹效应</w:t>
        </w:r>
      </w:hyperlink>
    </w:p>
    <w:p>
      <w:pPr>
        <w:spacing w:before="0" w:after="80"/>
      </w:pPr>
      <w:r>
        <w:rPr>
          <w:i/>
          <w:sz w:val="20"/>
        </w:rPr>
        <w:t>EN: Why Europe’s solar rollout must account for the solar rebound effect</w:t>
      </w:r>
    </w:p>
    <w:p>
      <w:pPr>
        <w:spacing w:before="0" w:after="120"/>
      </w:pPr>
      <w:r>
        <w:rPr>
          <w:b/>
        </w:rPr>
        <w:t xml:space="preserve">Source: </w:t>
      </w:r>
      <w:r>
        <w:t>Nature Energy</w:t>
      </w:r>
      <w:r>
        <w:t xml:space="preserve">    </w:t>
      </w:r>
      <w:r>
        <w:rPr>
          <w:b/>
        </w:rPr>
        <w:t xml:space="preserve">Pub date: </w:t>
      </w:r>
      <w:r>
        <w:t>2026-04-14 00:00:00+00:00</w:t>
      </w:r>
      <w:r>
        <w:t xml:space="preserve">    </w:t>
      </w:r>
      <w:r>
        <w:rPr>
          <w:b/>
        </w:rPr>
        <w:t xml:space="preserve">DOI: </w:t>
      </w:r>
      <w:hyperlink r:id="rId517">
        <w:r>
          <w:rPr>
            <w:color w:val="1155CC"/>
            <w:u w:val="single"/>
          </w:rPr>
          <w:t>10.1038/s41560-026-02026-5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518">
        <w:r>
          <w:rPr>
            <w:color w:val="1155CC"/>
            <w:u w:val="single"/>
          </w:rPr>
          <w:t>二维材料的结构相工程用于电子应用的精确性</w:t>
        </w:r>
      </w:hyperlink>
    </w:p>
    <w:p>
      <w:pPr>
        <w:spacing w:before="0" w:after="80"/>
      </w:pPr>
      <w:r>
        <w:rPr>
          <w:i/>
          <w:sz w:val="20"/>
        </w:rPr>
        <w:t>EN: Structural Phase Engineering of Two‐Dimensional Materials Toward Precision for Electronic Applications</w:t>
      </w:r>
    </w:p>
    <w:p>
      <w:pPr>
        <w:spacing w:before="0" w:after="120"/>
      </w:pPr>
      <w:r>
        <w:rPr>
          <w:b/>
        </w:rPr>
        <w:t xml:space="preserve">Source: </w:t>
      </w:r>
      <w:r>
        <w:t>Wiley: Advanced Materials: Table of Contents</w:t>
      </w:r>
      <w:r>
        <w:t xml:space="preserve">    </w:t>
      </w:r>
      <w:r>
        <w:rPr>
          <w:b/>
        </w:rPr>
        <w:t xml:space="preserve">Pub date: </w:t>
      </w:r>
      <w:r>
        <w:t>2026-04-14 06:42:06+00:00</w:t>
      </w:r>
      <w:r>
        <w:t xml:space="preserve">    </w:t>
      </w:r>
      <w:r>
        <w:rPr>
          <w:b/>
        </w:rPr>
        <w:t xml:space="preserve">DOI: </w:t>
      </w:r>
      <w:hyperlink r:id="rId519">
        <w:r>
          <w:rPr>
            <w:color w:val="1155CC"/>
            <w:u w:val="single"/>
          </w:rPr>
          <w:t>10.1002/adma.202523698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材料的多样多晶相构成了一个独特的平台用于性质工程，使得精确的相控制成为下一代电子产品的关键推动力。本文综述了二维材料相工程的最新进展，重点关注表现出丰富多晶性和化学计量比依赖结构变化的金属硫属化物。我们首先概述了广泛的相空间和相应的性质谱，涵盖半导体、金属、绝缘体和铁电态。然后，我们深入探讨了精确相操控的基本原理和实验方法，包括实现相纯合成的途径以及不可逆和可逆相转变的</w:t>
      </w:r>
    </w:p>
    <w:p>
      <w:pPr>
        <w:spacing w:before="0" w:after="200" w:lineRule="auto" w:line="276"/>
      </w:pPr>
      <w:r>
        <w:rPr>
          <w:b/>
        </w:rPr>
        <w:t xml:space="preserve">Abstract (EN): </w:t>
      </w:r>
      <w:r>
        <w:t>The diverse polymorphic phases of 2D materials constitute a unique platform for property engineering, making precise phase control a pivotal enabler for next‐generation electronics. This review provides a comprehensive survey of recent advances in the phase engineering of 2D materials, with a focus on metal chalcogenides that exhibit rich polymorphism and stoichiometry‐dependent structural variations. We begin by outlining the expansive phase space and corresponding property spectrum, spanning semiconducting, metallic, insulating, and ferroelectric states. We then delve into the fundamental principles and experimental methodologies for precise phase manipulation, including pathways toward phase‐pure synthesis and both irreversible and reversible phase transformations, while highlighting the governing roles of thermodynamics, kinetics, and stoichiometry. Furthermore, we showcase how these strategies enable revolutionary device concepts, such as high‐performance 2D transistors, phase‐change memories, and ferroelectric devices. Finally, we discuss the remaining challenges and future perspectives in achieving scalable integration and dynamic phase control, underscoring the transformative potential of phase engineering in advancing the field of 2D electronics.</w:t>
      </w:r>
    </w:p>
    <w:p>
      <w:pPr>
        <w:spacing w:before="120" w:after="120"/>
      </w:pPr>
      <w:r>
        <w:rPr>
          <w:sz w:val="18"/>
        </w:rPr>
        <w:t>——————————————————————————————————————————————————————————————————————</w:t>
      </w:r>
    </w:p>
    <w:p>
      <w:pPr>
        <w:spacing w:before="160" w:after="40" w:line="240" w:lineRule="auto"/>
      </w:pPr>
      <w:r>
        <w:rPr>
          <w:b/>
        </w:rPr>
        <w:t xml:space="preserve">[186] </w:t>
      </w:r>
      <w:hyperlink r:id="rId520">
        <w:r>
          <w:rPr>
            <w:color w:val="1155CC"/>
            <w:u w:val="single"/>
          </w:rPr>
          <w:t>通过分子轨道设计在2D金属有机框架中实现可调电子蜂窝和（呼吸）Kagome晶格</w:t>
        </w:r>
      </w:hyperlink>
    </w:p>
    <w:p>
      <w:pPr>
        <w:spacing w:before="0" w:after="80"/>
      </w:pPr>
      <w:r>
        <w:rPr>
          <w:i/>
          <w:sz w:val="20"/>
        </w:rPr>
        <w:t>EN: Tunable Electronic Honeycomb and (Breathing) Kagome Lattices Through Molecular Orbital Design in 2D Metal‐Organic Frameworks</w:t>
      </w:r>
    </w:p>
    <w:p>
      <w:pPr>
        <w:spacing w:before="0" w:after="120"/>
      </w:pPr>
      <w:r>
        <w:rPr>
          <w:b/>
        </w:rPr>
        <w:t xml:space="preserve">Source: </w:t>
      </w:r>
      <w:r>
        <w:t>Wiley: Angewandte Chemie International Edition: Table of Contents</w:t>
      </w:r>
      <w:r>
        <w:t xml:space="preserve">    </w:t>
      </w:r>
      <w:r>
        <w:rPr>
          <w:b/>
        </w:rPr>
        <w:t xml:space="preserve">Pub date: </w:t>
      </w:r>
      <w:r>
        <w:t>2026-04-14 06:45:04+00:00</w:t>
      </w:r>
      <w:r>
        <w:t xml:space="preserve">    </w:t>
      </w:r>
      <w:r>
        <w:rPr>
          <w:b/>
        </w:rPr>
        <w:t xml:space="preserve">DOI: </w:t>
      </w:r>
      <w:hyperlink r:id="rId521">
        <w:r>
          <w:rPr>
            <w:color w:val="1155CC"/>
            <w:u w:val="single"/>
          </w:rPr>
          <w:t>10.1002/anie.4470567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追求具有蜂窝和Kagome晶格的量子材料，这些晶格具有平带和狄拉克带，主要集中在无机晶体上，其中电子可调性受到原子轨道刚性的限制。金属有机框架（MOFs）提供了一种替代范式，通过分子轨道设计实现能带结构工程，但由于合成挑战，实验实现仍然难以捉摸。在此，我们展示了具有精确设计的前沿分子轨道（FMOs）的二维MOFs的自下而上制造。通过使用具有三重旋转对称性的配体，我们通过表面配位化学方法构建了电子蜂窝、Kagome和呼吸Kagome晶格，结果表明</w:t>
      </w:r>
    </w:p>
    <w:p>
      <w:pPr>
        <w:spacing w:before="0" w:after="200" w:lineRule="auto" w:line="276"/>
      </w:pPr>
      <w:r>
        <w:rPr>
          <w:b/>
        </w:rPr>
        <w:t xml:space="preserve">Abstract (EN): </w:t>
      </w:r>
      <w:r>
        <w:t>The pursuit of quantum materials with honeycomb and Kagome lattices hosting flat and Dirac bands has predominantly focused on inorganic crystals, where electronic tunability is constrained by the rigidity of atomic orbitals. Metal‐organic frameworks (MOFs) offer an alternative paradigm, enabling band structure engineering through molecular orbital design, yet experimental realization remains elusive due to synthetic challenges. Here, we demonstrate the bottom‐up fabrication of two‐dimensional MOFs with precisely engineered frontier molecular orbitals (FMOs). By employing ligands with three‐fold rotational symmetry, we construct electronic honeycomb, Kagome, and breathing Kagome lattices through an on‐surface coordination chemistry approach, with the resulting structures directly resolved by scanning tunneling microscopy. Combined scanning tunneling spectroscopy (STS) and density functional theory (DFT) calculations reveal local density of states and projected‐band features that are consistent with tunable Dirac‐like and flat‐band‐like electronic states in the designed honeycomb and Kagome nanostructured lattices, establishing a solid‐state platform for band‐structure engineering. This work establishes MOFs as a versatile platform for exploring correlated quantum phases, bridging the gap between theoretical band engineering and experimental materials design.</w:t>
      </w:r>
    </w:p>
    <w:p>
      <w:pPr>
        <w:spacing w:before="120" w:after="120"/>
      </w:pPr>
      <w:r>
        <w:rPr>
          <w:sz w:val="18"/>
        </w:rPr>
        <w:t>——————————————————————————————————————————————————————————————————————</w:t>
      </w:r>
    </w:p>
    <w:p>
      <w:pPr>
        <w:spacing w:before="160" w:after="40" w:line="240" w:lineRule="auto"/>
      </w:pPr>
      <w:r>
        <w:rPr>
          <w:b/>
        </w:rPr>
        <w:t xml:space="preserve">[187] </w:t>
      </w:r>
      <w:hyperlink r:id="rId522">
        <w:r>
          <w:rPr>
            <w:color w:val="1155CC"/>
            <w:u w:val="single"/>
          </w:rPr>
          <w:t>通过光触发点击释放解笼2′,6′‐Pipecoloxylidide实现感觉神经阻滞的精确时空控制</w:t>
        </w:r>
      </w:hyperlink>
    </w:p>
    <w:p>
      <w:pPr>
        <w:spacing w:before="0" w:after="80"/>
      </w:pPr>
      <w:r>
        <w:rPr>
          <w:i/>
          <w:sz w:val="20"/>
        </w:rPr>
        <w:t>EN: Precise Spatiotemporal Control of Sensory Nerve Blockade via Light‐Triggered Click‐Release Uncaging of 2′,6′‐Pipecoloxylidide</w:t>
      </w:r>
    </w:p>
    <w:p>
      <w:pPr>
        <w:spacing w:before="0" w:after="120"/>
      </w:pPr>
      <w:r>
        <w:rPr>
          <w:b/>
        </w:rPr>
        <w:t xml:space="preserve">Source: </w:t>
      </w:r>
      <w:r>
        <w:t>Wiley: Angewandte Chemie International Edition: Table of Contents</w:t>
      </w:r>
      <w:r>
        <w:t xml:space="preserve">    </w:t>
      </w:r>
      <w:r>
        <w:rPr>
          <w:b/>
        </w:rPr>
        <w:t xml:space="preserve">Pub date: </w:t>
      </w:r>
      <w:r>
        <w:t>2026-04-14 06:47:04+00:00</w:t>
      </w:r>
      <w:r>
        <w:t xml:space="preserve">    </w:t>
      </w:r>
      <w:r>
        <w:rPr>
          <w:b/>
        </w:rPr>
        <w:t xml:space="preserve">DOI: </w:t>
      </w:r>
      <w:hyperlink r:id="rId523">
        <w:r>
          <w:rPr>
            <w:color w:val="1155CC"/>
            <w:u w:val="single"/>
          </w:rPr>
          <w:t>10.1002/anie.5262692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阿片类镇痛药的追求仍然是疼痛管理中的关键优先事项。局部麻醉剂（LAs）是阿片类药物的有前途的替代品，但传统药物不加区分地阻断感觉和运动纤维，导致运动障碍。2′,6′‐哌啶羧酰胺（PPX）已成为一种感觉选择性LA，但其浓度依赖性活动需要精确的局部控制，而当前的递送系统无法实现。在此，我们报告了一种红光（660 nm）控制的脂质体平台，通过生物正交光氧化-点击-释放级联实现PPX的时空精确释放。该系统共同封装了光敏剂（氯化e6）、二氢四唑（6‐Pm‐DHTz）和反环辛烯修饰的PPX（TCO‐PPX）。在660 nm照射下</w:t>
      </w:r>
    </w:p>
    <w:p>
      <w:pPr>
        <w:spacing w:before="0" w:after="200" w:lineRule="auto" w:line="276"/>
      </w:pPr>
      <w:r>
        <w:rPr>
          <w:b/>
        </w:rPr>
        <w:t xml:space="preserve">Abstract (EN): </w:t>
      </w:r>
      <w:r>
        <w:t>The pursuit of non‐opioid analgesics remains a critical priority in pain management. Local anesthetics (LAs) are promising alternatives to opioids, yet conventional agents indiscriminately block both sensory and motor fibers, leading to motor impairment. 2′,6′‐Pipecoloxylidide (PPX) has emerged as a sensory‐selective LA, but its concentration‐dependent activity requires precise local control that current delivery systems cannot achieve. Here, we report a red light (660 nm)‐controlled liposomal platform that enables spatiotemporally precise release of PPX through a bioorthogonal photooxidation–click–release cascade. The system co‐encapsulates a photosensitizer (chlorin e6), dihydrotetrazine (6‐Pm‐DHTz), and trans‐cyclooctene‐modified PPX (TCO‐PPX). Upon 660 nm irradiation, 6‐Pm‐DHTz is oxidized to tetrazine, which rapidly reacts with TCO‐PPX to liberate active PPX within minutes. In vitro studies confirmed rapid, controllable release, while in vivo experiments in a rat sciatic nerve model demonstrated reproducible, light‐triggered sensory‐selective nerve blockade without motor dysfunction. The duration and intensity of anesthesia were tunable by adjusting irradiation parameters, and delayed activation remained effective up to 8 h post‐injection. The formulation exhibited excellent biocompatibility and prolonged local retention. This work establishes the first controllable platform capable of achieving purely sensory‐selective local anesthesia, representing a conceptual and technological breakthrough toward programmable, personalized, and non‐opioid pain therapy.</w:t>
      </w:r>
    </w:p>
    <w:p>
      <w:pPr>
        <w:spacing w:before="120" w:after="120"/>
      </w:pPr>
      <w:r>
        <w:rPr>
          <w:sz w:val="18"/>
        </w:rPr>
        <w:t>——————————————————————————————————————————————————————————————————————</w:t>
      </w:r>
    </w:p>
    <w:p>
      <w:pPr>
        <w:spacing w:before="160" w:after="40" w:line="240" w:lineRule="auto"/>
      </w:pPr>
      <w:r>
        <w:rPr>
          <w:b/>
        </w:rPr>
        <w:t xml:space="preserve">[188] </w:t>
      </w:r>
      <w:hyperlink r:id="rId524">
        <w:r>
          <w:rPr>
            <w:color w:val="1155CC"/>
            <w:u w:val="single"/>
          </w:rPr>
          <w:t>具有窄带热激活延迟荧光的固态红色碳量子框架用于高温操作稳定的无掺杂LED</w:t>
        </w:r>
      </w:hyperlink>
    </w:p>
    <w:p>
      <w:pPr>
        <w:spacing w:before="0" w:after="80"/>
      </w:pPr>
      <w:r>
        <w:rPr>
          <w:i/>
          <w:sz w:val="20"/>
        </w:rPr>
        <w:t>EN: Solid‐State Red Carbon Quantum Frameworks With Narrowband Thermally Activated Delayed Fluorescence for Undoped LEDs With High‐Temperature Operational Stability</w:t>
      </w:r>
    </w:p>
    <w:p>
      <w:pPr>
        <w:spacing w:before="0" w:after="120"/>
      </w:pPr>
      <w:r>
        <w:rPr>
          <w:b/>
        </w:rPr>
        <w:t xml:space="preserve">Source: </w:t>
      </w:r>
      <w:r>
        <w:t>Wiley: Angewandte Chemie International Edition: Table of Contents</w:t>
      </w:r>
      <w:r>
        <w:t xml:space="preserve">    </w:t>
      </w:r>
      <w:r>
        <w:rPr>
          <w:b/>
        </w:rPr>
        <w:t xml:space="preserve">Pub date: </w:t>
      </w:r>
      <w:r>
        <w:t>2026-04-14 06:47:06+00:00</w:t>
      </w:r>
      <w:r>
        <w:t xml:space="preserve">    </w:t>
      </w:r>
      <w:r>
        <w:rPr>
          <w:b/>
        </w:rPr>
        <w:t xml:space="preserve">DOI: </w:t>
      </w:r>
      <w:hyperlink r:id="rId525">
        <w:r>
          <w:rPr>
            <w:color w:val="1155CC"/>
            <w:u w:val="single"/>
          </w:rPr>
          <w:t>10.1002/anie.2568667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红色发光二极管（LEDs）的高色纯度和效率对于真实色彩显示至关重要。可溶液加工的未掺杂发射层代表了理想的器件架构，以增强操作寿命并减少制造复杂性。然而，在固态中实现窄带发射仍然具有挑战性，这需要减少振动耦合并抑制芳香结构之间的π–π堆积相互作用。在此，我们开发了固态红色碳量子框架（SSR‐CQFs），其表现出窄带热激活延迟荧光（TADF），峰值为635 nm，半峰全宽仅为39 nm，且在纯膜中具有64%的高光致发光量子产率。这一例外</w:t>
      </w:r>
    </w:p>
    <w:p>
      <w:pPr>
        <w:spacing w:before="0" w:after="200" w:lineRule="auto" w:line="276"/>
      </w:pPr>
      <w:r>
        <w:rPr>
          <w:b/>
        </w:rPr>
        <w:t xml:space="preserve">Abstract (EN): </w:t>
      </w:r>
      <w:r>
        <w:t>High color purity and efficiency of red light‐emitting diodes (LEDs) are essential for true‐color displays. Solution‐processable undoped emission layers represent the ideal device architecture to enhance operational lifetime and reduce fabrication complexity. However, it remains challenging to achieve narrowband emission in solid‐state, which requires reducing vibrational coupling and suppressing the π–π stacking interactions between aromatic structures. Herein, we developed solid‐state red carbon quantum frameworks (SSR‐CQFs) that exhibit narrowband thermally activated delayed fluorescence (TADF) with a peak at 635 nm, a small full width at half maximum of 39 nm, and a high photoluminescence quantum yield of 64% in neat films. This exceptional optical performance originates from the designed undulating two‐dimensional framework of SSR‐CQFs, in which chromophores are covalently interconnected by flexible alkyl chains. The structure simultaneously confines π‐electrons within individual chromophore units, prevents charge‐transfer state formation, and suppresses interlayer π–π stacking. Consequently, solution‐processed undoped LEDs based on SSR‐CQFs achieve high‐color‐purity red emission (CIE: 0.658, 0.326) with a maximum external quantum efficiency (EQE</w:t>
      </w:r>
      <w:r>
        <w:t xml:space="preserve"> </w:t>
      </w:r>
      <w:r>
        <w:t>max</w:t>
      </w:r>
      <w:r>
        <w:t xml:space="preserve"> </w:t>
      </w:r>
      <w:r>
        <w:t>) of 8.04%, and demonstrate exceptional stability (</w:t>
      </w:r>
      <w:r>
        <w:t xml:space="preserve"> </w:t>
      </w:r>
      <w:r>
        <w:t>T</w:t>
      </w:r>
      <w:r>
        <w:rPr>
          <w:vertAlign w:val="subscript"/>
        </w:rPr>
        <w:t>85</w:t>
      </w:r>
      <w:r>
        <w:t>of 116 h) under high‐temperature operation. This paper presents a novel strategy to achieve solution‐processable undoped carbon‐based LEDs that achieve combination of narrowband emission, high efficiency, and high operational stability.</w:t>
      </w:r>
    </w:p>
    <w:p>
      <w:pPr>
        <w:spacing w:before="120" w:after="120"/>
      </w:pPr>
      <w:r>
        <w:rPr>
          <w:sz w:val="18"/>
        </w:rPr>
        <w:t>——————————————————————————————————————————————————————————————————————</w:t>
      </w:r>
    </w:p>
    <w:p>
      <w:pPr>
        <w:spacing w:before="160" w:after="40" w:line="240" w:lineRule="auto"/>
      </w:pPr>
      <w:r>
        <w:rPr>
          <w:b/>
        </w:rPr>
        <w:t xml:space="preserve">[189] </w:t>
      </w:r>
      <w:hyperlink r:id="rId526">
        <w:r>
          <w:rPr>
            <w:color w:val="1155CC"/>
            <w:u w:val="single"/>
          </w:rPr>
          <w:t>单一MOF中的双活性位点：实现高速和选择性光催化CO2还原为甲酸盐，同时进行水氧化</w:t>
        </w:r>
      </w:hyperlink>
    </w:p>
    <w:p>
      <w:pPr>
        <w:spacing w:before="0" w:after="80"/>
      </w:pPr>
      <w:r>
        <w:rPr>
          <w:i/>
          <w:sz w:val="20"/>
        </w:rPr>
        <w:t>EN: Dual Active Sites in a Single MOF: Achieving High‐Rate and Selective Photocatalytic CO2 Reduction to Formate With Concurrent Water Oxidation</w:t>
      </w:r>
    </w:p>
    <w:p>
      <w:pPr>
        <w:spacing w:before="0" w:after="120"/>
      </w:pPr>
      <w:r>
        <w:rPr>
          <w:b/>
        </w:rPr>
        <w:t xml:space="preserve">Source: </w:t>
      </w:r>
      <w:r>
        <w:t>Wiley: Angewandte Chemie International Edition: Table of Contents</w:t>
      </w:r>
      <w:r>
        <w:t xml:space="preserve">    </w:t>
      </w:r>
      <w:r>
        <w:rPr>
          <w:b/>
        </w:rPr>
        <w:t xml:space="preserve">Pub date: </w:t>
      </w:r>
      <w:r>
        <w:t>2026-04-14 06:48:01+00:00</w:t>
      </w:r>
      <w:r>
        <w:t xml:space="preserve">    </w:t>
      </w:r>
      <w:r>
        <w:rPr>
          <w:b/>
        </w:rPr>
        <w:t xml:space="preserve">DOI: </w:t>
      </w:r>
      <w:hyperlink r:id="rId527">
        <w:r>
          <w:rPr>
            <w:color w:val="1155CC"/>
            <w:u w:val="single"/>
          </w:rPr>
          <w:t>10.1002/anie.5843907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人工光合作用中，一个关键挑战是有效整合活性位点用于CO2还原和水氧化反应的光催化剂的有限可用性。在此，我们首次使用缺陷工程将以其光敏性和水氧化能力著称的钌2,2'‐联吡啶‐6,6'‐二羧酸Ru(bda)3+基团整合到CO2还原的NH2‐UiO‐66框架中，即d‐MOF/Ru。光电化学和原位XPS测量表明Ru(bda)3+</w:t>
      </w:r>
    </w:p>
    <w:p>
      <w:pPr>
        <w:spacing w:before="0" w:after="200" w:lineRule="auto" w:line="276"/>
      </w:pPr>
      <w:r>
        <w:rPr>
          <w:b/>
        </w:rPr>
        <w:t xml:space="preserve">Abstract (EN): </w:t>
      </w:r>
      <w:r>
        <w:t>A critical challenge in artificial photosynthesis is the limited availability of photocatalysts that effectively integrate active sites for both CO</w:t>
      </w:r>
      <w:r>
        <w:rPr>
          <w:vertAlign w:val="subscript"/>
        </w:rPr>
        <w:t>2</w:t>
      </w:r>
      <w:r>
        <w:t>reduction and water oxidation reactions. Herein, we first use defect engineering to integrate the ruthenium 2,2'‐bipyridine‐6,6'‐dicarboxylic acid Ru(bda)</w:t>
      </w:r>
      <w:r>
        <w:t xml:space="preserve"> </w:t>
      </w:r>
      <w:r>
        <w:t>3+</w:t>
      </w:r>
      <w:r>
        <w:t xml:space="preserve"> </w:t>
      </w:r>
      <w:r>
        <w:t>moiety, renowned for its photosensitivity and water‐oxidizing capabilities, into the CO</w:t>
      </w:r>
      <w:r>
        <w:rPr>
          <w:vertAlign w:val="subscript"/>
        </w:rPr>
        <w:t>2</w:t>
      </w:r>
      <w:r>
        <w:t>‐reducing NH</w:t>
      </w:r>
      <w:r>
        <w:rPr>
          <w:vertAlign w:val="subscript"/>
        </w:rPr>
        <w:t>2</w:t>
      </w:r>
      <w:r>
        <w:t>‐UiO‐66 framework, that is,</w:t>
      </w:r>
      <w:r>
        <w:t xml:space="preserve"> </w:t>
      </w:r>
      <w:r>
        <w:t>d</w:t>
      </w:r>
      <w:r>
        <w:t xml:space="preserve"> </w:t>
      </w:r>
      <w:r>
        <w:t>‐MOF/Ru. The photoelectrochemical and in situ XPS measurements reveal that the Ru(bda)</w:t>
      </w:r>
      <w:r>
        <w:t xml:space="preserve"> </w:t>
      </w:r>
      <w:r>
        <w:t>3+</w:t>
      </w:r>
      <w:r>
        <w:t xml:space="preserve"> </w:t>
      </w:r>
      <w:r>
        <w:t>sites fulfill a dual function: enhance visible‐light absorption and promote charge separation, while simultaneously serving as active centers for water oxidation. Remarkably, enabled by the concurrent water oxidation activity at the Ru(bda)</w:t>
      </w:r>
      <w:r>
        <w:t xml:space="preserve"> </w:t>
      </w:r>
      <w:r>
        <w:t>3+</w:t>
      </w:r>
      <w:r>
        <w:t xml:space="preserve"> </w:t>
      </w:r>
      <w:r>
        <w:t>sites, the</w:t>
      </w:r>
      <w:r>
        <w:t xml:space="preserve"> </w:t>
      </w:r>
      <w:r>
        <w:t>d</w:t>
      </w:r>
      <w:r>
        <w:t xml:space="preserve"> </w:t>
      </w:r>
      <w:r>
        <w:t>‐MOF/Ru generates HCOOH at a rate of 2157 µmol g</w:t>
      </w:r>
      <w:r>
        <w:t xml:space="preserve"> </w:t>
      </w:r>
      <w:r>
        <w:t>cat.</w:t>
      </w:r>
      <w:r>
        <w:t xml:space="preserve"> </w:t>
      </w:r>
      <w:r>
        <w:t>−1</w:t>
      </w:r>
      <w:r>
        <w:t xml:space="preserve"> </w:t>
      </w:r>
      <w:r>
        <w:t>h</w:t>
      </w:r>
      <w:r>
        <w:t xml:space="preserve"> </w:t>
      </w:r>
      <w:r>
        <w:t>−1</w:t>
      </w:r>
      <w:r>
        <w:t xml:space="preserve"> </w:t>
      </w:r>
      <w:r>
        <w:t>with 99.7% selectivity under visible light irradiation, a performance 500 times greater than that of pristine NH</w:t>
      </w:r>
      <w:r>
        <w:rPr>
          <w:vertAlign w:val="subscript"/>
        </w:rPr>
        <w:t>2</w:t>
      </w:r>
      <w:r>
        <w:t>‐UiO‐66. Furthermore, in situ DRIFTS and theoretical calculations indicate that Zr‐oxo clusters promote CO</w:t>
      </w:r>
      <w:r>
        <w:rPr>
          <w:vertAlign w:val="subscript"/>
        </w:rPr>
        <w:t>2</w:t>
      </w:r>
      <w:r>
        <w:t>reduction while Ru(bda)</w:t>
      </w:r>
      <w:r>
        <w:t xml:space="preserve"> </w:t>
      </w:r>
      <w:r>
        <w:t>3+</w:t>
      </w:r>
      <w:r>
        <w:t xml:space="preserve"> </w:t>
      </w:r>
      <w:r>
        <w:t>sites drive water oxidation in a synergistic cycle. This work presents a molecular‐level strategy for optimizing photocatalysts, offering new perspectives for improving the efficiency of artificial photosynthesis.</w:t>
      </w:r>
    </w:p>
    <w:p>
      <w:pPr>
        <w:spacing w:before="120" w:after="120"/>
      </w:pPr>
      <w:r>
        <w:rPr>
          <w:sz w:val="18"/>
        </w:rPr>
        <w:t>——————————————————————————————————————————————————————————————————————</w:t>
      </w:r>
    </w:p>
    <w:p>
      <w:pPr>
        <w:spacing w:before="160" w:after="40" w:line="240" w:lineRule="auto"/>
      </w:pPr>
      <w:r>
        <w:rPr>
          <w:b/>
        </w:rPr>
        <w:t xml:space="preserve">[190] </w:t>
      </w:r>
      <w:hyperlink r:id="rId528">
        <w:r>
          <w:rPr>
            <w:color w:val="1155CC"/>
            <w:u w:val="single"/>
          </w:rPr>
          <w:t>二维聚合物作为模块化无金属固态催化剂用于高效声压光催化过氧化氢生产</w:t>
        </w:r>
      </w:hyperlink>
    </w:p>
    <w:p>
      <w:pPr>
        <w:spacing w:before="0" w:after="80"/>
      </w:pPr>
      <w:r>
        <w:rPr>
          <w:i/>
          <w:sz w:val="20"/>
        </w:rPr>
        <w:t>EN: Two‐Dimensional Polymers as Modular Metal‐Free Solid‐State Catalysts for Efficient Sono‐Piezo‐Photocatalytic Hydrogen Peroxide Production</w:t>
      </w:r>
    </w:p>
    <w:p>
      <w:pPr>
        <w:spacing w:before="0" w:after="120"/>
      </w:pPr>
      <w:r>
        <w:rPr>
          <w:b/>
        </w:rPr>
        <w:t xml:space="preserve">Source: </w:t>
      </w:r>
      <w:r>
        <w:t>Wiley: Angewandte Chemie International Edition: Table of Contents</w:t>
      </w:r>
      <w:r>
        <w:t xml:space="preserve">    </w:t>
      </w:r>
      <w:r>
        <w:rPr>
          <w:b/>
        </w:rPr>
        <w:t xml:space="preserve">Pub date: </w:t>
      </w:r>
      <w:r>
        <w:t>2026-04-14 06:48:37+00:00</w:t>
      </w:r>
      <w:r>
        <w:t xml:space="preserve">    </w:t>
      </w:r>
      <w:r>
        <w:rPr>
          <w:b/>
        </w:rPr>
        <w:t xml:space="preserve">DOI: </w:t>
      </w:r>
      <w:hyperlink r:id="rId529">
        <w:r>
          <w:rPr>
            <w:color w:val="1155CC"/>
            <w:u w:val="single"/>
          </w:rPr>
          <w:t>10.1002/anie.202522687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压电‐光催化协同整合了压电催化和光催化的特性，在环境修复、能量转换和生物医学治疗中提供了有前景的应用。在此，我们介绍了模块化设计的固体分子催化剂（SMCs），由无金属、芳香族、二维聚合物组成，通过结构基元（联苯吡啶或三吡啶）和骨架功能（甲基、脂肪胺天线或芳香吡咯环）的合理设计，提供了对压电极化——从而对压电‐光催化——的前所未有的控制水平。我们证明了通过超声波在广泛的频率范围（35 kHz到2.6 MHz）诱导的压电极化能够实现高效的声压电</w:t>
      </w:r>
    </w:p>
    <w:p>
      <w:pPr>
        <w:spacing w:before="0" w:after="200" w:lineRule="auto" w:line="276"/>
      </w:pPr>
      <w:r>
        <w:rPr>
          <w:b/>
        </w:rPr>
        <w:t xml:space="preserve">Abstract (EN): </w:t>
      </w:r>
      <w:r>
        <w:t>Piezo‐photocatalysis synergistically integrates the features of piezocatalysis and photocatalysis, offering promising applications in environmental remediation, energy conversion, and biomedical therapy. Herein, we introduce modularly designed solid molecular catalysts (SMCs) comprised of metal‐free, polyaromatic, two‐dimensional polymers which offer an unprecedented level of control over piezopolarization—and consequently, piezo‐photocatalysis—through the rational design of structural motifs (diphenylpyridine or terpyridine) and backbone functionalities (methyl group, aliphatic amine antenna, or aromatic pyrrole ring). We demonstrate that piezopolarization, induced by ultrasound across a wide frequency range (35 kHz to 2.6 MHz), enables highly efficient sono‐piezo‐photocatalytic hydrogen peroxide production. The SMC AP5 featuring the terpyridine motif and pyrrole functionalization is the most active metal‐free piezo‐photocatalyst for hydrogen peroxide production under ambient conditions. Furthermore, the instantaneous on/off‐switchability of the sono‐piezo‐photocatalysts is shown, underscoring their potential for applications requiring spatiotemporal control over catalytic activity.</w:t>
      </w:r>
    </w:p>
    <w:p>
      <w:pPr>
        <w:spacing w:before="120" w:after="120"/>
      </w:pPr>
      <w:r>
        <w:rPr>
          <w:sz w:val="18"/>
        </w:rPr>
        <w:t>——————————————————————————————————————————————————————————————————————</w:t>
      </w:r>
    </w:p>
    <w:p>
      <w:pPr>
        <w:spacing w:before="160" w:after="40" w:line="240" w:lineRule="auto"/>
      </w:pPr>
      <w:r>
        <w:rPr>
          <w:b/>
        </w:rPr>
        <w:t xml:space="preserve">[191] </w:t>
      </w:r>
      <w:hyperlink r:id="rId530">
        <w:r>
          <w:rPr>
            <w:color w:val="1155CC"/>
            <w:u w:val="single"/>
          </w:rPr>
          <w:t>使用MspA纳米孔从单分子水平分析单体α‐突触核蛋白的结构异质性</w:t>
        </w:r>
      </w:hyperlink>
    </w:p>
    <w:p>
      <w:pPr>
        <w:spacing w:before="0" w:after="80"/>
      </w:pPr>
      <w:r>
        <w:rPr>
          <w:i/>
          <w:sz w:val="20"/>
        </w:rPr>
        <w:t>EN: Profiling the Structural Heterogeneity of Monomeric α‐Synuclein From the Single‐Molecule Level Using MspA Nanopores</w:t>
      </w:r>
    </w:p>
    <w:p>
      <w:pPr>
        <w:spacing w:before="0" w:after="120"/>
      </w:pPr>
      <w:r>
        <w:rPr>
          <w:b/>
        </w:rPr>
        <w:t xml:space="preserve">Source: </w:t>
      </w:r>
      <w:r>
        <w:t>Wiley: Angewandte Chemie International Edition: Table of Contents</w:t>
      </w:r>
      <w:r>
        <w:t xml:space="preserve">    </w:t>
      </w:r>
      <w:r>
        <w:rPr>
          <w:b/>
        </w:rPr>
        <w:t xml:space="preserve">Pub date: </w:t>
      </w:r>
      <w:r>
        <w:t>2026-04-14 06:49:10+00:00</w:t>
      </w:r>
      <w:r>
        <w:t xml:space="preserve">    </w:t>
      </w:r>
      <w:r>
        <w:rPr>
          <w:b/>
        </w:rPr>
        <w:t xml:space="preserve">DOI: </w:t>
      </w:r>
      <w:hyperlink r:id="rId531">
        <w:r>
          <w:rPr>
            <w:color w:val="1155CC"/>
            <w:u w:val="single"/>
          </w:rPr>
          <w:t>10.1002/anie.202523298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帕金森病（PD）与α‐突触核蛋白（αSyn）蛋白的错误折叠密切相关，由于长期以来难以阐明单体αSyn结构，这一问题仍然模糊。在此，我们提出了一种新颖的单分子技术，以Mycobacterium smegmatis孔蛋白A（MspA）纳米孔高效分析αSyn单体。αSyn引发的纳米孔信号由三个不同的、可重复的电流水平组成。值得注意的是，通过系统测量αSyn片段、具有α螺旋结构的参考肽和分子动力学模拟研究，我们证明这些电流水平对应于蛋白质内的α螺旋和随机线圈结构。α螺旋结构</w:t>
      </w:r>
    </w:p>
    <w:p>
      <w:pPr>
        <w:spacing w:before="0" w:after="200" w:lineRule="auto" w:line="276"/>
      </w:pPr>
      <w:r>
        <w:rPr>
          <w:b/>
        </w:rPr>
        <w:t xml:space="preserve">Abstract (EN): </w:t>
      </w:r>
      <w:r>
        <w:t>Parkinson's disease (PD) is closely associated with the misfolding of α‐synuclein (αSyn) proteins, which remains obscure due to the long‐standing challenge to elucidate monomeric αSyn structure. Here, we present a novel single‐molecule technique to efficiently analyze αSyn monomer with</w:t>
      </w:r>
      <w:r>
        <w:t xml:space="preserve"> </w:t>
      </w:r>
      <w:r>
        <w:t>Mycobacterium smegmatis</w:t>
      </w:r>
      <w:r>
        <w:t xml:space="preserve"> </w:t>
      </w:r>
      <w:r>
        <w:t>porin A (MspA) nanopores. The nanopore signals elicited by αSyn consist of three distinct, reproducible current levels. Notably, through systematic measurement of αSyn fragments, reference peptide with α‐helical structure and molecular dynamics simulation study, we demonstrate that these current levels correspond to α‐helical and random‐coil structures within the protein. The α‐helical structures are successfully assigned to the specific αSyn subdomains. A biophysical parameter figure matrix derived from the αSyn signals is further generated and readily applied to profile the structural heterogeneity of monomeric αSyn variants. These results establish that MspA nanopores can directly sense the formation of α‐helical structure in individual αSyn monomer, which advances our capability to investigate this highly flexible pathological protein and may contribute to elucidating its misfolding mechanism.</w:t>
      </w:r>
    </w:p>
    <w:p>
      <w:pPr>
        <w:spacing w:before="120" w:after="120"/>
      </w:pPr>
      <w:r>
        <w:rPr>
          <w:sz w:val="18"/>
        </w:rPr>
        <w:t>——————————————————————————————————————————————————————————————————————</w:t>
      </w:r>
    </w:p>
    <w:p>
      <w:pPr>
        <w:spacing w:before="160" w:after="40" w:line="240" w:lineRule="auto"/>
      </w:pPr>
      <w:r>
        <w:rPr>
          <w:b/>
        </w:rPr>
        <w:t xml:space="preserve">[192] </w:t>
      </w:r>
      <w:hyperlink r:id="rId532">
        <w:r>
          <w:rPr>
            <w:color w:val="1155CC"/>
            <w:u w:val="single"/>
          </w:rPr>
          <w:t>稳健的连接编码共价有机框架膜维持选择性离子传输以从浓酸中获取能量</w:t>
        </w:r>
      </w:hyperlink>
    </w:p>
    <w:p>
      <w:pPr>
        <w:spacing w:before="0" w:after="80"/>
      </w:pPr>
      <w:r>
        <w:rPr>
          <w:i/>
          <w:sz w:val="20"/>
        </w:rPr>
        <w:t>EN: Robust Linkage‐Encoded Covalent Organic Framework Membranes Sustain Selective Ion Transport for Energy Harvesting From Concentrated Acids</w:t>
      </w:r>
    </w:p>
    <w:p>
      <w:pPr>
        <w:spacing w:before="0" w:after="120"/>
      </w:pPr>
      <w:r>
        <w:rPr>
          <w:b/>
        </w:rPr>
        <w:t xml:space="preserve">Source: </w:t>
      </w:r>
      <w:r>
        <w:t>Wiley: Angewandte Chemie International Edition: Table of Contents</w:t>
      </w:r>
      <w:r>
        <w:t xml:space="preserve">    </w:t>
      </w:r>
      <w:r>
        <w:rPr>
          <w:b/>
        </w:rPr>
        <w:t xml:space="preserve">Pub date: </w:t>
      </w:r>
      <w:r>
        <w:t>2026-04-14 06:56:42+00:00</w:t>
      </w:r>
      <w:r>
        <w:t xml:space="preserve">    </w:t>
      </w:r>
      <w:r>
        <w:rPr>
          <w:b/>
        </w:rPr>
        <w:t xml:space="preserve">DOI: </w:t>
      </w:r>
      <w:hyperlink r:id="rId533">
        <w:r>
          <w:rPr>
            <w:color w:val="1155CC"/>
            <w:u w:val="single"/>
          </w:rPr>
          <w:t>10.1002/anie.5918512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浓缩电解质中同时实现高离子选择性和化学稳健性仍然是基于膜的技术的核心挑战，因为强电荷屏蔽抑制了基于电荷的排斥，而腐蚀性酸和碱加速了材料的降解。在此，我们报告了一种分子策略来构建稳健的连接编码共价有机框架（COF）膜，其中短程离子-框架相互作用直接嵌入完全共轭的烯胺酮连接中，排列在垂直对齐的纳米通道内。通过保持框架拓扑和孔结构不变，仅改变连接化学，我们展示了连接微环境决定了离子选择性、传输效率。</w:t>
      </w:r>
    </w:p>
    <w:p>
      <w:pPr>
        <w:spacing w:before="0" w:after="200" w:lineRule="auto" w:line="276"/>
      </w:pPr>
      <w:r>
        <w:rPr>
          <w:b/>
        </w:rPr>
        <w:t xml:space="preserve">Abstract (EN): </w:t>
      </w:r>
      <w:r>
        <w:t>Achieving simultaneously high ion permselectivity and chemical robustness in concentrated electrolytes remains a central challenge for membrane‐based technologies, because strong electrostatic screening suppresses charge‐based exclusion while corrosive acids and bases accelerate material degradation. Here we report a molecular strategy to construct robust linkage‐encoded covalent organic framework (COF) membranes in which short‐range ion‐framework interactions are embedded directly within fully conjugated enaminone linkages lining vertically aligned nanochannels. By holding framework topology and pore architecture constant while varying only the linkage chemistry, we show that the linkage microenvironment governs ion selectivity, transport efficiency, and chemical stability. Periodic enaminone motifs create persistent coordination environments and hydrogen‐bond networks that remain effective at high ionic strength, enabling ultrafast proton transport exceeding Nafion 212 by more than fivefold. The membrane preserves crystallinity and pore alignment and maintains performance after exposure to 12 M H</w:t>
      </w:r>
      <w:r>
        <w:rPr>
          <w:vertAlign w:val="subscript"/>
        </w:rPr>
        <w:t>2</w:t>
      </w:r>
      <w:r>
        <w:t>SO</w:t>
      </w:r>
      <w:r>
        <w:rPr>
          <w:vertAlign w:val="subscript"/>
        </w:rPr>
        <w:t>4</w:t>
      </w:r>
      <w:r>
        <w:t>at 110°C and under concentrated alkaline conditions. To demonstrate performance under extreme conditions, it delivers a peak osmotic power density of 2422.9 W m</w:t>
      </w:r>
      <w:r>
        <w:t xml:space="preserve"> </w:t>
      </w:r>
      <w:r>
        <w:t>−2</w:t>
      </w:r>
      <w:r>
        <w:t xml:space="preserve"> </w:t>
      </w:r>
      <w:r>
        <w:t>under a 12 M || 0.01 M H</w:t>
      </w:r>
      <w:r>
        <w:rPr>
          <w:vertAlign w:val="subscript"/>
        </w:rPr>
        <w:t>2</w:t>
      </w:r>
      <w:r>
        <w:t>SO</w:t>
      </w:r>
      <w:r>
        <w:rPr>
          <w:vertAlign w:val="subscript"/>
        </w:rPr>
        <w:t>4</w:t>
      </w:r>
      <w:r>
        <w:t>gradient while maintaining stable continuous operation. This linkage‐encoding paradigm provides a general route to ion‐selective, chemically resilient membranes for reliable ion transport and electrochemical technologies operating in chemically extreme electrolytes.</w:t>
      </w:r>
    </w:p>
    <w:p>
      <w:pPr>
        <w:spacing w:before="120" w:after="120"/>
      </w:pPr>
      <w:r>
        <w:rPr>
          <w:sz w:val="18"/>
        </w:rPr>
        <w:t>——————————————————————————————————————————————————————————————————————</w:t>
      </w:r>
    </w:p>
    <w:p>
      <w:pPr>
        <w:spacing w:before="160" w:after="40" w:line="240" w:lineRule="auto"/>
      </w:pPr>
      <w:r>
        <w:rPr>
          <w:b/>
        </w:rPr>
        <w:t xml:space="preserve">[193] </w:t>
      </w:r>
      <w:hyperlink r:id="rId534">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35">
        <w:r>
          <w:rPr>
            <w:color w:val="1155CC"/>
            <w:u w:val="single"/>
          </w:rPr>
          <w:t>10.1073/iti1526123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[194] </w:t>
      </w:r>
      <w:hyperlink r:id="rId536">
        <w:r>
          <w:rPr>
            <w:color w:val="1155CC"/>
            <w:u w:val="single"/>
          </w:rPr>
          <w:t>地方性和新兴细小病毒的不同进化模式及新流行病毒的起源</w:t>
        </w:r>
      </w:hyperlink>
    </w:p>
    <w:p>
      <w:pPr>
        <w:spacing w:before="0" w:after="80"/>
      </w:pPr>
      <w:r>
        <w:rPr>
          <w:i/>
          <w:sz w:val="20"/>
        </w:rPr>
        <w:t>EN: Distinct evolutionary patterns of endemic and emerging parvoviruses and the origin of a new pandemic virus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37">
        <w:r>
          <w:rPr>
            <w:color w:val="1155CC"/>
            <w:u w:val="single"/>
          </w:rPr>
          <w:t>10.1073/pnas.2515274123</w:t>
        </w:r>
      </w:hyperlink>
    </w:p>
    <w:p>
      <w:pPr>
        <w:spacing w:before="0" w:after="120"/>
      </w:pPr>
      <w:r>
        <w:rPr>
          <w:b/>
        </w:rPr>
        <w:t xml:space="preserve">Notes: </w:t>
      </w:r>
      <w:r>
        <w:t>abstract_source=crossref</w:t>
      </w:r>
    </w:p>
    <w:p>
      <w:pPr>
        <w:spacing w:before="0" w:after="80" w:lineRule="auto" w:line="276"/>
      </w:pPr>
      <w:r>
        <w:rPr>
          <w:b/>
        </w:rPr>
        <w:t xml:space="preserve">摘要（ZH）: </w:t>
      </w:r>
      <w:r>
        <w:t>新宿主中流行病毒的出现威胁着人类和其他动物种群，并且通常涉及病毒进化以克服通常阻止该宿主有效感染和传播的障碍。转移后，分离的病毒将在原始宿主和新宿主中平行进化。在此，我们研究了涉及此类宿主跳跃事件的病毒的细节，我们定义了猫泛白细胞减少症病毒（FPV）在60年中的自然进化，澄清了1970年代出现的新流行犬细小病毒（CPV）的起源，并比较了这些病毒在猫或狗中47年的独立进化。几种减毒活FPV疫苗病毒起源于1960年代早期的分离株或是早期病毒的重组体，许多序列</w:t>
      </w:r>
    </w:p>
    <w:p>
      <w:pPr>
        <w:spacing w:before="0" w:after="200" w:lineRule="auto" w:line="276"/>
      </w:pPr>
      <w:r>
        <w:rPr>
          <w:b/>
        </w:rPr>
        <w:t xml:space="preserve">Abstract (EN): </w:t>
      </w:r>
      <w:r>
        <w:t>Emergence of epidemic viruses in new hosts threatens both human and other animal populations, and often involves virus evolution to overcome barriers that normally prevent efficient infection and spread in that host. After transfer the separated viruses will evolve in parallel as they spread within the original and new hosts. Here we examine the details of a virus involved in such a host-jumping event, where we define the natural evolution of feline panleukopenia virus (FPV) over 60 y, clarify the origins of the new pandemic canine parvovirus (CPV) that arose in the 1970s, and compare the separate evolution of those viruses over 47 y in cats or dogs. Several live-attenuated FPV vaccine viruses originated from early-1960s isolates or were a recombinant of an early virus, and many sequences in databases proved to be vaccine-derived. The sequences of wild viruses showed that FPV-like strains evolved at less than one-third the rate observed for CPV in dogs, and the higher rate of CPV evolution has been consistent since 1979, when a genetic variant became widespread. The common ancestor of the CPV lineage was related to FPVs from Europe and contained several unique host-adaptive capsid changes associated with canine transferrin receptor type-1 binding. Although the FPV vaccine strains are around 60 y old, little selection for antigenic variation was observed. The distinct evolutionary patterns of these closely related viruses circulating for decades in different hosts emphasize the complex evolution associated with viral epidemic emergence and spread in endemic and new hosts.</w:t>
      </w:r>
    </w:p>
    <w:p>
      <w:pPr>
        <w:spacing w:before="120" w:after="120"/>
      </w:pPr>
      <w:r>
        <w:rPr>
          <w:sz w:val="18"/>
        </w:rPr>
        <w:t>——————————————————————————————————————————————————————————————————————</w:t>
      </w:r>
    </w:p>
    <w:p>
      <w:pPr>
        <w:spacing w:before="160" w:after="40" w:line="240" w:lineRule="auto"/>
      </w:pPr>
      <w:r>
        <w:rPr>
          <w:b/>
        </w:rPr>
        <w:t xml:space="preserve">[195] </w:t>
      </w:r>
      <w:hyperlink r:id="rId538">
        <w:r>
          <w:rPr>
            <w:color w:val="1155CC"/>
            <w:u w:val="single"/>
          </w:rPr>
          <w:t>量化和对抗即将出现的人畜共患病毒：使用多重受体筛选和诱饵工程技术</w:t>
        </w:r>
      </w:hyperlink>
    </w:p>
    <w:p>
      <w:pPr>
        <w:spacing w:before="0" w:after="80"/>
      </w:pPr>
      <w:r>
        <w:rPr>
          <w:i/>
          <w:sz w:val="20"/>
        </w:rPr>
        <w:t>EN: Quantifying and combating zoonotic viruses poised for emergence: Using multiplex receptor screening and decoy engineering technologies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39">
        <w:r>
          <w:rPr>
            <w:color w:val="1155CC"/>
            <w:u w:val="single"/>
          </w:rPr>
          <w:t>10.1073/pnas.2516376123</w:t>
        </w:r>
      </w:hyperlink>
    </w:p>
    <w:p>
      <w:pPr>
        <w:spacing w:before="0" w:after="120"/>
      </w:pPr>
      <w:r>
        <w:rPr>
          <w:b/>
        </w:rPr>
        <w:t xml:space="preserve">Notes: </w:t>
      </w:r>
      <w:r>
        <w:t>abstract_source=crossref</w:t>
      </w:r>
    </w:p>
    <w:p>
      <w:pPr>
        <w:spacing w:before="0" w:after="80" w:lineRule="auto" w:line="276"/>
      </w:pPr>
      <w:r>
        <w:rPr>
          <w:b/>
        </w:rPr>
        <w:t xml:space="preserve">摘要（ZH）: </w:t>
      </w:r>
      <w:r>
        <w:t>病毒发现工作已经在多个大陆上揭示了数百万种人畜共患病毒，这些病毒被列入世界卫生组织的流行病风险登记册。超过三分之二的人畜共患病毒构成重大风险，准备感染人类，并暴露了当前反应性对策的局限性，如疫苗、单克隆抗体和小分子抗病毒药物。为了介导感染，这些病毒必须进行显著的适应并利用人类细胞上的特定受体，导致“溢出事件”。识别这些人畜共患病毒利用的人类受体对于评估溢出风险、理解病毒嗜性以及为应对疫情做好准备至关重要——最终为流行病准备、新抗病毒治疗的开发提供见解。</w:t>
      </w:r>
    </w:p>
    <w:p>
      <w:pPr>
        <w:spacing w:before="0" w:after="200" w:lineRule="auto" w:line="276"/>
      </w:pPr>
      <w:r>
        <w:rPr>
          <w:b/>
        </w:rPr>
        <w:t xml:space="preserve">Abstract (EN): </w:t>
      </w:r>
      <w:r>
        <w:t>Viral discovery efforts have uncovered millions of zoonotic viruses across multiple continents, listed on the World Health Organization’s pandemic risk register. Over two-thirds of these zoonotic viruses pose significant risks, are poised to infect humans, and expose the limitations of current reactive countermeasures, such as vaccines, monoclonal antibodies, and small-molecule antivirals. To mediate infection, these viruses must undergo significant adaptation and exploit specific receptors on human cells, causing “spillover events.” Identifying which human receptors these zoonotic viruses utilize is crucial for assessing spillover risk, understanding viral tropism, and preparing for emergence—ultimately providing insights for pandemic preparedness, development of new antiviral therapeutics, and potentially saving many lives. However, we hypothesize that these advances will require a systemic understanding and scalable platform technologies on an unprecedented scale. Therefore, we propose and evaluate a new and unique paradigm shift toward proactive antiviral interventions centered on host-identified multivalent “decoy” receptor therapeutics that can impose high evolutionary barriers to resistance, even in convergent evolution scenarios. Specifically, we introduce a unified framework that integrates unique, unbiased high-throughput or multiplex receptor screening platforms with AI–driven design to guide the de novo engineering of pandemic-ready broad-spectrum decoys. We also discuss prominent modular engineering strategies that can translate mere molecular affinities into the avidity necessary for potent pan-viral prophylaxis and therapy. The overall integrated pipeline proposed is expected to facilitate the preemptive development of robust countermeasures that will fundamentally reshape our approach to quantifying and combating known and future zoonotic viral threats.</w:t>
      </w:r>
    </w:p>
    <w:p>
      <w:pPr>
        <w:spacing w:before="120" w:after="120"/>
      </w:pPr>
      <w:r>
        <w:rPr>
          <w:sz w:val="18"/>
        </w:rPr>
        <w:t>——————————————————————————————————————————————————————————————————————</w:t>
      </w:r>
    </w:p>
    <w:p>
      <w:pPr>
        <w:spacing w:before="160" w:after="40" w:line="240" w:lineRule="auto"/>
      </w:pPr>
      <w:r>
        <w:rPr>
          <w:b/>
        </w:rPr>
        <w:t xml:space="preserve">[196] </w:t>
      </w:r>
      <w:hyperlink r:id="rId540">
        <w:r>
          <w:rPr>
            <w:color w:val="1155CC"/>
            <w:u w:val="single"/>
          </w:rPr>
          <w:t>在记忆形成过程中选择性八氢胺能调节蘑菇体电路</w:t>
        </w:r>
      </w:hyperlink>
    </w:p>
    <w:p>
      <w:pPr>
        <w:spacing w:before="0" w:after="80"/>
      </w:pPr>
      <w:r>
        <w:rPr>
          <w:i/>
          <w:sz w:val="20"/>
        </w:rPr>
        <w:t>EN: Selective octopaminergic tuning of mushroom body circuits during memory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41">
        <w:r>
          <w:rPr>
            <w:color w:val="1155CC"/>
            <w:u w:val="single"/>
          </w:rPr>
          <w:t>10.1073/pnas.2517403123</w:t>
        </w:r>
      </w:hyperlink>
    </w:p>
    <w:p>
      <w:pPr>
        <w:spacing w:before="0" w:after="120"/>
      </w:pPr>
      <w:r>
        <w:rPr>
          <w:b/>
        </w:rPr>
        <w:t xml:space="preserve">Notes: </w:t>
      </w:r>
      <w:r>
        <w:t>abstract_source=crossref</w:t>
      </w:r>
    </w:p>
    <w:p>
      <w:pPr>
        <w:spacing w:before="0" w:after="80" w:lineRule="auto" w:line="276"/>
      </w:pPr>
      <w:r>
        <w:rPr>
          <w:b/>
        </w:rPr>
        <w:t xml:space="preserve">摘要（ZH）: </w:t>
      </w:r>
      <w:r>
        <w:t>儿茶酚胺章鱼胺和酪胺无疑对昆虫的生活产生重大影响。这些神经递质/激素调节着广泛的生理过程和行为。章鱼胺和酪胺的作用类似于脊椎动物的肾上腺素系统，主要通过在警觉和休息状态之间切换来使机体适应特定情况。有趣的是，高级脑功能如学习和记忆也受到章鱼胺和酪胺的调节。大约30年前，</w:t>
      </w:r>
      <w:r>
        <w:t xml:space="preserve"> </w:t>
      </w:r>
      <w:r>
        <w:t>果蝇</w:t>
      </w:r>
      <w:r>
        <w:t xml:space="preserve"> </w:t>
      </w:r>
      <w:r>
        <w:t>的初步研究表明，多巴胺能神经元在嗅觉联想学习和记忆过程中传递惩罚信号，而章鱼胺能神经元传递奖励信号。然而，与此同时，已经明确的是，不同的</w:t>
      </w:r>
    </w:p>
    <w:p>
      <w:pPr>
        <w:spacing w:before="0" w:after="200" w:lineRule="auto" w:line="276"/>
      </w:pPr>
      <w:r>
        <w:rPr>
          <w:b/>
        </w:rPr>
        <w:t xml:space="preserve">Abstract (EN): </w:t>
      </w:r>
      <w:r>
        <w:t>The catecholamines octopamine and tyramine undoubtedly have a major impact on the life of an insect. A wide range of physiological processes and behaviors are regulated by these neurotransmitters/hormones. Octopamine and tyramine act homologous to the adrenergic system of vertebrates, primarily adapting the organism to the given situation, by switching between the states of alertness and rest. Interestingly, higher brain functions like learning and memory are also regulated by octopamine and tyramine. About 30 y ago, initial work in</w:t>
      </w:r>
      <w:r>
        <w:t xml:space="preserve"> </w:t>
      </w:r>
      <w:r>
        <w:t>Drosophila</w:t>
      </w:r>
      <w:r>
        <w:t xml:space="preserve"> </w:t>
      </w:r>
      <w:r>
        <w:t>demonstrated that dopaminergic neurons signal punishment, while octopaminergic neurons signal reward during olfactory associative learning and memory. In the meantime, however, it has become clear that distinct types of dopaminergic neurons convey both reward and punishment signals to the mushroom bodies, a central brain region responsible for the formation and storage of associative memories. Although some conflicting data remain, these findings challenge the previously established model of functional segregation and may limit the proposed role of octopamine neurons in mediating reinforcing information during memory formation. We have therefore re-examined the role of octopamine in learning and memory in</w:t>
      </w:r>
      <w:r>
        <w:t xml:space="preserve"> </w:t>
      </w:r>
      <w:r>
        <w:t>Drosophila</w:t>
      </w:r>
      <w:r>
        <w:t xml:space="preserve"> </w:t>
      </w:r>
      <w:r>
        <w:t>larvae. Our findings suggest that optogenetic activation of octopaminergic neurons is sufficient to drive appetitive and aversive memory formation. Further, through a combination of Ca</w:t>
      </w:r>
      <w:r>
        <w:t xml:space="preserve"> </w:t>
      </w:r>
      <w:r>
        <w:t>2+</w:t>
      </w:r>
      <w:r>
        <w:t xml:space="preserve"> </w:t>
      </w:r>
      <w:r>
        <w:t>imaging, anatomical studies, and loss-of-function behavioral approaches, we demonstrate that octopamine signaling plays a crucial role in larval learning by modulating dopaminergic neurons across distinct cell clusters to orchestrate memory processes.</w:t>
      </w:r>
    </w:p>
    <w:p>
      <w:pPr>
        <w:spacing w:before="120" w:after="120"/>
      </w:pPr>
      <w:r>
        <w:rPr>
          <w:sz w:val="18"/>
        </w:rPr>
        <w:t>——————————————————————————————————————————————————————————————————————</w:t>
      </w:r>
    </w:p>
    <w:p>
      <w:pPr>
        <w:spacing w:before="160" w:after="40" w:line="240" w:lineRule="auto"/>
      </w:pPr>
      <w:r>
        <w:rPr>
          <w:b/>
        </w:rPr>
        <w:t xml:space="preserve">[197] </w:t>
      </w:r>
      <w:hyperlink r:id="rId542">
        <w:r>
          <w:rPr>
            <w:color w:val="1155CC"/>
            <w:u w:val="single"/>
          </w:rPr>
          <w:t>在光栓塞中风模型中，Trem2通过Gpnmb加剧缺血性脑损伤</w:t>
        </w:r>
      </w:hyperlink>
    </w:p>
    <w:p>
      <w:pPr>
        <w:spacing w:before="0" w:after="80"/>
      </w:pPr>
      <w:r>
        <w:rPr>
          <w:i/>
          <w:sz w:val="20"/>
        </w:rPr>
        <w:t>EN: Trem2 exacerbates ischemic brain injury through Gpnmb in a photothrombotic stroke model</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43">
        <w:r>
          <w:rPr>
            <w:color w:val="1155CC"/>
            <w:u w:val="single"/>
          </w:rPr>
          <w:t>10.1073/pnas.2523148123</w:t>
        </w:r>
      </w:hyperlink>
    </w:p>
    <w:p>
      <w:pPr>
        <w:spacing w:before="0" w:after="120"/>
      </w:pPr>
      <w:r>
        <w:rPr>
          <w:b/>
        </w:rPr>
        <w:t xml:space="preserve">Notes: </w:t>
      </w:r>
      <w:r>
        <w:t>abstract_source=crossref</w:t>
      </w:r>
    </w:p>
    <w:p>
      <w:pPr>
        <w:spacing w:before="0" w:after="80" w:lineRule="auto" w:line="276"/>
      </w:pPr>
      <w:r>
        <w:rPr>
          <w:b/>
        </w:rPr>
        <w:t xml:space="preserve">摘要（ZH）: </w:t>
      </w:r>
      <w:r>
        <w:t>缺血性中风是一个重大的公共健康挑战，微胶质细胞介导的神经炎症对神经元生存具有保护和有害的双重作用。主要由微胶质细胞表达的髓样细胞2型触发受体（Trem2）在大脑中动脉闭塞（MCAO）模型中被报道具有神经保护作用。矛盾的是，在患者中，血浆可溶性Trem2（sTrem2）水平升高与风险增加和不良结果相关。为了测试Trem2功能在中风背景下的影响，我们使用了光栓塞中风模型，该模型引发了强烈的Trem2上调，这一临床特征在MCAO模型中未被模拟。Trem2的耗竭减少了梗死体积，抑制了促炎细胞因子的产生，保护了神经元</w:t>
      </w:r>
    </w:p>
    <w:p>
      <w:pPr>
        <w:spacing w:before="0" w:after="200" w:lineRule="auto" w:line="276"/>
      </w:pPr>
      <w:r>
        <w:rPr>
          <w:b/>
        </w:rPr>
        <w:t xml:space="preserve">Abstract (EN): </w:t>
      </w:r>
      <w:r>
        <w:t>Ischemic stroke is a major public health challenge, with microglia-mediated neuroinflammation exerting both protective and detrimental effects on neuronal survival. The Triggering receptor expressed on myeloid cells 2 (Trem2), predominantly expressed by microglia, has been reported to confer neuroprotection in the middle cerebral artery occlusion (MCAO) model. Paradoxically, in patients, elevated plasma soluble Trem2 (sTrem2) levels correlate with increased risk and poor outcomes. To test the impact of Trem2 function in the context of stroke, we utilized the photothrombotic stroke model which elicited strong Trem2 upregulation, a clinical feature which is not mimicked in MCAO models. Trem2 depletion reduced infarction volume, suppressed proinflammatory cytokine production, preserved neuronal survival, and lessened motor and neurological impairment. Conversely, intracerebral administration of sTrem2 exacerbated neuronal loss, amplified inflammation, and worsened neurological deficits. Integrated mouse-human transcriptomic analyses identified glycoprotein nonmetastatic B (Gpnmb) as a conserved downstream effector of Trem2. Soluble Gpnmb (sGpnmb) administration abolished the protective effects of Trem2 depletion, promoting microglial activation, lipid accumulation, and neuronal damage. Additionally, plasma sTrem2 and sGpnmb levels were elevated in stroke patients, positively correlated, and may serve as biomarkers of poor prognosis. These findings uncover a detrimental role for Trem2 in ischemic stroke, provide mechanistic insight into the link between sTrem2 and poor clinical outcomes, and identify the Trem2–Gpnmb axis as a potential therapeutic target to mitigate poststroke neuroinflammation.</w:t>
      </w:r>
    </w:p>
    <w:p>
      <w:pPr>
        <w:spacing w:before="120" w:after="120"/>
      </w:pPr>
      <w:r>
        <w:rPr>
          <w:sz w:val="18"/>
        </w:rPr>
        <w:t>——————————————————————————————————————————————————————————————————————</w:t>
      </w:r>
    </w:p>
    <w:p>
      <w:pPr>
        <w:spacing w:before="160" w:after="40" w:line="240" w:lineRule="auto"/>
      </w:pPr>
      <w:r>
        <w:rPr>
          <w:b/>
        </w:rPr>
        <w:t xml:space="preserve">[198] </w:t>
      </w:r>
      <w:hyperlink r:id="rId544">
        <w:r>
          <w:rPr>
            <w:color w:val="1155CC"/>
            <w:u w:val="single"/>
          </w:rPr>
          <w:t>内侧颞叶编码现实世界社交网络的认知地图</w:t>
        </w:r>
      </w:hyperlink>
    </w:p>
    <w:p>
      <w:pPr>
        <w:spacing w:before="0" w:after="80"/>
      </w:pPr>
      <w:r>
        <w:rPr>
          <w:i/>
          <w:sz w:val="20"/>
        </w:rPr>
        <w:t>EN: Medial temporal lobe encodes cognitive maps of real-world social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45">
        <w:r>
          <w:rPr>
            <w:color w:val="1155CC"/>
            <w:u w:val="single"/>
          </w:rPr>
          <w:t>10.1073/pnas.2523345123</w:t>
        </w:r>
      </w:hyperlink>
    </w:p>
    <w:p>
      <w:pPr>
        <w:spacing w:before="0" w:after="120"/>
      </w:pPr>
      <w:r>
        <w:rPr>
          <w:b/>
        </w:rPr>
        <w:t xml:space="preserve">Notes: </w:t>
      </w:r>
      <w:r>
        <w:t>abstract_source=crossref</w:t>
      </w:r>
    </w:p>
    <w:p>
      <w:pPr>
        <w:spacing w:before="0" w:after="80" w:lineRule="auto" w:line="276"/>
      </w:pPr>
      <w:r>
        <w:rPr>
          <w:b/>
        </w:rPr>
        <w:t xml:space="preserve">摘要（ZH）: </w:t>
      </w:r>
      <w:r>
        <w:t>人类常常通过在密集互联的网络中导航来解决社会问题——策略性地传播八卦、在小团体之间进行调解以及与盟友协调。然而，支持这种复杂导航的神经表征仍未被记录，导致我们对灵活社会认知机制的理解存在关键空白。我们结合计算建模、fMRI和对一个大型现实社会网络（N = 187）的纵向测量，显示内侧颞叶编码了更广泛网络中长程连接的抽象认知地图。这些神经地图具体编码了网络成员之间的Katz可传递性，而不仅仅是直接联系或欧几里得或图距离。我们还发现这些地图的可用性</w:t>
      </w:r>
    </w:p>
    <w:p>
      <w:pPr>
        <w:spacing w:before="0" w:after="200" w:lineRule="auto" w:line="276"/>
      </w:pPr>
      <w:r>
        <w:rPr>
          <w:b/>
        </w:rPr>
        <w:t xml:space="preserve">Abstract (EN): </w:t>
      </w:r>
      <w:r>
        <w:t>Humans routinely solve social problems by navigating densely interconnected networks—gossiping strategically, brokering across cliques, and coordinating with allies. Yet, the neural representations supporting such complex navigation remain undocumented, leaving a crucial gap in our understanding of the mechanisms underlying flexible social cognition. We combine computational modeling with fMRI and a longitudinal measurement of a large, real-world social network (N = 187) to show that the medial temporal lobe encodes an abstract cognitive map of long-range connectivity in the broader network. These neural maps specifically encode the Katz communicability between network members, not merely direct ties, or Euclidean or graph distance. We additionally find that the availability of these maps in the right entorhinal cortex (rEC) and right anterior hippocampus (raHC) supports accurate inferences about information diffusion through the network. Finally, we link neural representation to consequential social change, finding that stronger rEC encoding predicts real-world brokerage that increases community cohesion over time. Together, these findings advance a general mechanism for how the brain supports flexible behavior in complex social environments, closing a major gap between theories of cognitive maps and the demands of social navigation.</w:t>
      </w:r>
    </w:p>
    <w:p>
      <w:pPr>
        <w:spacing w:before="120" w:after="120"/>
      </w:pPr>
      <w:r>
        <w:rPr>
          <w:sz w:val="18"/>
        </w:rPr>
        <w:t>——————————————————————————————————————————————————————————————————————</w:t>
      </w:r>
    </w:p>
    <w:p>
      <w:pPr>
        <w:spacing w:before="160" w:after="40" w:line="240" w:lineRule="auto"/>
      </w:pPr>
      <w:r>
        <w:rPr>
          <w:b/>
        </w:rPr>
        <w:t xml:space="preserve">[199] </w:t>
      </w:r>
      <w:hyperlink r:id="rId546">
        <w:r>
          <w:rPr>
            <w:color w:val="1155CC"/>
            <w:u w:val="single"/>
          </w:rPr>
          <w:t>免疫调节通过巨噬细胞和Granulin功能促进青鳉心脏再生</w:t>
        </w:r>
      </w:hyperlink>
    </w:p>
    <w:p>
      <w:pPr>
        <w:spacing w:before="0" w:after="80"/>
      </w:pPr>
      <w:r>
        <w:rPr>
          <w:i/>
          <w:sz w:val="20"/>
        </w:rPr>
        <w:t>EN: Immune modulation promotes heart regeneration through macrophage and Granulin functions in medaka</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47">
        <w:r>
          <w:rPr>
            <w:color w:val="1155CC"/>
            <w:u w:val="single"/>
          </w:rPr>
          <w:t>10.1073/pnas.2524705123</w:t>
        </w:r>
      </w:hyperlink>
    </w:p>
    <w:p>
      <w:pPr>
        <w:spacing w:before="0" w:after="120"/>
      </w:pPr>
      <w:r>
        <w:rPr>
          <w:b/>
        </w:rPr>
        <w:t xml:space="preserve">Notes: </w:t>
      </w:r>
      <w:r>
        <w:t>abstract_source=crossref</w:t>
      </w:r>
    </w:p>
    <w:p>
      <w:pPr>
        <w:spacing w:before="0" w:after="80" w:lineRule="auto" w:line="276"/>
      </w:pPr>
      <w:r>
        <w:rPr>
          <w:b/>
        </w:rPr>
        <w:t xml:space="preserve">摘要（ZH）: </w:t>
      </w:r>
      <w:r>
        <w:t>心肌梗死导致成年哺乳动物心肌细胞不可逆的丧失和纤维化重塑，而某些脊椎动物保留再生心脏组织的能力。比较研究表明，免疫反应对修复结果有重要影响，但与再生相关的免疫程序仍未完全定义。在此，我们研究了免疫调节如何加速非再生的青鳉（Oryzias latipes）的心脏修复。通过结合功能测定的整体和单细胞转录组学，我们表明，使用 Toll 样受体 3 激动剂 poly I:C 的刺激加速了早期免疫激活，并增强了巨噬细胞依赖的碎片清除，与心脏炎症消退相关。</w:t>
      </w:r>
    </w:p>
    <w:p>
      <w:pPr>
        <w:spacing w:before="0" w:after="200" w:lineRule="auto" w:line="276"/>
      </w:pPr>
      <w:r>
        <w:rPr>
          <w:b/>
        </w:rPr>
        <w:t xml:space="preserve">Abstract (EN): </w:t>
      </w:r>
      <w:r>
        <w:t>Myocardial infarction results in irreversible cardiomyocyte loss and fibrotic remodeling in adult mammals, whereas some vertebrates retain the ability to regenerate cardiac tissue. Comparative studies suggest that immune responses critically influence repair outcomes, yet the immune programs associated with regeneration remain incompletely defined. Here, we investigate how immune modulation accelerates cardiac repair in the nonregenerative medaka (</w:t>
      </w:r>
      <w:r>
        <w:t xml:space="preserve"> </w:t>
      </w:r>
      <w:r>
        <w:t>Oryzias latipes</w:t>
      </w:r>
      <w:r>
        <w:t xml:space="preserve"> </w:t>
      </w:r>
      <w:r>
        <w:t>). Using bulk and single-cell transcriptomics combined with functional assays, we show that stimulation with the Toll-like receptor 3 agonist poly I:C accelerates early immune activation and enhances macrophage-dependent debris clearance, associated with inflammatory resolution after cardiac injury. Single-cell analysis of enriched myeloid populations identifies regeneration-associated macrophage subsets characterized by phagocytic and immune-regulatory gene programs, including elevated expression of</w:t>
      </w:r>
      <w:r>
        <w:t xml:space="preserve"> </w:t>
      </w:r>
      <w:r>
        <w:t>granulin-a</w:t>
      </w:r>
      <w:r>
        <w:t xml:space="preserve"> </w:t>
      </w:r>
      <w:r>
        <w:t>(</w:t>
      </w:r>
      <w:r>
        <w:t xml:space="preserve"> </w:t>
      </w:r>
      <w:r>
        <w:t>grna</w:t>
      </w:r>
      <w:r>
        <w:t xml:space="preserve"> </w:t>
      </w:r>
      <w:r>
        <w:t>). Spatial analysis by hybridization chain reaction reveals increased numbers of</w:t>
      </w:r>
      <w:r>
        <w:t xml:space="preserve"> </w:t>
      </w:r>
      <w:r>
        <w:t>grna</w:t>
      </w:r>
      <w:r>
        <w:t xml:space="preserve"> </w:t>
      </w:r>
      <w:r>
        <w:t>-expressing macrophages in the injury border zone, coinciding with the regenerative niche of cardiomyocyte proliferation. Consistent with these findings, administration of recombinant Granulin A enhances cardiomyocyte proliferation and reduces scar burden in medaka hearts. Together, these findings indicate that immune modulation reshapes macrophage functional states during cardiac repair and link macrophage-associated</w:t>
      </w:r>
      <w:r>
        <w:t xml:space="preserve"> </w:t>
      </w:r>
      <w:r>
        <w:t>granulin</w:t>
      </w:r>
      <w:r>
        <w:t xml:space="preserve"> </w:t>
      </w:r>
      <w:r>
        <w:t>expression to regenerative outcomes, highlighting macrophage properties as a potential target for improving heart repair.</w:t>
      </w:r>
    </w:p>
    <w:p>
      <w:pPr>
        <w:spacing w:before="120" w:after="120"/>
      </w:pPr>
      <w:r>
        <w:rPr>
          <w:sz w:val="18"/>
        </w:rPr>
        <w:t>——————————————————————————————————————————————————————————————————————</w:t>
      </w:r>
    </w:p>
    <w:p>
      <w:pPr>
        <w:spacing w:before="160" w:after="40" w:line="240" w:lineRule="auto"/>
      </w:pPr>
      <w:r>
        <w:rPr>
          <w:b/>
        </w:rPr>
        <w:t xml:space="preserve">[200] </w:t>
      </w:r>
      <w:hyperlink r:id="rId548">
        <w:r>
          <w:rPr>
            <w:color w:val="1155CC"/>
            <w:u w:val="single"/>
          </w:rPr>
          <w:t>YTHDC1识别METTL16依赖的caRNAs上的m6A并协调共转录剪接</w:t>
        </w:r>
      </w:hyperlink>
    </w:p>
    <w:p>
      <w:pPr>
        <w:spacing w:before="0" w:after="80"/>
      </w:pPr>
      <w:r>
        <w:rPr>
          <w:i/>
          <w:sz w:val="20"/>
        </w:rPr>
        <w:t>EN: YTHDC1 recognizes METTL16-dependent m6A on caRNAs and coordinates cotranscriptional splicing</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49">
        <w:r>
          <w:rPr>
            <w:color w:val="1155CC"/>
            <w:u w:val="single"/>
          </w:rPr>
          <w:t>10.1073/pnas.2524579123</w:t>
        </w:r>
      </w:hyperlink>
    </w:p>
    <w:p>
      <w:pPr>
        <w:spacing w:before="0" w:after="120"/>
      </w:pPr>
      <w:r>
        <w:rPr>
          <w:b/>
        </w:rPr>
        <w:t xml:space="preserve">Notes: </w:t>
      </w:r>
      <w:r>
        <w:t>abstract_source=crossref</w:t>
      </w:r>
    </w:p>
    <w:p>
      <w:pPr>
        <w:spacing w:before="0" w:after="80" w:lineRule="auto" w:line="276"/>
      </w:pPr>
      <w:r>
        <w:rPr>
          <w:b/>
        </w:rPr>
        <w:t xml:space="preserve">摘要（ZH）: </w:t>
      </w:r>
      <w:r>
        <w:t>N6-甲基腺苷（m6A）RNA 修饰调节多种生物过程。m6A 写入者和下游读取者协同进行 m6A 介导的 RNA 代谢，但不同写入者和读取者之间的功能特异性仍然知之甚少。使用肢体器官发生作为发育模型，我们发现了 m6A 读取者 YTHDC1 和写入者 METTL16 之间的关键和特定功能轴。缺乏 YTHDC1 或 METTL16（而非 METTL3）会导致严重的肢体畸形，揭示了意想不到的功能选择性。在机制上，</w:t>
      </w:r>
    </w:p>
    <w:p>
      <w:pPr>
        <w:spacing w:before="0" w:after="200" w:lineRule="auto" w:line="276"/>
      </w:pPr>
      <w:r>
        <w:rPr>
          <w:b/>
        </w:rPr>
        <w:t xml:space="preserve">Abstract (EN): </w:t>
      </w:r>
      <w:r>
        <w:t>N</w:t>
      </w:r>
      <w:r>
        <w:rPr>
          <w:vertAlign w:val="subscript"/>
        </w:rPr>
        <w:t>6</w:t>
      </w:r>
      <w:r>
        <w:t xml:space="preserve"> </w:t>
      </w:r>
      <w:r>
        <w:t>-methyladenosine (m</w:t>
      </w:r>
      <w:r>
        <w:rPr>
          <w:vertAlign w:val="subscript"/>
        </w:rPr>
        <w:t>6</w:t>
      </w:r>
      <w:r>
        <w:t>A) RNA modification regulates diverse biological process. The m</w:t>
      </w:r>
      <w:r>
        <w:rPr>
          <w:vertAlign w:val="subscript"/>
        </w:rPr>
        <w:t>6</w:t>
      </w:r>
      <w:r>
        <w:t>A writers and downstream readers collaboratively undertake m</w:t>
      </w:r>
      <w:r>
        <w:rPr>
          <w:vertAlign w:val="subscript"/>
        </w:rPr>
        <w:t>6</w:t>
      </w:r>
      <w:r>
        <w:t>A-mediated RNA metabolism, yet the functional specificity among different writers and readers remains poorly understood. Using limb organogenesis as a development model, we uncover a critical and specific functional axis between the m</w:t>
      </w:r>
      <w:r>
        <w:rPr>
          <w:vertAlign w:val="subscript"/>
        </w:rPr>
        <w:t>6</w:t>
      </w:r>
      <w:r>
        <w:t>A reader YTHDC1 and writer METTL16. Depletion of either YTHDC1 or METTL16-but not METTL3-causes severe limb malformations, revealing unexpected functional selectivity. Mechanistically, we demonstrate that YTHDC1 specifically recognizes METTL16-deposited m</w:t>
      </w:r>
      <w:r>
        <w:rPr>
          <w:vertAlign w:val="subscript"/>
        </w:rPr>
        <w:t>6</w:t>
      </w:r>
      <w:r>
        <w:t>A marks on chromatin-associated RNAs, orchestrating cotranscriptional splicing of genes vital for cell cycle progression and DNA repair. Loss of YTHDC1 triggers genome-wide transcription arrest and dysregulates key developmental gene expression programs. Importantly, chromatin-bound YTHDC1 recruits splicing factors to transcriptional complex through liquid–liquid phase separation (LLPS), with alkalic arginine residues in its C-terminal region being molecular determinants. Our findings identified a selective and specific METTL16-m</w:t>
      </w:r>
      <w:r>
        <w:rPr>
          <w:vertAlign w:val="subscript"/>
        </w:rPr>
        <w:t>6</w:t>
      </w:r>
      <w:r>
        <w:t>A-YTHDC1 axis that couples RNA modification with cotranscriptional splicing during mammalian organogenesis, providing molecular insights into how epitranscriptomic regulation governs developmental decisions.</w:t>
      </w:r>
    </w:p>
    <w:p>
      <w:pPr>
        <w:spacing w:before="120" w:after="120"/>
      </w:pPr>
      <w:r>
        <w:rPr>
          <w:sz w:val="18"/>
        </w:rPr>
        <w:t>——————————————————————————————————————————————————————————————————————</w:t>
      </w:r>
    </w:p>
    <w:p>
      <w:pPr>
        <w:spacing w:before="160" w:after="40" w:line="240" w:lineRule="auto"/>
      </w:pPr>
      <w:r>
        <w:rPr>
          <w:b/>
        </w:rPr>
        <w:t xml:space="preserve">[201] </w:t>
      </w:r>
      <w:hyperlink r:id="rId550">
        <w:r>
          <w:rPr>
            <w:color w:val="1155CC"/>
            <w:u w:val="single"/>
          </w:rPr>
          <w:t>基于保守表皮因子的增强子导向基因递送用于指再生</w:t>
        </w:r>
      </w:hyperlink>
    </w:p>
    <w:p>
      <w:pPr>
        <w:spacing w:before="0" w:after="80"/>
      </w:pPr>
      <w:r>
        <w:rPr>
          <w:i/>
          <w:sz w:val="20"/>
        </w:rPr>
        <w:t>EN: Enhancer-directed gene delivery for digit regeneration based on conserved epidermal factors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51">
        <w:r>
          <w:rPr>
            <w:color w:val="1155CC"/>
            <w:u w:val="single"/>
          </w:rPr>
          <w:t>10.1073/pnas.2532804123</w:t>
        </w:r>
      </w:hyperlink>
    </w:p>
    <w:p>
      <w:pPr>
        <w:spacing w:before="0" w:after="120"/>
      </w:pPr>
      <w:r>
        <w:rPr>
          <w:b/>
        </w:rPr>
        <w:t xml:space="preserve">Notes: </w:t>
      </w:r>
      <w:r>
        <w:t>abstract_source=crossref</w:t>
      </w:r>
    </w:p>
    <w:p>
      <w:pPr>
        <w:spacing w:before="0" w:after="80" w:lineRule="auto" w:line="276"/>
      </w:pPr>
      <w:r>
        <w:rPr>
          <w:b/>
        </w:rPr>
        <w:t xml:space="preserve">摘要（ZH）: </w:t>
      </w:r>
      <w:r>
        <w:t>肢体丧失仍然是一个重大的临床挑战，但再生医学方法如基因治疗提供了一种有前景的策略来触发内源性再生程序。用于附肢骨骼修复的最佳载体配置和分子靶标尚未明确。在此，我们利用具有高内源性附肢再生能力的物种的见解，设计了一种增强子导向的基因递送平台，该平台在小鼠指再生期间发挥作用，这是哺乳动物部分肢体再生的一个良好表征的模型。结合再生鲤鱼尾鳍的单细胞 RNA 测序和再生蝾螈肢体和小鼠指尖的表达数据，表明 SP 家族的转录因子是保守的，表皮表达的</w:t>
      </w:r>
    </w:p>
    <w:p>
      <w:pPr>
        <w:spacing w:before="0" w:after="200" w:lineRule="auto" w:line="276"/>
      </w:pPr>
      <w:r>
        <w:rPr>
          <w:b/>
        </w:rPr>
        <w:t xml:space="preserve">Abstract (EN): </w:t>
      </w:r>
      <w:r>
        <w:t>Limb loss remains a significant clinical challenge, but regenerative medicine approaches such as gene therapy offer a promising strategy to trigger endogenous regeneration programs. Optimal vector configurations and molecular targets for appendicular skeletal repair are not well defined. Here, we leveraged insights from species with a high endogenous capacity for appendage regeneration to design an enhancer-directed gene delivery platform that functions during mouse digit regeneration, a well-characterized model for partial limb regeneration in mammals. Single-cell RNA sequencing of zebrafish caudal fin regeneration, combined with expression data in regenerating salamander limbs and mouse digit tips, implicated the SP family of transcription factors as conserved, epidermally expressed mediators of appendage regrowth. Null mutants of</w:t>
      </w:r>
      <w:r>
        <w:t xml:space="preserve"> </w:t>
      </w:r>
      <w:r>
        <w:t>Sp8</w:t>
      </w:r>
      <w:r>
        <w:t xml:space="preserve"> </w:t>
      </w:r>
      <w:r>
        <w:t>demonstrated impaired limb regeneration in salamanders, while conditional knockout of</w:t>
      </w:r>
      <w:r>
        <w:t xml:space="preserve"> </w:t>
      </w:r>
      <w:r>
        <w:t>Sp6</w:t>
      </w:r>
      <w:r>
        <w:t xml:space="preserve"> </w:t>
      </w:r>
      <w:r>
        <w:t>and/or</w:t>
      </w:r>
      <w:r>
        <w:t xml:space="preserve"> </w:t>
      </w:r>
      <w:r>
        <w:t>Sp8</w:t>
      </w:r>
      <w:r>
        <w:t xml:space="preserve"> </w:t>
      </w:r>
      <w:r>
        <w:t>in the mouse basal epidermis resulted in defective bony digit tip regeneration, involving an IL-17-mediated osteoclastogenic program. Spatiotemporally focused expression of FGF8, a known target of SP factors, using a zebrafish-derived tissue regeneration enhancer element via adeno-associated viral vectors, could partially rescue digit tip regeneration in SP knockout mice and accelerate digit regeneration in wild-type mice. Our results demonstrate a contextual gene therapy approach to address limb loss based on genes like SP transcription factors conserved across multiple contexts of appendage regeneration.</w:t>
      </w:r>
    </w:p>
    <w:p>
      <w:pPr>
        <w:spacing w:before="120" w:after="120"/>
      </w:pPr>
      <w:r>
        <w:rPr>
          <w:sz w:val="18"/>
        </w:rPr>
        <w:t>——————————————————————————————————————————————————————————————————————</w:t>
      </w:r>
    </w:p>
    <w:p>
      <w:pPr>
        <w:spacing w:before="160" w:after="40" w:line="240" w:lineRule="auto"/>
      </w:pPr>
      <w:r>
        <w:rPr>
          <w:b/>
        </w:rPr>
        <w:t xml:space="preserve">[202] </w:t>
      </w:r>
      <w:hyperlink r:id="rId552">
        <w:r>
          <w:rPr>
            <w:color w:val="1155CC"/>
            <w:u w:val="single"/>
          </w:rPr>
          <w:t>通过掺入氧化核糖核苷酸的转录偶联RNA损伤的结构基础</w:t>
        </w:r>
      </w:hyperlink>
    </w:p>
    <w:p>
      <w:pPr>
        <w:spacing w:before="0" w:after="80"/>
      </w:pPr>
      <w:r>
        <w:rPr>
          <w:i/>
          <w:sz w:val="20"/>
        </w:rPr>
        <w:t>EN: Structural basis of transcription-coupled RNA damage by incorporation of oxidized ribonucleotides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53">
        <w:r>
          <w:rPr>
            <w:color w:val="1155CC"/>
            <w:u w:val="single"/>
          </w:rPr>
          <w:t>10.1073/pnas.2602266123</w:t>
        </w:r>
      </w:hyperlink>
    </w:p>
    <w:p>
      <w:pPr>
        <w:spacing w:before="0" w:after="120"/>
      </w:pPr>
      <w:r>
        <w:rPr>
          <w:b/>
        </w:rPr>
        <w:t xml:space="preserve">Notes: </w:t>
      </w:r>
      <w:r>
        <w:t>abstract_source=crossref</w:t>
      </w:r>
    </w:p>
    <w:p>
      <w:pPr>
        <w:spacing w:before="0" w:after="80" w:lineRule="auto" w:line="276"/>
      </w:pPr>
      <w:r>
        <w:rPr>
          <w:b/>
        </w:rPr>
        <w:t xml:space="preserve">摘要（ZH）: </w:t>
      </w:r>
      <w:r>
        <w:t>氧化应激会导致DNA、RNA和核苷酸池的损伤。与研究较多的DNA损伤不同，RNA损伤的形成以及氧化核糖核苷酸池对转录保真度的影响尚不清楚。在此，我们研究了转录偶联RNA损伤的结构基础以及8-氧-鸟苷三磷酸（8-oxo-rGTP）对RNA聚合酶II（Pol II）转录保真度控制步骤的影响。我们发现8-oxo-rGTP在dC模板对面的掺入效率与GTP相当。相比之下，8-oxo-rGTP在dA模板对面的掺入效率比GTP高约150倍。在延伸步骤中，Pol II从3′-8-oxo-rG:dC碱基对的延伸速度明显快于从3′-8-oxo-rG:dA碱基对的延伸速度。</w:t>
      </w:r>
    </w:p>
    <w:p>
      <w:pPr>
        <w:spacing w:before="0" w:after="200" w:lineRule="auto" w:line="276"/>
      </w:pPr>
      <w:r>
        <w:rPr>
          <w:b/>
        </w:rPr>
        <w:t xml:space="preserve">Abstract (EN): </w:t>
      </w:r>
      <w:r>
        <w:t>Oxidative stress induces damage to DNA, RNA, and nucleotide pools. Unlike well-studied DNA damage, the formation of RNA damage and the impact of an oxidized ribonucleotide pool on transcription fidelity are poorly understood. Here, we investigate the structural basis of transcription-coupled RNA damage and the effect of 8-oxo-guanosine triphosphate (8-oxo-rGTP) on RNA polymerase II (Pol II) transcription fidelity control steps. We revealed that the incorporation efficiency of 8-oxo-rGTP opposite a dC template is comparable to that of GTP. In contrast, the incorporation efficiency of 8-oxo-rGTP opposite a dA template is ~150-fold more efficient than that of GTP. For the extension step, Pol II extends substantially faster from a 3′-8-oxo-rG:dC base pair than from a 3′-8-oxo-rG:dA base pair. For the proofreading step, strikingly, Pol II EC with 3′-8-oxo-rG:dA base pair is much more resistant to backtracking and proofreading than Pol II EC with 3′-8-oxo-rG:dC base pair. Using X-ray crystallography, we revealed that 8-oxo-rGTP adopts different prechemistry binding sites depending on whether it is paired with a dC or a dA template. Upon incorporation, the nucleobase of 8-oxo-rG flips to the</w:t>
      </w:r>
      <w:r>
        <w:t xml:space="preserve"> </w:t>
      </w:r>
      <w:r>
        <w:t>syn</w:t>
      </w:r>
      <w:r>
        <w:t xml:space="preserve"> </w:t>
      </w:r>
      <w:r>
        <w:t>-conformation to form a Hoogsteen pair with a dA template, whereas it remains in the</w:t>
      </w:r>
      <w:r>
        <w:t xml:space="preserve"> </w:t>
      </w:r>
      <w:r>
        <w:t>anti</w:t>
      </w:r>
      <w:r>
        <w:t xml:space="preserve"> </w:t>
      </w:r>
      <w:r>
        <w:t>-conformation to form a Watson–Crick pair with a dC template. Collectively, our work demonstrates that nucleotide-pool oxidation can directly affect Pol II fidelity control steps and elongation dynamics and induce RNA damage in a transcription-coupled manner.</w:t>
      </w:r>
    </w:p>
    <w:p>
      <w:pPr>
        <w:spacing w:before="120" w:after="120"/>
      </w:pPr>
      <w:r>
        <w:rPr>
          <w:sz w:val="18"/>
        </w:rPr>
        <w:t>——————————————————————————————————————————————————————————————————————</w:t>
      </w:r>
    </w:p>
    <w:p>
      <w:pPr>
        <w:spacing w:before="160" w:after="40" w:line="240" w:lineRule="auto"/>
      </w:pPr>
      <w:r>
        <w:rPr>
          <w:b/>
        </w:rPr>
        <w:t xml:space="preserve">[203] </w:t>
      </w:r>
      <w:hyperlink r:id="rId554">
        <w:r>
          <w:rPr>
            <w:color w:val="1155CC"/>
            <w:u w:val="single"/>
          </w:rPr>
          <w:t>复发突变在体内驱动HIV快速逃避两种广泛中和抗体</w:t>
        </w:r>
      </w:hyperlink>
    </w:p>
    <w:p>
      <w:pPr>
        <w:spacing w:before="0" w:after="80"/>
      </w:pPr>
      <w:r>
        <w:rPr>
          <w:i/>
          <w:sz w:val="20"/>
        </w:rPr>
        <w:t>EN: Recurrent mutations drive rapid HIV escape from two broadly neutralizing antibodies in vivo</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55">
        <w:r>
          <w:rPr>
            <w:color w:val="1155CC"/>
            <w:u w:val="single"/>
          </w:rPr>
          <w:t>10.1073/pnas.2524021123</w:t>
        </w:r>
      </w:hyperlink>
    </w:p>
    <w:p>
      <w:pPr>
        <w:spacing w:before="0" w:after="120"/>
      </w:pPr>
      <w:r>
        <w:rPr>
          <w:b/>
        </w:rPr>
        <w:t xml:space="preserve">Notes: </w:t>
      </w:r>
      <w:r>
        <w:t>abstract_source=crossref</w:t>
      </w:r>
    </w:p>
    <w:p>
      <w:pPr>
        <w:spacing w:before="0" w:after="80" w:lineRule="auto" w:line="276"/>
      </w:pPr>
      <w:r>
        <w:rPr>
          <w:b/>
        </w:rPr>
        <w:t xml:space="preserve">摘要（ZH）: </w:t>
      </w:r>
      <w:r>
        <w:t>广泛中和抗体（bNAbs）在HIV治疗和预防中显示出希望，但易于产生耐药性演化。全面了解体内病毒对单个bNAbs的逃逸是设计能够提供持久反应的bNAb组合所必需的。我们通过对接受bNAb单药治疗的研究参与者的全长HIV包膜（env）基因进行深度、纵向测序，描述了对两个bNAbs（10-1074和3BNC117）的病毒逃逸。改进的测序深度和计算进化分析使我们能够识别出体内HIV从每个bNAb逃逸的途径和并行性，为这一进化过程提供了见解。我们发现10-1074的逃逸仅限于少数几个预</w:t>
      </w:r>
    </w:p>
    <w:p>
      <w:pPr>
        <w:spacing w:before="0" w:after="200" w:lineRule="auto" w:line="276"/>
      </w:pPr>
      <w:r>
        <w:rPr>
          <w:b/>
        </w:rPr>
        <w:t xml:space="preserve">Abstract (EN): </w:t>
      </w:r>
      <w:r>
        <w:t>Broadly neutralizing antibodies (bNAbs) show promise for HIV treatment and prevention, but are vulnerable to resistance evolution. Comprehensively understanding in vivo viral escape from individual bNAbs is necessary to design bNAb combinations that will provide durable responses. We characterize viral escape from two such bNAbs, 10-1074 and 3BNC117, using deep, longitudinal sequencing of full-length HIV envelope (</w:t>
      </w:r>
      <w:r>
        <w:t xml:space="preserve"> </w:t>
      </w:r>
      <w:r>
        <w:t>env</w:t>
      </w:r>
      <w:r>
        <w:t xml:space="preserve"> </w:t>
      </w:r>
      <w:r>
        <w:t>) genes from study participants treated with bNAb monotherapy. Improved sequencing depth and computational evolutionary analyses permit us to identify in vivo routes and parallelism underlying HIV escape from each bNAb, providing insight into this evolutionary process. We find that 10-1074 escape is restricted to a small number of previously documented pathways seen across participants, but these escape mutations 1) emerge via extensively recurrent mutation, 2) are not equally preferred, and 3) can preexist at low frequency in intrahost viral populations before therapy, although their detection does not predict rebound timing. In contrast, 3BNC117 escape follows background-specific patterns in which specific escape mutations present in one intrahost population rarely emerge or spread in other populations, except among highly related viruses. Despite this, 3BNC117 escape mutations can still emerge recurrently within their host. Our findings map longitudinal in vivo antibody escape across 20 diverse clade B HIV intrahost populations and reveal clinically relevant resistance dynamics that highlight how combination bNAb therapies will need to contend with extensively recurring escape mutations and dependence on genetic background.</w:t>
      </w:r>
    </w:p>
    <w:p>
      <w:pPr>
        <w:spacing w:before="120" w:after="120"/>
      </w:pPr>
      <w:r>
        <w:rPr>
          <w:sz w:val="18"/>
        </w:rPr>
        <w:t>——————————————————————————————————————————————————————————————————————</w:t>
      </w:r>
    </w:p>
    <w:p>
      <w:pPr>
        <w:spacing w:before="160" w:after="40" w:line="240" w:lineRule="auto"/>
      </w:pPr>
      <w:r>
        <w:rPr>
          <w:b/>
        </w:rPr>
        <w:t xml:space="preserve">[204] </w:t>
      </w:r>
      <w:hyperlink r:id="rId556">
        <w:r>
          <w:rPr>
            <w:color w:val="1155CC"/>
            <w:u w:val="single"/>
          </w:rPr>
          <w:t>用于量化接受骨髓移植的急性髓性白血病患者疾病负担的基于血浆的DNA测试</w:t>
        </w:r>
      </w:hyperlink>
    </w:p>
    <w:p>
      <w:pPr>
        <w:spacing w:before="0" w:after="80"/>
      </w:pPr>
      <w:r>
        <w:rPr>
          <w:i/>
          <w:sz w:val="20"/>
        </w:rPr>
        <w:t>EN: A plasma-based DNA test for quantification of disease burden in acute myeloid leukemia patients undergoing bone marrow transplantation</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57">
        <w:r>
          <w:rPr>
            <w:color w:val="1155CC"/>
            <w:u w:val="single"/>
          </w:rPr>
          <w:t>10.1073/pnas.2537987123</w:t>
        </w:r>
      </w:hyperlink>
    </w:p>
    <w:p>
      <w:pPr>
        <w:spacing w:before="0" w:after="120"/>
      </w:pPr>
      <w:r>
        <w:rPr>
          <w:b/>
        </w:rPr>
        <w:t xml:space="preserve">Notes: </w:t>
      </w:r>
      <w:r>
        <w:t>abstract_source=crossref</w:t>
      </w:r>
    </w:p>
    <w:p>
      <w:pPr>
        <w:spacing w:before="0" w:after="80" w:lineRule="auto" w:line="276"/>
      </w:pPr>
      <w:r>
        <w:rPr>
          <w:b/>
        </w:rPr>
        <w:t xml:space="preserve">摘要（ZH）: </w:t>
      </w:r>
      <w:r>
        <w:t>异基因造血细胞移植是许多急性髓性白血病（AML）患者唯一的治愈选择。在当前研究中，我们设计并实施了一种个性化检测，称为v96，结合了30名接受移植的AML患者中的多达96个突变。该检测在从骨髓中分离的细胞以及无细胞血浆中提取的DNA上进行。所有30名（100%）患者在缓解期间都携带了可通过v96检测到的残留白血病的分子证据，而仅有6名（20%）患者通过常规临床检测显示出疾病证据。此外，血浆中的无细胞DNA比骨髓细胞中的DNA更能灵敏地识别残留白血病。突变体的中位数为352-f</w:t>
      </w:r>
    </w:p>
    <w:p>
      <w:pPr>
        <w:spacing w:before="0" w:after="200" w:lineRule="auto" w:line="276"/>
      </w:pPr>
      <w:r>
        <w:rPr>
          <w:b/>
        </w:rPr>
        <w:t xml:space="preserve">Abstract (EN): </w:t>
      </w:r>
      <w:r>
        <w:t>Allogeneic hematopoietic cell transplantation is the only curative option for many patients with acute myeloid leukemia (AML). In the current study, we designed and implemented a personalized assay, called v96, incorporating up to 96 mutations in 30 AML patients undergoing transplantation. The assay was performed on DNA derived from cells isolated from the bone marrow as well as in cell-free plasma. All 30 (100%) of patients harbored molecular evidence of residual leukemia during remission that was detectable by the v96 assay, while only 6 (20%) had evidence of disease as assessed by conventional clinical assays. Furthermore, cell-free DNA from plasma proved to be more sensitive than DNA from cells of the bone marrow for identifying residual leukemia. The median number of mutants was 352-fold higher in plasma taken prior to transplantation for patients who relapsed compared to those who did not relapse. At 2 mo posttransplantation, 27 of the 30 patients still harbored detectable leukemia as assessed by the v96 assay. Twenty-two of these patients had a subsequent decrease in leukemic burden assessed by the v96 assay. In the majority of them (20 of 22 patients), the decrease occurred only after immunosuppression was discontinued, supporting a graft-versus-leukemia effect. These results document the feasibility of using a relatively large panel of carefully chosen mutations and a highly specific assay as noninvasive markers of therapeutic response in AML patients, minimizing the need for multiple bone marrow biopsies.</w:t>
      </w:r>
    </w:p>
    <w:p>
      <w:pPr>
        <w:spacing w:before="120" w:after="120"/>
      </w:pPr>
      <w:r>
        <w:rPr>
          <w:sz w:val="18"/>
        </w:rPr>
        <w:t>——————————————————————————————————————————————————————————————————————</w:t>
      </w:r>
    </w:p>
    <w:p>
      <w:pPr>
        <w:spacing w:before="160" w:after="40" w:line="240" w:lineRule="auto"/>
      </w:pPr>
      <w:r>
        <w:rPr>
          <w:b/>
        </w:rPr>
        <w:t xml:space="preserve">[205] </w:t>
      </w:r>
      <w:hyperlink r:id="rId558">
        <w:r>
          <w:rPr>
            <w:color w:val="1155CC"/>
            <w:u w:val="single"/>
          </w:rPr>
          <w:t>醌在能量转导膜中作为质子收集天线运作</w:t>
        </w:r>
      </w:hyperlink>
    </w:p>
    <w:p>
      <w:pPr>
        <w:spacing w:before="0" w:after="80"/>
      </w:pPr>
      <w:r>
        <w:rPr>
          <w:i/>
          <w:sz w:val="20"/>
        </w:rPr>
        <w:t>EN: Quinones operate as proton-collecting antennas in energy-transducing membranes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59">
        <w:r>
          <w:rPr>
            <w:color w:val="1155CC"/>
            <w:u w:val="single"/>
          </w:rPr>
          <w:t>10.1073/pnas.2534025123</w:t>
        </w:r>
      </w:hyperlink>
    </w:p>
    <w:p>
      <w:pPr>
        <w:spacing w:before="0" w:after="120"/>
      </w:pPr>
      <w:r>
        <w:rPr>
          <w:b/>
        </w:rPr>
        <w:t xml:space="preserve">Notes: </w:t>
      </w:r>
      <w:r>
        <w:t>abstract_source=crossref</w:t>
      </w:r>
    </w:p>
    <w:p>
      <w:pPr>
        <w:spacing w:before="0" w:after="80" w:lineRule="auto" w:line="276"/>
      </w:pPr>
      <w:r>
        <w:rPr>
          <w:b/>
        </w:rPr>
        <w:t xml:space="preserve">摘要（ZH）: </w:t>
      </w:r>
      <w:r>
        <w:t>能量转导膜的生物能复合物产生质子电流，为三磷酸腺苷的合成提供动力。然而，自化学渗透理论早期以来，质子动力势（PMF）是否在能量转导膜周围的体溶剂中扩散，或热力学力是否作为沿膜表面的局部质子电流施加，一直是一个难以捉摸且备受争议的问题。为了阐明生物膜上质子化动力学的分子原理，我们在此结合了蛋白脂质体实验、荧光相关光谱和多尺度分子模拟。我们展示了泛醌（Q10），它是线粒体内膜的重要电子载体</w:t>
      </w:r>
    </w:p>
    <w:p>
      <w:pPr>
        <w:spacing w:before="0" w:after="200" w:lineRule="auto" w:line="276"/>
      </w:pPr>
      <w:r>
        <w:rPr>
          <w:b/>
        </w:rPr>
        <w:t xml:space="preserve">Abstract (EN): </w:t>
      </w:r>
      <w:r>
        <w:t>The bioenergetic complexes of energy-transducing membranes generate a proton current that powers the synthesis of adenosine triphosphate. Yet, since the early days of the chemiosmotic theory, it has remained elusive and much debated whether the proton motive force (PMF) delocalizes into the bulk solvent surrounding the energy-transducing membrane or if the thermodynamic force is exerted as a localized proton current along the membrane surface. To elucidate the molecular principles underlying protonation dynamics at biological membranes, we combine here proteoliposome experiments with fluorescence correlation spectroscopy and multiscale molecular simulations. We show that ubiquinone (Q</w:t>
      </w:r>
      <w:r>
        <w:rPr>
          <w:vertAlign w:val="subscript"/>
        </w:rPr>
        <w:t>10</w:t>
      </w:r>
      <w:r>
        <w:t>), which is an essential electron carrier of inner mitochondrial membranes, interacts with protons at the membrane, and alters the rate of the protonation reactions along the surface. We find that physiological Q</w:t>
      </w:r>
      <w:r>
        <w:rPr>
          <w:vertAlign w:val="subscript"/>
        </w:rPr>
        <w:t>10</w:t>
      </w:r>
      <w:r>
        <w:t>concentrations increase the integrity of the liposome membranes to sustain a PMF and enhance the rate of surface protonation reactions of lipid-conjugated pH-sensitive fluorophores, occurring on a microsecond timescale. Our multiscale simulations reveal that the quinone headgroup localizes at the membrane surface and stabilizes protonated water species by cation–π and hydrogen-bonded interactions amplifying the proton exchange on the surface relative to the bulk solvent. We suggest that in addition to the well-established role of quinones as redox mediators in energy-transducing membranes, Q</w:t>
      </w:r>
      <w:r>
        <w:rPr>
          <w:vertAlign w:val="subscript"/>
        </w:rPr>
        <w:t>10</w:t>
      </w:r>
      <w:r>
        <w:t>also promotes the proton-collecting antenna effect, mediating proton exchange along the membrane and supporting a local proton circuit model. Our combined findings provide molecular insight into propagation of proton currents along biological membranes and reveal key principles underlying the energy conversion mechanisms in biology.</w:t>
      </w:r>
    </w:p>
    <w:p>
      <w:pPr>
        <w:spacing w:before="120" w:after="120"/>
      </w:pPr>
      <w:r>
        <w:rPr>
          <w:sz w:val="18"/>
        </w:rPr>
        <w:t>——————————————————————————————————————————————————————————————————————</w:t>
      </w:r>
    </w:p>
    <w:p>
      <w:pPr>
        <w:spacing w:before="160" w:after="40" w:line="240" w:lineRule="auto"/>
      </w:pPr>
      <w:r>
        <w:rPr>
          <w:b/>
        </w:rPr>
        <w:t xml:space="preserve">[206] </w:t>
      </w:r>
      <w:hyperlink r:id="rId560">
        <w:r>
          <w:rPr>
            <w:color w:val="1155CC"/>
            <w:u w:val="single"/>
          </w:rPr>
          <w:t>通过从鸟粪中泥炭封存汞揭示全新世南大洋海鸟种群变化</w:t>
        </w:r>
      </w:hyperlink>
    </w:p>
    <w:p>
      <w:pPr>
        <w:spacing w:before="0" w:after="80"/>
      </w:pPr>
      <w:r>
        <w:rPr>
          <w:i/>
          <w:sz w:val="20"/>
        </w:rPr>
        <w:t>EN: Southern Ocean seabird population shifts over the Holocene revealed by peat sequestration of mercury from guano</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61">
        <w:r>
          <w:rPr>
            <w:color w:val="1155CC"/>
            <w:u w:val="single"/>
          </w:rPr>
          <w:t>10.1073/pnas.2533681123</w:t>
        </w:r>
      </w:hyperlink>
    </w:p>
    <w:p>
      <w:pPr>
        <w:spacing w:before="0" w:after="120"/>
      </w:pPr>
      <w:r>
        <w:rPr>
          <w:b/>
        </w:rPr>
        <w:t xml:space="preserve">Notes: </w:t>
      </w:r>
      <w:r>
        <w:t>abstract_source=crossref</w:t>
      </w:r>
    </w:p>
    <w:p>
      <w:pPr>
        <w:spacing w:before="0" w:after="80" w:lineRule="auto" w:line="276"/>
      </w:pPr>
      <w:r>
        <w:rPr>
          <w:b/>
        </w:rPr>
        <w:t xml:space="preserve">摘要（ZH）: </w:t>
      </w:r>
      <w:r>
        <w:t>自1950年代以来，全球受监测的海鸟种群数量下降了多达70%。然而，人类活动时代之前的长期海鸟种群动态数据大多未知。这限制了我们理解未来种群轨迹的能力，特别是在南大洋，海鸟面临多种环境威胁。在此，我们使用来自亚南极鸟岛（南乔治亚）的泥炭地集水区的海鸟粪便中衍生的汞（Hg）作为种群规模的示踪剂。泥炭汞通量和同位素特征结果显示，去冰期后第一个持续的海鸟种群在6800到6100年前在该岛上建立，比其他亚南极岛屿的殖民证据早了1000多年。接下来的四个时期</w:t>
      </w:r>
    </w:p>
    <w:p>
      <w:pPr>
        <w:spacing w:before="0" w:after="200" w:lineRule="auto" w:line="276"/>
      </w:pPr>
      <w:r>
        <w:rPr>
          <w:b/>
        </w:rPr>
        <w:t xml:space="preserve">Abstract (EN): </w:t>
      </w:r>
      <w:r>
        <w:t>Monitored seabird populations have declined by up to 70% worldwide since the 1950s. Yet, data on long-term seabird population dynamics prior to the anthropogenic era are largely unknown. This limits our ability to understand future population trajectories, particularly in the Southern Ocean, where seabirds are facing multiple environmental threats. Here, we use mercury (Hg) derived from seabird guano in peatland catchments as a tracer of colony population sizes on sub-Antarctic Bird Island (South Georgia). Peat Hg flux and isotope signature results show that the first sustained seabird colonies after deglaciation were established on the island between 6800 and 6100 years ago, predating evidence for colonization on other sub-Antarctic islands by more than 1,000 y. The four subsequent periods with large local seabird populations occurred during phases of less intense Southern Hemisphere westerly winds. Our study unveils significant and repeated millennial-scale shifts in seabird abundance in response to natural climate changes, implying that the present-day increase in westerly wind intensity may lead to further declines in seabird populations in the Southern Ocean.</w:t>
      </w:r>
    </w:p>
    <w:p>
      <w:pPr>
        <w:spacing w:before="120" w:after="120"/>
      </w:pPr>
      <w:r>
        <w:rPr>
          <w:sz w:val="18"/>
        </w:rPr>
        <w:t>——————————————————————————————————————————————————————————————————————</w:t>
      </w:r>
    </w:p>
    <w:p>
      <w:pPr>
        <w:spacing w:before="160" w:after="40" w:line="240" w:lineRule="auto"/>
      </w:pPr>
      <w:r>
        <w:rPr>
          <w:b/>
        </w:rPr>
        <w:t xml:space="preserve">[207] </w:t>
      </w:r>
      <w:hyperlink r:id="rId562">
        <w:r>
          <w:rPr>
            <w:color w:val="1155CC"/>
            <w:u w:val="single"/>
          </w:rPr>
          <w:t>表观遗传限制和增强子创新将神经元可塑性与进化适应联系起来</w:t>
        </w:r>
      </w:hyperlink>
    </w:p>
    <w:p>
      <w:pPr>
        <w:spacing w:before="0" w:after="80"/>
      </w:pPr>
      <w:r>
        <w:rPr>
          <w:i/>
          <w:sz w:val="20"/>
        </w:rPr>
        <w:t>EN: Epigenetic constraints and enhancer innovation link neuronal plasticity to evolutionary adaptation</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63">
        <w:r>
          <w:rPr>
            <w:color w:val="1155CC"/>
            <w:u w:val="single"/>
          </w:rPr>
          <w:t>10.1073/pnas.2524709123</w:t>
        </w:r>
      </w:hyperlink>
    </w:p>
    <w:p>
      <w:pPr>
        <w:spacing w:before="0" w:after="120"/>
      </w:pPr>
      <w:r>
        <w:rPr>
          <w:b/>
        </w:rPr>
        <w:t xml:space="preserve">Notes: </w:t>
      </w:r>
      <w:r>
        <w:t>abstract_source=crossref</w:t>
      </w:r>
    </w:p>
    <w:p>
      <w:pPr>
        <w:spacing w:before="0" w:after="80" w:lineRule="auto" w:line="276"/>
      </w:pPr>
      <w:r>
        <w:rPr>
          <w:b/>
        </w:rPr>
        <w:t xml:space="preserve">摘要（ZH）: </w:t>
      </w:r>
      <w:r>
        <w:t>神经系统如何平衡生成稳健的神经元类型与基因表达可塑性机制，以及这些过程如何影响细胞类型进化尚不清楚。在此，我们使用秀丽隐杆线虫（Caenorhabditis）物种研究神经元类型的稳健性、可塑性和进化，以VC4和VC5胆碱能运动神经元类型为模型。在秀丽隐杆线虫（Caenorhabditis elegans）中，我们发现通过组蛋白3赖氨酸9甲基化（H3K9me）的表观遗传沉默对于抑制这些细胞中5-羟色胺再摄取基因mod-5/Sert的表达和5-羟色胺能表型是必要的。相反，我们观察到在Angaria组中的VC4和VC5神经元</w:t>
      </w:r>
    </w:p>
    <w:p>
      <w:pPr>
        <w:spacing w:before="0" w:after="200" w:lineRule="auto" w:line="276"/>
      </w:pPr>
      <w:r>
        <w:rPr>
          <w:b/>
        </w:rPr>
        <w:t xml:space="preserve">Abstract (EN): </w:t>
      </w:r>
      <w:r>
        <w:t>How nervous systems balance the generation of robust neuron types with gene expression plasticity mechanisms and how these processes impact cell-type evolution are unknown. Here, we use</w:t>
      </w:r>
      <w:r>
        <w:t xml:space="preserve"> </w:t>
      </w:r>
      <w:r>
        <w:t>Caenorhabditis</w:t>
      </w:r>
      <w:r>
        <w:t xml:space="preserve"> </w:t>
      </w:r>
      <w:r>
        <w:t>species to study neuron-type robustness, plasticity, and evolution, using VC4 and VC5 cholinergic motoneuron types as models. In</w:t>
      </w:r>
      <w:r>
        <w:t xml:space="preserve"> </w:t>
      </w:r>
      <w:r>
        <w:t>Caenorhabditis elegans</w:t>
      </w:r>
      <w:r>
        <w:t xml:space="preserve"> </w:t>
      </w:r>
      <w:r>
        <w:t>, we found that epigenetic silencing through histone 3 lysine 9 methylation (H3K9me) is necessary to suppress the expression of the serotonin reuptake gene</w:t>
      </w:r>
      <w:r>
        <w:t xml:space="preserve"> </w:t>
      </w:r>
      <w:r>
        <w:t>mod-5/</w:t>
      </w:r>
      <w:r>
        <w:t>Sert and a serotonergic phenotype in these cells. In contrast, we observed that VC4 and VC5 neurons in the</w:t>
      </w:r>
      <w:r>
        <w:t xml:space="preserve"> </w:t>
      </w:r>
      <w:r>
        <w:t>Angaria</w:t>
      </w:r>
      <w:r>
        <w:t xml:space="preserve"> </w:t>
      </w:r>
      <w:r>
        <w:t>group of</w:t>
      </w:r>
      <w:r>
        <w:t xml:space="preserve"> </w:t>
      </w:r>
      <w:r>
        <w:t>Caenorhabditis</w:t>
      </w:r>
      <w:r>
        <w:t xml:space="preserve"> </w:t>
      </w:r>
      <w:r>
        <w:t>species have evolved an intense serotonergic staining. This phenotype is caused by the emergence of a new enhancer in the</w:t>
      </w:r>
      <w:r>
        <w:t xml:space="preserve"> </w:t>
      </w:r>
      <w:r>
        <w:t>mod-5/</w:t>
      </w:r>
      <w:r>
        <w:t>Sert locus, which has been recruited to the ancestral neuron-type gene regulatory network. Enhancer transfer from</w:t>
      </w:r>
      <w:r>
        <w:t xml:space="preserve"> </w:t>
      </w:r>
      <w:r>
        <w:t>C. angaria</w:t>
      </w:r>
      <w:r>
        <w:t xml:space="preserve"> </w:t>
      </w:r>
      <w:r>
        <w:t>is sufficient to impose a constitutive serotonergic fate in</w:t>
      </w:r>
      <w:r>
        <w:t xml:space="preserve"> </w:t>
      </w:r>
      <w:r>
        <w:t>C. elegans</w:t>
      </w:r>
      <w:r>
        <w:t xml:space="preserve"> </w:t>
      </w:r>
      <w:r>
        <w:t>. Remarkably, acquiring this new trait modulates egg-laying responses to high levels of exogenous serotonin, which can be found in specific nematode environments. Finally, we found that the repression of the serotonergic fate in</w:t>
      </w:r>
      <w:r>
        <w:t xml:space="preserve"> </w:t>
      </w:r>
      <w:r>
        <w:t>C. elegans</w:t>
      </w:r>
      <w:r>
        <w:t xml:space="preserve"> </w:t>
      </w:r>
      <w:r>
        <w:t>VC4 and VC5 neurons is indeed a plastic trait that can be adjusted in specific environmental growth conditions to elicit egg-laying behaviors similar to those observed in</w:t>
      </w:r>
      <w:r>
        <w:t xml:space="preserve"> </w:t>
      </w:r>
      <w:r>
        <w:t>Angaria</w:t>
      </w:r>
      <w:r>
        <w:t xml:space="preserve"> </w:t>
      </w:r>
      <w:r>
        <w:t>species. Our work uncovers a dual regulatory paradigm: Epigenetic constraints harmonize neuron-type robustness and plasticity, while enhancer co-option enables evolutionary innovation. This mechanistic plasticity directly links regulatory adaptation to behavioral diversification.</w:t>
      </w:r>
    </w:p>
    <w:p>
      <w:pPr>
        <w:spacing w:before="120" w:after="120"/>
      </w:pPr>
      <w:r>
        <w:rPr>
          <w:sz w:val="18"/>
        </w:rPr>
        <w:t>——————————————————————————————————————————————————————————————————————</w:t>
      </w:r>
    </w:p>
    <w:p>
      <w:pPr>
        <w:spacing w:before="160" w:after="40" w:line="240" w:lineRule="auto"/>
      </w:pPr>
      <w:r>
        <w:rPr>
          <w:b/>
        </w:rPr>
        <w:t xml:space="preserve">[208] </w:t>
      </w:r>
      <w:hyperlink r:id="rId564">
        <w:r>
          <w:rPr>
            <w:color w:val="1155CC"/>
            <w:u w:val="single"/>
          </w:rPr>
          <w:t>CHK2-USP37轴稳定FOXO4以维持衰老并逃避凋亡</w:t>
        </w:r>
      </w:hyperlink>
    </w:p>
    <w:p>
      <w:pPr>
        <w:spacing w:before="0" w:after="80"/>
      </w:pPr>
      <w:r>
        <w:rPr>
          <w:i/>
          <w:sz w:val="20"/>
        </w:rPr>
        <w:t>EN: CHK2-USP37 axis stabilizes FOXO4 to sustain senescence and evade apoptosis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65">
        <w:r>
          <w:rPr>
            <w:color w:val="1155CC"/>
            <w:u w:val="single"/>
          </w:rPr>
          <w:t>10.1073/pnas.2526252123</w:t>
        </w:r>
      </w:hyperlink>
    </w:p>
    <w:p>
      <w:pPr>
        <w:spacing w:before="0" w:after="120"/>
      </w:pPr>
      <w:r>
        <w:rPr>
          <w:b/>
        </w:rPr>
        <w:t xml:space="preserve">Notes: </w:t>
      </w:r>
      <w:r>
        <w:t>abstract_source=crossref</w:t>
      </w:r>
    </w:p>
    <w:p>
      <w:pPr>
        <w:spacing w:before="0" w:after="80" w:lineRule="auto" w:line="276"/>
      </w:pPr>
      <w:r>
        <w:rPr>
          <w:b/>
        </w:rPr>
        <w:t xml:space="preserve">摘要（ZH）: </w:t>
      </w:r>
      <w:r>
        <w:t>细胞衰老是一种永久性细胞周期停滞状态，通过积累抗凋亡的衰老细胞导致组织功能障碍和衰老。虽然已知转录因子FOXO4可以增强衰老细胞的存活，但调节其稳定性的机制仍不清楚。在此，我们确定了一个由DNA损伤反应（DDR）驱动的CHK2-USP37-FOXO4轴，这对于维持衰老细胞的抗凋亡性至关重要。我们证明FOXO4蛋白的稳定性在应激诱导的衰老细胞中升高，这是由于泛素-蛋白酶体降解减少所致。去泛素化酶筛选鉴定出USP37是通过直接相互作用和去除K48连接的多泛素链来稳定FOXO4的关键酶。USP37的耗竭会使FOXO4不稳定。</w:t>
      </w:r>
    </w:p>
    <w:p>
      <w:pPr>
        <w:spacing w:before="0" w:after="200" w:lineRule="auto" w:line="276"/>
      </w:pPr>
      <w:r>
        <w:rPr>
          <w:b/>
        </w:rPr>
        <w:t xml:space="preserve">Abstract (EN): </w:t>
      </w:r>
      <w:r>
        <w:t>Cellular senescence, a state of permanent cell cycle arrest, contributes to tissue dysfunction and aging through the accumulation of apoptosis-resistant senescent cells. Although the transcription factor FOXO4 is known to enhance senescent cell survival, the mechanisms regulating its stability have remained unclear. Here, we identify a DNA damage response (DDR)-driven CHK2-USP37-FOXO4 axis essential for maintaining the apoptotic resistance of senescent cells. We demonstrate that FOXO4 protein stability is elevated in stress-induced senescent cells, resulting from reduced ubiquitin-proteasomal degradation. A deubiquitinase screen identified USP37 as the key enzyme stabilizing FOXO4 through direct interaction and removal of K48-linked polyubiquitin chains. Depletion of USP37 destabilizes FOXO4 and sensitizes senescent cells to apoptosis. Mechanistically, persistent DDR signaling during senescence activates CHK2, which phosphorylates USP37 at Thr589, thereby enhancing its binding to FOXO4. Importantly, ablation of USP37 in senescent cells increases the rate of apoptosis, a phenotype that is rescued by FOXO4 reexpression. Together, our work unveils USP37 as a CHK2-regulated stabilizer of FOXO4 that maintains the apoptotic resistance of senescent cells, suggesting the CHK2-USP37-FOXO4 axis as a therapeutic target for age-related pathologies.</w:t>
      </w:r>
    </w:p>
    <w:p>
      <w:pPr>
        <w:spacing w:before="120" w:after="120"/>
      </w:pPr>
      <w:r>
        <w:rPr>
          <w:sz w:val="18"/>
        </w:rPr>
        <w:t>——————————————————————————————————————————————————————————————————————</w:t>
      </w:r>
    </w:p>
    <w:p>
      <w:pPr>
        <w:spacing w:before="160" w:after="40" w:line="240" w:lineRule="auto"/>
      </w:pPr>
      <w:r>
        <w:rPr>
          <w:b/>
        </w:rPr>
        <w:t xml:space="preserve">[209] </w:t>
      </w:r>
      <w:hyperlink r:id="rId566">
        <w:r>
          <w:rPr>
            <w:color w:val="1155CC"/>
            <w:u w:val="single"/>
          </w:rPr>
          <w:t>足蛋白寡聚体调节肾病蛋白链的排序，提供NPHS2等位基因间相互作用的分子基础</w:t>
        </w:r>
      </w:hyperlink>
    </w:p>
    <w:p>
      <w:pPr>
        <w:spacing w:before="0" w:after="80"/>
      </w:pPr>
      <w:r>
        <w:rPr>
          <w:i/>
          <w:sz w:val="20"/>
        </w:rPr>
        <w:t>EN: Podocin oligomers regulate the ordering of nephrin chains, providing the molecular basis of NPHS2 interallelic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67">
        <w:r>
          <w:rPr>
            <w:color w:val="1155CC"/>
            <w:u w:val="single"/>
          </w:rPr>
          <w:t>10.1073/pnas.2524893123</w:t>
        </w:r>
      </w:hyperlink>
    </w:p>
    <w:p>
      <w:pPr>
        <w:spacing w:before="0" w:after="120"/>
      </w:pPr>
      <w:r>
        <w:rPr>
          <w:b/>
        </w:rPr>
        <w:t xml:space="preserve">Notes: </w:t>
      </w:r>
      <w:r>
        <w:t>abstract_source=crossref</w:t>
      </w:r>
    </w:p>
    <w:p>
      <w:pPr>
        <w:spacing w:before="0" w:after="80" w:lineRule="auto" w:line="276"/>
      </w:pPr>
      <w:r>
        <w:rPr>
          <w:b/>
        </w:rPr>
        <w:t xml:space="preserve">摘要（ZH）: </w:t>
      </w:r>
      <w:r>
        <w:t>足细胞病中最常见的致病基因是NPHS1和NPHS2，分别编码主要的裂隙隔膜成分nephrin和podocin。nephrin-podocin相互作用的重要性仍然难以捉摸。NPHS2 R229Q变体在人类遗传学中是独特的，因为它只有在与特定的3'变体反式关联时才具有致病性，导致R229Q podocin形成扭曲的异源寡聚体。为了检查podocin对nephrin分子间距离的影响，在HEK-293细胞中过渡性共表达标记有YPet或mCherry/mRuby的nephrin构建体。我们基于nephrin-nephrin距离进行了评估。</w:t>
      </w:r>
    </w:p>
    <w:p>
      <w:pPr>
        <w:spacing w:before="0" w:after="200" w:lineRule="auto" w:line="276"/>
      </w:pPr>
      <w:r>
        <w:rPr>
          <w:b/>
        </w:rPr>
        <w:t xml:space="preserve">Abstract (EN): </w:t>
      </w:r>
      <w:r>
        <w:t>The most frequent causative genes in podocytopathies are</w:t>
      </w:r>
      <w:r>
        <w:t xml:space="preserve"> </w:t>
      </w:r>
      <w:r>
        <w:t>NPHS1</w:t>
      </w:r>
      <w:r>
        <w:t xml:space="preserve"> </w:t>
      </w:r>
      <w:r>
        <w:t>and</w:t>
      </w:r>
      <w:r>
        <w:t xml:space="preserve"> </w:t>
      </w:r>
      <w:r>
        <w:t>NPHS2</w:t>
      </w:r>
      <w:r>
        <w:t xml:space="preserve"> </w:t>
      </w:r>
      <w:r>
        <w:t>that encode the main slit diaphragm components nephrin and podocin, respectively. The significance of the nephrin–podocin interaction has remained elusive. The</w:t>
      </w:r>
      <w:r>
        <w:t xml:space="preserve"> </w:t>
      </w:r>
      <w:r>
        <w:t>NPHS2</w:t>
      </w:r>
      <w:r>
        <w:t xml:space="preserve"> </w:t>
      </w:r>
      <w:r>
        <w:t>R229Q variant is unique in human genetics as it is only pathogenic when</w:t>
      </w:r>
      <w:r>
        <w:t xml:space="preserve"> </w:t>
      </w:r>
      <w:r>
        <w:t>trans</w:t>
      </w:r>
      <w:r>
        <w:t xml:space="preserve"> </w:t>
      </w:r>
      <w:r>
        <w:t>-associated to specific 3’ variants causing R229Q podocin to form distorted heterooligomers. To examine the effect of podocin on the distance between nephrin molecules, nephrin constructs labeled with YPet or mCherry/mRuby were transitionally coexpressed in HEK-293 cells. We assessed the nephrin–nephrin distance based on the Förster Resonance Energy Transfer (FRET) efficiency between YPet and mCherry/mRuby in living cells. Podocin markedly increased the FRET efficiency between nephrin molecules, reflecting reduced and ordered nephrin–nephrin distances. Its effect was abolished by pathogenic podocin variants. Pathogenic R229Q heterooligomers exhibited increased FRET efficiency between their PHB domains that correlated with a larger nephrin–nephrin distance, thereby explaining the associated mild phenotype. The effect of pathogenic and benign R229Q heterooligomers separated sharply in their effect on nephrin–nephrin spacing (</w:t>
      </w:r>
      <w:r>
        <w:t xml:space="preserve"> </w:t>
      </w:r>
      <w:r>
        <w:t>P</w:t>
      </w:r>
      <w:r>
        <w:t xml:space="preserve"> </w:t>
      </w:r>
      <w:r>
        <w:t>= 1.19E-33). Based on an intermediate effect on the nephrin–nephrin distance and five families with late-onset FSGS, we reconsider the R229Q-R286Tfs*17 association as pathogenic, but via a mechanism different from other R229Q associations and with incomplete penetrance. In conclusion, podocin provides regularly spaced intracellular anchor points for nephrin chains. Podocin homo-oligomerization affects the nephrin–nephrin spacing, thereby providing an explanation for albuminuria in patients with podocin dysfunction and for the interallelic interactions of R229Q.</w:t>
      </w:r>
    </w:p>
    <w:p>
      <w:pPr>
        <w:spacing w:before="120" w:after="120"/>
      </w:pPr>
      <w:r>
        <w:rPr>
          <w:sz w:val="18"/>
        </w:rPr>
        <w:t>——————————————————————————————————————————————————————————————————————</w:t>
      </w:r>
    </w:p>
    <w:p>
      <w:pPr>
        <w:spacing w:before="160" w:after="40" w:line="240" w:lineRule="auto"/>
      </w:pPr>
      <w:r>
        <w:rPr>
          <w:b/>
        </w:rPr>
        <w:t xml:space="preserve">[210] </w:t>
      </w:r>
      <w:hyperlink r:id="rId568">
        <w:r>
          <w:rPr>
            <w:color w:val="1155CC"/>
            <w:u w:val="single"/>
          </w:rPr>
          <w:t>人类47S核糖体RNA基因的强烈净化选择证据</w:t>
        </w:r>
      </w:hyperlink>
    </w:p>
    <w:p>
      <w:pPr>
        <w:spacing w:before="0" w:after="80"/>
      </w:pPr>
      <w:r>
        <w:rPr>
          <w:i/>
          <w:sz w:val="20"/>
        </w:rPr>
        <w:t>EN: Evidence for strong purifying selection of human 47S ribosomal RNA genes</w:t>
      </w:r>
    </w:p>
    <w:p>
      <w:pPr>
        <w:spacing w:before="0" w:after="120"/>
      </w:pPr>
      <w:r>
        <w:rPr>
          <w:b/>
        </w:rPr>
        <w:t xml:space="preserve">Source: </w:t>
      </w:r>
      <w:r>
        <w:t>Proceedings of the National Academy of Sciences: Keyword search for query</w:t>
      </w:r>
      <w:r>
        <w:t xml:space="preserve">    </w:t>
      </w:r>
      <w:r>
        <w:rPr>
          <w:b/>
        </w:rPr>
        <w:t xml:space="preserve">Pub date: </w:t>
      </w:r>
      <w:r>
        <w:t>2026-04-14 07:00:00+00:00</w:t>
      </w:r>
      <w:r>
        <w:t xml:space="preserve">    </w:t>
      </w:r>
      <w:r>
        <w:rPr>
          <w:b/>
        </w:rPr>
        <w:t xml:space="preserve">DOI: </w:t>
      </w:r>
      <w:hyperlink r:id="rId569">
        <w:r>
          <w:rPr>
            <w:color w:val="1155CC"/>
            <w:u w:val="single"/>
          </w:rPr>
          <w:t>10.1073/pnas.2529741123</w:t>
        </w:r>
      </w:hyperlink>
    </w:p>
    <w:p>
      <w:pPr>
        <w:spacing w:before="0" w:after="120"/>
      </w:pPr>
      <w:r>
        <w:rPr>
          <w:b/>
        </w:rPr>
        <w:t xml:space="preserve">Notes: </w:t>
      </w:r>
      <w:r>
        <w:t>abstract_source=crossref</w:t>
      </w:r>
    </w:p>
    <w:p>
      <w:pPr>
        <w:spacing w:before="0" w:after="80" w:lineRule="auto" w:line="276"/>
      </w:pPr>
      <w:r>
        <w:rPr>
          <w:b/>
        </w:rPr>
        <w:t xml:space="preserve">摘要（ZH）: </w:t>
      </w:r>
      <w:r>
        <w:t>多拷贝的47S核糖体RNA（rRNA）基因是人类基因组中表达最高的基因之一，但迄今为止基本上没有发现致病的序列变异。这种缺乏疾病关联令人惊讶，因为47S rRNA转录缺陷和核糖体蛋白剂量的变化，以及线粒体rRNA中的核苷酸变化，都会导致疾病。未能识别与rRNA相关的疾病可能主要源于分析这种染色体隔离的高拷贝基因家族的实验挑战。在此，我们使用进化方法测试人类47S基因中的突变是否会产生表型。</w:t>
      </w:r>
    </w:p>
    <w:p>
      <w:pPr>
        <w:spacing w:before="0" w:after="200" w:lineRule="auto" w:line="276"/>
      </w:pPr>
      <w:r>
        <w:rPr>
          <w:b/>
        </w:rPr>
        <w:t xml:space="preserve">Abstract (EN): </w:t>
      </w:r>
      <w:r>
        <w:t>The multicopy</w:t>
      </w:r>
      <w:r>
        <w:t xml:space="preserve"> </w:t>
      </w:r>
      <w:r>
        <w:t>47S</w:t>
      </w:r>
      <w:r>
        <w:t xml:space="preserve"> </w:t>
      </w:r>
      <w:r>
        <w:t>ribosomal RNA (rRNA) genes are among the most highly expressed genes in the human genome, yet to-date essentially no disease-causing sequence variants have been identified. This lack of disease association is surprising, as defects in</w:t>
      </w:r>
      <w:r>
        <w:t xml:space="preserve"> </w:t>
      </w:r>
      <w:r>
        <w:t>47S</w:t>
      </w:r>
      <w:r>
        <w:t xml:space="preserve"> </w:t>
      </w:r>
      <w:r>
        <w:t>rRNA transcription and changes in ribosomal protein dosage, as well as nucleotide changes in the mitochondrial rRNA, all result in disease. The failure to identify rRNA-associated diseases may thus primarily stem from the experimental challenges associated with analyzing this chromosomally isolated high-copy gene family. Here, we used an evolutionary approach to test whether mutations in the human</w:t>
      </w:r>
      <w:r>
        <w:t xml:space="preserve"> </w:t>
      </w:r>
      <w:r>
        <w:t>47S</w:t>
      </w:r>
      <w:r>
        <w:t xml:space="preserve"> </w:t>
      </w:r>
      <w:r>
        <w:t>genes can have phenotypic consequences. By analyzing sequence variants among rRNA genes across &amp;gt;3,000 individuals from the high-coverage 1,000 Genomes Project, we demonstrate highly stratified variant abundance across the</w:t>
      </w:r>
      <w:r>
        <w:t xml:space="preserve"> </w:t>
      </w:r>
      <w:r>
        <w:t>47S</w:t>
      </w:r>
      <w:r>
        <w:t xml:space="preserve"> </w:t>
      </w:r>
      <w:r>
        <w:t>rRNA genes. In individual genomes, variants were frequently amplified in the transcribed spacer sequences and the evolutionarily young expansion segments, but rarely across the conserved</w:t>
      </w:r>
      <w:r>
        <w:t xml:space="preserve"> </w:t>
      </w:r>
      <w:r>
        <w:t>18S</w:t>
      </w:r>
      <w:r>
        <w:t xml:space="preserve"> </w:t>
      </w:r>
      <w:r>
        <w:t>,</w:t>
      </w:r>
      <w:r>
        <w:t xml:space="preserve"> </w:t>
      </w:r>
      <w:r>
        <w:t>5.8S</w:t>
      </w:r>
      <w:r>
        <w:t xml:space="preserve"> </w:t>
      </w:r>
      <w:r>
        <w:t>, and</w:t>
      </w:r>
      <w:r>
        <w:t xml:space="preserve"> </w:t>
      </w:r>
      <w:r>
        <w:t>28S</w:t>
      </w:r>
      <w:r>
        <w:t xml:space="preserve"> </w:t>
      </w:r>
      <w:r>
        <w:t>rRNA-encoding sequences. Variant numbers and amplification were lowest in evolutionarily highly constrained nucleotide elements that are identical across &amp;gt;90% of sequenced eukaryotes. These results indicate that strong purifying selection acts to suppress copy number expansion of deleterious variants among the hundreds of</w:t>
      </w:r>
      <w:r>
        <w:t xml:space="preserve"> </w:t>
      </w:r>
      <w:r>
        <w:t>47S</w:t>
      </w:r>
      <w:r>
        <w:t xml:space="preserve"> </w:t>
      </w:r>
      <w:r>
        <w:t>rRNA copies and imply that deleterious variants in the</w:t>
      </w:r>
      <w:r>
        <w:t xml:space="preserve"> </w:t>
      </w:r>
      <w:r>
        <w:t>47S</w:t>
      </w:r>
      <w:r>
        <w:t xml:space="preserve"> </w:t>
      </w:r>
      <w:r>
        <w:t>rRNA have the potential to cause phenotypic consequences at very low copy numbers. As low-copy variant calls are rarely considered in association studies, this may explain why disease associations with</w:t>
      </w:r>
      <w:r>
        <w:t xml:space="preserve"> </w:t>
      </w:r>
      <w:r>
        <w:t>47S</w:t>
      </w:r>
      <w:r>
        <w:t xml:space="preserve"> </w:t>
      </w:r>
      <w:r>
        <w:t>rRNA variants have so far escaped detection.</w:t>
      </w:r>
    </w:p>
    <w:p>
      <w:pPr>
        <w:spacing w:before="120" w:after="120"/>
      </w:pPr>
      <w:r>
        <w:rPr>
          <w:sz w:val="18"/>
        </w:rPr>
        <w:t>——————————————————————————————————————————————————————————————————————</w:t>
      </w:r>
    </w:p>
    <w:p>
      <w:pPr>
        <w:spacing w:before="160" w:after="40" w:line="240" w:lineRule="auto"/>
      </w:pPr>
      <w:r>
        <w:rPr>
          <w:b/>
        </w:rPr>
        <w:t xml:space="preserve">[211] </w:t>
      </w:r>
      <w:hyperlink r:id="rId570">
        <w:r>
          <w:rPr>
            <w:color w:val="1155CC"/>
            <w:u w:val="single"/>
          </w:rPr>
          <w:t>通过顺序激基复合物和化学发光途径实现超宽温度范围内的长寿命发光</w:t>
        </w:r>
      </w:hyperlink>
    </w:p>
    <w:p>
      <w:pPr>
        <w:spacing w:before="0" w:after="80"/>
      </w:pPr>
      <w:r>
        <w:rPr>
          <w:i/>
          <w:sz w:val="20"/>
        </w:rPr>
        <w:t>EN: Long‐Lived Luminescence Over an Ultra‐Broad Temperature Range via Sequential Exciplex and Chemiluminescence Pathways</w:t>
      </w:r>
    </w:p>
    <w:p>
      <w:pPr>
        <w:spacing w:before="0" w:after="120"/>
      </w:pPr>
      <w:r>
        <w:rPr>
          <w:b/>
        </w:rPr>
        <w:t xml:space="preserve">Source: </w:t>
      </w:r>
      <w:r>
        <w:t>Wiley: Angewandte Chemie International Edition: Table of Contents</w:t>
      </w:r>
      <w:r>
        <w:t xml:space="preserve">    </w:t>
      </w:r>
      <w:r>
        <w:rPr>
          <w:b/>
        </w:rPr>
        <w:t xml:space="preserve">Pub date: </w:t>
      </w:r>
      <w:r>
        <w:t>2026-04-14 07:31:41+00:00</w:t>
      </w:r>
      <w:r>
        <w:t xml:space="preserve">    </w:t>
      </w:r>
      <w:r>
        <w:rPr>
          <w:b/>
        </w:rPr>
        <w:t xml:space="preserve">DOI: </w:t>
      </w:r>
      <w:hyperlink r:id="rId571">
        <w:r>
          <w:rPr>
            <w:color w:val="1155CC"/>
            <w:u w:val="single"/>
          </w:rPr>
          <w:t>10.1002/anie.6306007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可调的余辉特性和灵活的分子设计，持久发光聚合物最近引起了显著的研究兴趣。然而，这些系统通常在高温下无法表现出长寿命的发光，主要是由于三重态激子的快速非辐射失活和加速的电荷复合。在此，我们报告了一种利用激基复合物和化学发光的中继策略，使得在广泛的温度范围内（从255到573 K）实现超长持久发光。这可以通过将二氢吖啶衍生物掺入聚对苯二甲酸乙二醇酯基质中轻松实现。所得的柔性薄膜表现出长时间的激基复合物发射（在室温下32小时后可检测到），具有</w:t>
      </w:r>
    </w:p>
    <w:p>
      <w:pPr>
        <w:spacing w:before="0" w:after="200" w:lineRule="auto" w:line="276"/>
      </w:pPr>
      <w:r>
        <w:rPr>
          <w:b/>
        </w:rPr>
        <w:t xml:space="preserve">Abstract (EN): </w:t>
      </w:r>
      <w:r>
        <w:t>Persistent luminescent polymers have recently attracted significant research interest due to their tunable afterglow properties and flexible molecular design. However, these systems typically fail to exhibit long‐lived luminescence at elevated temperatures, primarily due to the rapid non‐radiative deactivation of triplet excitons and accelerated charge recombination. Herein, we report a relay strategy utilizing exciplexes and chemiluminescence that enables ultralong persistent luminescence across a broad temperature range (from 255 to 573 K). This can be facilely achieved by doping a dihydroacridine derivative into a polyethylene terephthalate matrix. The resulting flexible film exhibits a long exciplex emission (detectable after 32 h at room temperature), with a chemiluminescence that intensifies from 360 to 573 K and persists for over a month at 400 K. While these two luminescence modes exhibit opposite dependencies on temperature and oxygen, they share the same fundamental structural basis for achieving high performance: the design incorporating multiple isopropylidene bridges. Consequently, a switch between the two mechanisms occurs around 360 K, resulting in color‐tunable, ultra‐long persistent luminescence over a remarkably wide temperature range. This combination of properties paves the way for developing advanced optical materials for sensing and secure information technologies capable of operating in extreme environments.</w:t>
      </w:r>
    </w:p>
    <w:p>
      <w:pPr>
        <w:spacing w:before="120" w:after="120"/>
      </w:pPr>
      <w:r>
        <w:rPr>
          <w:sz w:val="18"/>
        </w:rPr>
        <w:t>——————————————————————————————————————————————————————————————————————</w:t>
      </w:r>
    </w:p>
    <w:p>
      <w:pPr>
        <w:spacing w:before="160" w:after="40" w:line="240" w:lineRule="auto"/>
      </w:pPr>
      <w:r>
        <w:rPr>
          <w:b/>
        </w:rPr>
        <w:t xml:space="preserve">[212] </w:t>
      </w:r>
      <w:hyperlink r:id="rId572">
        <w:r>
          <w:rPr>
            <w:color w:val="1155CC"/>
            <w:u w:val="single"/>
          </w:rPr>
          <w:t>通过定义的合成粘附线索自下而上编程癌症类器官中的细胞状态</w:t>
        </w:r>
      </w:hyperlink>
    </w:p>
    <w:p>
      <w:pPr>
        <w:spacing w:before="0" w:after="80"/>
      </w:pPr>
      <w:r>
        <w:rPr>
          <w:i/>
          <w:sz w:val="20"/>
        </w:rPr>
        <w:t>EN: Bottom‐Up Programming of Cell States in Cancer Organoids with Defined Synthetic Adhesion Cues</w:t>
      </w:r>
    </w:p>
    <w:p>
      <w:pPr>
        <w:spacing w:before="0" w:after="120"/>
      </w:pPr>
      <w:r>
        <w:rPr>
          <w:b/>
        </w:rPr>
        <w:t xml:space="preserve">Source: </w:t>
      </w:r>
      <w:r>
        <w:t>Wiley: Advanced Materials: Table of Contents</w:t>
      </w:r>
      <w:r>
        <w:t xml:space="preserve">    </w:t>
      </w:r>
      <w:r>
        <w:rPr>
          <w:b/>
        </w:rPr>
        <w:t xml:space="preserve">Pub date: </w:t>
      </w:r>
      <w:r>
        <w:t>2026-04-14 07:42:06+00:00</w:t>
      </w:r>
      <w:r>
        <w:t xml:space="preserve">    </w:t>
      </w:r>
      <w:r>
        <w:rPr>
          <w:b/>
        </w:rPr>
        <w:t xml:space="preserve">DOI: </w:t>
      </w:r>
      <w:hyperlink r:id="rId573">
        <w:r>
          <w:rPr>
            <w:color w:val="1155CC"/>
            <w:u w:val="single"/>
          </w:rPr>
          <w:t>10.1002/adma.202517390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定义的培养系统中取得了进展，但当前的类器官模型缺乏对转录组状态的可编程控制，超出了固定的遗传限制或广泛特定的微环境条件。在此，引入了一种自下而上的基于生物材料的平台，通过在合成基质中调整最小粘附提示来编程胰腺癌类器官中的细胞状态变化。使用实验设计框架系统地模拟基质呈现的粘附提示对患者特异性转录组的广泛影响。以上皮-间质转化（EMT）作为概念验证的细胞程序，应用多目标优化方法来识别富集EMT相关转录程序的患者特异性基质组成。</w:t>
      </w:r>
    </w:p>
    <w:p>
      <w:pPr>
        <w:spacing w:before="0" w:after="200" w:lineRule="auto" w:line="276"/>
      </w:pPr>
      <w:r>
        <w:rPr>
          <w:b/>
        </w:rPr>
        <w:t xml:space="preserve">Abstract (EN): </w:t>
      </w:r>
      <w:r>
        <w:t>Despite advances in defined culture systems, current organoid models lack programmable control of transcriptomic states beyond fixed genetic constraints or broadly specific microenvironmental conditions. Here, a bottom‐up biomaterial‐based platform is introduced to program cell state changes in pancreatic cancer organoids by tuning minimal adhesion cues within a synthetic matrix. A Design of Experiments framework is used to systematically model the patient‐specific transcriptome‐wide impact of matrix‐presented adhesion cues. Focusing on epithelial‐mesenchymal transition (EMT) as a proof‐of‐concept cellular program, a multiobjective optimization approach is applied to identify patient‐specific matrix compositions that enrich EMT‐associated transcriptional programs. Organoids cultured in these optimized matrices exhibit transcriptomic signatures consistent with EMT enrichment and coordinated shift in EMT‐associated regulatory signatures. Secretome profiling further reveals changes in cytokines previously linked to EMT‐associated inflammatory, hypoxia, and TGF‐β signaling. Together, these findings demonstrate that quantitative and targeted modulation of defined adhesion cues enables programmable control of transcriptomic states in pancreatic cancer organoids.</w:t>
      </w:r>
    </w:p>
    <w:p>
      <w:pPr>
        <w:spacing w:before="120" w:after="120"/>
      </w:pPr>
      <w:r>
        <w:rPr>
          <w:sz w:val="18"/>
        </w:rPr>
        <w:t>——————————————————————————————————————————————————————————————————————</w:t>
      </w:r>
    </w:p>
    <w:p>
      <w:pPr>
        <w:spacing w:before="160" w:after="40" w:line="240" w:lineRule="auto"/>
      </w:pPr>
      <w:r>
        <w:rPr>
          <w:b/>
        </w:rPr>
        <w:t xml:space="preserve">[213] </w:t>
      </w:r>
      <w:hyperlink r:id="rId574">
        <w:r>
          <w:rPr>
            <w:color w:val="1155CC"/>
            <w:u w:val="single"/>
          </w:rPr>
          <w:t>微孔金属有机框架中微调的孔结构用于氟化丙烯和丙烷的基准储存和净化</w:t>
        </w:r>
      </w:hyperlink>
    </w:p>
    <w:p>
      <w:pPr>
        <w:spacing w:before="0" w:after="80"/>
      </w:pPr>
      <w:r>
        <w:rPr>
          <w:i/>
          <w:sz w:val="20"/>
        </w:rPr>
        <w:t>EN: Fine‐Tuned Pore Architectures in Microporous Metal‐Organic Frameworks for Benchmark Storage and Purification of Fluorinated Propylene and Propane</w:t>
      </w:r>
    </w:p>
    <w:p>
      <w:pPr>
        <w:spacing w:before="0" w:after="120"/>
      </w:pPr>
      <w:r>
        <w:rPr>
          <w:b/>
        </w:rPr>
        <w:t xml:space="preserve">Source: </w:t>
      </w:r>
      <w:r>
        <w:t>Wiley: Advanced Materials: Table of Contents</w:t>
      </w:r>
      <w:r>
        <w:t xml:space="preserve">    </w:t>
      </w:r>
      <w:r>
        <w:rPr>
          <w:b/>
        </w:rPr>
        <w:t xml:space="preserve">Pub date: </w:t>
      </w:r>
      <w:r>
        <w:t>2026-04-14 07:44:14+00:00</w:t>
      </w:r>
      <w:r>
        <w:t xml:space="preserve">    </w:t>
      </w:r>
      <w:r>
        <w:rPr>
          <w:b/>
        </w:rPr>
        <w:t xml:space="preserve">DOI: </w:t>
      </w:r>
      <w:hyperlink r:id="rId575">
        <w:r>
          <w:rPr>
            <w:color w:val="1155CC"/>
            <w:u w:val="single"/>
          </w:rPr>
          <w:t>10.1002/adma.73068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储存、输送和生产高纯度氟化特种气体仍然是半导体行业的关键挑战，气体管理直接决定了芯片制造的经济结构和竞争力。在此，我们报告了微孔金属有机框架中的亚埃孔结构工程，实现了C3F6和C3F8的高效储存和纯化，达到基准水平。通过系统地调整连接体长度和末端官能团的亚埃精度，一系列基于钴的MFU-4型材料被开发出来。</w:t>
      </w:r>
    </w:p>
    <w:p>
      <w:pPr>
        <w:spacing w:before="0" w:after="200" w:lineRule="auto" w:line="276"/>
      </w:pPr>
      <w:r>
        <w:rPr>
          <w:b/>
        </w:rPr>
        <w:t xml:space="preserve">Abstract (EN): </w:t>
      </w:r>
      <w:r>
        <w:t>Efficient Storage, delivery, and production of high‐purity fluorinated specialty gases remain critical challenges in the semiconductor industry, where gas management directly determines the economic structure and competitiveness of chip manufacturing. Here, we report sub‐angstrom pore‐architecture engineering in microporous metal–organic frameworks, enabling highly efficient storage and purification of C</w:t>
      </w:r>
      <w:r>
        <w:rPr>
          <w:vertAlign w:val="subscript"/>
        </w:rPr>
        <w:t>3</w:t>
      </w:r>
      <w:r>
        <w:t>F</w:t>
      </w:r>
      <w:r>
        <w:rPr>
          <w:vertAlign w:val="subscript"/>
        </w:rPr>
        <w:t>6</w:t>
      </w:r>
      <w:r>
        <w:t>and C</w:t>
      </w:r>
      <w:r>
        <w:rPr>
          <w:vertAlign w:val="subscript"/>
        </w:rPr>
        <w:t>3</w:t>
      </w:r>
      <w:r>
        <w:t>F</w:t>
      </w:r>
      <w:r>
        <w:rPr>
          <w:vertAlign w:val="subscript"/>
        </w:rPr>
        <w:t>8</w:t>
      </w:r>
      <w:r>
        <w:t>at benchmark levels. By systematically tailoring linker length and terminal functional groups with sub‐angstrom precision, a series of Co‐based MFU‐4‐type materials were developed with progressively contracted pore apertures and distinct adsorption behaviors — from co‐adsorption with ultrahigh storage capacity and delivery efficiency in Co‐MFU‐4L, to molecular size sieving in Co‐MFU‐4, and finally kinetic discrimination in Co‐MFU‐4‐F for C</w:t>
      </w:r>
      <w:r>
        <w:rPr>
          <w:vertAlign w:val="subscript"/>
        </w:rPr>
        <w:t>3</w:t>
      </w:r>
      <w:r>
        <w:t>F</w:t>
      </w:r>
      <w:r>
        <w:rPr>
          <w:vertAlign w:val="subscript"/>
        </w:rPr>
        <w:t>6</w:t>
      </w:r>
      <w:r>
        <w:t>and C</w:t>
      </w:r>
      <w:r>
        <w:rPr>
          <w:vertAlign w:val="subscript"/>
        </w:rPr>
        <w:t>3</w:t>
      </w:r>
      <w:r>
        <w:t>F</w:t>
      </w:r>
      <w:r>
        <w:rPr>
          <w:vertAlign w:val="subscript"/>
        </w:rPr>
        <w:t>8</w:t>
      </w:r>
      <w:r>
        <w:t>. Notably, the storage capacity and delivery efficiency of C</w:t>
      </w:r>
      <w:r>
        <w:rPr>
          <w:vertAlign w:val="subscript"/>
        </w:rPr>
        <w:t>3</w:t>
      </w:r>
      <w:r>
        <w:t>F</w:t>
      </w:r>
      <w:r>
        <w:rPr>
          <w:vertAlign w:val="subscript"/>
        </w:rPr>
        <w:t>6</w:t>
      </w:r>
      <w:r>
        <w:t>on functionalized Co‐MFU‐4L reach 219.7 cm</w:t>
      </w:r>
      <w:r>
        <w:rPr>
          <w:vertAlign w:val="subscript"/>
        </w:rPr>
        <w:t>3</w:t>
      </w:r>
      <w:r>
        <w:t>g</w:t>
      </w:r>
      <w:r>
        <w:t xml:space="preserve"> </w:t>
      </w:r>
      <w:r>
        <w:t>−1</w:t>
      </w:r>
      <w:r>
        <w:t xml:space="preserve"> </w:t>
      </w:r>
      <w:r>
        <w:t>and 97%, respectively. Co‐MFU‐4 achieves a record C</w:t>
      </w:r>
      <w:r>
        <w:rPr>
          <w:vertAlign w:val="subscript"/>
        </w:rPr>
        <w:t>3</w:t>
      </w:r>
      <w:r>
        <w:t>F</w:t>
      </w:r>
      <w:r>
        <w:rPr>
          <w:vertAlign w:val="subscript"/>
        </w:rPr>
        <w:t>8</w:t>
      </w:r>
      <w:r>
        <w:t>productivity (purity &amp;gt;99.999%) of 3.3 L g</w:t>
      </w:r>
      <w:r>
        <w:t xml:space="preserve"> </w:t>
      </w:r>
      <w:r>
        <w:t>−1</w:t>
      </w:r>
      <w:r>
        <w:t xml:space="preserve"> </w:t>
      </w:r>
      <w:r>
        <w:t>from 1/99 C</w:t>
      </w:r>
      <w:r>
        <w:rPr>
          <w:vertAlign w:val="subscript"/>
        </w:rPr>
        <w:t>3</w:t>
      </w:r>
      <w:r>
        <w:t>F</w:t>
      </w:r>
      <w:r>
        <w:rPr>
          <w:vertAlign w:val="subscript"/>
        </w:rPr>
        <w:t>6</w:t>
      </w:r>
      <w:r>
        <w:t>/C</w:t>
      </w:r>
      <w:r>
        <w:rPr>
          <w:vertAlign w:val="subscript"/>
        </w:rPr>
        <w:t>3</w:t>
      </w:r>
      <w:r>
        <w:t>F</w:t>
      </w:r>
      <w:r>
        <w:rPr>
          <w:vertAlign w:val="subscript"/>
        </w:rPr>
        <w:t>8</w:t>
      </w:r>
      <w:r>
        <w:t>mixture, as confirmed by dynamic breakthrough experiments. Molecular simulations and in situ Fourier transform infrared spectroscopy provide direct insights into the host‐guest interactions. Precise pore‐architecture tuning not only offers fundamental insights into the structure‐property relationships at the sub‐angstrom level but also demonstrates a promising route toward addressing challenges in “easy‐on/off” delivery and purification of specialty gases.</w:t>
      </w:r>
    </w:p>
    <w:p>
      <w:pPr>
        <w:spacing w:before="120" w:after="120"/>
      </w:pPr>
      <w:r>
        <w:rPr>
          <w:sz w:val="18"/>
        </w:rPr>
        <w:t>——————————————————————————————————————————————————————————————————————</w:t>
      </w:r>
    </w:p>
    <w:p>
      <w:pPr>
        <w:spacing w:before="160" w:after="40" w:line="240" w:lineRule="auto"/>
      </w:pPr>
      <w:r>
        <w:rPr>
          <w:b/>
        </w:rPr>
        <w:t xml:space="preserve">[214] </w:t>
      </w:r>
      <w:hyperlink r:id="rId576">
        <w:r>
          <w:rPr>
            <w:color w:val="1155CC"/>
            <w:u w:val="single"/>
          </w:rPr>
          <w:t>通过空间电荷转移发射器中可编程的单重态-三重态激子平衡的构象和自旋控制</w:t>
        </w:r>
      </w:hyperlink>
    </w:p>
    <w:p>
      <w:pPr>
        <w:spacing w:before="0" w:after="80"/>
      </w:pPr>
      <w:r>
        <w:rPr>
          <w:i/>
          <w:sz w:val="20"/>
        </w:rPr>
        <w:t>EN: Control of Conformation and Spin for Programmable Singlet‐Triplet Exciton Balance in Through‐Space Charge‐Transfer Emitters</w:t>
      </w:r>
    </w:p>
    <w:p>
      <w:pPr>
        <w:spacing w:before="0" w:after="120"/>
      </w:pPr>
      <w:r>
        <w:rPr>
          <w:b/>
        </w:rPr>
        <w:t xml:space="preserve">Source: </w:t>
      </w:r>
      <w:r>
        <w:t>Wiley: Angewandte Chemie International Edition: Table of Contents</w:t>
      </w:r>
      <w:r>
        <w:t xml:space="preserve">    </w:t>
      </w:r>
      <w:r>
        <w:rPr>
          <w:b/>
        </w:rPr>
        <w:t xml:space="preserve">Pub date: </w:t>
      </w:r>
      <w:r>
        <w:t>2026-04-14 07:45:12+00:00</w:t>
      </w:r>
      <w:r>
        <w:t xml:space="preserve">    </w:t>
      </w:r>
      <w:r>
        <w:rPr>
          <w:b/>
        </w:rPr>
        <w:t xml:space="preserve">DOI: </w:t>
      </w:r>
      <w:hyperlink r:id="rId577">
        <w:r>
          <w:rPr>
            <w:color w:val="1155CC"/>
            <w:u w:val="single"/>
          </w:rPr>
          <w:t>10.1002/anie.5167793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溶液中实现连续且可预测的单重态-三重态激子分配控制对于有机分子来说仍然具有挑战性，部分原因是电子结构、构象动态和非辐射衰减交织在一起。在此，我们引入了一种双钥匙、配位激活的空间电荷转移（TSCT）平台，使得在溶液中能够对自旋依赖的激发态路径进行可编程调制。灵活的供体-σ-受体配体Cz-nC-TPP由咔唑供体（Cz）和通过烷基间隔连接的吡啶受体（TPP）组成，主要从局部激发态发射，并在金属配位前显示出可忽略的氧气敏感性。</w:t>
      </w:r>
    </w:p>
    <w:p>
      <w:pPr>
        <w:spacing w:before="0" w:after="200" w:lineRule="auto" w:line="276"/>
      </w:pPr>
      <w:r>
        <w:rPr>
          <w:b/>
        </w:rPr>
        <w:t xml:space="preserve">Abstract (EN): </w:t>
      </w:r>
      <w:r>
        <w:t>Achieving continuous and predictable control over singlet‐triplet exciton partitioning in solution remains challenging for organic molecules, partly because electronic structure, conformational dynamics, and nonradiative decay are intertwined. Here we introduce a dual‐key, coordination‐activated through‐space charge‐transfer (TSCT) platform that enables programmable modulation of spin‐dependent excited‐state pathways in solution. Flexible donor‐σ‐acceptor ligands Cz‐nC‐TPP comprising a carbazole donor (Cz) and a terpyridine acceptor (TPP) linked by alkyl spacers (</w:t>
      </w:r>
      <w:r>
        <w:t xml:space="preserve"> </w:t>
      </w:r>
      <w:r>
        <w:t>n</w:t>
      </w:r>
      <w:r>
        <w:t xml:space="preserve"> </w:t>
      </w:r>
      <w:r>
        <w:t>= 2, 4, 6, 8) predominantly emit from local excited states and show negligible oxygen sensitivity before metal binding. Upon coordination with ZnX</w:t>
      </w:r>
      <w:r>
        <w:rPr>
          <w:vertAlign w:val="subscript"/>
        </w:rPr>
        <w:t>2</w:t>
      </w:r>
      <w:r>
        <w:t>(X = Cl, Br, I), a TSCT channel is activated without covalent re‐engineering, producing microsecond delayed fluorescence consistent with TSCT‐based thermally activated delayed fluorescence. Spacer length acts as a geometric key that regulates access to folded TSCT geometries and Δ</w:t>
      </w:r>
      <w:r>
        <w:t xml:space="preserve"> </w:t>
      </w:r>
      <w:r>
        <w:t>E</w:t>
      </w:r>
      <w:r>
        <w:t xml:space="preserve"> </w:t>
      </w:r>
      <w:r>
        <w:t>ST</w:t>
      </w:r>
      <w:r>
        <w:t xml:space="preserve"> </w:t>
      </w:r>
      <w:r>
        <w:t>, whereas halide identity serves as a spin key that tunes spin‐orbit coupling and triplet involvement. Together, these inputs enable predictable modulation of delayed, triplet‐associated emission across the series. Notably, the</w:t>
      </w:r>
      <w:r>
        <w:t xml:space="preserve"> </w:t>
      </w:r>
      <w:r>
        <w:t>Cz‐6C‐TPP‐ZnBr</w:t>
      </w:r>
      <w:r>
        <w:rPr>
          <w:vertAlign w:val="subscript"/>
        </w:rPr>
        <w:t>2</w:t>
      </w:r>
      <w:r>
        <w:t xml:space="preserve"> </w:t>
      </w:r>
      <w:r>
        <w:t>complex shows the best balance between delayed‐emission prominence and overall brightness. This programmability enables a modular library of dissolved‐oxygen probes with turn‐off and ratiometric responses, visible color evolution, low detection limits, and rapid, reversible responses.</w:t>
      </w:r>
    </w:p>
    <w:p>
      <w:pPr>
        <w:spacing w:before="120" w:after="120"/>
      </w:pPr>
      <w:r>
        <w:rPr>
          <w:sz w:val="18"/>
        </w:rPr>
        <w:t>——————————————————————————————————————————————————————————————————————</w:t>
      </w:r>
    </w:p>
    <w:p>
      <w:pPr>
        <w:spacing w:before="160" w:after="40" w:line="240" w:lineRule="auto"/>
      </w:pPr>
      <w:r>
        <w:rPr>
          <w:b/>
        </w:rPr>
        <w:t xml:space="preserve">[215] </w:t>
      </w:r>
      <w:hyperlink r:id="rId578">
        <w:r>
          <w:rPr>
            <w:color w:val="1155CC"/>
            <w:u w:val="single"/>
          </w:rPr>
          <w:t>原位肽自组装增强抗体募集用于肿瘤免疫治疗</w:t>
        </w:r>
      </w:hyperlink>
    </w:p>
    <w:p>
      <w:pPr>
        <w:spacing w:before="0" w:after="80"/>
      </w:pPr>
      <w:r>
        <w:rPr>
          <w:i/>
          <w:sz w:val="20"/>
        </w:rPr>
        <w:t>EN: In Situ Peptide Self‐Assembly Augments Antibody Recruitment for Tumor Immunotherapy</w:t>
      </w:r>
    </w:p>
    <w:p>
      <w:pPr>
        <w:spacing w:before="0" w:after="120"/>
      </w:pPr>
      <w:r>
        <w:rPr>
          <w:b/>
        </w:rPr>
        <w:t xml:space="preserve">Source: </w:t>
      </w:r>
      <w:r>
        <w:t>Wiley: Advanced Materials: Table of Contents</w:t>
      </w:r>
      <w:r>
        <w:t xml:space="preserve">    </w:t>
      </w:r>
      <w:r>
        <w:rPr>
          <w:b/>
        </w:rPr>
        <w:t xml:space="preserve">Pub date: </w:t>
      </w:r>
      <w:r>
        <w:t>2026-04-14 07:45:41+00:00</w:t>
      </w:r>
      <w:r>
        <w:t xml:space="preserve">    </w:t>
      </w:r>
      <w:r>
        <w:rPr>
          <w:b/>
        </w:rPr>
        <w:t xml:space="preserve">DOI: </w:t>
      </w:r>
      <w:hyperlink r:id="rId579">
        <w:r>
          <w:rPr>
            <w:color w:val="1155CC"/>
            <w:u w:val="single"/>
          </w:rPr>
          <w:t>10.1002/adma.202521379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先天免疫调节疗法中，先天免疫的杀伤程度取决于结合在肿瘤细胞上的抗体数量。众所周知，抗体只能通过与特定受体相互作用结合到肿瘤细胞上。然而，肿瘤细胞表面受体表达很少，因此招募足够多的抗体以激活先天免疫成为一个挑战。在此，我们开发了一种肽自组装抗体招募策略（SARS），利用组装肽的分子间非共价力，在肿瘤表面形成大量肽分子。与单体相比，该组装体的抗体招募能力提高了五倍，导致五</w:t>
      </w:r>
    </w:p>
    <w:p>
      <w:pPr>
        <w:spacing w:before="0" w:after="200" w:lineRule="auto" w:line="276"/>
      </w:pPr>
      <w:r>
        <w:rPr>
          <w:b/>
        </w:rPr>
        <w:t xml:space="preserve">Abstract (EN): </w:t>
      </w:r>
      <w:r>
        <w:t>In innate immune regulation‐based therapy, the degree of killing by innate immunity depends on the number of antibodies binding on the tumor cells. It is well known that antibodies can only bind to tumor cells by interacting with specific receptors. However, there is little receptor expression on the surface of tumor cells, so it becomes a challenge to recruit a sufficiently large number of antibodies to activate innate immunity. Here, we developed a peptide self‐assembly antibody recruitment strategy (SARS), which uses intermolecular non‐covalent forces of assembled peptides, resulting in a large number of peptide molecules on the tumor surface. The assembly exhibits a fivefold increase in antibody recruitment capacity compared to the monomer, resulting in a fivefold enhancement of the final immune‐mediated killing effect. This strategy reduces the dependence on cell surface antigens, demonstrating that self‐assembled antibody‐recruiting molecules have strong antibody‐recruiting as well as tumor cell‐killing abilities in vitro and in vivo. These findings emphasize the potential of self‐assembled peptides as a promising novel antibody‐recruiting nanomaterial for cancer immunotherapy.</w:t>
      </w:r>
    </w:p>
    <w:p>
      <w:pPr>
        <w:spacing w:before="120" w:after="120"/>
      </w:pPr>
      <w:r>
        <w:rPr>
          <w:sz w:val="18"/>
        </w:rPr>
        <w:t>——————————————————————————————————————————————————————————————————————</w:t>
      </w:r>
    </w:p>
    <w:p>
      <w:pPr>
        <w:spacing w:before="160" w:after="40" w:line="240" w:lineRule="auto"/>
      </w:pPr>
      <w:r>
        <w:rPr>
          <w:b/>
        </w:rPr>
        <w:t xml:space="preserve">[216] </w:t>
      </w:r>
      <w:hyperlink r:id="rId580">
        <w:r>
          <w:rPr>
            <w:color w:val="1155CC"/>
            <w:u w:val="single"/>
          </w:rPr>
          <w:t>空间位阻和次级相互作用决定了两个复杂CuI配位笼之间的重构</w:t>
        </w:r>
      </w:hyperlink>
    </w:p>
    <w:p>
      <w:pPr>
        <w:spacing w:before="0" w:after="80"/>
      </w:pPr>
      <w:r>
        <w:rPr>
          <w:i/>
          <w:sz w:val="20"/>
        </w:rPr>
        <w:t>EN: Steric Hindrance and Secondary Interactions Govern Reconfiguration Between Two Complex CuI Coordination Cages</w:t>
      </w:r>
    </w:p>
    <w:p>
      <w:pPr>
        <w:spacing w:before="0" w:after="120"/>
      </w:pPr>
      <w:r>
        <w:rPr>
          <w:b/>
        </w:rPr>
        <w:t xml:space="preserve">Source: </w:t>
      </w:r>
      <w:r>
        <w:t>Wiley: Angewandte Chemie International Edition: Table of Contents</w:t>
      </w:r>
      <w:r>
        <w:t xml:space="preserve">    </w:t>
      </w:r>
      <w:r>
        <w:rPr>
          <w:b/>
        </w:rPr>
        <w:t xml:space="preserve">Pub date: </w:t>
      </w:r>
      <w:r>
        <w:t>2026-04-14 07:46:29+00:00</w:t>
      </w:r>
      <w:r>
        <w:t xml:space="preserve">    </w:t>
      </w:r>
      <w:r>
        <w:rPr>
          <w:b/>
        </w:rPr>
        <w:t xml:space="preserve">DOI: </w:t>
      </w:r>
      <w:hyperlink r:id="rId581">
        <w:r>
          <w:rPr>
            <w:color w:val="1155CC"/>
            <w:u w:val="single"/>
          </w:rPr>
          <w:t>10.1002/anie.4287066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设计了一种具有1,5-萘基臂的四胺亚组分，当围绕立体化学灵活的四配位Cu</w:t>
      </w:r>
      <w:r>
        <w:t xml:space="preserve"> </w:t>
      </w:r>
      <w:r>
        <w:t>I</w:t>
      </w:r>
      <w:r>
        <w:t xml:space="preserve"> </w:t>
      </w:r>
      <w:r>
        <w:t>离子组装时，表现出广泛的二级相互作用。使用6-甲基-2-甲酰基吡啶，形成了一个[Cu</w:t>
      </w:r>
      <w:r>
        <w:t xml:space="preserve"> </w:t>
      </w:r>
      <w:r>
        <w:t>I</w:t>
      </w:r>
      <w:r>
        <w:rPr>
          <w:vertAlign w:val="subscript"/>
        </w:rPr>
        <w:t>12</w:t>
      </w:r>
      <w:r>
        <w:t>L</w:t>
      </w:r>
      <w:r>
        <w:rPr>
          <w:vertAlign w:val="subscript"/>
        </w:rPr>
        <w:t>6</w:t>
      </w:r>
      <w:r>
        <w:t>]</w:t>
      </w:r>
      <w:r>
        <w:t xml:space="preserve"> </w:t>
      </w:r>
      <w:r>
        <w:t>12+</w:t>
      </w:r>
      <w:r>
        <w:t xml:space="preserve"> </w:t>
      </w:r>
      <w:r>
        <w:t>伪六角棱柱笼，由29-32个C─H···π相互作用和12个芳烃堆积相互作用稳定。用3-甲基-2-甲酰基吡啶替换醛组分引入了空间冲突，部分阻止了这些相互作用，导致形成[Cu</w:t>
      </w:r>
      <w:r>
        <w:t xml:space="preserve"> </w:t>
      </w:r>
      <w:r>
        <w:t>I</w:t>
      </w:r>
    </w:p>
    <w:p>
      <w:pPr>
        <w:spacing w:before="0" w:after="200" w:lineRule="auto" w:line="276"/>
      </w:pPr>
      <w:r>
        <w:rPr>
          <w:b/>
        </w:rPr>
        <w:t xml:space="preserve">Abstract (EN): </w:t>
      </w:r>
      <w:r>
        <w:t>A tetramine subcomponent featuring 1,5‐naphthylene arms was designed to exhibit extensive secondary interactions when assembled around stereochemically flexible tetracoordinate Cu</w:t>
      </w:r>
      <w:r>
        <w:t xml:space="preserve"> </w:t>
      </w:r>
      <w:r>
        <w:t>I</w:t>
      </w:r>
      <w:r>
        <w:t xml:space="preserve"> </w:t>
      </w:r>
      <w:r>
        <w:t>ions. Using 6‐methyl‐2‐formylpyridine, a [Cu</w:t>
      </w:r>
      <w:r>
        <w:t xml:space="preserve"> </w:t>
      </w:r>
      <w:r>
        <w:t>I</w:t>
      </w:r>
      <w:r>
        <w:rPr>
          <w:vertAlign w:val="subscript"/>
        </w:rPr>
        <w:t>12</w:t>
      </w:r>
      <w:r>
        <w:t>L</w:t>
      </w:r>
      <w:r>
        <w:rPr>
          <w:vertAlign w:val="subscript"/>
        </w:rPr>
        <w:t>6</w:t>
      </w:r>
      <w:r>
        <w:t>]</w:t>
      </w:r>
      <w:r>
        <w:t xml:space="preserve"> </w:t>
      </w:r>
      <w:r>
        <w:t>12+</w:t>
      </w:r>
      <w:r>
        <w:t xml:space="preserve"> </w:t>
      </w:r>
      <w:r>
        <w:t>pseudo‐hexagonal prismatic cage formed, stabilized by 29–32 C─H···π interactions and 12 arene stacking interactions. Replacing the aldehyde component with 3‐methyl‐2‐formylpyridine introduced steric clashes that partially prevented these interactions, leading instead to the formation of a [Cu</w:t>
      </w:r>
      <w:r>
        <w:t xml:space="preserve"> </w:t>
      </w:r>
      <w:r>
        <w:t>I</w:t>
      </w:r>
      <w:r>
        <w:rPr>
          <w:vertAlign w:val="subscript"/>
        </w:rPr>
        <w:t>8</w:t>
      </w:r>
      <w:r>
        <w:t>L</w:t>
      </w:r>
      <w:r>
        <w:rPr>
          <w:vertAlign w:val="subscript"/>
        </w:rPr>
        <w:t>4</w:t>
      </w:r>
      <w:r>
        <w:t>]</w:t>
      </w:r>
      <w:r>
        <w:t xml:space="preserve"> </w:t>
      </w:r>
      <w:r>
        <w:t>8+</w:t>
      </w:r>
      <w:r>
        <w:t xml:space="preserve"> </w:t>
      </w:r>
      <w:r>
        <w:t>rectangular open prism. The system exhibited structural interconversion: adding 6‐methyl‐2‐formylpyridine to the [Cu</w:t>
      </w:r>
      <w:r>
        <w:t xml:space="preserve"> </w:t>
      </w:r>
      <w:r>
        <w:t>I</w:t>
      </w:r>
      <w:r>
        <w:rPr>
          <w:vertAlign w:val="subscript"/>
        </w:rPr>
        <w:t>8</w:t>
      </w:r>
      <w:r>
        <w:t>L</w:t>
      </w:r>
      <w:r>
        <w:rPr>
          <w:vertAlign w:val="subscript"/>
        </w:rPr>
        <w:t>4</w:t>
      </w:r>
      <w:r>
        <w:t>]</w:t>
      </w:r>
      <w:r>
        <w:t xml:space="preserve"> </w:t>
      </w:r>
      <w:r>
        <w:t>8+</w:t>
      </w:r>
      <w:r>
        <w:t xml:space="preserve"> </w:t>
      </w:r>
      <w:r>
        <w:t>cage transformed it into the [Cu</w:t>
      </w:r>
      <w:r>
        <w:t xml:space="preserve"> </w:t>
      </w:r>
      <w:r>
        <w:t>I</w:t>
      </w:r>
      <w:r>
        <w:rPr>
          <w:vertAlign w:val="subscript"/>
        </w:rPr>
        <w:t>12</w:t>
      </w:r>
      <w:r>
        <w:t>L</w:t>
      </w:r>
      <w:r>
        <w:rPr>
          <w:vertAlign w:val="subscript"/>
        </w:rPr>
        <w:t>6</w:t>
      </w:r>
      <w:r>
        <w:t>]</w:t>
      </w:r>
      <w:r>
        <w:t xml:space="preserve"> </w:t>
      </w:r>
      <w:r>
        <w:t>12+</w:t>
      </w:r>
      <w:r>
        <w:t xml:space="preserve"> </w:t>
      </w:r>
      <w:r>
        <w:t>structure through selective displacement of 8 out of 24 aldehyde residues per cage, matching the number of sterically‐hindered positions predicted from structural analysis. This work demonstrates rational control over cage architecture through fine‐tuning of steric factors and intermolecular interactions, providing design principles for generating diverse structures from identical building blocks.</w:t>
      </w:r>
    </w:p>
    <w:p>
      <w:pPr>
        <w:spacing w:before="120" w:after="120"/>
      </w:pPr>
      <w:r>
        <w:rPr>
          <w:sz w:val="18"/>
        </w:rPr>
        <w:t>——————————————————————————————————————————————————————————————————————</w:t>
      </w:r>
    </w:p>
    <w:p>
      <w:pPr>
        <w:spacing w:before="160" w:after="40" w:line="240" w:lineRule="auto"/>
      </w:pPr>
      <w:r>
        <w:rPr>
          <w:b/>
        </w:rPr>
        <w:t xml:space="preserve">[217] </w:t>
      </w:r>
      <w:hyperlink r:id="rId582">
        <w:r>
          <w:rPr>
            <w:color w:val="1155CC"/>
            <w:u w:val="single"/>
          </w:rPr>
          <w:t>表面极性增强的自由基介导的C─N偶联用于光电化学合成高能硝基化合物</w:t>
        </w:r>
      </w:hyperlink>
    </w:p>
    <w:p>
      <w:pPr>
        <w:spacing w:before="0" w:after="80"/>
      </w:pPr>
      <w:r>
        <w:rPr>
          <w:i/>
          <w:sz w:val="20"/>
        </w:rPr>
        <w:t>EN: Surface Polarity Reinforced Radicals Mediated C─N Coupling Towards Photoelectrochemical Synthesis of Energetic Nitro Compounds</w:t>
      </w:r>
    </w:p>
    <w:p>
      <w:pPr>
        <w:spacing w:before="0" w:after="120"/>
      </w:pPr>
      <w:r>
        <w:rPr>
          <w:b/>
        </w:rPr>
        <w:t xml:space="preserve">Source: </w:t>
      </w:r>
      <w:r>
        <w:t>Wiley: Angewandte Chemie International Edition: Table of Contents</w:t>
      </w:r>
      <w:r>
        <w:t xml:space="preserve">    </w:t>
      </w:r>
      <w:r>
        <w:rPr>
          <w:b/>
        </w:rPr>
        <w:t xml:space="preserve">Pub date: </w:t>
      </w:r>
      <w:r>
        <w:t>2026-04-14 07:47:41+00:00</w:t>
      </w:r>
      <w:r>
        <w:t xml:space="preserve">    </w:t>
      </w:r>
      <w:r>
        <w:rPr>
          <w:b/>
        </w:rPr>
        <w:t xml:space="preserve">DOI: </w:t>
      </w:r>
      <w:hyperlink r:id="rId583">
        <w:r>
          <w:rPr>
            <w:color w:val="1155CC"/>
            <w:u w:val="single"/>
          </w:rPr>
          <w:t>10.1002/anie.8746970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废氮源直接合成硝基芳烃是有机电合成中的一个长期挑战，因为现有的异质C─N偶联途径在动力学和热力学上受到限制，只能产生还原氮物种。在此，我们报告了一种光电催化策略，通过利用原位生成的二氧化氮自由基（·NO</w:t>
      </w:r>
      <w:r>
        <w:rPr>
          <w:vertAlign w:val="subscript"/>
        </w:rPr>
        <w:t>2</w:t>
      </w:r>
      <w:r>
        <w:t>）作为均相硝化剂来绕过这些限制。使用BiVO4光阳极和亚硝酸盐作为可持续氮源，·NO</w:t>
      </w:r>
      <w:r>
        <w:rPr>
          <w:vertAlign w:val="subscript"/>
        </w:rPr>
        <w:t>2</w:t>
      </w:r>
      <w:r>
        <w:t>自由基通过自由基芳香取代机制介导苯的直接C─H硝化，消除了对反应物共吸附的需求。</w:t>
      </w:r>
    </w:p>
    <w:p>
      <w:pPr>
        <w:spacing w:before="0" w:after="200" w:lineRule="auto" w:line="276"/>
      </w:pPr>
      <w:r>
        <w:rPr>
          <w:b/>
        </w:rPr>
        <w:t xml:space="preserve">Abstract (EN): </w:t>
      </w:r>
      <w:r>
        <w:t>The direct synthesis of nitroaromatics from waste nitrogen sources represents a longstanding challenge in organic electrosynthesis, as prevailing heterogeneous C─N coupling pathways are kinetically and thermodynamically constrained to producing reduced nitrogen species. Herein, we report a photoelectrocatalytic strategy that bypasses these limitations by leveraging in situ‐generated nitrogen dioxide radicals (·NO</w:t>
      </w:r>
      <w:r>
        <w:rPr>
          <w:vertAlign w:val="subscript"/>
        </w:rPr>
        <w:t>2</w:t>
      </w:r>
      <w:r>
        <w:t>) as homogeneous nitrating agents. Using a BiVO4 photoanode and nitrite as a sustainable nitrogen feedstock, ·NO</w:t>
      </w:r>
      <w:r>
        <w:rPr>
          <w:vertAlign w:val="subscript"/>
        </w:rPr>
        <w:t>2</w:t>
      </w:r>
      <w:r>
        <w:t>radicals mediate the direct C─H nitration of benzene via a radical aromatic substitution mechanism, obviating the need for reactant co‐adsorption. By engineering a polar interfacial layer on the photoanode, the local concentration of nitrite was remarkably enhanced, thereby boosting ·NO2 generation and enabling efficient coupling even under practically relevant dilute conditions (5 mM NO</w:t>
      </w:r>
      <w:r>
        <w:rPr>
          <w:vertAlign w:val="subscript"/>
        </w:rPr>
        <w:t>2</w:t>
      </w:r>
      <w:r>
        <w:t>−</w:t>
      </w:r>
      <w:r>
        <w:t>). The optimized photoanode achieves a 29.6‐fold enhancement in p‐dinitrobenzene production rate over the unmodified BiVO4 and the scaled system further demonstrated a p‐DNB production rate of ∼58 µmol·h</w:t>
      </w:r>
      <w:r>
        <w:t xml:space="preserve"> </w:t>
      </w:r>
      <w:r>
        <w:t>−1</w:t>
      </w:r>
      <w:r>
        <w:t xml:space="preserve"> </w:t>
      </w:r>
      <w:r>
        <w:t>with near exclusive selectivity and exceptional operational stability. This work establishes a waste valorization and sustainable platform for the synthesis of nitroaromatics from ambient conditions.</w:t>
      </w:r>
    </w:p>
    <w:p>
      <w:pPr>
        <w:spacing w:before="120" w:after="120"/>
      </w:pPr>
      <w:r>
        <w:rPr>
          <w:sz w:val="18"/>
        </w:rPr>
        <w:t>——————————————————————————————————————————————————————————————————————</w:t>
      </w:r>
    </w:p>
    <w:p>
      <w:pPr>
        <w:spacing w:before="160" w:after="40" w:line="240" w:lineRule="auto"/>
      </w:pPr>
      <w:r>
        <w:rPr>
          <w:b/>
        </w:rPr>
        <w:t xml:space="preserve">[218] </w:t>
      </w:r>
      <w:hyperlink r:id="rId584">
        <w:r>
          <w:rPr>
            <w:color w:val="1155CC"/>
            <w:u w:val="single"/>
          </w:rPr>
          <w:t>硫属化物中阴离子有序触发的Janus铁电性</w:t>
        </w:r>
      </w:hyperlink>
    </w:p>
    <w:p>
      <w:pPr>
        <w:spacing w:before="0" w:after="80"/>
      </w:pPr>
      <w:r>
        <w:rPr>
          <w:i/>
          <w:sz w:val="20"/>
        </w:rPr>
        <w:t>EN: Anion Order Triggered Janus Ferroelectricity in Chalcogenides</w:t>
      </w:r>
    </w:p>
    <w:p>
      <w:pPr>
        <w:spacing w:before="0" w:after="120"/>
      </w:pPr>
      <w:r>
        <w:rPr>
          <w:b/>
        </w:rPr>
        <w:t xml:space="preserve">Source: </w:t>
      </w:r>
      <w:r>
        <w:t>Wiley: Advanced Materials: Table of Contents</w:t>
      </w:r>
      <w:r>
        <w:t xml:space="preserve">    </w:t>
      </w:r>
      <w:r>
        <w:rPr>
          <w:b/>
        </w:rPr>
        <w:t xml:space="preserve">Pub date: </w:t>
      </w:r>
      <w:r>
        <w:t>2026-04-14 07:47:51+00:00</w:t>
      </w:r>
      <w:r>
        <w:t xml:space="preserve">    </w:t>
      </w:r>
      <w:r>
        <w:rPr>
          <w:b/>
        </w:rPr>
        <w:t xml:space="preserve">DOI: </w:t>
      </w:r>
      <w:hyperlink r:id="rId585">
        <w:r>
          <w:rPr>
            <w:color w:val="1155CC"/>
            <w:u w:val="single"/>
          </w:rPr>
          <w:t>10.1002/adma.202522734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2D Janus结构打破了镜像对称性，从而导致新颖特性的出现。阴离子有序的Janus结构在开发大自发极化铁电体方面具有潜力。然而，范德华无序合金通常在热力学上更稳定；阴离子有序的Janus结构目前只能在某些单层过渡金属二硫化物中实现。这些材料中的极化不能被逆转；因此，实现阴离子有序触发的铁电性仍然是一个挑战。在此，我们报告S/Se有序性在SnS</w:t>
      </w:r>
      <w:r>
        <w:t xml:space="preserve"> </w:t>
      </w:r>
      <w:r>
        <w:t>0.6</w:t>
      </w:r>
      <w:r>
        <w:t xml:space="preserve"> </w:t>
      </w:r>
      <w:r>
        <w:t>Se</w:t>
      </w:r>
      <w:r>
        <w:t xml:space="preserve"> </w:t>
      </w:r>
      <w:r>
        <w:t>0.4</w:t>
      </w:r>
      <w:r>
        <w:t xml:space="preserve"> </w:t>
      </w:r>
      <w:r>
        <w:t>纳米带中诱导了Janus铁电性，并具有较高的居里温度。</w:t>
      </w:r>
    </w:p>
    <w:p>
      <w:pPr>
        <w:spacing w:before="0" w:after="200" w:lineRule="auto" w:line="276"/>
      </w:pPr>
      <w:r>
        <w:rPr>
          <w:b/>
        </w:rPr>
        <w:t xml:space="preserve">Abstract (EN): </w:t>
      </w:r>
      <w:r>
        <w:t>2D Janus structures break the mirror symmetry, thereby leading to the emergence of novel properties. Anion‐ordered Janus structures hold potential for developing large spontaneous polarization ferroelectrics. However, van der Waals disordered alloys are generally more thermodynamically stable; anion‐ordered Janus structures can only be realized in certain monolayer transition metal dichalcogenides so far. The polarization in these materials cannot be reversed; therefore, the realization of anion order triggered ferroelectricity remains a challenge. Here, we report that S/Se ordering induces Janus ferroelectricity in SnS</w:t>
      </w:r>
      <w:r>
        <w:t xml:space="preserve"> </w:t>
      </w:r>
      <w:r>
        <w:t>0.6</w:t>
      </w:r>
      <w:r>
        <w:t xml:space="preserve"> </w:t>
      </w:r>
      <w:r>
        <w:t>Se</w:t>
      </w:r>
      <w:r>
        <w:t xml:space="preserve"> </w:t>
      </w:r>
      <w:r>
        <w:t>0.4</w:t>
      </w:r>
      <w:r>
        <w:t xml:space="preserve"> </w:t>
      </w:r>
      <w:r>
        <w:t>nanobelts with a high Curie temperature of approximately 600 K. The second‐harmonic generation of SnS</w:t>
      </w:r>
      <w:r>
        <w:t xml:space="preserve"> </w:t>
      </w:r>
      <w:r>
        <w:t>0.6</w:t>
      </w:r>
      <w:r>
        <w:t xml:space="preserve"> </w:t>
      </w:r>
      <w:r>
        <w:t>Se</w:t>
      </w:r>
      <w:r>
        <w:t xml:space="preserve"> </w:t>
      </w:r>
      <w:r>
        <w:t>0.4</w:t>
      </w:r>
      <w:r>
        <w:t xml:space="preserve"> </w:t>
      </w:r>
      <w:r>
        <w:t>nanobelts is approximately 300 times more intense than that of SnS nanobelts. The switchable spontaneous polarization of SnS</w:t>
      </w:r>
      <w:r>
        <w:t xml:space="preserve"> </w:t>
      </w:r>
      <w:r>
        <w:t>0.6</w:t>
      </w:r>
      <w:r>
        <w:t xml:space="preserve"> </w:t>
      </w:r>
      <w:r>
        <w:t>Se</w:t>
      </w:r>
      <w:r>
        <w:t xml:space="preserve"> </w:t>
      </w:r>
      <w:r>
        <w:t>0.4</w:t>
      </w:r>
      <w:r>
        <w:t xml:space="preserve"> </w:t>
      </w:r>
      <w:r>
        <w:t>nanobelts was confirmed by piezoelectric force microscopy, representing the first realization of anion‐ordered Janus ferroelectricity. This anion ordering induces a structural phase transition from the non‐ferroelectric Pnma to the ferroelectric phase Pm. Our work has realized a periodically anion‐ordered Janus structure with ferroelectricity in van der Waals materials and provided a candidate material for novel non‐volatile memory devices and optoelectronic applications.</w:t>
      </w:r>
    </w:p>
    <w:p>
      <w:pPr>
        <w:spacing w:before="120" w:after="120"/>
      </w:pPr>
      <w:r>
        <w:rPr>
          <w:sz w:val="18"/>
        </w:rPr>
        <w:t>——————————————————————————————————————————————————————————————————————</w:t>
      </w:r>
    </w:p>
    <w:p>
      <w:pPr>
        <w:spacing w:before="160" w:after="40" w:line="240" w:lineRule="auto"/>
      </w:pPr>
      <w:r>
        <w:rPr>
          <w:b/>
        </w:rPr>
        <w:t xml:space="preserve">[219] </w:t>
      </w:r>
      <w:hyperlink r:id="rId586">
        <w:r>
          <w:rPr>
            <w:color w:val="1155CC"/>
            <w:u w:val="single"/>
          </w:rPr>
          <w:t>钌纳米晶体相控合成在催化应用中的最新进展</w:t>
        </w:r>
      </w:hyperlink>
    </w:p>
    <w:p>
      <w:pPr>
        <w:spacing w:before="0" w:after="80"/>
      </w:pPr>
      <w:r>
        <w:rPr>
          <w:i/>
          <w:sz w:val="20"/>
        </w:rPr>
        <w:t>EN: Recent Progress in the Phase‐Controlled Synthesis of Ruthenium Nanocrystals for Catalytic Applications</w:t>
      </w:r>
    </w:p>
    <w:p>
      <w:pPr>
        <w:spacing w:before="0" w:after="120"/>
      </w:pPr>
      <w:r>
        <w:rPr>
          <w:b/>
        </w:rPr>
        <w:t xml:space="preserve">Source: </w:t>
      </w:r>
      <w:r>
        <w:t>Wiley: Advanced Materials: Table of Contents</w:t>
      </w:r>
      <w:r>
        <w:t xml:space="preserve">    </w:t>
      </w:r>
      <w:r>
        <w:rPr>
          <w:b/>
        </w:rPr>
        <w:t xml:space="preserve">Pub date: </w:t>
      </w:r>
      <w:r>
        <w:t>2026-04-14 07:48:37+00:00</w:t>
      </w:r>
      <w:r>
        <w:t xml:space="preserve">    </w:t>
      </w:r>
      <w:r>
        <w:rPr>
          <w:b/>
        </w:rPr>
        <w:t xml:space="preserve">DOI: </w:t>
      </w:r>
      <w:hyperlink r:id="rId587">
        <w:r>
          <w:rPr>
            <w:color w:val="1155CC"/>
            <w:u w:val="single"/>
          </w:rPr>
          <w:t>10.1002/adma.73072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亚稳相金属纳米晶体由于其独特的物理化学性质和潜在的催化应用而受到越来越多的关注。块体Ru在六方密堆积（</w:t>
      </w:r>
      <w:r>
        <w:t xml:space="preserve"> </w:t>
      </w:r>
      <w:r>
        <w:t>hcp</w:t>
      </w:r>
      <w:r>
        <w:t xml:space="preserve"> </w:t>
      </w:r>
      <w:r>
        <w:t>）相中结晶，但胶体方法已实现了亚稳面心立方（</w:t>
      </w:r>
      <w:r>
        <w:t xml:space="preserve"> </w:t>
      </w:r>
      <w:r>
        <w:t>fcc</w:t>
      </w:r>
      <w:r>
        <w:t xml:space="preserve"> </w:t>
      </w:r>
      <w:r>
        <w:t>）相Ru纳米晶体的合成。在本报告中，我们重点介绍了在Ru纳米晶体相工程方面的最新进展，特别是基于种子模板效应的方法，如面对称匹配和对还原路径的动力学控制。我们还讨论了亚稳态</w:t>
      </w:r>
      <w:r>
        <w:t xml:space="preserve"> </w:t>
      </w:r>
      <w:r>
        <w:t>fcc</w:t>
      </w:r>
      <w:r>
        <w:t xml:space="preserve"> </w:t>
      </w:r>
      <w:r>
        <w:t>的热稳定性。</w:t>
      </w:r>
    </w:p>
    <w:p>
      <w:pPr>
        <w:spacing w:before="0" w:after="200" w:lineRule="auto" w:line="276"/>
      </w:pPr>
      <w:r>
        <w:rPr>
          <w:b/>
        </w:rPr>
        <w:t xml:space="preserve">Abstract (EN): </w:t>
      </w:r>
      <w:r>
        <w:t>Metal nanocrystals in metastable phases have received increasing attention owing to their unique physicochemical properties and potential catalytic applications. Bulk Ru crystallizes in the hexagonal close‐packed (</w:t>
      </w:r>
      <w:r>
        <w:t xml:space="preserve"> </w:t>
      </w:r>
      <w:r>
        <w:t>hcp</w:t>
      </w:r>
      <w:r>
        <w:t xml:space="preserve"> </w:t>
      </w:r>
      <w:r>
        <w:t>) phase, but colloidal methods have enabled the synthesis of Ru nanocrystals in the metastable face‐centered cubic (</w:t>
      </w:r>
      <w:r>
        <w:t xml:space="preserve"> </w:t>
      </w:r>
      <w:r>
        <w:t>fcc</w:t>
      </w:r>
      <w:r>
        <w:t xml:space="preserve"> </w:t>
      </w:r>
      <w:r>
        <w:t>) phase. In this report, we highlight recent progress in engineering the phase of Ru nanocrystals, with a focus on methods based on the seed‐templating effect, such as facet symmetry matching, and kinetic control over the reduction pathway. We also discuss the thermal stability of metastable</w:t>
      </w:r>
      <w:r>
        <w:t xml:space="preserve"> </w:t>
      </w:r>
      <w:r>
        <w:t>fcc</w:t>
      </w:r>
      <w:r>
        <w:t xml:space="preserve"> </w:t>
      </w:r>
      <w:r>
        <w:t>‐Ru nanocrystals, as well as their catalytic applications. We further summarize how</w:t>
      </w:r>
      <w:r>
        <w:t xml:space="preserve"> </w:t>
      </w:r>
      <w:r>
        <w:t>hcp</w:t>
      </w:r>
      <w:r>
        <w:t xml:space="preserve"> </w:t>
      </w:r>
      <w:r>
        <w:t>‐Ru nanocrystals can serve as templates to direct the synthesis of Pd and Rh nanocrystals in the metastable</w:t>
      </w:r>
      <w:r>
        <w:t xml:space="preserve"> </w:t>
      </w:r>
      <w:r>
        <w:t>hcp</w:t>
      </w:r>
      <w:r>
        <w:t xml:space="preserve"> </w:t>
      </w:r>
      <w:r>
        <w:t>phase. Finally, we offer perspectives on quantitative kinetic control, scalable synthesis, and stabilization of nanocrystals in metastable phases.</w:t>
      </w:r>
    </w:p>
    <w:p>
      <w:pPr>
        <w:spacing w:before="120" w:after="120"/>
      </w:pPr>
      <w:r>
        <w:rPr>
          <w:sz w:val="18"/>
        </w:rPr>
        <w:t>——————————————————————————————————————————————————————————————————————</w:t>
      </w:r>
    </w:p>
    <w:p>
      <w:pPr>
        <w:spacing w:before="160" w:after="40" w:line="240" w:lineRule="auto"/>
      </w:pPr>
      <w:r>
        <w:rPr>
          <w:b/>
        </w:rPr>
        <w:t xml:space="preserve">[220] </w:t>
      </w:r>
      <w:hyperlink r:id="rId588">
        <w:r>
          <w:rPr>
            <w:color w:val="1155CC"/>
            <w:u w:val="single"/>
          </w:rPr>
          <w:t>通过高效定向电子流实现的单原子Pt/G-C3N4和硒维罗格伦的平行界面工程用于耐用光催化</w:t>
        </w:r>
      </w:hyperlink>
    </w:p>
    <w:p>
      <w:pPr>
        <w:spacing w:before="0" w:after="80"/>
      </w:pPr>
      <w:r>
        <w:rPr>
          <w:i/>
          <w:sz w:val="20"/>
        </w:rPr>
        <w:t>EN: Parallel Interface Engineering of Single‐Atom Pt/G‐C3N4 and Selenoviologen for Durable Photocatalysis via Efficient Directional Electron Flow</w:t>
      </w:r>
    </w:p>
    <w:p>
      <w:pPr>
        <w:spacing w:before="0" w:after="120"/>
      </w:pPr>
      <w:r>
        <w:rPr>
          <w:b/>
        </w:rPr>
        <w:t xml:space="preserve">Source: </w:t>
      </w:r>
      <w:r>
        <w:t>Wiley: Angewandte Chemie International Edition: Table of Contents</w:t>
      </w:r>
      <w:r>
        <w:t xml:space="preserve">    </w:t>
      </w:r>
      <w:r>
        <w:rPr>
          <w:b/>
        </w:rPr>
        <w:t xml:space="preserve">Pub date: </w:t>
      </w:r>
      <w:r>
        <w:t>2026-04-14 07:49:44+00:00</w:t>
      </w:r>
      <w:r>
        <w:t xml:space="preserve">    </w:t>
      </w:r>
      <w:r>
        <w:rPr>
          <w:b/>
        </w:rPr>
        <w:t xml:space="preserve">DOI: </w:t>
      </w:r>
      <w:hyperlink r:id="rId589">
        <w:r>
          <w:rPr>
            <w:color w:val="1155CC"/>
            <w:u w:val="single"/>
          </w:rPr>
          <w:t>10.1002/anie.5232119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光催化提供了一种可持续的清洁能源转换途径，但其效率常常受到不受控的载流子复合和缓慢的界面电子转移的限制。在此，我们通过双共价结合硒维罗电子介体到缺陷g‐C</w:t>
      </w:r>
      <w:r>
        <w:rPr>
          <w:vertAlign w:val="subscript"/>
        </w:rPr>
        <w:t>3</w:t>
      </w:r>
      <w:r>
        <w:t>N</w:t>
      </w:r>
      <w:r>
        <w:rPr>
          <w:vertAlign w:val="subscript"/>
        </w:rPr>
        <w:t>4</w:t>
      </w:r>
      <w:r>
        <w:t>上，并锚定单原子Pt，构建了一个平行光催化界面来解决这一挑战。该结构形成了一个高度稳定的“电子天桥”，以卓越的效率引导电子流动。超快光谱和DFT计算证实，这个天桥将电子从光激发的g‐C</w:t>
      </w:r>
      <w:r>
        <w:rPr>
          <w:vertAlign w:val="subscript"/>
        </w:rPr>
        <w:t>3</w:t>
      </w:r>
    </w:p>
    <w:p>
      <w:pPr>
        <w:spacing w:before="0" w:after="200" w:lineRule="auto" w:line="276"/>
      </w:pPr>
      <w:r>
        <w:rPr>
          <w:b/>
        </w:rPr>
        <w:t xml:space="preserve">Abstract (EN): </w:t>
      </w:r>
      <w:r>
        <w:t>Photocatalysis offers a sustainable route for clean energy conversion, yet its efficiency is frequently constrained by uncontrolled charge‐carrier recombination and sluggish interfacial electron transfer. Here, we address this challenge by constructing a parallel photocatalytic interface through the dual covalent binding of selenoviologen electron mediators to defective g‐C</w:t>
      </w:r>
      <w:r>
        <w:rPr>
          <w:vertAlign w:val="subscript"/>
        </w:rPr>
        <w:t>3</w:t>
      </w:r>
      <w:r>
        <w:t>N</w:t>
      </w:r>
      <w:r>
        <w:rPr>
          <w:vertAlign w:val="subscript"/>
        </w:rPr>
        <w:t>4</w:t>
      </w:r>
      <w:r>
        <w:t>which is anchored with single‐atom Pt. This architecture forms a highly stable “electron overpass” that directs electron flow with exceptional efficiency. Ultrafast spectra and DFT calculations confirm that this overpass channels electrons from both photoexcited g‐C</w:t>
      </w:r>
      <w:r>
        <w:rPr>
          <w:vertAlign w:val="subscript"/>
        </w:rPr>
        <w:t>3</w:t>
      </w:r>
      <w:r>
        <w:t>N</w:t>
      </w:r>
      <w:r>
        <w:rPr>
          <w:vertAlign w:val="subscript"/>
        </w:rPr>
        <w:t>4</w:t>
      </w:r>
      <w:r>
        <w:t>and selenoviologen radical intermediates directly to the Pt catalytic sites. The system achieves a forward electron transfer rate of 0.043 L·g</w:t>
      </w:r>
      <w:r>
        <w:t xml:space="preserve"> </w:t>
      </w:r>
      <w:r>
        <w:t>−1</w:t>
      </w:r>
      <w:r>
        <w:t xml:space="preserve"> </w:t>
      </w:r>
      <w:r>
        <w:t>·s</w:t>
      </w:r>
      <w:r>
        <w:t xml:space="preserve"> </w:t>
      </w:r>
      <w:r>
        <w:t>−1</w:t>
      </w:r>
      <w:r>
        <w:t xml:space="preserve"> </w:t>
      </w:r>
      <w:r>
        <w:t>, four times that of the single covalent binding control, and extends the charge carrier lifetime to 7998.8 ps. As a result, the photocatalyst delivers a remarkable hydrogen evolution rate of 3231.9 µmol·h</w:t>
      </w:r>
      <w:r>
        <w:t xml:space="preserve"> </w:t>
      </w:r>
      <w:r>
        <w:t>−1</w:t>
      </w:r>
      <w:r>
        <w:t xml:space="preserve"> </w:t>
      </w:r>
      <w:r>
        <w:t>g</w:t>
      </w:r>
      <w:r>
        <w:t xml:space="preserve"> </w:t>
      </w:r>
      <w:r>
        <w:t>−1</w:t>
      </w:r>
      <w:r>
        <w:t xml:space="preserve"> </w:t>
      </w:r>
      <w:r>
        <w:t>, while the concurrent anaerobic oxidation of benzylamine proceeds at 1390.6 µmol·h</w:t>
      </w:r>
      <w:r>
        <w:t xml:space="preserve"> </w:t>
      </w:r>
      <w:r>
        <w:t>−1</w:t>
      </w:r>
      <w:r>
        <w:t xml:space="preserve"> </w:t>
      </w:r>
      <w:r>
        <w:t>g</w:t>
      </w:r>
      <w:r>
        <w:t xml:space="preserve"> </w:t>
      </w:r>
      <w:r>
        <w:t>−1</w:t>
      </w:r>
      <w:r>
        <w:t xml:space="preserve"> </w:t>
      </w:r>
      <w:r>
        <w:t>. Crucially, the dual covalent binding affords outstanding durability, retaining 92% of the initial activity after six 24 h cycles, a nearly tenfold improvement over the conventional system. This work establishes parallel interface engineering as a general paradigm for directing electron flow, paving the way for advanced solar fuel production and artificial photosynthesis.</w:t>
      </w:r>
    </w:p>
    <w:p>
      <w:pPr>
        <w:spacing w:before="120" w:after="120"/>
      </w:pPr>
      <w:r>
        <w:rPr>
          <w:sz w:val="18"/>
        </w:rPr>
        <w:t>——————————————————————————————————————————————————————————————————————</w:t>
      </w:r>
    </w:p>
    <w:p>
      <w:pPr>
        <w:spacing w:before="160" w:after="40" w:line="240" w:lineRule="auto"/>
      </w:pPr>
      <w:r>
        <w:rPr>
          <w:b/>
        </w:rPr>
        <w:t xml:space="preserve">[221] </w:t>
      </w:r>
      <w:hyperlink r:id="rId590">
        <w:r>
          <w:rPr>
            <w:color w:val="1155CC"/>
            <w:u w:val="single"/>
          </w:rPr>
          <w:t>溴化有机亚胺笼启用的高性能人工锂通道</w:t>
        </w:r>
      </w:hyperlink>
    </w:p>
    <w:p>
      <w:pPr>
        <w:spacing w:before="0" w:after="80"/>
      </w:pPr>
      <w:r>
        <w:rPr>
          <w:i/>
          <w:sz w:val="20"/>
        </w:rPr>
        <w:t>EN: High‐Performance Artificial Lithium Channel Enabled by a Brominated Organic Imine Cage</w:t>
      </w:r>
    </w:p>
    <w:p>
      <w:pPr>
        <w:spacing w:before="0" w:after="120"/>
      </w:pPr>
      <w:r>
        <w:rPr>
          <w:b/>
        </w:rPr>
        <w:t xml:space="preserve">Source: </w:t>
      </w:r>
      <w:r>
        <w:t>Wiley: Angewandte Chemie International Edition: Table of Contents</w:t>
      </w:r>
      <w:r>
        <w:t xml:space="preserve">    </w:t>
      </w:r>
      <w:r>
        <w:rPr>
          <w:b/>
        </w:rPr>
        <w:t xml:space="preserve">Pub date: </w:t>
      </w:r>
      <w:r>
        <w:t>2026-04-14 07:50:22+00:00</w:t>
      </w:r>
      <w:r>
        <w:t xml:space="preserve">    </w:t>
      </w:r>
      <w:r>
        <w:rPr>
          <w:b/>
        </w:rPr>
        <w:t xml:space="preserve">DOI: </w:t>
      </w:r>
      <w:hyperlink r:id="rId591">
        <w:r>
          <w:rPr>
            <w:color w:val="1155CC"/>
            <w:u w:val="single"/>
          </w:rPr>
          <w:t>10.1002/anie.2715806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K+、Cl−和水的人工转运体设计方面取得了广泛的进展，但Li+选择性系统的发展相对被忽视，这主要是由于其较小的离子半径和较高的水合能量，这对设计构成了显著的挑战。迄今为止，仅报道了三类人工Li+转运体。在这项工作中，我们介绍了一种新型的第四类人工Li+通道，由独特的自组装有机亚胺笼构建，形成跨膜多孔结构。</w:t>
      </w:r>
    </w:p>
    <w:p>
      <w:pPr>
        <w:spacing w:before="0" w:after="200" w:lineRule="auto" w:line="276"/>
      </w:pPr>
      <w:r>
        <w:rPr>
          <w:b/>
        </w:rPr>
        <w:t xml:space="preserve">Abstract (EN): </w:t>
      </w:r>
      <w:r>
        <w:t>Despite extensive advancements in the design of artificial transporters for K</w:t>
      </w:r>
      <w:r>
        <w:t xml:space="preserve"> </w:t>
      </w:r>
      <w:r>
        <w:t>+</w:t>
      </w:r>
      <w:r>
        <w:t xml:space="preserve"> </w:t>
      </w:r>
      <w:r>
        <w:t>, Cl</w:t>
      </w:r>
      <w:r>
        <w:t xml:space="preserve"> </w:t>
      </w:r>
      <w:r>
        <w:t>−</w:t>
      </w:r>
      <w:r>
        <w:t>and water, the development of Li</w:t>
      </w:r>
      <w:r>
        <w:t xml:space="preserve"> </w:t>
      </w:r>
      <w:r>
        <w:t>+</w:t>
      </w:r>
      <w:r>
        <w:t xml:space="preserve"> </w:t>
      </w:r>
      <w:r>
        <w:t>‐selective systems has remained comparatively neglected, largely due to its smaller ionic radius and higher hydration energy that pose significant design challenges. To date, only three classes of artificial Li</w:t>
      </w:r>
      <w:r>
        <w:t xml:space="preserve"> </w:t>
      </w:r>
      <w:r>
        <w:t>+</w:t>
      </w:r>
      <w:r>
        <w:t xml:space="preserve"> </w:t>
      </w:r>
      <w:r>
        <w:t>transporters have been reported. In this work, we introduce a novel fourth class of artificial Li</w:t>
      </w:r>
      <w:r>
        <w:t xml:space="preserve"> </w:t>
      </w:r>
      <w:r>
        <w:t>+</w:t>
      </w:r>
      <w:r>
        <w:t xml:space="preserve"> </w:t>
      </w:r>
      <w:r>
        <w:t>channels, constructed from unique self‐assembling organic imine cages that form membrane‐spanning porous architectures. By incorporating bromine substituents, the resulting channel exhibits not only the highest Li</w:t>
      </w:r>
      <w:r>
        <w:t xml:space="preserve"> </w:t>
      </w:r>
      <w:r>
        <w:t>+</w:t>
      </w:r>
      <w:r>
        <w:t xml:space="preserve"> </w:t>
      </w:r>
      <w:r>
        <w:t>transport activity (EC</w:t>
      </w:r>
      <w:r>
        <w:rPr>
          <w:vertAlign w:val="subscript"/>
        </w:rPr>
        <w:t>50</w:t>
      </w:r>
      <w:r>
        <w:t>of 0.017 mol‰, relative to lipids) but also unprecedented selectivity, with Li</w:t>
      </w:r>
      <w:r>
        <w:t xml:space="preserve"> </w:t>
      </w:r>
      <w:r>
        <w:t>+</w:t>
      </w:r>
      <w:r>
        <w:t xml:space="preserve"> </w:t>
      </w:r>
      <w:r>
        <w:t>/Na</w:t>
      </w:r>
      <w:r>
        <w:t xml:space="preserve"> </w:t>
      </w:r>
      <w:r>
        <w:t>+</w:t>
      </w:r>
      <w:r>
        <w:t xml:space="preserve"> </w:t>
      </w:r>
      <w:r>
        <w:t>and Li</w:t>
      </w:r>
      <w:r>
        <w:t xml:space="preserve"> </w:t>
      </w:r>
      <w:r>
        <w:t>+</w:t>
      </w:r>
      <w:r>
        <w:t xml:space="preserve"> </w:t>
      </w:r>
      <w:r>
        <w:t>/K</w:t>
      </w:r>
      <w:r>
        <w:t xml:space="preserve"> </w:t>
      </w:r>
      <w:r>
        <w:t>+</w:t>
      </w:r>
      <w:r>
        <w:t xml:space="preserve"> </w:t>
      </w:r>
      <w:r>
        <w:t>selectivity factors of 44 and 52 respectively, marking a new benchmark in transmembrane Li</w:t>
      </w:r>
      <w:r>
        <w:t xml:space="preserve"> </w:t>
      </w:r>
      <w:r>
        <w:t>+</w:t>
      </w:r>
      <w:r>
        <w:t xml:space="preserve"> </w:t>
      </w:r>
      <w:r>
        <w:t>transport performance.</w:t>
      </w:r>
    </w:p>
    <w:p>
      <w:pPr>
        <w:spacing w:before="120" w:after="120"/>
      </w:pPr>
      <w:r>
        <w:rPr>
          <w:sz w:val="18"/>
        </w:rPr>
        <w:t>——————————————————————————————————————————————————————————————————————</w:t>
      </w:r>
    </w:p>
    <w:p>
      <w:pPr>
        <w:spacing w:before="160" w:after="40" w:line="240" w:lineRule="auto"/>
      </w:pPr>
      <w:r>
        <w:rPr>
          <w:b/>
        </w:rPr>
        <w:t xml:space="preserve">[222] </w:t>
      </w:r>
      <w:hyperlink r:id="rId592">
        <w:r>
          <w:rPr>
            <w:color w:val="1155CC"/>
            <w:u w:val="single"/>
          </w:rPr>
          <w:t>通过铁配体到金属电荷转移（LMCT）光催化将1,1-双硼烷烷转化为1,2-双硼烷烷</w:t>
        </w:r>
      </w:hyperlink>
    </w:p>
    <w:p>
      <w:pPr>
        <w:spacing w:before="0" w:after="80"/>
      </w:pPr>
      <w:r>
        <w:rPr>
          <w:i/>
          <w:sz w:val="20"/>
        </w:rPr>
        <w:t>EN: Converting 1,1‐Bisborylalkanes into 1,2‐Bisborylalkanes Enabled by Iron Ligand‐to‐Metal Charge Transfer (LMCT) Photocatalysis</w:t>
      </w:r>
    </w:p>
    <w:p>
      <w:pPr>
        <w:spacing w:before="0" w:after="120"/>
      </w:pPr>
      <w:r>
        <w:rPr>
          <w:b/>
        </w:rPr>
        <w:t xml:space="preserve">Source: </w:t>
      </w:r>
      <w:r>
        <w:t>Wiley: Angewandte Chemie International Edition: Table of Contents</w:t>
      </w:r>
      <w:r>
        <w:t xml:space="preserve">    </w:t>
      </w:r>
      <w:r>
        <w:rPr>
          <w:b/>
        </w:rPr>
        <w:t xml:space="preserve">Pub date: </w:t>
      </w:r>
      <w:r>
        <w:t>2026-04-14 07:52:33+00:00</w:t>
      </w:r>
      <w:r>
        <w:t xml:space="preserve">    </w:t>
      </w:r>
      <w:r>
        <w:rPr>
          <w:b/>
        </w:rPr>
        <w:t xml:space="preserve">DOI: </w:t>
      </w:r>
      <w:hyperlink r:id="rId593">
        <w:r>
          <w:rPr>
            <w:color w:val="1155CC"/>
            <w:u w:val="single"/>
          </w:rPr>
          <w:t>10.1002/anie.202524873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在此报告了一种策略，通过铁配体到金属电荷转移（LMCT）光催化，将1,1‐双硼烷烷转化为1,2‐双硼烷烷。在优化条件下，1,1‐双硼烷烷经历氢原子抽取，生成初始自由基中间体。随后，自由基诱导的1,2‐硼基团迁移产生一个热力学上更稳定的开壳物种。生成的碳中心自由基可以被电子缺乏的烯烃截获，提供一系列合成上有用的1,2‐双硼烷烷。</w:t>
      </w:r>
    </w:p>
    <w:p>
      <w:pPr>
        <w:spacing w:before="0" w:after="200" w:lineRule="auto" w:line="276"/>
      </w:pPr>
      <w:r>
        <w:rPr>
          <w:b/>
        </w:rPr>
        <w:t xml:space="preserve">Abstract (EN): </w:t>
      </w:r>
      <w:r>
        <w:t>We report herein a strategy to convert 1,1‐bisborylalkanes into 1,2‐bisborylalkanes through iron ligand‐to‐metal charge transfer (LMCT) photocatalysis. Under the optimized conditions, 1,1‐bisborylalkanes undergo hydrogen atom abstraction to generate an initial radical intermediate. Subsequent radical‐induced 1,2‐boryl group migration furnishes an open‐shell species that is more stable thermodynamically. The resulting carbon‐centered radical can be intercepted by electron‐deficient alkenes, affording a range of synthetically useful 1,2‐bisborylalkanes.</w:t>
      </w:r>
    </w:p>
    <w:p>
      <w:pPr>
        <w:spacing w:before="120" w:after="120"/>
      </w:pPr>
      <w:r>
        <w:rPr>
          <w:sz w:val="18"/>
        </w:rPr>
        <w:t>——————————————————————————————————————————————————————————————————————</w:t>
      </w:r>
    </w:p>
    <w:p>
      <w:pPr>
        <w:spacing w:before="160" w:after="40" w:line="240" w:lineRule="auto"/>
      </w:pPr>
      <w:r>
        <w:rPr>
          <w:b/>
        </w:rPr>
        <w:t xml:space="preserve">[223] </w:t>
      </w:r>
      <w:hyperlink r:id="rId594">
        <w:r>
          <w:rPr>
            <w:color w:val="1155CC"/>
            <w:u w:val="single"/>
          </w:rPr>
          <w:t>通过使用分子氧的双金属纳米簇实现高选择性甲烷到甲醇的转化</w:t>
        </w:r>
      </w:hyperlink>
    </w:p>
    <w:p>
      <w:pPr>
        <w:spacing w:before="0" w:after="80"/>
      </w:pPr>
      <w:r>
        <w:rPr>
          <w:i/>
          <w:sz w:val="20"/>
        </w:rPr>
        <w:t>EN: Highly Selective Methane‐to‐Methanol Conversion Enabled by Bimetallic Nanoclusters Using Molecular Oxygen</w:t>
      </w:r>
    </w:p>
    <w:p>
      <w:pPr>
        <w:spacing w:before="0" w:after="120"/>
      </w:pPr>
      <w:r>
        <w:rPr>
          <w:b/>
        </w:rPr>
        <w:t xml:space="preserve">Source: </w:t>
      </w:r>
      <w:r>
        <w:t>Wiley: Angewandte Chemie International Edition: Table of Contents</w:t>
      </w:r>
      <w:r>
        <w:t xml:space="preserve">    </w:t>
      </w:r>
      <w:r>
        <w:rPr>
          <w:b/>
        </w:rPr>
        <w:t xml:space="preserve">Pub date: </w:t>
      </w:r>
      <w:r>
        <w:t>2026-04-14 07:54:06+00:00</w:t>
      </w:r>
      <w:r>
        <w:t xml:space="preserve">    </w:t>
      </w:r>
      <w:r>
        <w:rPr>
          <w:b/>
        </w:rPr>
        <w:t xml:space="preserve">DOI: </w:t>
      </w:r>
      <w:hyperlink r:id="rId595">
        <w:r>
          <w:rPr>
            <w:color w:val="1155CC"/>
            <w:u w:val="single"/>
          </w:rPr>
          <w:t>10.1002/anie.8873024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是最稳定的烷烃，比其部分氧化产物显著更稳定。这使得将CH4高选择性地转化为CH3OH成为一个极其棘手的挑战，尤其是在使用分子氧作为氧化剂时。在这项工作中，我们通过简单的浸渍法合成了一种双金属改性沸石复合催化剂（PdCo双金属纳米簇负载在H‐ZSM‐5分子筛上，记为PdCo@H‐ZSM‐5）。PdCo@H‐ZSM‐5可以高效地活化H2和O2，以高选择性地氧化CH4为CH</w:t>
      </w:r>
    </w:p>
    <w:p>
      <w:pPr>
        <w:spacing w:before="0" w:after="200" w:lineRule="auto" w:line="276"/>
      </w:pPr>
      <w:r>
        <w:rPr>
          <w:b/>
        </w:rPr>
        <w:t xml:space="preserve">Abstract (EN): </w:t>
      </w:r>
      <w:r>
        <w:t>Methane, the most stable alkane, is significantly more stable than its partial oxidation products. This renders the highly selective conversion of CH</w:t>
      </w:r>
      <w:r>
        <w:rPr>
          <w:vertAlign w:val="subscript"/>
        </w:rPr>
        <w:t>4</w:t>
      </w:r>
      <w:r>
        <w:t>to CH</w:t>
      </w:r>
      <w:r>
        <w:rPr>
          <w:vertAlign w:val="subscript"/>
        </w:rPr>
        <w:t>3</w:t>
      </w:r>
      <w:r>
        <w:t>OH an extremely intractable challenge, especially when using molecular oxygen as the oxidant. In this work, we synthesized a bimetallic‐modified zeolite composite catalyst (PdCo bimetallic nanoclusters supported on H‐ZSM‐5 molecular sieve, denoted as PdCo@H‐ZSM‐5) via a simple impregnation method. PdCo@H‐ZSM‐5 can efficiently activate H</w:t>
      </w:r>
      <w:r>
        <w:rPr>
          <w:vertAlign w:val="subscript"/>
        </w:rPr>
        <w:t>2</w:t>
      </w:r>
      <w:r>
        <w:t>and O</w:t>
      </w:r>
      <w:r>
        <w:rPr>
          <w:vertAlign w:val="subscript"/>
        </w:rPr>
        <w:t>2</w:t>
      </w:r>
      <w:r>
        <w:t>to highly selectively oxidize CH</w:t>
      </w:r>
      <w:r>
        <w:rPr>
          <w:vertAlign w:val="subscript"/>
        </w:rPr>
        <w:t>4</w:t>
      </w:r>
      <w:r>
        <w:t>to CH</w:t>
      </w:r>
      <w:r>
        <w:rPr>
          <w:vertAlign w:val="subscript"/>
        </w:rPr>
        <w:t>3</w:t>
      </w:r>
      <w:r>
        <w:t>OH under mild conditions (70°C), achieving a remarkable CH</w:t>
      </w:r>
      <w:r>
        <w:rPr>
          <w:vertAlign w:val="subscript"/>
        </w:rPr>
        <w:t>3</w:t>
      </w:r>
      <w:r>
        <w:t>OH yield of 2349 µmol g</w:t>
      </w:r>
      <w:r>
        <w:t xml:space="preserve"> </w:t>
      </w:r>
      <w:r>
        <w:t>cat</w:t>
      </w:r>
      <w:r>
        <w:t xml:space="preserve"> </w:t>
      </w:r>
      <w:r>
        <w:t>−1</w:t>
      </w:r>
      <w:r>
        <w:t xml:space="preserve"> </w:t>
      </w:r>
      <w:r>
        <w:t>h</w:t>
      </w:r>
      <w:r>
        <w:t xml:space="preserve"> </w:t>
      </w:r>
      <w:r>
        <w:t>−1</w:t>
      </w:r>
      <w:r>
        <w:t xml:space="preserve"> </w:t>
      </w:r>
      <w:r>
        <w:t>(249 mmol g</w:t>
      </w:r>
      <w:r>
        <w:t xml:space="preserve"> </w:t>
      </w:r>
      <w:r>
        <w:t>Pd</w:t>
      </w:r>
      <w:r>
        <w:t xml:space="preserve"> </w:t>
      </w:r>
      <w:r>
        <w:t>−1</w:t>
      </w:r>
      <w:r>
        <w:t xml:space="preserve"> </w:t>
      </w:r>
      <w:r>
        <w:t>h</w:t>
      </w:r>
      <w:r>
        <w:t xml:space="preserve"> </w:t>
      </w:r>
      <w:r>
        <w:t>−1</w:t>
      </w:r>
      <w:r>
        <w:t xml:space="preserve"> </w:t>
      </w:r>
      <w:r>
        <w:t>). Significantly, PdCo@H‐ZSM‐5 is the sole catalyst reported to date that can achieve over 99% CH</w:t>
      </w:r>
      <w:r>
        <w:rPr>
          <w:vertAlign w:val="subscript"/>
        </w:rPr>
        <w:t>3</w:t>
      </w:r>
      <w:r>
        <w:t>OH selectivity in the oxidation of CH</w:t>
      </w:r>
      <w:r>
        <w:rPr>
          <w:vertAlign w:val="subscript"/>
        </w:rPr>
        <w:t>4</w:t>
      </w:r>
      <w:r>
        <w:t>by molecular oxygen under mild conditions. This work is expected to inspire new technologies for industrial CH</w:t>
      </w:r>
      <w:r>
        <w:rPr>
          <w:vertAlign w:val="subscript"/>
        </w:rPr>
        <w:t>4</w:t>
      </w:r>
      <w:r>
        <w:t>to CH</w:t>
      </w:r>
      <w:r>
        <w:rPr>
          <w:vertAlign w:val="subscript"/>
        </w:rPr>
        <w:t>3</w:t>
      </w:r>
      <w:r>
        <w:t>OH conversion, promoting more sustainable chemistry and engineering. Furthermore, the low‐energy consumption, high‐efficiency activated oxygen catalyst eliminates the necessity for transporting and storing highly concentrated hydrogen peroxide, serving as a foundation for other green oxidation reactions.</w:t>
      </w:r>
    </w:p>
    <w:p>
      <w:pPr>
        <w:spacing w:before="120" w:after="120"/>
      </w:pPr>
      <w:r>
        <w:rPr>
          <w:sz w:val="18"/>
        </w:rPr>
        <w:t>——————————————————————————————————————————————————————————————————————</w:t>
      </w:r>
    </w:p>
    <w:p>
      <w:pPr>
        <w:spacing w:before="160" w:after="40" w:line="240" w:lineRule="auto"/>
      </w:pPr>
      <w:r>
        <w:rPr>
          <w:b/>
        </w:rPr>
        <w:t xml:space="preserve">[224] </w:t>
      </w:r>
      <w:hyperlink r:id="rId596">
        <w:r>
          <w:rPr>
            <w:color w:val="1155CC"/>
            <w:u w:val="single"/>
          </w:rPr>
          <w:t>[ASAP] 通过多金属氧化钒中的可切换电子态重新审视Robin–Day分类</w:t>
        </w:r>
      </w:hyperlink>
    </w:p>
    <w:p>
      <w:pPr>
        <w:spacing w:before="0" w:after="80"/>
      </w:pPr>
      <w:r>
        <w:rPr>
          <w:i/>
          <w:sz w:val="20"/>
        </w:rPr>
        <w:t>EN: [ASAP] Revisiting the Robin–Day Classification through Switchable Electronic States in Multimetallic Vanadium Oxides</w:t>
      </w:r>
    </w:p>
    <w:p>
      <w:pPr>
        <w:spacing w:before="0" w:after="120"/>
      </w:pPr>
      <w:r>
        <w:rPr>
          <w:b/>
        </w:rPr>
        <w:t xml:space="preserve">Source: </w:t>
      </w:r>
      <w:r>
        <w:t>Journal of the American Chemical Society: Latest Articles (ACS Publications)</w:t>
      </w:r>
      <w:r>
        <w:t xml:space="preserve">    </w:t>
      </w:r>
      <w:r>
        <w:rPr>
          <w:b/>
        </w:rPr>
        <w:t xml:space="preserve">Pub date: </w:t>
      </w:r>
      <w:r>
        <w:t>2026-04-14 08:09:22+00:00</w:t>
      </w:r>
      <w:r>
        <w:t xml:space="preserve">    </w:t>
      </w:r>
      <w:r>
        <w:rPr>
          <w:b/>
        </w:rPr>
        <w:t xml:space="preserve">DOI: </w:t>
      </w:r>
      <w:hyperlink r:id="rId597">
        <w:r>
          <w:rPr>
            <w:color w:val="1155CC"/>
            <w:u w:val="single"/>
          </w:rPr>
          <w:t>10.1021/jacs.6c00579</w:t>
        </w:r>
      </w:hyperlink>
    </w:p>
    <w:p>
      <w:pPr>
        <w:spacing w:before="0" w:after="120"/>
      </w:pPr>
      <w:r>
        <w:rPr>
          <w:b/>
        </w:rPr>
        <w:t xml:space="preserve">Notes: </w:t>
      </w:r>
      <w:r>
        <w:t>abstract_source=pubmed</w:t>
      </w:r>
    </w:p>
    <w:p>
      <w:pPr>
        <w:spacing w:before="0" w:after="80" w:lineRule="auto" w:line="276"/>
      </w:pPr>
      <w:r>
        <w:rPr>
          <w:b/>
        </w:rPr>
        <w:t xml:space="preserve">摘要（ZH）: </w:t>
      </w:r>
      <w:r>
        <w:t>多氧钒酸盐-醇盐簇是氧化还原活性的分子氧化物，提供了深刻的电子可调性。缺氧物种[(V6O5)(μ6-O)(μ2-OCH3)12]是探测氧化还原态多位点定位和去定位的理想平台。在此，我们介绍了由中心μ6-O氧的位置和缺氧位点的配体配位控制的氧化还原拓扑调制机制，该机制控制不同电化物的稳定性。未配位簇表现出局部化的Robin-Day I/II类混合基态，特征是在空位缺陷处有一个V(III)中心。我们通过计算证明，配体场调谐会逆转这种行为；强供体的配位会使局部化拓扑不稳定，稳定一个电</w:t>
      </w:r>
    </w:p>
    <w:p>
      <w:pPr>
        <w:spacing w:before="0" w:after="200" w:lineRule="auto" w:line="276"/>
      </w:pPr>
      <w:r>
        <w:rPr>
          <w:b/>
        </w:rPr>
        <w:t xml:space="preserve">Abstract (EN): </w:t>
      </w:r>
      <w:r>
        <w:t>Polyoxovanadate-alkoxide clusters are redox-active molecular oxides offering profound electronic tunability. The oxygen-deficient species [(V6O5)(μ6-O)(μ2-OCH3)12] is an ideal platform for probing the multisite localization and delocalization of redox states. Here, we introduce the redox topology modulation which is governed by the position of the central μ6-O oxygen and ligand coordination at the oxygen-deficient site as the mechanism controlling the stability of different electromers. The noncoordinated cluster exhibits a localized, Robin-Day class I/II hybrid ground state, featuring a V(III) center at the vacancy defect. We demonstrate computationally that ligand-field tuning inverts this behavior; coordination of a strong donor destabilizes the localized topology, stabilizing an electromer with all V(IV) topology as the new ground state. Time-dependent density functional theory calculations show that photoexcitation of species where centers are V(IV) triggers photoinduced intervalence charge transfer regenerating a valence-trapped class II excited state. This work establishes the redox topology modulation as a rational design principle for molecular switches, where the fundamental electronic topology can be toggled by chemical stimulus and/or by light. Furthermore, our results suggest that the Robin-Day classification should be revised and extended for multicenter systems, where valence behavior is better understood as excitation-specific rather than molecular-specific.</w:t>
      </w:r>
    </w:p>
    <w:p>
      <w:pPr>
        <w:spacing w:before="120" w:after="120"/>
      </w:pPr>
      <w:r>
        <w:rPr>
          <w:sz w:val="18"/>
        </w:rPr>
        <w:t>——————————————————————————————————————————————————————————————————————</w:t>
      </w:r>
    </w:p>
    <w:p>
      <w:pPr>
        <w:spacing w:before="160" w:after="40" w:line="240" w:lineRule="auto"/>
      </w:pPr>
      <w:r>
        <w:rPr>
          <w:b/>
        </w:rPr>
        <w:t xml:space="preserve">[225] </w:t>
      </w:r>
      <w:hyperlink r:id="rId598">
        <w:r>
          <w:rPr>
            <w:color w:val="1155CC"/>
            <w:u w:val="single"/>
          </w:rPr>
          <w:t>[ASAP] 可见光诱导的C–S键断裂实现从氧化还原惰性底物生成烷基自由基</w:t>
        </w:r>
      </w:hyperlink>
    </w:p>
    <w:p>
      <w:pPr>
        <w:spacing w:before="0" w:after="80"/>
      </w:pPr>
      <w:r>
        <w:rPr>
          <w:i/>
          <w:sz w:val="20"/>
        </w:rPr>
        <w:t>EN: [ASAP] Visible-Light-Induced C–S Bond Cleavage Enables Alkyl Radical Generation from Redox-Inert Substrates</w:t>
      </w:r>
    </w:p>
    <w:p>
      <w:pPr>
        <w:spacing w:before="0" w:after="120"/>
      </w:pPr>
      <w:r>
        <w:rPr>
          <w:b/>
        </w:rPr>
        <w:t xml:space="preserve">Source: </w:t>
      </w:r>
      <w:r>
        <w:t>Journal of the American Chemical Society: Latest Articles (ACS Publications)</w:t>
      </w:r>
      <w:r>
        <w:t xml:space="preserve">    </w:t>
      </w:r>
      <w:r>
        <w:rPr>
          <w:b/>
        </w:rPr>
        <w:t xml:space="preserve">Pub date: </w:t>
      </w:r>
      <w:r>
        <w:t>2026-04-14 08:20:35+00:00</w:t>
      </w:r>
      <w:r>
        <w:t xml:space="preserve">    </w:t>
      </w:r>
      <w:r>
        <w:rPr>
          <w:b/>
        </w:rPr>
        <w:t xml:space="preserve">DOI: </w:t>
      </w:r>
      <w:hyperlink r:id="rId599">
        <w:r>
          <w:rPr>
            <w:color w:val="1155CC"/>
            <w:u w:val="single"/>
          </w:rPr>
          <w:t>10.1021/jacs.6c01895</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基于可见光驱动的烷基自由基生成平台，该平台从氧化还原惰性底物中生成烷基自由基，无需外部光催化剂，基于极性活化形成的含硫中间体的光诱导激发和裂解。由简单烯烃衍生的硫醚在可见光照射下经历高效的均裂C-S键裂解，使得无需光催化剂或化学计量添加剂即可形成烷基自由基。值得注意的是，这一策略可以扩展到未活化的烷基氯化物和环氧化物的直接活化，这些底物通常在温和条件下对单电子还原具有抵抗性。生成的烷基自由基直接应用于碳-碳键形成反应，以与苯乙烯的烯基化为例</w:t>
      </w:r>
    </w:p>
    <w:p>
      <w:pPr>
        <w:spacing w:before="0" w:after="200" w:lineRule="auto" w:line="276"/>
      </w:pPr>
      <w:r>
        <w:rPr>
          <w:b/>
        </w:rPr>
        <w:t xml:space="preserve">Abstract (EN): </w:t>
      </w:r>
      <w:r>
        <w:t>We report a visible-light-driven platform for alkyl radical generation from redox-inert substrates without external photocatalysts, based on the photoinduced excitation and cleavage of sulfur-containing intermediates formed via polar activation. Thioethers derived from simple alkenes undergo efficient homolytic C-S bond cleavage under visible-light irradiation, enabling alkyl radical formation without the need for photocatalysts or stoichiometric additives. Notably, this strategy can be extended to the direct activation of unactivated alkyl chlorides and epoxides, substrates that are typically resistant to single-electron reduction under mild conditions. The generated alkyl radicals are directly applied to carbon-carbon bond-forming reactions, exemplified by alkenylation with styrenes under metal-free conditions. Mechanistic studies indicate that sulfur-based anionic species formed in situ act as photoactive intermediates, facilitating efficient radical generation upon visible-light excitation. This work establishes sulfur-mediated photoactivation as a versatile approach to alkyl radical chemistry from readily available redox-inert substrates.</w:t>
      </w:r>
    </w:p>
    <w:p>
      <w:pPr>
        <w:spacing w:before="120" w:after="120"/>
      </w:pPr>
      <w:r>
        <w:rPr>
          <w:sz w:val="18"/>
        </w:rPr>
        <w:t>——————————————————————————————————————————————————————————————————————</w:t>
      </w:r>
    </w:p>
    <w:p>
      <w:pPr>
        <w:spacing w:before="160" w:after="40" w:line="240" w:lineRule="auto"/>
      </w:pPr>
      <w:r>
        <w:rPr>
          <w:b/>
        </w:rPr>
        <w:t xml:space="preserve">[226] </w:t>
      </w:r>
      <w:hyperlink r:id="rId600">
        <w:r>
          <w:rPr>
            <w:color w:val="1155CC"/>
            <w:u w:val="single"/>
          </w:rPr>
          <w:t>[ASAP] 受尼古丁启发的全新设计的SARS-CoV-2主蛋白酶抑制剂揭示了在催化二联体中共价结合半胱氨酸和组氨酸残基的独特化学</w:t>
        </w:r>
      </w:hyperlink>
    </w:p>
    <w:p>
      <w:pPr>
        <w:spacing w:before="0" w:after="80"/>
      </w:pPr>
      <w:r>
        <w:rPr>
          <w:i/>
          <w:sz w:val="20"/>
        </w:rPr>
        <w:t>EN: [ASAP] Nicotine-Inspired, De Novo-Designed SARS-CoV-2 Main Protease Inhibitors Reveal Unique Chemistry for Covalently Conjugating Both Cysteine and Histidine Residues in the Catalytic Dyad</w:t>
      </w:r>
    </w:p>
    <w:p>
      <w:pPr>
        <w:spacing w:before="0" w:after="120"/>
      </w:pPr>
      <w:r>
        <w:rPr>
          <w:b/>
        </w:rPr>
        <w:t xml:space="preserve">Source: </w:t>
      </w:r>
      <w:r>
        <w:t>Journal of the American Chemical Society: Latest Articles (ACS Publications)</w:t>
      </w:r>
      <w:r>
        <w:t xml:space="preserve">    </w:t>
      </w:r>
      <w:r>
        <w:rPr>
          <w:b/>
        </w:rPr>
        <w:t xml:space="preserve">Pub date: </w:t>
      </w:r>
      <w:r>
        <w:t>2026-04-14 08:53:17+00:00</w:t>
      </w:r>
      <w:r>
        <w:t xml:space="preserve">    </w:t>
      </w:r>
      <w:r>
        <w:rPr>
          <w:b/>
        </w:rPr>
        <w:t xml:space="preserve">DOI: </w:t>
      </w:r>
      <w:hyperlink r:id="rId601">
        <w:r>
          <w:rPr>
            <w:color w:val="1155CC"/>
            <w:u w:val="single"/>
          </w:rPr>
          <w:t>10.1021/jacs.6c01119</w:t>
        </w:r>
      </w:hyperlink>
    </w:p>
    <w:p>
      <w:pPr>
        <w:spacing w:before="0" w:after="120"/>
      </w:pPr>
      <w:r>
        <w:rPr>
          <w:b/>
        </w:rPr>
        <w:t xml:space="preserve">Notes: </w:t>
      </w:r>
      <w:r>
        <w:t>abstract_source=pubmed</w:t>
      </w:r>
    </w:p>
    <w:p>
      <w:pPr>
        <w:spacing w:before="0" w:after="80" w:lineRule="auto" w:line="276"/>
      </w:pPr>
      <w:r>
        <w:rPr>
          <w:b/>
        </w:rPr>
        <w:t xml:space="preserve">摘要（ZH）: </w:t>
      </w:r>
      <w:r>
        <w:t>关于吸烟者SARS-CoV-2感染率低的轶事报告促使寻找尼古丁及其热解产物作为SARS-CoV-2主蛋白酶(MPro)抑制剂。在此搜索中，3-乙烯基吡啶被发现是MPro S1亚位点的弱结合物，并随后用作共价抑制剂设计的de novo起点，迅速产生了一种高效抑制剂SR-A-174，其IC50值为60 nM。作为一种新型MPro抑制剂，SR-A-174具有N,N-二芳基-α,α-二氯乙酰胺骨架，促进了替代共价战斗头和各种N-取代基的快速探索，导致识别出多种具有强效抗病毒活性的抑制剂。确定了八种此类MPro抑制剂结构，均显示出共</w:t>
      </w:r>
    </w:p>
    <w:p>
      <w:pPr>
        <w:spacing w:before="0" w:after="200" w:lineRule="auto" w:line="276"/>
      </w:pPr>
      <w:r>
        <w:rPr>
          <w:b/>
        </w:rPr>
        <w:t xml:space="preserve">Abstract (EN): </w:t>
      </w:r>
      <w:r>
        <w:t>Anecdotal reports about smokers with low SARS-CoV-2 infection rates prompted a search for nicotine and its pyrolysis products as SARS-CoV-2 main protease (MPro) inhibitors. From this search, 3-vinylpyridine was discovered as a weak binder for the MPro S1 subsite and was used subsequently as a de novo starting point for covalent inhibitor design that quickly yielded a highly potent inhibitor, SR-A-174, with an IC50 value of 60 nM. Representing a novel class of MPro inhibitors, SR-A-174 features an N,N-diaryl-α,α-dichloroacetamide scaffold that facilitated rapid exploration of alternative covalent warheads and various N-substituents, leading to the identification of multiple inhibitors with potent antiviral activity. Eight such MPro inhibitor structures were determined, all demonstrating covalent binding to catalytic Cys145 of MPro. In six determined structures, binding is dominated by the covalent bond plus van der Waals contacts, which contrasts with the extensive hydrogen bond networks formed with peptidomimetic inhibitors such as nirmatrelvir. Strikingly, two N,N-diaryl-α,α-dichloroacetamide inhibitors exhibit an unprecedented dual covalent modification mode of the catalytic dyad, forming bonds to both Cys145 and His41 with a concomitant loss of both chlorides and displacing the inhibitors from the S1 subsite. This dyad-targeting reactivity suggests a novel route for bioconjugation of both cysteine and histidine.</w:t>
      </w:r>
    </w:p>
    <w:p>
      <w:pPr>
        <w:spacing w:before="120" w:after="120"/>
      </w:pPr>
      <w:r>
        <w:rPr>
          <w:sz w:val="18"/>
        </w:rPr>
        <w:t>——————————————————————————————————————————————————————————————————————</w:t>
      </w:r>
    </w:p>
    <w:p>
      <w:pPr>
        <w:spacing w:before="160" w:after="40" w:line="240" w:lineRule="auto"/>
      </w:pPr>
      <w:r>
        <w:rPr>
          <w:b/>
        </w:rPr>
        <w:t xml:space="preserve">[227] </w:t>
      </w:r>
      <w:hyperlink r:id="rId602">
        <w:r>
          <w:rPr>
            <w:color w:val="1155CC"/>
            <w:u w:val="single"/>
          </w:rPr>
          <w:t>[ASAP] 在Cu–Zn位点上通过氧空位的异质催化界面工程实现低温甲醇合成</w:t>
        </w:r>
      </w:hyperlink>
    </w:p>
    <w:p>
      <w:pPr>
        <w:spacing w:before="0" w:after="80"/>
      </w:pPr>
      <w:r>
        <w:rPr>
          <w:i/>
          <w:sz w:val="20"/>
        </w:rPr>
        <w:t>EN: [ASAP] Heterogeneous Catalytic Interface Engineering of Oxygen Vacancies on Cu–Zn Sites for Low-Temperature Methanol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2026-04-14 11:10:55+00:00</w:t>
      </w:r>
      <w:r>
        <w:t xml:space="preserve">    </w:t>
      </w:r>
      <w:r>
        <w:rPr>
          <w:b/>
        </w:rPr>
        <w:t xml:space="preserve">DOI: </w:t>
      </w:r>
      <w:hyperlink r:id="rId603">
        <w:r>
          <w:rPr>
            <w:color w:val="1155CC"/>
            <w:u w:val="single"/>
          </w:rPr>
          <w:t>10.1021/jacs.6c02328</w:t>
        </w:r>
      </w:hyperlink>
    </w:p>
    <w:p>
      <w:pPr>
        <w:spacing w:before="0" w:after="120"/>
      </w:pPr>
      <w:r>
        <w:rPr>
          <w:b/>
        </w:rPr>
        <w:t xml:space="preserve">Notes: </w:t>
      </w:r>
      <w:r>
        <w:t>abstract_source=pubmed</w:t>
      </w:r>
    </w:p>
    <w:p>
      <w:pPr>
        <w:spacing w:before="0" w:after="80" w:lineRule="auto" w:line="276"/>
      </w:pPr>
      <w:r>
        <w:rPr>
          <w:b/>
        </w:rPr>
        <w:t xml:space="preserve">摘要（ZH）: </w:t>
      </w:r>
      <w:r>
        <w:t>尽管在低温下从含CO2的合成气合成甲醇是一种高效的化学能量储存途径，但Cu/ZnO基催化剂的活性和稳定性有限仍然是主要障碍。在此，我们证明了引入Ba在Cu-Zn位点诱导了氧空位介导的异质催化界面，显著提高了低温甲醇合成的活性和耐久性。通过精确调节界面氧空位的浓度，实现了高达21.2 × 10-3 s-1的周转频率（TOF）和655.17 g kgcat-1 h-1的甲醇时空产率（STY）。同时，Ba的掺入增加了暴露的Cu0表面积，改善了Cu的分散，抑制了Cu颗粒的烧结，并丰富了表面。</w:t>
      </w:r>
    </w:p>
    <w:p>
      <w:pPr>
        <w:spacing w:before="0" w:after="200" w:lineRule="auto" w:line="276"/>
      </w:pPr>
      <w:r>
        <w:rPr>
          <w:b/>
        </w:rPr>
        <w:t xml:space="preserve">Abstract (EN): </w:t>
      </w:r>
      <w:r>
        <w:t>Despite the synthesis of methanol from CO2-containing syngas at low temperature represents an efficient route for chemical energy storage, the limited activity and stability of Cu/ZnO-based catalysts remain major obstacles. Here, we demonstrate that the introduction of Ba induces oxygen-vacancy-mediated heterogeneous catalytic interfaces at Cu-Zn sites, markedly enhancing both the activity and durability of low-temperature methanol synthesis. By precisely regulating the concentration of interfacial oxygen vacancies, a turnover frequency (TOF) as high as 21.2 × 10-3 s-1 and a methanol space-time yield (STY) of 655.17 g kgcat-1 h-1 are achieved. Simultaneously, Ba incorporation increases the exposed Cu0 surface area, improves Cu dispersion, suppresses Cu particle sintering, and enriches surface basic sites. Density functional theory calculations further reveal that oxygen vacancies preferentially form at the Cu-Zn interfacial region and act as the primary active sites for low-temperature methanol synthesis. These findings establish that interfacial oxygen-vacancy engineering is an effective strategy for advancing methanol production at low temperatures.</w:t>
      </w:r>
    </w:p>
    <w:p>
      <w:pPr>
        <w:spacing w:before="120" w:after="120"/>
      </w:pPr>
      <w:r>
        <w:rPr>
          <w:sz w:val="18"/>
        </w:rPr>
        <w:t>——————————————————————————————————————————————————————————————————————</w:t>
      </w:r>
    </w:p>
    <w:p>
      <w:pPr>
        <w:spacing w:before="160" w:after="40" w:line="240" w:lineRule="auto"/>
      </w:pPr>
      <w:r>
        <w:rPr>
          <w:b/>
        </w:rPr>
        <w:t xml:space="preserve">[228] </w:t>
      </w:r>
      <w:hyperlink r:id="rId604">
        <w:r>
          <w:rPr>
            <w:color w:val="1155CC"/>
            <w:u w:val="single"/>
          </w:rPr>
          <w:t>[ASAP] 为高效CO2电还原为乙醇量身定制双功能离聚物</w:t>
        </w:r>
      </w:hyperlink>
    </w:p>
    <w:p>
      <w:pPr>
        <w:spacing w:before="0" w:after="80"/>
      </w:pPr>
      <w:r>
        <w:rPr>
          <w:i/>
          <w:sz w:val="20"/>
        </w:rPr>
        <w:t>EN: [ASAP] Tailoring Dual-Functional Ionomers for Efficient CO2 Electroreduction to Ethanol</w:t>
      </w:r>
    </w:p>
    <w:p>
      <w:pPr>
        <w:spacing w:before="0" w:after="120"/>
      </w:pPr>
      <w:r>
        <w:rPr>
          <w:b/>
        </w:rPr>
        <w:t xml:space="preserve">Source: </w:t>
      </w:r>
      <w:r>
        <w:t>Journal of the American Chemical Society: Latest Articles (ACS Publications)</w:t>
      </w:r>
      <w:r>
        <w:t xml:space="preserve">    </w:t>
      </w:r>
      <w:r>
        <w:rPr>
          <w:b/>
        </w:rPr>
        <w:t xml:space="preserve">Pub date: </w:t>
      </w:r>
      <w:r>
        <w:t>2026-04-14 11:37:05+00:00</w:t>
      </w:r>
      <w:r>
        <w:t xml:space="preserve">    </w:t>
      </w:r>
      <w:r>
        <w:rPr>
          <w:b/>
        </w:rPr>
        <w:t xml:space="preserve">DOI: </w:t>
      </w:r>
      <w:hyperlink r:id="rId605">
        <w:r>
          <w:rPr>
            <w:color w:val="1155CC"/>
            <w:u w:val="single"/>
          </w:rPr>
          <w:t>10.1021/jacs.5c20004</w:t>
        </w:r>
      </w:hyperlink>
    </w:p>
    <w:p>
      <w:pPr>
        <w:spacing w:before="0" w:after="120"/>
      </w:pPr>
      <w:r>
        <w:rPr>
          <w:b/>
        </w:rPr>
        <w:t xml:space="preserve">Notes: </w:t>
      </w:r>
      <w:r>
        <w:t>abstract_source=pubmed</w:t>
      </w:r>
    </w:p>
    <w:p>
      <w:pPr>
        <w:spacing w:before="0" w:after="80" w:lineRule="auto" w:line="276"/>
      </w:pPr>
      <w:r>
        <w:rPr>
          <w:b/>
        </w:rPr>
        <w:t xml:space="preserve">摘要（ZH）: </w:t>
      </w:r>
      <w:r>
        <w:t>通过电化学CO2还原反应（CO2RR）生产醇类提供了一条可持续的资源利用和能量储存途径。然而，实现长期性能的持续高效CO2到乙醇转化仍然是一个挑战。在此，我们提出了一种离子聚合物微环境工程策略，首次证明了功能化离子聚合物有效提升了CO2RR中乙醇转化的性能。设计并合成了聚[2-丙烯酰胺-2-甲基丙磺酸-co-(2-甲基-2-(三氟甲基磺酰胺基)丙基甲基丙烯酸酯)-co-(1-乙烯基-3-丁基咪唑六氟磷酸盐)]离子聚合物（PAMV），其包含亲水和亲CO2的结构单元，从而创造了一个增强的微环境。</w:t>
      </w:r>
    </w:p>
    <w:p>
      <w:pPr>
        <w:spacing w:before="0" w:after="200" w:lineRule="auto" w:line="276"/>
      </w:pPr>
      <w:r>
        <w:rPr>
          <w:b/>
        </w:rPr>
        <w:t xml:space="preserve">Abstract (EN): </w:t>
      </w:r>
      <w:r>
        <w:t>Alcohols production through the electrochemical CO2 reduction reaction (CO2RR) provides a sustainable route for resource utilization and energy storage. However, achieving sustained and efficient CO2-to-ethanol conversion with long-term performance remains a challenge. Here, we propose an ionomer microenvironment engineering strategy that demonstrates that the functionalized ionomer effectively boosts the performance toward ethanol conversion in the CO2RR for the first time. The poly[2-acrylamido-2-methylpropanesulfonic acid-co-(2-methyl-2-(trifluoromethylsulfonamido)propyl methacrylate)-co-(1-vinyl-3-butylimidazolium hexafluorophosphate)] ionomer (PAMV) is designed and synthesized, which contains both hydrophilic and CO2-philic structural units, thus creating a microenvironment to enhance the adsorption of both water and CO2. Using commercial copper nanoparticles as the catalyst, 57.3% ethanol faradaic efficiency (FE) and 29.3% cathodic energy efficiency (CEE) are achieved over PAMV-Cu based gas diffusion electrodes in bicarbonate electrolyte. This performance is approximately 4 times that of the commonly used commercial Nafion ionomer under the same conditions. Long-term electrolysis demonstrates its prominent ability to inhibit salt precipitation and H2 evolution. Experimental and theoretical studies reveal that the functionalized structural units in PAMV modulate the mass transfer of CO2 and H2O on the interface of the Cu catalyst, promoting the formation of *CO intermediate and enhancing the thermodynamic competitiveness of the ethanol production pathway. This work provides a novel ionomer-engineered approach for modulating electrocatalytic reactions, which offers a robust and convenient solution for the efficient conversion of CO2 to value-added products.</w:t>
      </w:r>
    </w:p>
    <w:p>
      <w:pPr>
        <w:spacing w:before="120" w:after="120"/>
      </w:pPr>
      <w:r>
        <w:rPr>
          <w:sz w:val="18"/>
        </w:rPr>
        <w:t>——————————————————————————————————————————————————————————————————————</w:t>
      </w:r>
    </w:p>
    <w:p>
      <w:pPr>
        <w:spacing w:before="160" w:after="40" w:line="240" w:lineRule="auto"/>
      </w:pPr>
      <w:r>
        <w:rPr>
          <w:b/>
        </w:rPr>
        <w:t xml:space="preserve">[229] </w:t>
      </w:r>
      <w:hyperlink r:id="rId606">
        <w:r>
          <w:rPr>
            <w:color w:val="1155CC"/>
            <w:u w:val="single"/>
          </w:rPr>
          <w:t>钯/光氧化还原催化的三组分偶联用于糖缀合</w:t>
        </w:r>
      </w:hyperlink>
    </w:p>
    <w:p>
      <w:pPr>
        <w:spacing w:before="0" w:after="80"/>
      </w:pPr>
      <w:r>
        <w:rPr>
          <w:i/>
          <w:sz w:val="20"/>
        </w:rPr>
        <w:t>EN: Palladium/Photoredox‐Catalyzed Three‐Component Coupling for Glycoconjugation</w:t>
      </w:r>
    </w:p>
    <w:p>
      <w:pPr>
        <w:spacing w:before="0" w:after="120"/>
      </w:pPr>
      <w:r>
        <w:rPr>
          <w:b/>
        </w:rPr>
        <w:t xml:space="preserve">Source: </w:t>
      </w:r>
      <w:r>
        <w:t>Wiley: Angewandte Chemie International Edition: Table of Contents</w:t>
      </w:r>
      <w:r>
        <w:t xml:space="preserve">    </w:t>
      </w:r>
      <w:r>
        <w:rPr>
          <w:b/>
        </w:rPr>
        <w:t xml:space="preserve">Pub date: </w:t>
      </w:r>
      <w:r>
        <w:t>2026-04-14 11:40:33+00:00</w:t>
      </w:r>
      <w:r>
        <w:t xml:space="preserve">    </w:t>
      </w:r>
      <w:r>
        <w:rPr>
          <w:b/>
        </w:rPr>
        <w:t xml:space="preserve">DOI: </w:t>
      </w:r>
      <w:hyperlink r:id="rId607">
        <w:r>
          <w:rPr>
            <w:color w:val="1155CC"/>
            <w:u w:val="single"/>
          </w:rPr>
          <w:t>10.1002/anie.5026514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糖缀合——在分子靶标上安装糖基团——是一种强有力的策略，用于调节生物功能。然而，碳水化合物供体和苷元受体的内在结构复杂性长期以来使这一努力成为一个艰巨的合成障碍。尽管钯催化的烯丙基取代反应被广泛用于构建复杂框架，但其在糖缀合中的应用仍然稀少。在此，我们披露了一种可见光驱动的、Pd(0)催化的三组分偶联反应，能够组装复杂的糖缀合物。该方案采用易得的、稳定的邻碘联苯</w:t>
      </w:r>
      <w:r>
        <w:t xml:space="preserve"> </w:t>
      </w:r>
      <w:r>
        <w:t>S</w:t>
      </w:r>
      <w:r>
        <w:t xml:space="preserve"> </w:t>
      </w:r>
      <w:r>
        <w:t>-糖苷作为糖基供体，并通过糖基自由基中间体进行反应。</w:t>
      </w:r>
    </w:p>
    <w:p>
      <w:pPr>
        <w:spacing w:before="0" w:after="200" w:lineRule="auto" w:line="276"/>
      </w:pPr>
      <w:r>
        <w:rPr>
          <w:b/>
        </w:rPr>
        <w:t xml:space="preserve">Abstract (EN): </w:t>
      </w:r>
      <w:r>
        <w:t>Glycoconjugation—the installation of sugar moieties onto molecular targets—represents a powerful strategy for modulating biological functions, yet the intrinsic structural intricacy of both carbohydrate donors and aglycone acceptors has long rendered this endeavor a formidable synthetic hurdle. Although the Pd‐catalyzed allylic substitution is widely exploited to build complex frameworks, its use in glycoconjugation remains scarce. Here we disclose a visible‐light‐driven, Pd(0)‐catalyzed, three‐component coupling that assembles elaborate glycoconjugates. The protocol employs readily accessible, bench‐stable ortho‐iodobiphenyl</w:t>
      </w:r>
      <w:r>
        <w:t xml:space="preserve"> </w:t>
      </w:r>
      <w:r>
        <w:t>S</w:t>
      </w:r>
      <w:r>
        <w:t xml:space="preserve"> </w:t>
      </w:r>
      <w:r>
        <w:t>‐glycosides as glycosyl donors, and proceeds through glycosyl radical intermediates. The Pd(0) catalyst serves dual roles: it liberates glycosyl radicals from the</w:t>
      </w:r>
      <w:r>
        <w:t xml:space="preserve"> </w:t>
      </w:r>
      <w:r>
        <w:t>S</w:t>
      </w:r>
      <w:r>
        <w:t xml:space="preserve"> </w:t>
      </w:r>
      <w:r>
        <w:t>‐glycosides and converts these radicals, together with 1,3‐butadiene, into closed‐shell allyl‐Pd electrophiles. Capture of these allyl‐Pd complexes by diverse nucleophiles delivers the corresponding glycoconjugates. The transformation, showcasing a strategy to deploy the Pd‐catalyzed allylic substitution in glycoconjugation, exhibits broad functional‐group compatibility and enables late‐stage modification of oligopeptides and bioactive small molecules. Experimental studies provide insights into the reaction mechanism and elucidate the origin of glycosyl radicals.</w:t>
      </w:r>
    </w:p>
    <w:p>
      <w:pPr>
        <w:spacing w:before="120" w:after="120"/>
      </w:pPr>
      <w:r>
        <w:rPr>
          <w:sz w:val="18"/>
        </w:rPr>
        <w:t>——————————————————————————————————————————————————————————————————————</w:t>
      </w:r>
    </w:p>
    <w:p>
      <w:pPr>
        <w:spacing w:before="160" w:after="40" w:line="240" w:lineRule="auto"/>
      </w:pPr>
      <w:r>
        <w:rPr>
          <w:b/>
        </w:rPr>
        <w:t xml:space="preserve">[230] </w:t>
      </w:r>
      <w:hyperlink r:id="rId608">
        <w:r>
          <w:rPr>
            <w:color w:val="1155CC"/>
            <w:u w:val="single"/>
          </w:rPr>
          <w:t>一种假激酶催化海洋毒素生物合成中的腈形成</w:t>
        </w:r>
      </w:hyperlink>
    </w:p>
    <w:p>
      <w:pPr>
        <w:spacing w:before="0" w:after="80"/>
      </w:pPr>
      <w:r>
        <w:rPr>
          <w:i/>
          <w:sz w:val="20"/>
        </w:rPr>
        <w:t>EN: A Pseudokinase Catalyzes Nitrile Formation in the Biosynthesis of a Potent Marine Toxin</w:t>
      </w:r>
    </w:p>
    <w:p>
      <w:pPr>
        <w:spacing w:before="0" w:after="120"/>
      </w:pPr>
      <w:r>
        <w:rPr>
          <w:b/>
        </w:rPr>
        <w:t xml:space="preserve">Source: </w:t>
      </w:r>
      <w:r>
        <w:t>Wiley: Angewandte Chemie International Edition: Table of Contents</w:t>
      </w:r>
      <w:r>
        <w:t xml:space="preserve">    </w:t>
      </w:r>
      <w:r>
        <w:rPr>
          <w:b/>
        </w:rPr>
        <w:t xml:space="preserve">Pub date: </w:t>
      </w:r>
      <w:r>
        <w:t>2026-04-14 12:01:37+00:00</w:t>
      </w:r>
      <w:r>
        <w:t xml:space="preserve">    </w:t>
      </w:r>
      <w:r>
        <w:rPr>
          <w:b/>
        </w:rPr>
        <w:t xml:space="preserve">DOI: </w:t>
      </w:r>
      <w:hyperlink r:id="rId609">
        <w:r>
          <w:rPr>
            <w:color w:val="1155CC"/>
            <w:u w:val="single"/>
          </w:rPr>
          <w:t>10.1002/anie.3054919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几种以前被认为是无活性酶的假激酶由于缺乏催化残基，能够催化核苷酸化。虽然它们通常在初级代谢中利用蛋白质和RNA等大分子底物，但在专门代谢中作用于非大分子的假激酶有限。Calyculin A是一种由未培养的海绵共生体产生的细胞毒性天然产物，其四烯尾端具有独特的腈基。尽管其生物合成基因簇（BGC）已被鉴定，但负责腈基形成的酶仍然未知。在此，通过对来自不同来源的共生细菌中calyculin衍生物的BGC进行比较分析，我们鉴定出一种新型腈基形成酶CalN。虽然CalN缺乏s</w:t>
      </w:r>
    </w:p>
    <w:p>
      <w:pPr>
        <w:spacing w:before="0" w:after="200" w:lineRule="auto" w:line="276"/>
      </w:pPr>
      <w:r>
        <w:rPr>
          <w:b/>
        </w:rPr>
        <w:t xml:space="preserve">Abstract (EN): </w:t>
      </w:r>
      <w:r>
        <w:t>Several pseudokinases, previously regarded as dead enzymes due to the lack of catalytic residues, catalyze nucleotidylation. While they often utilize macromolecular substrates such as proteins and RNAs in primary metabolism, those acting on non‐macromolecules in specialized metabolisms are limited. Calyculin A, a cytotoxic natural product produced by an uncultured sponge symbiont, possesses a unique nitrile group at the end of its tetraene tail. Even though its biosynthetic gene cluster (BGC) has been identified, the enzyme responsible for nitrile formation remains unknown. Herein, through a comparative analysis of the BGCs for calyculin derivatives in symbiotic bacteria from distinct sources, we identified a novel nitrile‐forming enzyme, CalN. While CalN lacks sequence homology with other known nitrile‐forming enzymes, it is structurally similar to pseudokinases. In vitro enzymatic reactions demonstrated that CalN specifically catalyzes nitrile formation through the adenylation of an amide substrate, calyculinamide A. In silico analyses and mutational experiments showed that CalN's structure features a unique insertion that plays critical roles in ATP recognition and the spatial coordination of catalytic residues. This study not only identifies a new family of nitrile‐forming enzymes but also expands the variety of chemical reactions mediated by pseudokinases in nature.</w:t>
      </w:r>
    </w:p>
    <w:p>
      <w:pPr>
        <w:spacing w:before="120" w:after="120"/>
      </w:pPr>
      <w:r>
        <w:rPr>
          <w:sz w:val="18"/>
        </w:rPr>
        <w:t>——————————————————————————————————————————————————————————————————————</w:t>
      </w:r>
    </w:p>
    <w:p>
      <w:pPr>
        <w:spacing w:before="160" w:after="40" w:line="240" w:lineRule="auto"/>
      </w:pPr>
      <w:r>
        <w:rPr>
          <w:b/>
        </w:rPr>
        <w:t xml:space="preserve">[231] </w:t>
      </w:r>
      <w:hyperlink r:id="rId610">
        <w:r>
          <w:rPr>
            <w:color w:val="1155CC"/>
            <w:u w:val="single"/>
          </w:rPr>
          <w:t>[ASAP] 化学键合T/TT Nb2O5异质结，具有强内部电场，用于高性能电致变色智能窗</w:t>
        </w:r>
      </w:hyperlink>
    </w:p>
    <w:p>
      <w:pPr>
        <w:spacing w:before="0" w:after="80"/>
      </w:pPr>
      <w:r>
        <w:rPr>
          <w:i/>
          <w:sz w:val="20"/>
        </w:rPr>
        <w:t>EN: [ASAP] Chemically Bonded T/TT Nb2O5 Heterojunctions with a Strong Internal Electric Field for High Performance Electrochromic Smart Windows</w:t>
      </w:r>
    </w:p>
    <w:p>
      <w:pPr>
        <w:spacing w:before="0" w:after="120"/>
      </w:pPr>
      <w:r>
        <w:rPr>
          <w:b/>
        </w:rPr>
        <w:t xml:space="preserve">Source: </w:t>
      </w:r>
      <w:r>
        <w:t>ACS Energy Letters: Latest Articles (ACS Publications)</w:t>
      </w:r>
      <w:r>
        <w:t xml:space="preserve">    </w:t>
      </w:r>
      <w:r>
        <w:rPr>
          <w:b/>
        </w:rPr>
        <w:t xml:space="preserve">Pub date: </w:t>
      </w:r>
      <w:r>
        <w:t>2026-04-14 12:08:36+00:00</w:t>
      </w:r>
      <w:r>
        <w:t xml:space="preserve">    </w:t>
      </w:r>
      <w:r>
        <w:rPr>
          <w:b/>
        </w:rPr>
        <w:t xml:space="preserve">DOI: </w:t>
      </w:r>
      <w:hyperlink r:id="rId611">
        <w:r>
          <w:rPr>
            <w:color w:val="1155CC"/>
            <w:u w:val="single"/>
          </w:rPr>
          <w:t>10.1021/acsenergylett.6c00468</w:t>
        </w:r>
      </w:hyperlink>
    </w:p>
    <w:p>
      <w:pPr>
        <w:spacing w:before="0" w:after="120"/>
      </w:pPr>
      <w:r>
        <w:rPr>
          <w:b/>
        </w:rPr>
        <w:t xml:space="preserve">Notes: </w:t>
      </w:r>
      <w:r>
        <w:t>abstract_source=openalex</w:t>
      </w:r>
    </w:p>
    <w:p>
      <w:pPr>
        <w:spacing w:before="0" w:after="80" w:lineRule="auto" w:line="276"/>
      </w:pPr>
      <w:r>
        <w:rPr>
          <w:b/>
        </w:rPr>
        <w:t xml:space="preserve">摘要（ZH）: </w:t>
      </w:r>
      <w:r>
        <w:t>过渡金属氧化物是节能智能窗电致变色材料中的一个重要类别。然而，反应动力学对于高电致变色性能至关重要，但由于固有的低电导率而受到阻碍。在此，我们利用自发相变策略，在化学键合的异质界面内引入内部电场以克服这一限制。我们通过实验和理论证明了加速的离子扩散动力学，Li+扩散能垒从0.48 eV显著降低到0.19 eV，实现了大光学调制（85.0%）和快速切换速度（着色和漂白分别为7.3和5.3秒）。最终的设备展示了显著的热管理和节能效果。</w:t>
      </w:r>
    </w:p>
    <w:p>
      <w:pPr>
        <w:spacing w:before="0" w:after="200" w:lineRule="auto" w:line="276"/>
      </w:pPr>
      <w:r>
        <w:rPr>
          <w:b/>
        </w:rPr>
        <w:t xml:space="preserve">Abstract (EN): </w:t>
      </w:r>
      <w:r>
        <w:t>Transition metal oxides represent a prominent class of electrochromic materials for energy-saving smart windows. However, the reaction kinetics, essential for high electrochromic performance, has been hampered by inherently low electrical conductivity. Herein, we utilize a spontaneous phase transition strategy that introduces an internal electric field within a chemically bonded heterointerface to overcome this limitation. We demonstrate, both experimentally and theoretically, accelerated ion diffusion kinetics, with the Li+ diffusion energy barrier dramatically reduced from 0.48 to 0.19 eV, enabling large optical modulation (85.0%) and fast switching speed (7.3 and 5.3 s for coloring and bleaching, respectively). The resulting device demonstrates notable thermal management and energy-saving performance, achieving an impressive indoor temperature modulation of 13.1 °C and energy savings of up to 19%.</w:t>
      </w:r>
    </w:p>
    <w:p>
      <w:pPr>
        <w:spacing w:before="120" w:after="120"/>
      </w:pPr>
      <w:r>
        <w:rPr>
          <w:sz w:val="18"/>
        </w:rPr>
        <w:t>——————————————————————————————————————————————————————————————————————</w:t>
      </w:r>
    </w:p>
    <w:p>
      <w:pPr>
        <w:spacing w:before="160" w:after="40" w:line="240" w:lineRule="auto"/>
      </w:pPr>
      <w:r>
        <w:rPr>
          <w:b/>
        </w:rPr>
        <w:t xml:space="preserve">[232] </w:t>
      </w:r>
      <w:hyperlink r:id="rId612">
        <w:r>
          <w:rPr>
            <w:color w:val="1155CC"/>
            <w:u w:val="single"/>
          </w:rPr>
          <w:t>二维材料实现智能多光谱电磁响应和设备</w:t>
        </w:r>
      </w:hyperlink>
    </w:p>
    <w:p>
      <w:pPr>
        <w:spacing w:before="0" w:after="80"/>
      </w:pPr>
      <w:r>
        <w:rPr>
          <w:i/>
          <w:sz w:val="20"/>
        </w:rPr>
        <w:t>EN: 2D Materials Enabling Intelligent Multispectral Electromagnetic Responses and Devices</w:t>
      </w:r>
    </w:p>
    <w:p>
      <w:pPr>
        <w:spacing w:before="0" w:after="120"/>
      </w:pPr>
      <w:r>
        <w:rPr>
          <w:b/>
        </w:rPr>
        <w:t xml:space="preserve">Source: </w:t>
      </w:r>
      <w:r>
        <w:t>Wiley: Advanced Materials: Table of Contents</w:t>
      </w:r>
      <w:r>
        <w:t xml:space="preserve">    </w:t>
      </w:r>
      <w:r>
        <w:rPr>
          <w:b/>
        </w:rPr>
        <w:t xml:space="preserve">Pub date: </w:t>
      </w:r>
      <w:r>
        <w:t>2026-04-14 12:32:58+00:00</w:t>
      </w:r>
      <w:r>
        <w:t xml:space="preserve">    </w:t>
      </w:r>
      <w:r>
        <w:rPr>
          <w:b/>
        </w:rPr>
        <w:t xml:space="preserve">DOI: </w:t>
      </w:r>
      <w:hyperlink r:id="rId613">
        <w:r>
          <w:rPr>
            <w:color w:val="1155CC"/>
            <w:u w:val="single"/>
          </w:rPr>
          <w:t>10.1002/adma.73095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6G通信、光电集成和先进隐身技术的快速发展，电磁功能材料越来越需要在微波、太赫兹和光学频段实现协同宽带响应，这对多光谱电磁响应机制和器件创新的突破提出了迫切需求。本文系统回顾了二维电磁材料及其衍生多光谱器件的研究进展，特别强调阐明材料结构、电磁特性和多光谱响应行为之间的关联。我们系统展望了多光谱电磁响应未来的发展方向。</w:t>
      </w:r>
    </w:p>
    <w:p>
      <w:pPr>
        <w:spacing w:before="0" w:after="200" w:lineRule="auto" w:line="276"/>
      </w:pPr>
      <w:r>
        <w:rPr>
          <w:b/>
        </w:rPr>
        <w:t xml:space="preserve">Abstract (EN): </w:t>
      </w:r>
      <w:r>
        <w:t>With the rapid development of 6G communication, optoelectronic integration, and advanced stealth technologies, electromagnetic functional materials are increasingly required to achieve collaborative broadband responses across microwave, terahertz, and optical bands, posing urgent demands for breakthroughs in multispectral electromagnetic response mechanisms and device innovation. This perspective systematically reviews the research advances in 2D electromagnetic materials and their derived multispectral devices, with a particular emphasis on elucidating the correlations between material structures, electromagnetic properties, and multispectral response behaviors. We systematically look ahead at the future development directions of multi—spectral electromagnetic responses and devices from five key aspects, encompassing cross‐domain signal conversion systems, environment‐driven full‐spectrum adaptive reconstruction, interface polarization engineering of low‐dimensional nanomaterials, cross‐domain integration under extreme environments, and programmability of dynamic spectral responses. These guidelines are intended to lay a theoretical and technical foundation for advancing the development of next‐generation intelligent electromagnetic systems, thereby facilitating their applications in fields such as communications, sensing, medicine, and national defense.</w:t>
      </w:r>
    </w:p>
    <w:p>
      <w:pPr>
        <w:spacing w:before="120" w:after="120"/>
      </w:pPr>
      <w:r>
        <w:rPr>
          <w:sz w:val="18"/>
        </w:rPr>
        <w:t>——————————————————————————————————————————————————————————————————————</w:t>
      </w:r>
    </w:p>
    <w:p>
      <w:pPr>
        <w:spacing w:before="160" w:after="40" w:line="240" w:lineRule="auto"/>
      </w:pPr>
      <w:r>
        <w:rPr>
          <w:b/>
        </w:rPr>
        <w:t xml:space="preserve">[233] </w:t>
      </w:r>
      <w:hyperlink r:id="rId614">
        <w:r>
          <w:rPr>
            <w:color w:val="1155CC"/>
            <w:u w:val="single"/>
          </w:rPr>
          <w:t>[ASAP] 用于多重和无标记细菌检测的非对称双桶纳米移液管中的酶电荷转换</w:t>
        </w:r>
      </w:hyperlink>
    </w:p>
    <w:p>
      <w:pPr>
        <w:spacing w:before="0" w:after="80"/>
      </w:pPr>
      <w:r>
        <w:rPr>
          <w:i/>
          <w:sz w:val="20"/>
        </w:rPr>
        <w:t>EN: [ASAP] Enzymatic Charge Switching in Asymmetric Dual-Barrel Nanopipettes for Multiplex and Label-Free Bacterial Detection</w:t>
      </w:r>
    </w:p>
    <w:p>
      <w:pPr>
        <w:spacing w:before="0" w:after="120"/>
      </w:pPr>
      <w:r>
        <w:rPr>
          <w:b/>
        </w:rPr>
        <w:t xml:space="preserve">Source: </w:t>
      </w:r>
      <w:r>
        <w:t>Journal of the American Chemical Society: Latest Articles (ACS Publications)</w:t>
      </w:r>
      <w:r>
        <w:t xml:space="preserve">    </w:t>
      </w:r>
      <w:r>
        <w:rPr>
          <w:b/>
        </w:rPr>
        <w:t xml:space="preserve">Pub date: </w:t>
      </w:r>
      <w:r>
        <w:t>2026-04-14 12:41:53+00:00</w:t>
      </w:r>
      <w:r>
        <w:t xml:space="preserve">    </w:t>
      </w:r>
      <w:r>
        <w:rPr>
          <w:b/>
        </w:rPr>
        <w:t xml:space="preserve">DOI: </w:t>
      </w:r>
      <w:hyperlink r:id="rId615">
        <w:r>
          <w:rPr>
            <w:color w:val="1155CC"/>
            <w:u w:val="single"/>
          </w:rPr>
          <w:t>10.1021/jacs.5c23220</w:t>
        </w:r>
      </w:hyperlink>
    </w:p>
    <w:p>
      <w:pPr>
        <w:spacing w:before="0" w:after="120"/>
      </w:pPr>
      <w:r>
        <w:rPr>
          <w:b/>
        </w:rPr>
        <w:t xml:space="preserve">Notes: </w:t>
      </w:r>
      <w:r>
        <w:t>abstract_source=pubmed</w:t>
      </w:r>
    </w:p>
    <w:p>
      <w:pPr>
        <w:spacing w:before="0" w:after="80" w:lineRule="auto" w:line="276"/>
      </w:pPr>
      <w:r>
        <w:rPr>
          <w:b/>
        </w:rPr>
        <w:t xml:space="preserve">摘要（ZH）: </w:t>
      </w:r>
      <w:r>
        <w:t>细菌检测仍然是全球公共卫生的挑战，要求快速而精确的检测策略。传统的核酸或抗原检测方法面临高成本和污染风险的挑战。相反，细菌酶由于其菌株特异性表达和固有的催化放大能力，成为有吸引力的目标。在此，我们开发了一种酶响应的双通道纳米移液管，具有异质改性的纳米界面，用于灵敏、无标记、多重细菌检测。两个独立功能化的通道结合了酶触发的表面电荷切换与纳米流体离子电流整流（ICR）表征。暴露于β-半乳糖苷酶（β-Gal）或β-葡萄糖醛酸酶（β-Glu）会选择性地改变通道表面电荷。</w:t>
      </w:r>
    </w:p>
    <w:p>
      <w:pPr>
        <w:spacing w:before="0" w:after="200" w:lineRule="auto" w:line="276"/>
      </w:pPr>
      <w:r>
        <w:rPr>
          <w:b/>
        </w:rPr>
        <w:t xml:space="preserve">Abstract (EN): </w:t>
      </w:r>
      <w:r>
        <w:t>Bacterial detection remains a global public health challenge, demanding rapid and precise detection strategies. Conventional nucleic acid or antigen-based assays face challenges of high costs and contamination risks. Conversely, bacterial enzymes represent attractive targets due to their strain-specific expression and inherent catalytic amplification capacity. Herein, we developed an enzyme-responsive dual-barrel nanopipette with heterogeneously modified nanointerfaces for sensitive, label-free, multiplex bacterial detection. Two independently functionalized channels integrate enzyme-triggered surface charge switching with nanofluidic ionic current rectification (ICR) characterization. Exposure to β-galactosidase (β-Gal) or β-glucuronidase (β-Glu) selectively alters channel surface charges, thereby modulating interchannel charge asymmetry. Leveraging bacterial enzymatic fingerprints, the nanopipette generates species-specific ICR signatures for label-free quantification within 30 min, achieving detection limits of 12 CFU/mL for E. coli and 126 CFU/mL for K. pneumoniae. The practical applicability was validated across diverse complex matrices: recovery rates of 97.49-106.94% in milk and drinking water, and 101.37-113.91% in serum (5000-50,000 CFU/mL), demonstrating its potential for diagnosing moderate bacterial infections. The innovation lies in the label-free operation, rapid response, and multiplexing capability of this sensor, which addresses critical limitations in current bacterial monitoring systems and offers a cost-effective on-site pathogen screening platform for applications spanning food safety and clinical diagnostics.</w:t>
      </w:r>
    </w:p>
    <w:p>
      <w:pPr>
        <w:spacing w:before="120" w:after="120"/>
      </w:pPr>
      <w:r>
        <w:rPr>
          <w:sz w:val="18"/>
        </w:rPr>
        <w:t>——————————————————————————————————————————————————————————————————————</w:t>
      </w:r>
    </w:p>
    <w:p>
      <w:pPr>
        <w:spacing w:before="160" w:after="40" w:line="240" w:lineRule="auto"/>
      </w:pPr>
      <w:r>
        <w:rPr>
          <w:b/>
        </w:rPr>
        <w:t xml:space="preserve">[234] </w:t>
      </w:r>
      <w:hyperlink r:id="rId616">
        <w:r>
          <w:rPr>
            <w:color w:val="1155CC"/>
            <w:u w:val="single"/>
          </w:rPr>
          <w:t>[ASAP] 在HFIP中快速选择性标记丝氨酸和苏氨酸，以便于肽醇侧链的编辑</w:t>
        </w:r>
      </w:hyperlink>
    </w:p>
    <w:p>
      <w:pPr>
        <w:spacing w:before="0" w:after="80"/>
      </w:pPr>
      <w:r>
        <w:rPr>
          <w:i/>
          <w:sz w:val="20"/>
        </w:rPr>
        <w:t>EN: [ASAP] Fast and Selective Labeling of Serine and Threonine in HFIP for Facile Editing of Peptide Alcohol Side Chains</w:t>
      </w:r>
    </w:p>
    <w:p>
      <w:pPr>
        <w:spacing w:before="0" w:after="120"/>
      </w:pPr>
      <w:r>
        <w:rPr>
          <w:b/>
        </w:rPr>
        <w:t xml:space="preserve">Source: </w:t>
      </w:r>
      <w:r>
        <w:t>Journal of the American Chemical Society: Latest Articles (ACS Publications)</w:t>
      </w:r>
      <w:r>
        <w:t xml:space="preserve">    </w:t>
      </w:r>
      <w:r>
        <w:rPr>
          <w:b/>
        </w:rPr>
        <w:t xml:space="preserve">Pub date: </w:t>
      </w:r>
      <w:r>
        <w:t>2026-04-14 12:42:30+00:00</w:t>
      </w:r>
      <w:r>
        <w:t xml:space="preserve">    </w:t>
      </w:r>
      <w:r>
        <w:rPr>
          <w:b/>
        </w:rPr>
        <w:t xml:space="preserve">DOI: </w:t>
      </w:r>
      <w:hyperlink r:id="rId617">
        <w:r>
          <w:rPr>
            <w:color w:val="1155CC"/>
            <w:u w:val="single"/>
          </w:rPr>
          <w:t>10.1021/jacs.6c04665</w:t>
        </w:r>
      </w:hyperlink>
    </w:p>
    <w:p>
      <w:pPr>
        <w:spacing w:before="0" w:after="120"/>
      </w:pPr>
      <w:r>
        <w:rPr>
          <w:b/>
        </w:rPr>
        <w:t xml:space="preserve">Notes: </w:t>
      </w:r>
      <w:r>
        <w:t>abstract_source=pubmed</w:t>
      </w:r>
    </w:p>
    <w:p>
      <w:pPr>
        <w:spacing w:before="0" w:after="80" w:lineRule="auto" w:line="276"/>
      </w:pPr>
      <w:r>
        <w:rPr>
          <w:b/>
        </w:rPr>
        <w:t xml:space="preserve">摘要（ZH）: </w:t>
      </w:r>
      <w:r>
        <w:t>选择性标记肽和蛋白质中的醇侧链仍然是生物分子修饰的主要挑战。在此，我们报告了一种快速、高效且高度选择性的方法，使用氟磺酰异氰酸酯（FSI）试剂在六氟异丙醇（HFIP）溶剂中，在温和条件下标记丝氨酸和苏氨酸残基。标记反应在室温下1分钟内完成，对除半胱氨酸外的所有蛋白质氨基酸侧链具有优良的耐受性。生成的氟磺酰氨基甲酸酯产物可以通过与胺的硫（VI）氟交换（SuFEx）进一步多样化生成磺酰胺连接的缀合物，或通过与赖氨酸侧链的分子内大环化生成通过Ser/Thr-Lys对的缝合肽。</w:t>
      </w:r>
    </w:p>
    <w:p>
      <w:pPr>
        <w:spacing w:before="0" w:after="200" w:lineRule="auto" w:line="276"/>
      </w:pPr>
      <w:r>
        <w:rPr>
          <w:b/>
        </w:rPr>
        <w:t xml:space="preserve">Abstract (EN): </w:t>
      </w:r>
      <w:r>
        <w:t>Selective labeling of alcohol side chains in peptides and proteins remains a major challenge for biomolecule modification. Herein, we report a rapid, efficient, and highly selective method for labeling both serine and threonine residues using fluorosulfuryl isocyanate (FSI) reagent in hexafluoroisopropanol (HFIP) solvent under mild conditions. The labeling reaction proceeds to completion within 1 min at room temperature, with excellent tolerance for all proteinogenic amino acid side chains except cysteine. The resulting fluorosulfuryl carbamate products can be further diversified through sulfur(VI) fluoride exchange (SuFEx) with amines to generate sulfamide-linked conjugates, or through intramolecular macrocyclization with lysine side chains to yield stapled peptides via Ser/Thr-Lys pairs. Notably, the fluorosulfuryl carbamate tag can be selectively eliminated under mildly basic aqueous conditions to generate dehydroamino acid residues, which serve as versatile electrophilic handles for one-pot conjugation with thiols, amines, or phosphines. Together, this platform offers a convenient strategy for site-selective editing of peptide alcohol side chains into structurally and functionally diverse deoxygenative analogs.</w:t>
      </w:r>
    </w:p>
    <w:p>
      <w:pPr>
        <w:spacing w:before="120" w:after="120"/>
      </w:pPr>
      <w:r>
        <w:rPr>
          <w:sz w:val="18"/>
        </w:rPr>
        <w:t>——————————————————————————————————————————————————————————————————————</w:t>
      </w:r>
    </w:p>
    <w:p>
      <w:pPr>
        <w:spacing w:before="160" w:after="40" w:line="240" w:lineRule="auto"/>
      </w:pPr>
      <w:r>
        <w:rPr>
          <w:b/>
        </w:rPr>
        <w:t xml:space="preserve">[235] </w:t>
      </w:r>
      <w:hyperlink r:id="rId618">
        <w:r>
          <w:rPr>
            <w:color w:val="1155CC"/>
            <w:u w:val="single"/>
          </w:rPr>
          <w:t>[ASAP] 分层能量相干性和界面稳健性实现44.3% EQE深蓝色超荧光OLEDs</w:t>
        </w:r>
      </w:hyperlink>
    </w:p>
    <w:p>
      <w:pPr>
        <w:spacing w:before="0" w:after="80"/>
      </w:pPr>
      <w:r>
        <w:rPr>
          <w:i/>
          <w:sz w:val="20"/>
        </w:rPr>
        <w:t>EN: [ASAP] Hierarchical Energetic Coherence and Interfacial Robustness Enable 44.3% EQE Deep-Blue Hyperfluorescent OLEDs</w:t>
      </w:r>
    </w:p>
    <w:p>
      <w:pPr>
        <w:spacing w:before="0" w:after="120"/>
      </w:pPr>
      <w:r>
        <w:rPr>
          <w:b/>
        </w:rPr>
        <w:t xml:space="preserve">Source: </w:t>
      </w:r>
      <w:r>
        <w:t>ACS Energy Letters: Latest Articles (ACS Publications)</w:t>
      </w:r>
      <w:r>
        <w:t xml:space="preserve">    </w:t>
      </w:r>
      <w:r>
        <w:rPr>
          <w:b/>
        </w:rPr>
        <w:t xml:space="preserve">Pub date: </w:t>
      </w:r>
      <w:r>
        <w:t>2026-04-14 12:44:31+00:00</w:t>
      </w:r>
      <w:r>
        <w:t xml:space="preserve">    </w:t>
      </w:r>
      <w:r>
        <w:rPr>
          <w:b/>
        </w:rPr>
        <w:t xml:space="preserve">DOI: </w:t>
      </w:r>
      <w:hyperlink r:id="rId619">
        <w:r>
          <w:rPr>
            <w:color w:val="1155CC"/>
            <w:u w:val="single"/>
          </w:rPr>
          <w:t>10.1021/acsenergylett.5c04283</w:t>
        </w:r>
      </w:hyperlink>
    </w:p>
    <w:p>
      <w:pPr>
        <w:spacing w:before="0" w:after="120"/>
      </w:pPr>
      <w:r>
        <w:rPr>
          <w:b/>
        </w:rPr>
        <w:t xml:space="preserve">Notes: </w:t>
      </w:r>
      <w:r>
        <w:t>abstract_source=openalex</w:t>
      </w:r>
    </w:p>
    <w:p>
      <w:pPr>
        <w:spacing w:before="0" w:after="80" w:lineRule="auto" w:line="276"/>
      </w:pPr>
      <w:r>
        <w:rPr>
          <w:b/>
        </w:rPr>
        <w:t xml:space="preserve">摘要（ZH）: </w:t>
      </w:r>
      <w:r>
        <w:t>在此，我们展示了将分层能级相干性与稳健的界面光物理相结合，可以同时优化超荧光（HF）蓝光发射有机发光二极管（OLEDs）中的电荷注入、电荷传输和电荷复合。自组装的混合空穴注入层形成了一个垂直分层的、偶极诱导的界面，而由快速三重态上转换敏化剂、高三重态能量主体和窄带热激活延迟荧光（TADF）发射体组成的HF发射层（EML）实现了高效的三重态收集和单重态介导的能量转移。这种分层框架确保了平滑的载流子传播、平衡的复合以及界面激子淬灭的强抑制。</w:t>
      </w:r>
    </w:p>
    <w:p>
      <w:pPr>
        <w:spacing w:before="0" w:after="200" w:lineRule="auto" w:line="276"/>
      </w:pPr>
      <w:r>
        <w:rPr>
          <w:b/>
        </w:rPr>
        <w:t xml:space="preserve">Abstract (EN): </w:t>
      </w:r>
      <w:r>
        <w:t>Here we demonstrate that integrating hierarchical energy-level coherence with robust interfacial photophysics enables simultaneous optimization of charge injection, charge transport, and charge recombination in hyperfluorescent (HF) blue-emitting organic light-emitting diodes (OLEDs). A self-assembled hybrid hole-injection layer forms a vertically stratified, dipole-induced interface, and an HF emitting layer (EML) that is composed of a fast triplet-upconverting sensitizer, a high-triplet-energy host, and a narrowband thermally activated delayed fluorescence (TADF) emitter achieves efficient triplet harvesting and singlet-mediated energy transfer. This hierarchical framework ensures smooth charge-carrier propagation, balanced recombination, and strong suppression of interfacial exciton quenching, thereby preserving efficient triplet recirculation even in multilayer architectures. As a result, the blue HF OLED attains a high external quantum efficiency of 44.3%, a narrow emission bandwidth of 19 nm, deep-blue CIE coordinates of (0.104, 0.173), and improved operational stability.</w:t>
      </w:r>
    </w:p>
    <w:p>
      <w:pPr>
        <w:spacing w:before="120" w:after="120"/>
      </w:pPr>
      <w:r>
        <w:rPr>
          <w:sz w:val="18"/>
        </w:rPr>
        <w:t>——————————————————————————————————————————————————————————————————————</w:t>
      </w:r>
    </w:p>
    <w:p>
      <w:pPr>
        <w:spacing w:before="160" w:after="40" w:line="240" w:lineRule="auto"/>
      </w:pPr>
      <w:r>
        <w:rPr>
          <w:b/>
        </w:rPr>
        <w:t xml:space="preserve">[236] </w:t>
      </w:r>
      <w:hyperlink r:id="rId620">
        <w:r>
          <w:rPr>
            <w:color w:val="1155CC"/>
            <w:u w:val="single"/>
          </w:rPr>
          <w:t>可调比双肽和超声辅助纳米平台用于增强个性化抗肿瘤免疫治疗</w:t>
        </w:r>
      </w:hyperlink>
    </w:p>
    <w:p>
      <w:pPr>
        <w:spacing w:before="0" w:after="80"/>
      </w:pPr>
      <w:r>
        <w:rPr>
          <w:i/>
          <w:sz w:val="20"/>
        </w:rPr>
        <w:t>EN: Ratio‐Tunable Dual‐Peptide and Ultrasound‐Assisted Nanoplatform for Enhancing Personalized Antitumor Immunotherapy</w:t>
      </w:r>
    </w:p>
    <w:p>
      <w:pPr>
        <w:spacing w:before="0" w:after="120"/>
      </w:pPr>
      <w:r>
        <w:rPr>
          <w:b/>
        </w:rPr>
        <w:t xml:space="preserve">Source: </w:t>
      </w:r>
      <w:r>
        <w:t>Wiley: Advanced Materials: Table of Contents</w:t>
      </w:r>
      <w:r>
        <w:t xml:space="preserve">    </w:t>
      </w:r>
      <w:r>
        <w:rPr>
          <w:b/>
        </w:rPr>
        <w:t xml:space="preserve">Pub date: </w:t>
      </w:r>
      <w:r>
        <w:t>2026-04-14 12:50:45+00:00</w:t>
      </w:r>
      <w:r>
        <w:t xml:space="preserve">    </w:t>
      </w:r>
      <w:r>
        <w:rPr>
          <w:b/>
        </w:rPr>
        <w:t xml:space="preserve">DOI: </w:t>
      </w:r>
      <w:hyperlink r:id="rId621">
        <w:r>
          <w:rPr>
            <w:color w:val="1155CC"/>
            <w:u w:val="single"/>
          </w:rPr>
          <w:t>10.1002/adma.202516433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免疫检查点的免疫疗法已成为通过恢复内源性抗肿瘤免疫来治疗实体肿瘤的核心策略。然而，由于共存的抑制通路参与程度不同，临床反应仍然有限且在患者和肿瘤类型之间高度可变，而当前疗法通常依赖于固定的靶向结构，未设计为适应患者特定的检查点依赖性。在此，我们开发了比率可调的双特异性纳米颗粒（BiNPs），用于个性化的基于免疫检查点的免疫疗法，通过共组装聚集诱导发光声敏化剂核心与两个β-片层自组装肽，Pep@CD47和Pep@PD-L1，实现肽的可编程控制。</w:t>
      </w:r>
    </w:p>
    <w:p>
      <w:pPr>
        <w:spacing w:before="0" w:after="200" w:lineRule="auto" w:line="276"/>
      </w:pPr>
      <w:r>
        <w:rPr>
          <w:b/>
        </w:rPr>
        <w:t xml:space="preserve">Abstract (EN): </w:t>
      </w:r>
      <w:r>
        <w:t>Immune checkpoint‐based immunotherapy has become a central strategy for treating solid tumors by restoring endogenous antitumor immunity. However, clinical responses remain limited and highly variable across patients and tumor types because co‐existing inhibitory pathways are engaged to different extents, while current therapies generally rely on fixed targeting architectures and are not designed to accommodate patient specific checkpoint dependence. Here, we developed ratio tunable bispecific nanoparticles (BiNPs) for personalized immune checkpoint‐based immunotherapy by co‐assembling an aggregation induced emission sonosensitizer core with two β‐sheet self‐assembling peptides, Pep@CD47 and Pep@PD‐L1, enabling programmable control of peptide stoichiometry. BiNPs promote lysosomal internalization and degradation of CD47 and PD‐L1 through a lysosome targeting chimera inspired process, and ultrasound‐activated sonodynamic therapy generates reactive oxygen species to induce immunogenic cell death with calreticulin exposure and ATP and HMGB1 release. In syngeneic SCC‐7 tumor models, ultrasound‐activated BiNPs with a selected peptide ratio enhance dendritic cell maturation, shift macrophages toward an M1‐like phenotype, increase CD8</w:t>
      </w:r>
      <w:r>
        <w:t xml:space="preserve"> </w:t>
      </w:r>
      <w:r>
        <w:t>+</w:t>
      </w:r>
      <w:r>
        <w:t xml:space="preserve"> </w:t>
      </w:r>
      <w:r>
        <w:t>T cell infiltration, and suppress primary and distant tumors with favorable biosafety. Ex vivo screening of freshly resected HNSCC specimens identifies distinct optimal Pep@CD47: Pep@PD‐L1 ratios among patients, demonstrating that BiNPs offer a personalized approach for effective immunotherapy across heterogeneous solid tumors.</w:t>
      </w:r>
    </w:p>
    <w:p>
      <w:pPr>
        <w:spacing w:before="120" w:after="120"/>
      </w:pPr>
      <w:r>
        <w:rPr>
          <w:sz w:val="18"/>
        </w:rPr>
        <w:t>——————————————————————————————————————————————————————————————————————</w:t>
      </w:r>
    </w:p>
    <w:p>
      <w:pPr>
        <w:spacing w:before="160" w:after="40" w:line="240" w:lineRule="auto"/>
      </w:pPr>
      <w:r>
        <w:rPr>
          <w:b/>
        </w:rPr>
        <w:t xml:space="preserve">[237] </w:t>
      </w:r>
      <w:hyperlink r:id="rId622">
        <w:r>
          <w:rPr>
            <w:color w:val="1155CC"/>
            <w:u w:val="single"/>
          </w:rPr>
          <w:t>[ASAP] III–V@II–VI核壳量子点的界面重构与工程</w:t>
        </w:r>
      </w:hyperlink>
    </w:p>
    <w:p>
      <w:pPr>
        <w:spacing w:before="0" w:after="80"/>
      </w:pPr>
      <w:r>
        <w:rPr>
          <w:i/>
          <w:sz w:val="20"/>
        </w:rPr>
        <w:t>EN: [ASAP] Interfacial Reconstructions and Engineering in III–V@II–VI Core–Shell Quantum Dots</w:t>
      </w:r>
    </w:p>
    <w:p>
      <w:pPr>
        <w:spacing w:before="0" w:after="120"/>
      </w:pPr>
      <w:r>
        <w:rPr>
          <w:b/>
        </w:rPr>
        <w:t xml:space="preserve">Source: </w:t>
      </w:r>
      <w:r>
        <w:t>ACS Energy Letters: Latest Articles (ACS Publications)</w:t>
      </w:r>
      <w:r>
        <w:t xml:space="preserve">    </w:t>
      </w:r>
      <w:r>
        <w:rPr>
          <w:b/>
        </w:rPr>
        <w:t xml:space="preserve">Pub date: </w:t>
      </w:r>
      <w:r>
        <w:t>2026-04-14 13:12:25+00:00</w:t>
      </w:r>
      <w:r>
        <w:t xml:space="preserve">    </w:t>
      </w:r>
      <w:r>
        <w:rPr>
          <w:b/>
        </w:rPr>
        <w:t xml:space="preserve">DOI: </w:t>
      </w:r>
      <w:hyperlink r:id="rId623">
        <w:r>
          <w:rPr>
            <w:color w:val="1155CC"/>
            <w:u w:val="single"/>
          </w:rPr>
          <w:t>10.1021/acsenergylett.6c00422</w:t>
        </w:r>
      </w:hyperlink>
    </w:p>
    <w:p>
      <w:pPr>
        <w:spacing w:before="0" w:after="120"/>
      </w:pPr>
      <w:r>
        <w:rPr>
          <w:b/>
        </w:rPr>
        <w:t xml:space="preserve">Notes: </w:t>
      </w:r>
      <w:r>
        <w:t>abstract_source=openalex</w:t>
      </w:r>
    </w:p>
    <w:p>
      <w:pPr>
        <w:spacing w:before="0" w:after="80" w:lineRule="auto" w:line="276"/>
      </w:pPr>
      <w:r>
        <w:rPr>
          <w:b/>
        </w:rPr>
        <w:t xml:space="preserve">摘要（ZH）: </w:t>
      </w:r>
      <w:r>
        <w:t>在核@壳量子点（QDs）中，不同化学特性的半导体之间的界面在很大程度上决定了它们的光电特性。在III–V@II–VI系统中，这个边界涉及明显的化学和电子不连续性，即使在完全表面钝化的情况下也可能产生陷阱态。使用密度泛函理论对InAs@CdSe QDs的原子模型进行研究，我们系统地重建了表面和界面的原子排列，以评估局部配位和界面偶极子如何影响电子结构。突然的界面会导致电荷不平衡和带隙崩溃，而引入混合核和壳原子及空位的合金化中间层则恢复了能量对齐，并产生了离域的带边态，一致</w:t>
      </w:r>
    </w:p>
    <w:p>
      <w:pPr>
        <w:spacing w:before="0" w:after="200" w:lineRule="auto" w:line="276"/>
      </w:pPr>
      <w:r>
        <w:rPr>
          <w:b/>
        </w:rPr>
        <w:t xml:space="preserve">Abstract (EN): </w:t>
      </w:r>
      <w:r>
        <w:t>In core@shell quantum dots (QDs), the interface between semiconductors of different chemical character largely determines their optoelectronic properties. In III–V@II–VI systems, this boundary involves pronounced chemical and electronic discontinuities that can generate trap states even under complete surface passivation. Using density functional theory on atomistic models of InAs@CdSe QDs, we systematically reconstruct atomic arrangements at the surface and interface to evaluate how local coordination and interfacial dipoles influence the electronic structure. Abrupt interfaces induce charge imbalance and band gap collapse, whereas introducing an alloyed interlayer that mixes core and shell atoms and vacancies restores energetic alignment and yields delocalized band-edge states, consistent with experimental findings. We also introduce a charge-flow analysis that quantifies charge redistribution across the QD, providing a framework for realistic modeling of interlayer formation and predictive design of defect-free interfaces in core@shell architectures.</w:t>
      </w:r>
    </w:p>
    <w:p>
      <w:pPr>
        <w:spacing w:before="120" w:after="120"/>
      </w:pPr>
      <w:r>
        <w:rPr>
          <w:sz w:val="18"/>
        </w:rPr>
        <w:t>——————————————————————————————————————————————————————————————————————</w:t>
      </w:r>
    </w:p>
    <w:p>
      <w:pPr>
        <w:spacing w:before="160" w:after="40" w:line="240" w:lineRule="auto"/>
      </w:pPr>
      <w:r>
        <w:rPr>
          <w:b/>
        </w:rPr>
        <w:t xml:space="preserve">[238] </w:t>
      </w:r>
      <w:hyperlink r:id="rId624">
        <w:r>
          <w:rPr>
            <w:color w:val="1155CC"/>
            <w:u w:val="single"/>
          </w:rPr>
          <w:t>[ASAP] 通过自由基环化实现的七步全合成Conidiogenone B</w:t>
        </w:r>
      </w:hyperlink>
    </w:p>
    <w:p>
      <w:pPr>
        <w:spacing w:before="0" w:after="80"/>
      </w:pPr>
      <w:r>
        <w:rPr>
          <w:i/>
          <w:sz w:val="20"/>
        </w:rPr>
        <w:t>EN: [ASAP] Seven-Step Total Synthesis of Conidiogenone B Enabled by Radical Cyclizations</w:t>
      </w:r>
    </w:p>
    <w:p>
      <w:pPr>
        <w:spacing w:before="0" w:after="120"/>
      </w:pPr>
      <w:r>
        <w:rPr>
          <w:b/>
        </w:rPr>
        <w:t xml:space="preserve">Source: </w:t>
      </w:r>
      <w:r>
        <w:t>Journal of the American Chemical Society: Latest Articles (ACS Publications)</w:t>
      </w:r>
      <w:r>
        <w:t xml:space="preserve">    </w:t>
      </w:r>
      <w:r>
        <w:rPr>
          <w:b/>
        </w:rPr>
        <w:t xml:space="preserve">Pub date: </w:t>
      </w:r>
      <w:r>
        <w:t>2026-04-14 14:57:56+00:00</w:t>
      </w:r>
      <w:r>
        <w:t xml:space="preserve">    </w:t>
      </w:r>
      <w:r>
        <w:rPr>
          <w:b/>
        </w:rPr>
        <w:t xml:space="preserve">DOI: </w:t>
      </w:r>
      <w:hyperlink r:id="rId625">
        <w:r>
          <w:rPr>
            <w:color w:val="1155CC"/>
            <w:u w:val="single"/>
          </w:rPr>
          <w:t>10.1021/jacs.6c02334</w:t>
        </w:r>
      </w:hyperlink>
    </w:p>
    <w:p>
      <w:pPr>
        <w:spacing w:before="0" w:after="120"/>
      </w:pPr>
      <w:r>
        <w:rPr>
          <w:b/>
        </w:rPr>
        <w:t xml:space="preserve">Notes: </w:t>
      </w:r>
      <w:r>
        <w:t>abstract_source=openalex</w:t>
      </w:r>
    </w:p>
    <w:p>
      <w:pPr>
        <w:spacing w:before="0" w:after="80" w:lineRule="auto" w:line="276"/>
      </w:pPr>
      <w:r>
        <w:rPr>
          <w:b/>
        </w:rPr>
        <w:t xml:space="preserve">摘要（ZH）: </w:t>
      </w:r>
      <w:r>
        <w:t>我们在此报告了conidiogenone B的全合成，这是一种复杂的环戊烷二萜，表现出对多药耐药病原体的强效抗菌活性。Conidiogenone B及其天然同类物具有拥挤的6/5/5/5（A/B/C/D）四环碳骨架和多个立体中心，包括四个全碳季碳中心。conidiogenone全合成的挑战在于如何有效构建四环碳骨架，特别是具有两个邻位全碳季碳中心的A/B环戊烷部分。我们开发了一种有效的策略，通过金属氢化物氢原子转移（MHAT）引发的还原烯腈自由基环化来闭合六元A环，并构建含有角甲基的全碳</w:t>
      </w:r>
    </w:p>
    <w:p>
      <w:pPr>
        <w:spacing w:before="0" w:after="200" w:lineRule="auto" w:line="276"/>
      </w:pPr>
      <w:r>
        <w:rPr>
          <w:b/>
        </w:rPr>
        <w:t xml:space="preserve">Abstract (EN): </w:t>
      </w:r>
      <w:r>
        <w:t>We report herein a total synthesis of conidiogenone B, a complex cyclopiane diterpene exhibiting potent antibacterial activity against multidrug-resistant pathogens. Conidiogenone B and its natural congeners feature a congested 6/5/5/5 (A/B/C/D) tetracyclic carbon framework and multiple stereocenters, including four all-carbon quaternary centers. The challenge of conidiogenone total synthesis lies in how to efficiently construct the tetracyclic carbon framework, especially the A/B hydrindane moiety with two vicinal all-carbon quaternary centers at the ring junction. We developed an efficient strategy with a metal-hydride hydrogen atom transfer (MHAT)-initiated reductive olefin-nitrile radical cyclization to close the six-membered A ring and construct the angular methyl containing all-carbon quaternary center adjacent to an existing one, which was formed via a stereoselective Johnson-Claisen rearrangement. Two approaches were investigated to form the B ring. The first one involves a four-step sequence featuring an intramolecular aldol condensation to close the B ring. The second one-step approach utilizes a doubly activated cyclopropane derivative (1-(ethoxycarbonyl)cyclopropyl)triphenylphosphonium tetrafluoroborate as a formal 1,3-dipole in a one-pot stepwise (3 + 2) annulation, namely, α-alkylation followed by Wittig olefination, to construct the B ring. In addition, a MHAT-initiated Baran reductive olefin-enone cyclization (BROC) was employed to form the D ring, and a Stork-Danheiser alkylation transposition protocol was used to produce the BROC precursor. Overall, these enabling transformations delivered conidiogenone B in only 7 steps without using any protecting groups by maximizing C-C bond-forming events and minimizing individual functional group manipulation steps to achieve high efficiency and 100% ideality in terms of strategic step count.</w:t>
      </w:r>
    </w:p>
    <w:p>
      <w:pPr>
        <w:spacing w:before="120" w:after="120"/>
      </w:pPr>
      <w:r>
        <w:rPr>
          <w:sz w:val="18"/>
        </w:rPr>
        <w:t>——————————————————————————————————————————————————————————————————————</w:t>
      </w:r>
    </w:p>
    <w:p>
      <w:pPr>
        <w:spacing w:before="160" w:after="40" w:line="240" w:lineRule="auto"/>
      </w:pPr>
      <w:r>
        <w:rPr>
          <w:b/>
        </w:rPr>
        <w:t xml:space="preserve">[239] </w:t>
      </w:r>
      <w:hyperlink r:id="rId626">
        <w:r>
          <w:rPr>
            <w:color w:val="1155CC"/>
            <w:u w:val="single"/>
          </w:rPr>
          <w:t>[ASAP] 使用熔盐溶液中铀氧化还原化学量化外部和内部配位球效应</w:t>
        </w:r>
      </w:hyperlink>
    </w:p>
    <w:p>
      <w:pPr>
        <w:spacing w:before="0" w:after="80"/>
      </w:pPr>
      <w:r>
        <w:rPr>
          <w:i/>
          <w:sz w:val="20"/>
        </w:rPr>
        <w:t>EN: [ASAP] Quantifying Outer- and Inner-Coordination Sphere Effects Using Uranium Redox Chemistry in Molten Salt Solutions</w:t>
      </w:r>
    </w:p>
    <w:p>
      <w:pPr>
        <w:spacing w:before="0" w:after="120"/>
      </w:pPr>
      <w:r>
        <w:rPr>
          <w:b/>
        </w:rPr>
        <w:t xml:space="preserve">Source: </w:t>
      </w:r>
      <w:r>
        <w:t>Journal of the American Chemical Society: Latest Articles (ACS Publications)</w:t>
      </w:r>
      <w:r>
        <w:t xml:space="preserve">    </w:t>
      </w:r>
      <w:r>
        <w:rPr>
          <w:b/>
        </w:rPr>
        <w:t xml:space="preserve">Pub date: </w:t>
      </w:r>
      <w:r>
        <w:t>2026-04-14 17:21:13+00:00</w:t>
      </w:r>
      <w:r>
        <w:t xml:space="preserve">    </w:t>
      </w:r>
      <w:r>
        <w:rPr>
          <w:b/>
        </w:rPr>
        <w:t xml:space="preserve">DOI: </w:t>
      </w:r>
      <w:hyperlink r:id="rId627">
        <w:r>
          <w:rPr>
            <w:color w:val="1155CC"/>
            <w:u w:val="single"/>
          </w:rPr>
          <w:t>10.1021/jacs.5c20789</w:t>
        </w:r>
      </w:hyperlink>
    </w:p>
    <w:p>
      <w:pPr>
        <w:spacing w:before="0" w:after="120"/>
      </w:pPr>
      <w:r>
        <w:rPr>
          <w:b/>
        </w:rPr>
        <w:t xml:space="preserve">Notes: </w:t>
      </w:r>
      <w:r>
        <w:t>abstract_source=pubmed</w:t>
      </w:r>
    </w:p>
    <w:p>
      <w:pPr>
        <w:spacing w:before="0" w:after="80" w:lineRule="auto" w:line="276"/>
      </w:pPr>
      <w:r>
        <w:rPr>
          <w:b/>
        </w:rPr>
        <w:t xml:space="preserve">摘要（ZH）: </w:t>
      </w:r>
      <w:r>
        <w:t>定义分子内和分子间力的相对影响是化学中的一个基本问题，难以量化。为了解决这一挑战，我们开发了一种方法，通过比较分析铀在各种熔盐中的氧化还原反应性，评估内配位球中直接化学键合与外配位球中阳离子的相对影响。我们观察到外配位球阳离子（M1+）和内配位球阴离子（X1-）都影响铀的氧化还原反应性，更具极化性的M1+和更大的X1-有利于铀处于低氧化态。改变M1+（Li, Na, K）使UIV + e1- ⇌ UIII（UIV/III）和UIII + 3e1- → U0metal电位分别变化+330和+240 mV。改变X1-（Cl, Br,</w:t>
      </w:r>
    </w:p>
    <w:p>
      <w:pPr>
        <w:spacing w:before="0" w:after="200" w:lineRule="auto" w:line="276"/>
      </w:pPr>
      <w:r>
        <w:rPr>
          <w:b/>
        </w:rPr>
        <w:t xml:space="preserve">Abstract (EN): </w:t>
      </w:r>
      <w:r>
        <w:t>Defining the relative influence of intramolecular and intermolecular forces is a fundamental problem in chemistry that is difficult to quantify. To address this challenge, we developed a method to evaluate the relative impact of direct chemical bonding in the inner-coordination sphere vs effects from cations in the outer-coordination sphere by comparative analysis of uranium redox reactivity in various molten salts. We observed that outer-coordination sphere cations (M1+) and inner-coordination sphere anions (X1-) both affected uranium redox reactivity, with more polarizing M1+ and larger X1- favoring uranium in low oxidation states. Changing M1+ (Li, Na, K) shifted the UIV + e1- ⇌ UIII (UIV/III) and UIII + 3e1- → U0metal potentials by +330 and +240 mV, respectively. Changing X1- (Cl, Br, I) caused larger shifts of +440 mV for the UIV/III redox potential and +1060 mV for the U0metal deposition potential. Using Coulomb's Law, we correlated these potentials with electrostatic interactions between UIII and the molten salt. This model provided a facile way of predicting redox chemistry within molten salts.</w:t>
      </w:r>
    </w:p>
    <w:p>
      <w:pPr>
        <w:spacing w:before="120" w:after="120"/>
      </w:pPr>
      <w:r>
        <w:rPr>
          <w:sz w:val="18"/>
        </w:rPr>
        <w:t>——————————————————————————————————————————————————————————————————————</w:t>
      </w:r>
    </w:p>
    <w:p>
      <w:pPr>
        <w:spacing w:before="160" w:after="40" w:line="240" w:lineRule="auto"/>
      </w:pPr>
      <w:r>
        <w:rPr>
          <w:b/>
        </w:rPr>
        <w:t xml:space="preserve">[240] </w:t>
      </w:r>
      <w:hyperlink r:id="rId628">
        <w:r>
          <w:rPr>
            <w:color w:val="1155CC"/>
            <w:u w:val="single"/>
          </w:rPr>
          <w:t>[ASAP] 通过原子Sn路易斯酸性位点介导的质子中继加速Fe–N–C催化剂中的氧还原动力学</w:t>
        </w:r>
      </w:hyperlink>
    </w:p>
    <w:p>
      <w:pPr>
        <w:spacing w:before="0" w:after="80"/>
      </w:pPr>
      <w:r>
        <w:rPr>
          <w:i/>
          <w:sz w:val="20"/>
        </w:rPr>
        <w:t>EN: [ASAP] Proton Relay Mediated by Atomic Sn Lewis-Acidic Sites for Accelerating Oxygen Reduction Kinetics in Fe–N–C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2026-04-14 17:51:35+00:00</w:t>
      </w:r>
      <w:r>
        <w:t xml:space="preserve">    </w:t>
      </w:r>
      <w:r>
        <w:rPr>
          <w:b/>
        </w:rPr>
        <w:t xml:space="preserve">DOI: </w:t>
      </w:r>
      <w:hyperlink r:id="rId629">
        <w:r>
          <w:rPr>
            <w:color w:val="1155CC"/>
            <w:u w:val="single"/>
          </w:rPr>
          <w:t>10.1021/jacs.6c01888</w:t>
        </w:r>
      </w:hyperlink>
    </w:p>
    <w:p>
      <w:pPr>
        <w:spacing w:before="0" w:after="120"/>
      </w:pPr>
      <w:r>
        <w:rPr>
          <w:b/>
        </w:rPr>
        <w:t xml:space="preserve">Notes: </w:t>
      </w:r>
      <w:r>
        <w:t>abstract_source=pubmed</w:t>
      </w:r>
    </w:p>
    <w:p>
      <w:pPr>
        <w:spacing w:before="0" w:after="80" w:lineRule="auto" w:line="276"/>
      </w:pPr>
      <w:r>
        <w:rPr>
          <w:b/>
        </w:rPr>
        <w:t xml:space="preserve">摘要（ZH）: </w:t>
      </w:r>
      <w:r>
        <w:t>氧还原反应（ORR）是阴离子交换膜燃料电池（AEMFCs）中一个关键但缓慢的阴极过程，主要受限于界面水中质子供应不足导致的质子化缓慢。为了解决这一挑战，我们报告了一种原子级Sn介导的质子中继策略，显著加速碱性ORR动力学。原子分辨率表征和原位光谱分析证实了邻近Fe-Sn双原子位点的成功构建，其中Fe作为氧中间体吸附中心，而相邻的Sn路易斯酸性位点促进界面水解离。加速的质子转移动力学通过从头算分子动力学（AIMD）进一步验证，揭示了*O的无障碍过程</w:t>
      </w:r>
    </w:p>
    <w:p>
      <w:pPr>
        <w:spacing w:before="0" w:after="200" w:lineRule="auto" w:line="276"/>
      </w:pPr>
      <w:r>
        <w:rPr>
          <w:b/>
        </w:rPr>
        <w:t xml:space="preserve">Abstract (EN): </w:t>
      </w:r>
      <w:r>
        <w:t>The oxygen reduction reaction (ORR) is a critical but sluggish cathodic process in anion-exchange membrane fuel cells (AEMFCs), primarily constrained by slow protonation due to the insufficient proton supply from interfacial water. To address this challenge, we report an atomically Sn-mediated proton relay strategy that markedly accelerates alkaline ORR kinetics. Atomic-resolution characterizations and operando spectroscopy analysis confirm the successful construction of proximal Fe-Sn dual-atom sites, in which Fe serves as the oxygen intermediate adsorption center, while the adjacent Sn Lewis-acidic site facilitates interfacial water dissociation. The accelerated proton transfer kinetics are further verified by ab initio molecular dynamics (AIMD), revealing a barrierless process of the *O2 protonation pathway on FeSn-N-C, contrasting sharply with the 0.46 eV barrier on Fe-N-C. Benefiting from the efficient proton relay, the as-designed FeSn-N-C exhibits a half-wave potential of 0.94 V (vs RHE) in 0.1 M KOH and a kinetic current density of 28.64 mA cm-2 at 0.90 V, outperforming the Fe-N-C counterpart (0.899 V; 5.30 mA cm-2). Remarkably, an AEMFC assembled with an FeSn-N-C cathode achieves a peak power density of 1.01 W cm-2 and a current density of 159.61 mA cm-2 at 0.9 V. This work provides a practical design principle to overcome proton supply bottlenecks in proton-involving electrocatalysis.</w:t>
      </w:r>
    </w:p>
    <w:p>
      <w:pPr>
        <w:spacing w:before="120" w:after="120"/>
      </w:pPr>
      <w:r>
        <w:rPr>
          <w:sz w:val="18"/>
        </w:rPr>
        <w:t>——————————————————————————————————————————————————————————————————————</w:t>
      </w:r>
    </w:p>
    <w:p>
      <w:pPr>
        <w:spacing w:before="160" w:after="40" w:line="240" w:lineRule="auto"/>
      </w:pPr>
      <w:r>
        <w:rPr>
          <w:b/>
        </w:rPr>
        <w:t xml:space="preserve">[241] </w:t>
      </w:r>
      <w:hyperlink r:id="rId630">
        <w:r>
          <w:rPr>
            <w:color w:val="1155CC"/>
            <w:u w:val="single"/>
          </w:rPr>
          <w:t>[ASAP] 推进EUV图案化：抗蚀剂平台、图案化策略和计算方法的创新</w:t>
        </w:r>
      </w:hyperlink>
    </w:p>
    <w:p>
      <w:pPr>
        <w:spacing w:before="0" w:after="80"/>
      </w:pPr>
      <w:r>
        <w:rPr>
          <w:i/>
          <w:sz w:val="20"/>
        </w:rPr>
        <w:t>EN: [ASAP] Advancing EUV Patterning: Innovations in Resist Platforms, Patterning Strategies, and Computational Approaches</w:t>
      </w:r>
    </w:p>
    <w:p>
      <w:pPr>
        <w:spacing w:before="0" w:after="120"/>
      </w:pPr>
      <w:r>
        <w:rPr>
          <w:b/>
        </w:rPr>
        <w:t xml:space="preserve">Source: </w:t>
      </w:r>
      <w:r>
        <w:t>Chemical Reviews: Latest Articles (ACS Publications)</w:t>
      </w:r>
      <w:r>
        <w:t xml:space="preserve">    </w:t>
      </w:r>
      <w:r>
        <w:rPr>
          <w:b/>
        </w:rPr>
        <w:t xml:space="preserve">Pub date: </w:t>
      </w:r>
      <w:r>
        <w:t>2026-04-14 17:51:49+00:00</w:t>
      </w:r>
      <w:r>
        <w:t xml:space="preserve">    </w:t>
      </w:r>
      <w:r>
        <w:rPr>
          <w:b/>
        </w:rPr>
        <w:t xml:space="preserve">DOI: </w:t>
      </w:r>
      <w:hyperlink r:id="rId631">
        <w:r>
          <w:rPr>
            <w:color w:val="1155CC"/>
            <w:u w:val="single"/>
          </w:rPr>
          <w:t>10.1021/acs.chemrev.5c01043</w:t>
        </w:r>
      </w:hyperlink>
    </w:p>
    <w:p>
      <w:pPr>
        <w:spacing w:before="0" w:after="120"/>
      </w:pPr>
      <w:r>
        <w:rPr>
          <w:b/>
        </w:rPr>
        <w:t xml:space="preserve">Notes: </w:t>
      </w:r>
      <w:r>
        <w:t>abstract_source=pubmed</w:t>
      </w:r>
    </w:p>
    <w:p>
      <w:pPr>
        <w:spacing w:before="0" w:after="80" w:lineRule="auto" w:line="276"/>
      </w:pPr>
      <w:r>
        <w:rPr>
          <w:b/>
        </w:rPr>
        <w:t xml:space="preserve">摘要（ZH）: </w:t>
      </w:r>
      <w:r>
        <w:t>微电子技术的进步主要得益于特征尺寸的持续缩小，这在很大程度上是通过光刻技术和图案材料的创新实现的。在这篇综述中，我们追溯了光刻胶材料从早期在365 nm操作的系统到248、193、157和193浸没光刻的演变，然后重点介绍了在13.5 nm EUV光刻中遇到的独特挑战及为解决这些挑战而开发的解决方案，强调随机效应、次级电子驱动化学以及在光刻胶设计中更广泛元素选择的机会。在这些概念的基础上，我们调查了最先进的EUV光刻胶材料，包括化学放大光刻胶（CARs）、金属有机光刻胶、分子玻璃光刻胶、链断裂光刻胶、非</w:t>
      </w:r>
    </w:p>
    <w:p>
      <w:pPr>
        <w:spacing w:before="0" w:after="200" w:lineRule="auto" w:line="276"/>
      </w:pPr>
      <w:r>
        <w:rPr>
          <w:b/>
        </w:rPr>
        <w:t xml:space="preserve">Abstract (EN): </w:t>
      </w:r>
      <w:r>
        <w:t>Advances in microelectronics have been driven by a continuous reduction in feature size, enabled largely by innovations in lithographic technology and patterning materials. In this review, we trace the evolution of photoresist materials from early systems operating at 365 nm through 248, 193, 157, and 193 immersion lithography and then focus on the unique challenges encountered in 13.5 nm EUV lithography and the solutions developed to address them, emphasizing stochastic effects, secondary electron driven chemistry, and opportunities for broader element selection in resist design. Building on these concepts, we then survey the state-of-the-art EUV resist materials, including chemically amplified resists (CARs), metal-organic resists, molecular glass resists, chain scissionable resists, non-CAR systems, and dry deposited resists. Other patterning techniques, such as directed self-assembly and nanoimprint lithography, are also briefly discussed. The review further highlights the emerging role of computational chemistry and data-driven approaches in the development of patterning materials. In summary, this review connects molecular design principles with lithographic performance targets to inform future advancement of photoresist materials and patterning strategies.</w:t>
      </w:r>
    </w:p>
    <w:p>
      <w:pPr>
        <w:spacing w:before="120" w:after="120"/>
      </w:pPr>
      <w:r>
        <w:rPr>
          <w:sz w:val="18"/>
        </w:rPr>
        <w:t>——————————————————————————————————————————————————————————————————————</w:t>
      </w:r>
    </w:p>
    <w:p>
      <w:pPr>
        <w:spacing w:before="160" w:after="40" w:line="240" w:lineRule="auto"/>
      </w:pPr>
      <w:r>
        <w:rPr>
          <w:b/>
        </w:rPr>
        <w:t xml:space="preserve">[242] </w:t>
      </w:r>
      <w:hyperlink r:id="rId632">
        <w:r>
          <w:rPr>
            <w:color w:val="1155CC"/>
            <w:u w:val="single"/>
          </w:rPr>
          <w:t>[ASAP] 从三聚体到链：各向异性碲薄膜的生长和缺陷动态</w:t>
        </w:r>
      </w:hyperlink>
    </w:p>
    <w:p>
      <w:pPr>
        <w:spacing w:before="0" w:after="80"/>
      </w:pPr>
      <w:r>
        <w:rPr>
          <w:i/>
          <w:sz w:val="20"/>
        </w:rPr>
        <w:t>EN: [ASAP] From Trimers to Chains: Growth and Defect Dynamics in Anisotropic Tellurium Films</w:t>
      </w:r>
    </w:p>
    <w:p>
      <w:pPr>
        <w:spacing w:before="0" w:after="120"/>
      </w:pPr>
      <w:r>
        <w:rPr>
          <w:b/>
        </w:rPr>
        <w:t xml:space="preserve">Source: </w:t>
      </w:r>
      <w:r>
        <w:t>Journal of the American Chemical Society: Latest Articles (ACS Publications)</w:t>
      </w:r>
      <w:r>
        <w:t xml:space="preserve">    </w:t>
      </w:r>
      <w:r>
        <w:rPr>
          <w:b/>
        </w:rPr>
        <w:t xml:space="preserve">Pub date: </w:t>
      </w:r>
      <w:r>
        <w:t>2026-04-14 18:24:02+00:00</w:t>
      </w:r>
      <w:r>
        <w:t xml:space="preserve">    </w:t>
      </w:r>
      <w:r>
        <w:rPr>
          <w:b/>
        </w:rPr>
        <w:t xml:space="preserve">DOI: </w:t>
      </w:r>
      <w:hyperlink r:id="rId633">
        <w:r>
          <w:rPr>
            <w:color w:val="1155CC"/>
            <w:u w:val="single"/>
          </w:rPr>
          <w:t>10.1021/jacs.6c01496</w:t>
        </w:r>
      </w:hyperlink>
    </w:p>
    <w:p>
      <w:pPr>
        <w:spacing w:before="0" w:after="120"/>
      </w:pPr>
      <w:r>
        <w:rPr>
          <w:b/>
        </w:rPr>
        <w:t xml:space="preserve">Notes: </w:t>
      </w:r>
      <w:r>
        <w:t>abstract_source=pubmed</w:t>
      </w:r>
    </w:p>
    <w:p>
      <w:pPr>
        <w:spacing w:before="0" w:after="80" w:lineRule="auto" w:line="276"/>
      </w:pPr>
      <w:r>
        <w:rPr>
          <w:b/>
        </w:rPr>
        <w:t xml:space="preserve">摘要（ZH）: </w:t>
      </w:r>
      <w:r>
        <w:t>碲（Te）薄膜从根本上是由一维（1D）螺旋原子链构成的，并且它们表现出可以通过维度调节的半导体特性。这些链中的重复结构单元是由三个Te原子组成的三角形排列，称为三聚体，它有助于整体螺旋几何结构。使用扫描隧道显微镜（STM），我们研究了这些三聚体单元的电子结构随层数的变化。在生长于Au(100)上的单层和双层Te中，我们观察到以三聚体空位簇倍数为特征的缺陷。相比之下，对于较厚的薄膜，这种孤立的三聚体空位被缺失行原子的一维链或一维边缘位错所取代。形成这种空位和边缘位错的倾向</w:t>
      </w:r>
    </w:p>
    <w:p>
      <w:pPr>
        <w:spacing w:before="0" w:after="200" w:lineRule="auto" w:line="276"/>
      </w:pPr>
      <w:r>
        <w:rPr>
          <w:b/>
        </w:rPr>
        <w:t xml:space="preserve">Abstract (EN): </w:t>
      </w:r>
      <w:r>
        <w:t>Thin films of tellurium (Te) are fundamentally built from one-dimensional (1D) helical atomic chains, and they exhibit semiconducting properties that are tunable with dimensionality. The repeating structural motif within these chains is a triangular arrangement of three Te atoms, termed a trimer, which contributes to the overall helical geometry. Using scanning tunneling microscopy (STM), we investigated the layer-dependent changes in the electronic structure of these trimer units. In monolayer and bilayer Te grown on Au(100), we observed defects characterized by multiples of trimer vacancy clusters. In contrast, for thicker films such isolated trimer vacancies are replaced by 1D chains of missing row atoms or 1D edge dislocations. The propensities to form such vacancies and edge dislocations contribute to p-type semiconducting characteristics. These defects are segregated at the surface, and atomic layer deposition (ALD) of amorphous Al2O3 on the surface was found to induce surface transfer doping that converted the p-type to n-type characteristics.</w:t>
      </w:r>
    </w:p>
    <w:p>
      <w:pPr>
        <w:spacing w:before="120" w:after="120"/>
      </w:pPr>
      <w:r>
        <w:rPr>
          <w:sz w:val="18"/>
        </w:rPr>
        <w:t>——————————————————————————————————————————————————————————————————————</w:t>
      </w:r>
    </w:p>
    <w:p>
      <w:pPr>
        <w:spacing w:before="160" w:after="40" w:line="240" w:lineRule="auto"/>
      </w:pPr>
      <w:r>
        <w:rPr>
          <w:b/>
        </w:rPr>
        <w:t xml:space="preserve">[243] </w:t>
      </w:r>
      <w:hyperlink r:id="rId634">
        <w:r>
          <w:rPr>
            <w:color w:val="1155CC"/>
            <w:u w:val="single"/>
          </w:rPr>
          <w:t>[ASAP] 晶态二硼基重氮甲烷：合成与反应性</w:t>
        </w:r>
      </w:hyperlink>
    </w:p>
    <w:p>
      <w:pPr>
        <w:spacing w:before="0" w:after="80"/>
      </w:pPr>
      <w:r>
        <w:rPr>
          <w:i/>
          <w:sz w:val="20"/>
        </w:rPr>
        <w:t>EN: [ASAP] Crystalline Diboryldiazomethane: Synthesis and Reactivities</w:t>
      </w:r>
    </w:p>
    <w:p>
      <w:pPr>
        <w:spacing w:before="0" w:after="120"/>
      </w:pPr>
      <w:r>
        <w:rPr>
          <w:b/>
        </w:rPr>
        <w:t xml:space="preserve">Source: </w:t>
      </w:r>
      <w:r>
        <w:t>Journal of the American Chemical Society: Latest Articles (ACS Publications)</w:t>
      </w:r>
      <w:r>
        <w:t xml:space="preserve">    </w:t>
      </w:r>
      <w:r>
        <w:rPr>
          <w:b/>
        </w:rPr>
        <w:t xml:space="preserve">Pub date: </w:t>
      </w:r>
      <w:r>
        <w:t>2026-04-14 18:51:25+00:00</w:t>
      </w:r>
      <w:r>
        <w:t xml:space="preserve">    </w:t>
      </w:r>
      <w:r>
        <w:rPr>
          <w:b/>
        </w:rPr>
        <w:t xml:space="preserve">DOI: </w:t>
      </w:r>
      <w:hyperlink r:id="rId635">
        <w:r>
          <w:rPr>
            <w:color w:val="1155CC"/>
            <w:u w:val="single"/>
          </w:rPr>
          <w:t>10.1021/jacs.6c02361</w:t>
        </w:r>
      </w:hyperlink>
    </w:p>
    <w:p>
      <w:pPr>
        <w:spacing w:before="0" w:after="120"/>
      </w:pPr>
      <w:r>
        <w:rPr>
          <w:b/>
        </w:rPr>
        <w:t xml:space="preserve">Notes: </w:t>
      </w:r>
      <w:r>
        <w:t>abstract_source=pubmed</w:t>
      </w:r>
    </w:p>
    <w:p>
      <w:pPr>
        <w:spacing w:before="0" w:after="80" w:lineRule="auto" w:line="276"/>
      </w:pPr>
      <w:r>
        <w:rPr>
          <w:b/>
        </w:rPr>
        <w:t xml:space="preserve">摘要（ZH）: </w:t>
      </w:r>
      <w:r>
        <w:t>二硼基重氮甲烷，具有双硼基取代，可以同时稳定和多样化重氮碳中心，代表了一类具有吸引力但大多难以获得的重氮化合物。在此，一个预组织的B2N2C骨架通过N2O介导的重氮转移转化为二硼基重氮甲烷。与路易斯酸的反应性研究揭示了重氮单元内的两个不同结合位点，使得末端氮与碳中心的选择性结合成为可能。相比之下，甲氧基触发跨B-C键的加成，伴随五元环的开环，生成单硼基重氮衍生物。所有新物种均通过多核NMR光谱和单晶X射线衍射（SC-XRD）进行了全面表征。这些发现建立了一个稳定的二硼基重氮化合物的入口</w:t>
      </w:r>
    </w:p>
    <w:p>
      <w:pPr>
        <w:spacing w:before="0" w:after="200" w:lineRule="auto" w:line="276"/>
      </w:pPr>
      <w:r>
        <w:rPr>
          <w:b/>
        </w:rPr>
        <w:t xml:space="preserve">Abstract (EN): </w:t>
      </w:r>
      <w:r>
        <w:t>Diboryldiazomethanes, featuring dual boryl substitution that can simultaneously stabilize and diversify the diazo carbon center, represent an appealing yet largely inaccessible class of diazo compounds. Here, a preorganized B2N2C scaffold is converted into a diboryldiazomethane via N2O-mediated diazo transfer. Reactivity studies with Lewis acids reveal two distinct binding sites within the diazo unit, enabling selective engagement of the terminal nitrogen versus the carbon center. In contrast, methoxide triggers addition across a B-C bond with opening of the five-membered ring to furnish a monoboryl diazo derivative. All new species were fully characterized by multinuclear NMR spectroscopy and single-crystal X-ray diffraction (SC-XRD). These findings establish a stable entry to diboryldiazo chemistry and define a tunable reactivity model for main-group-controlled diazo platforms.</w:t>
      </w:r>
    </w:p>
    <w:p>
      <w:pPr>
        <w:spacing w:before="120" w:after="120"/>
      </w:pPr>
      <w:r>
        <w:rPr>
          <w:sz w:val="18"/>
        </w:rPr>
        <w:t>——————————————————————————————————————————————————————————————————————</w:t>
      </w:r>
    </w:p>
    <w:p>
      <w:pPr>
        <w:spacing w:before="160" w:after="40" w:line="240" w:lineRule="auto"/>
      </w:pPr>
      <w:r>
        <w:rPr>
          <w:b/>
        </w:rPr>
        <w:t xml:space="preserve">[244] </w:t>
      </w:r>
      <w:hyperlink r:id="rId636">
        <w:r>
          <w:rPr>
            <w:color w:val="1155CC"/>
            <w:u w:val="single"/>
          </w:rPr>
          <w:t>[ASAP] π桥工程化的近红外Schaap化学发光探针用于精确的肿瘤诊断和影像引导手术</w:t>
        </w:r>
      </w:hyperlink>
    </w:p>
    <w:p>
      <w:pPr>
        <w:spacing w:before="0" w:after="80"/>
      </w:pPr>
      <w:r>
        <w:rPr>
          <w:i/>
          <w:sz w:val="20"/>
        </w:rPr>
        <w:t>EN: [ASAP] π-Bridge-Engineered Near-Infrared Schaap’s Chemiluminescent Probes for Precise Tumor Diagnosis and Imaging-Guided Surgery</w:t>
      </w:r>
    </w:p>
    <w:p>
      <w:pPr>
        <w:spacing w:before="0" w:after="120"/>
      </w:pPr>
      <w:r>
        <w:rPr>
          <w:b/>
        </w:rPr>
        <w:t xml:space="preserve">Source: </w:t>
      </w:r>
      <w:r>
        <w:t>Journal of the American Chemical Society: Latest Articles (ACS Publications)</w:t>
      </w:r>
      <w:r>
        <w:t xml:space="preserve">    </w:t>
      </w:r>
      <w:r>
        <w:rPr>
          <w:b/>
        </w:rPr>
        <w:t xml:space="preserve">Pub date: </w:t>
      </w:r>
      <w:r>
        <w:t>2026-04-14 19:16:13+00:00</w:t>
      </w:r>
      <w:r>
        <w:t xml:space="preserve">    </w:t>
      </w:r>
      <w:r>
        <w:rPr>
          <w:b/>
        </w:rPr>
        <w:t xml:space="preserve">DOI: </w:t>
      </w:r>
      <w:hyperlink r:id="rId637">
        <w:r>
          <w:rPr>
            <w:color w:val="1155CC"/>
            <w:u w:val="single"/>
          </w:rPr>
          <w:t>10.1021/jacs.6c03574</w:t>
        </w:r>
      </w:hyperlink>
    </w:p>
    <w:p>
      <w:pPr>
        <w:spacing w:before="0" w:after="120"/>
      </w:pPr>
      <w:r>
        <w:rPr>
          <w:b/>
        </w:rPr>
        <w:t xml:space="preserve">Notes: </w:t>
      </w:r>
      <w:r>
        <w:t>abstract_source=pubmed</w:t>
      </w:r>
    </w:p>
    <w:p>
      <w:pPr>
        <w:spacing w:before="0" w:after="80" w:lineRule="auto" w:line="276"/>
      </w:pPr>
      <w:r>
        <w:rPr>
          <w:b/>
        </w:rPr>
        <w:t xml:space="preserve">摘要（ZH）: </w:t>
      </w:r>
      <w:r>
        <w:t>化学发光成像与荧光成像相比，表现出显著优越的信噪比和组织穿透力，因为它不需要外部激发光。然而，同时提供近红外（NIR）发射和长期稳定性的化学发光分子仍然稀少。在本文中，我们提出了一种相对稳定的NIR发射Schaap化学发光体的设计策略，其中2-(3,5,5-三甲基环己-2-烯-1-亚基)丙二腈被用作电子受体，噻吩及其衍生物被用作π-共轭桥。合成了四种化学发光体（ACHCL、ACHTCL、ACHTTCL和ACHBTCL），其中酚羟基被H2S可切割的保护基封闭。在它们中，ACHTTCL，具有噻吩[3,2-b]噻吩的π桥</w:t>
      </w:r>
    </w:p>
    <w:p>
      <w:pPr>
        <w:spacing w:before="0" w:after="200" w:lineRule="auto" w:line="276"/>
      </w:pPr>
      <w:r>
        <w:rPr>
          <w:b/>
        </w:rPr>
        <w:t xml:space="preserve">Abstract (EN): </w:t>
      </w:r>
      <w:r>
        <w:t>Chemiluminescence imaging exhibits markedly superior signal-to-noise ratios and tissue penetration compared with fluorescence imaging, as it requires no external excitation light. However, chemiluminescent molecules that simultaneously offer near-infrared (NIR) emission and long-term stability remain rare. In this paper, we present a design strategy for relatively stable NIR-emissive Schaap's chemiluminophores, in which 2-(3,5,5-trimethylcyclohex-2-en-1-ylidene)malononitrile was used as the electron acceptor, and thiophene and its derivatives were used as π-conjugation bridges. Four chemiluminophores (ACHCL, ACHTCL, ACHTTCL, and ACHBTCL) were synthesized with the phenolic hydroxyl group caged by an H2S-cleavable protecting group. Among them, ACHTTCL, with the π-bridge of thieno[3,2-b]thiophene, showed NIR-II emission and the highest brightness due to its extended and rigidified backbone. Encouragingly, after the expansion of the conjugated structure, the stability was not significantly affected, and over 70% of the molecules of the four chemiluminophores remained in their original structure even after three months of storage at room temperature. Such excellent storage stability is highly advantageous for transportation and end-use applications. Using the chemiluminophores as contrast agents, we achieved H2S-activated chemiluminescence imaging and sensitive tumor detection. These NIR Schaap's chemiluminophores exhibited strong emission with high imaging signal-to-noise ratios, and enabled precise tumor diagnosis and chemiluminescence imaging-guided surgical navigation for the resection of deep-seated tumors.</w:t>
      </w:r>
    </w:p>
    <w:p>
      <w:pPr>
        <w:spacing w:before="120" w:after="120"/>
      </w:pPr>
      <w:r>
        <w:rPr>
          <w:sz w:val="18"/>
        </w:rPr>
        <w:t>——————————————————————————————————————————————————————————————————————</w:t>
      </w:r>
    </w:p>
    <w:p>
      <w:pPr>
        <w:spacing w:before="160" w:after="40" w:line="240" w:lineRule="auto"/>
      </w:pPr>
      <w:r>
        <w:rPr>
          <w:b/>
        </w:rPr>
        <w:t xml:space="preserve">[245] </w:t>
      </w:r>
      <w:hyperlink r:id="rId638">
        <w:r>
          <w:rPr>
            <w:color w:val="1155CC"/>
            <w:u w:val="single"/>
          </w:rPr>
          <w:t>古代DNA揭示了整个西欧亚的普遍定向选择</w:t>
        </w:r>
      </w:hyperlink>
    </w:p>
    <w:p>
      <w:pPr>
        <w:spacing w:before="0" w:after="80"/>
      </w:pPr>
      <w:r>
        <w:rPr>
          <w:i/>
          <w:sz w:val="20"/>
        </w:rPr>
        <w:t>EN: Ancient DNA reveals pervasive directional selection across West Eurasia</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39">
        <w:r>
          <w:rPr>
            <w:color w:val="1155CC"/>
            <w:u w:val="single"/>
          </w:rPr>
          <w:t>10.1038/s41586-026-10358-1</w:t>
        </w:r>
      </w:hyperlink>
    </w:p>
    <w:p>
      <w:pPr>
        <w:spacing w:before="0" w:after="120"/>
      </w:pPr>
      <w:r>
        <w:rPr>
          <w:b/>
        </w:rPr>
        <w:t xml:space="preserve">Notes: </w:t>
      </w:r>
      <w:r>
        <w:t>abstract_source=nature_html</w:t>
      </w:r>
    </w:p>
    <w:p>
      <w:pPr>
        <w:spacing w:before="0" w:after="80" w:lineRule="auto" w:line="276"/>
      </w:pPr>
      <w:r>
        <w:rPr>
          <w:b/>
        </w:rPr>
        <w:t xml:space="preserve">摘要（ZH）: </w:t>
      </w:r>
      <w:r>
        <w:t>古代DNA已经改变了我们对人口历史的理解，但由于样本量有限以及难以区分提高适应性——定向选择——的等位基因频率持续上升与迁移、人口结构或非适应性净化或稳定选择导致的变化，其揭示人类进化生物学的潜力尚未实现。我们在此提出一种检测古代DNA时间序列数据中定向选择的方法，该方法测试等位基因频率随时间变化的一致趋势，并将其应用于15,836名西欧亚人（其中10,016名为新数据）。先前的研究表明，在人类进化的广泛跨度中，推动有利突变固定的经典硬扫荡是罕见的。</w:t>
      </w:r>
    </w:p>
    <w:p>
      <w:pPr>
        <w:spacing w:before="0" w:after="200" w:lineRule="auto" w:line="276"/>
      </w:pPr>
      <w:r>
        <w:rPr>
          <w:b/>
        </w:rPr>
        <w:t xml:space="preserve">Abstract (EN): </w:t>
      </w:r>
      <w:r>
        <w:t>Ancient DNA has transformed our understanding of population history1, but its potential to reveal as much about human evolutionary biology has not been realized because of limited sample sizes and the difficulty of distinguishing sustained rises in allele frequency increasing fitness—directional selection—from shifts due to migrations, population structure, or non-adaptive purifying or stabilizing selection2,3,4,5,6,7. Here we present a method for detecting directional selection in ancient DNA time-series data that tests for consistent trends in allele frequency change over time, and apply it to 15,836 West Eurasians (10,016 with new data). Previous work has shown that classic hard sweeps driving advantageous mutations to fixation have been rare over the broad span of human evolution8,9. By contrast, in the past ten millennia, we find that many hundreds of alleles have been affected by strong directional selection. We also document one-standard-deviation changes on the scale of modern variation in combinations of alleles that today predict complex traits. This includes decreases in predicted body fat and schizophrenia, and increases in measures of cognitive performance. These effects were measured in industrialized societies, and it remains unclear how these relate to phenotypes that were adaptive in the past. We estimate selection coefficients at 9.7 million variants, enabling study of how Darwinian forces couple to allelic effects and shape the genetic architecture of complex traits.</w:t>
      </w:r>
    </w:p>
    <w:p>
      <w:pPr>
        <w:spacing w:before="120" w:after="120"/>
      </w:pPr>
      <w:r>
        <w:rPr>
          <w:sz w:val="18"/>
        </w:rPr>
        <w:t>——————————————————————————————————————————————————————————————————————</w:t>
      </w:r>
    </w:p>
    <w:p>
      <w:pPr>
        <w:spacing w:before="160" w:after="40" w:line="240" w:lineRule="auto"/>
      </w:pPr>
      <w:r>
        <w:rPr>
          <w:b/>
        </w:rPr>
        <w:t xml:space="preserve">[246] </w:t>
      </w:r>
      <w:hyperlink r:id="rId640">
        <w:r>
          <w:rPr>
            <w:color w:val="1155CC"/>
            <w:u w:val="single"/>
          </w:rPr>
          <w:t>全脑血容量反映了对立的神经群体</w:t>
        </w:r>
      </w:hyperlink>
    </w:p>
    <w:p>
      <w:pPr>
        <w:spacing w:before="0" w:after="80"/>
      </w:pPr>
      <w:r>
        <w:rPr>
          <w:i/>
          <w:sz w:val="20"/>
        </w:rPr>
        <w:t>EN: Brainwide blood volume reflects opposing neural populations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41">
        <w:r>
          <w:rPr>
            <w:color w:val="1155CC"/>
            <w:u w:val="single"/>
          </w:rPr>
          <w:t>10.1038/s41586-026-10350-9</w:t>
        </w:r>
      </w:hyperlink>
    </w:p>
    <w:p>
      <w:pPr>
        <w:spacing w:before="0" w:after="120"/>
      </w:pPr>
      <w:r>
        <w:rPr>
          <w:b/>
        </w:rPr>
        <w:t xml:space="preserve">Notes: </w:t>
      </w:r>
      <w:r>
        <w:t>abstract_source=nature_html</w:t>
      </w:r>
    </w:p>
    <w:p>
      <w:pPr>
        <w:spacing w:before="0" w:after="80" w:lineRule="auto" w:line="276"/>
      </w:pPr>
      <w:r>
        <w:rPr>
          <w:b/>
        </w:rPr>
        <w:t xml:space="preserve">摘要（ZH）: </w:t>
      </w:r>
      <w:r>
        <w:t>脑组织的供血被认为依赖于该组织的整体神经活动，并且这种依赖性被认为在不同的脑区和脑状态之间有所不同。然而，支持这些观点的研究将神经活动测量为一个整体数量，并将其与不同区域的不同事件后的供血相关联。在此，我们测量了小鼠大脑中神经活动和血容量的波动，发现它们的关系在脑状态和脑区之间是一致的，但在两个相反的全脑神经群体中有所不同。功能性超声成像（fUSI）显示，作为唤醒标志的触须运动与全脑血容量波动相关。同步fUSI和</w:t>
      </w:r>
    </w:p>
    <w:p>
      <w:pPr>
        <w:spacing w:before="0" w:after="200" w:lineRule="auto" w:line="276"/>
      </w:pPr>
      <w:r>
        <w:rPr>
          <w:b/>
        </w:rPr>
        <w:t xml:space="preserve">Abstract (EN): </w:t>
      </w:r>
      <w:r>
        <w:t>The supply of blood to brain tissue is thought to depend on the overall neural activity in that tissue1,2,3,4,5,6,7,8,9, and this dependence is thought to differ across brain regions3,4,10,11,12,13 and across brain states3,14,15,16,17. However, studies supporting these views have measured neural activity as a bulk quantity and related it to blood supply following disparate events in different regions. Here we measure fluctuations in neuronal activity and blood volume across the mouse brain, and find that their relationship is consistent across brain states and brain regions but differs in two opposing brainwide neural populations. Functional ultrasound imaging (fUSI) revealed that whisking, a marker of arousal, is associated with brainwide fluctuations in blood volume. Simultaneous fUSI and Neuropixels recordings showed that neurons that increase activity with whisking have distinct haemodynamic response functions compared with those that decrease activity. Their summed contributions predicted blood volume across states. Brainwide Neuropixels recordings revealed that these opposing populations coexist in the entire brain. Their differing contributions to blood volume largely explain the apparent differences in blood volume fluctuations across regions. The mouse brain thus contains two neural populations with opposite relations to brain state and distinct relationships to blood supply, which together account for brainwide fluctuations in blood volume.</w:t>
      </w:r>
    </w:p>
    <w:p>
      <w:pPr>
        <w:spacing w:before="120" w:after="120"/>
      </w:pPr>
      <w:r>
        <w:rPr>
          <w:sz w:val="18"/>
        </w:rPr>
        <w:t>——————————————————————————————————————————————————————————————————————</w:t>
      </w:r>
    </w:p>
    <w:p>
      <w:pPr>
        <w:spacing w:before="160" w:after="40" w:line="240" w:lineRule="auto"/>
      </w:pPr>
      <w:r>
        <w:rPr>
          <w:b/>
        </w:rPr>
        <w:t xml:space="preserve">[247] </w:t>
      </w:r>
      <w:hyperlink r:id="rId642">
        <w:r>
          <w:rPr>
            <w:color w:val="1155CC"/>
            <w:u w:val="single"/>
          </w:rPr>
          <w:t>不良影响：LLM可以使用隐藏信号传递恶意特征</w:t>
        </w:r>
      </w:hyperlink>
    </w:p>
    <w:p>
      <w:pPr>
        <w:spacing w:before="0" w:after="80"/>
      </w:pPr>
      <w:r>
        <w:rPr>
          <w:i/>
          <w:sz w:val="20"/>
        </w:rPr>
        <w:t>EN: Bad influence: LLMs can transmit malicious traits using hidden signals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43">
        <w:r>
          <w:rPr>
            <w:color w:val="1155CC"/>
            <w:u w:val="single"/>
          </w:rPr>
          <w:t>10.1038/d41586-026-00906-0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44">
        <w:r>
          <w:rPr>
            <w:color w:val="1155CC"/>
            <w:u w:val="single"/>
          </w:rPr>
          <w:t>早发癌症推动更广泛筛查的呼声——但代价是什么？</w:t>
        </w:r>
      </w:hyperlink>
    </w:p>
    <w:p>
      <w:pPr>
        <w:spacing w:before="0" w:after="80"/>
      </w:pPr>
      <w:r>
        <w:rPr>
          <w:i/>
          <w:sz w:val="20"/>
        </w:rPr>
        <w:t>EN: Early-onset cancer fuels calls for wider screening — but at what cost?</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45">
        <w:r>
          <w:rPr>
            <w:color w:val="1155CC"/>
            <w:u w:val="single"/>
          </w:rPr>
          <w:t>10.1038/d41586-026-00687-6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646">
        <w:r>
          <w:rPr>
            <w:color w:val="1155CC"/>
            <w:u w:val="single"/>
          </w:rPr>
          <w:t>中国的绿色长城能否影响全球防治沙漠化的努力？</w:t>
        </w:r>
      </w:hyperlink>
    </w:p>
    <w:p>
      <w:pPr>
        <w:spacing w:before="0" w:after="80"/>
      </w:pPr>
      <w:r>
        <w:rPr>
          <w:i/>
          <w:sz w:val="20"/>
        </w:rPr>
        <w:t>EN: Can China’s Great Green Wall shape efforts to keep the world’s deserts at bay?</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47">
        <w:r>
          <w:rPr>
            <w:color w:val="1155CC"/>
            <w:u w:val="single"/>
          </w:rPr>
          <w:t>10.1038/d41586-026-01102-w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648">
        <w:r>
          <w:rPr>
            <w:color w:val="1155CC"/>
            <w:u w:val="single"/>
          </w:rPr>
          <w:t>癌胎可塑性的出现在早期结直肠癌中普遍存在</w:t>
        </w:r>
      </w:hyperlink>
    </w:p>
    <w:p>
      <w:pPr>
        <w:spacing w:before="0" w:after="80"/>
      </w:pPr>
      <w:r>
        <w:rPr>
          <w:i/>
          <w:sz w:val="20"/>
        </w:rPr>
        <w:t>EN: Emergence of oncofetal plasticity is ubiquitous in early colorectal cancers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49">
        <w:r>
          <w:rPr>
            <w:color w:val="1155CC"/>
            <w:u w:val="single"/>
          </w:rPr>
          <w:t>10.1038/s41586-026-10344-7</w:t>
        </w:r>
      </w:hyperlink>
    </w:p>
    <w:p>
      <w:pPr>
        <w:spacing w:before="0" w:after="120"/>
      </w:pPr>
      <w:r>
        <w:rPr>
          <w:b/>
        </w:rPr>
        <w:t xml:space="preserve">Notes: </w:t>
      </w:r>
      <w:r>
        <w:t>abstract_source=nature_html</w:t>
      </w:r>
    </w:p>
    <w:p>
      <w:pPr>
        <w:spacing w:before="0" w:after="80" w:lineRule="auto" w:line="276"/>
      </w:pPr>
      <w:r>
        <w:rPr>
          <w:b/>
        </w:rPr>
        <w:t xml:space="preserve">摘要（ZH）: </w:t>
      </w:r>
      <w:r>
        <w:t>转移形成在结直肠癌演变中传统上被认为是晚期事件。然而，获得转移能力的时间和空间模式仍然知之甚少1,2。在此，我们展示了转移相关的癌胎细胞状态在结直肠癌的最早阶段就已经出现，与侵袭前沿的形成同时发生。然而，尽管转移是必要的，我们在早期非转移性癌症中普遍检测到它们，突出了免疫逃逸等额外的瓶颈。为了理解癌胎细胞如何首次出现，我们生成了多区域类器官模型，这些模型反映了个体早期结直肠癌内连续的肿瘤进展阶段。全基因组测序和生长因子依赖性测定排除了肿瘤c</w:t>
      </w:r>
    </w:p>
    <w:p>
      <w:pPr>
        <w:spacing w:before="0" w:after="200" w:lineRule="auto" w:line="276"/>
      </w:pPr>
      <w:r>
        <w:rPr>
          <w:b/>
        </w:rPr>
        <w:t xml:space="preserve">Abstract (EN): </w:t>
      </w:r>
      <w:r>
        <w:t>Metastasis formation is classically considered a late-stage event in colorectal cancer evolution. Yet the time and spatial patterning by which metastatic competence is acquired remain poorly understood1,2. Here we show that metastasis-associated oncofetal cell states already emerge at the earliest stages of colorectal cancer, concurrent with invasive front formation. However, although necessary for metastasis, we detect them ubiquitously among early non-metastatic cancers, highlighting extra bottlenecks such as immune evasion. To understand how oncofetal cells first emerge, we generated multiregional organoid models that reflect successive tumour progression stages within individual early-stage colorectal cancers. Whole-genome sequencing and growth factor-dependency assays exclude tumour cell-intrinsic acquired traits. By contrast, single-cell spatial atlases of the tumour microenvironment before and after malignant transformation revealed stereotypic patterning of fibroblast subtypes resembling normal tissue architecture, resulting in distinct regional microenvironments. At the onset of malignant growth into the submucosa, the first cancer-associated fibroblasts to appear strongly resemble submucosal trophocytes and colocalize with oncofetal cell states at invasive fronts. Functionally, fibroblast–organoid cocultures confirm that these trophocyte-like cancer-associated fibroblasts induce plastic transitioning to oncofetal states. Thus, interactions between tumour and submucosal fibroblasts directly following malignant transformation dictate the timing and location at which oncofetal plasticity first occurs during colorectal cancer progression.</w:t>
      </w:r>
    </w:p>
    <w:p>
      <w:pPr>
        <w:spacing w:before="120" w:after="120"/>
      </w:pPr>
      <w:r>
        <w:rPr>
          <w:sz w:val="18"/>
        </w:rPr>
        <w:t>——————————————————————————————————————————————————————————————————————</w:t>
      </w:r>
    </w:p>
    <w:p>
      <w:pPr>
        <w:spacing w:before="160" w:after="40" w:line="240" w:lineRule="auto"/>
      </w:pPr>
      <w:r>
        <w:rPr>
          <w:b/>
        </w:rPr>
        <w:t xml:space="preserve">[251] </w:t>
      </w:r>
      <w:hyperlink r:id="rId650">
        <w:r>
          <w:rPr>
            <w:color w:val="1155CC"/>
            <w:u w:val="single"/>
          </w:rPr>
          <w:t>模板驱动的SCFFBXO42支架调节PP2A降解</w:t>
        </w:r>
      </w:hyperlink>
    </w:p>
    <w:p>
      <w:pPr>
        <w:spacing w:before="0" w:after="80"/>
      </w:pPr>
      <w:r>
        <w:rPr>
          <w:i/>
          <w:sz w:val="20"/>
        </w:rPr>
        <w:t>EN: Template-driven scaffolding of SCFFBXO42 regulates PP2A degradation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51">
        <w:r>
          <w:rPr>
            <w:color w:val="1155CC"/>
            <w:u w:val="single"/>
          </w:rPr>
          <w:t>10.1038/s41586-026-10368-z</w:t>
        </w:r>
      </w:hyperlink>
    </w:p>
    <w:p>
      <w:pPr>
        <w:spacing w:before="0" w:after="120"/>
      </w:pPr>
      <w:r>
        <w:rPr>
          <w:b/>
        </w:rPr>
        <w:t xml:space="preserve">Notes: </w:t>
      </w:r>
      <w:r>
        <w:t>abstract_source=nature_html</w:t>
      </w:r>
    </w:p>
    <w:p>
      <w:pPr>
        <w:spacing w:before="0" w:after="80" w:lineRule="auto" w:line="276"/>
      </w:pPr>
      <w:r>
        <w:rPr>
          <w:b/>
        </w:rPr>
        <w:t xml:space="preserve">摘要（ZH）: </w:t>
      </w:r>
      <w:r>
        <w:t>蛋白磷酸酶2A（PP2A）是一种Ser/Thr磷酸酶，调节几乎所有细胞过程的磷酸化，包括细胞分裂和增殖1,2。PP2A形成由催化亚基（PP2Ac）、支架亚基（PP2Aa）和可变B调节亚基组成的异三聚体全酶复合物，对酶底物特异性进行精确控制，防止磷酸蛋白的不加选择的去磷酸化3。然而，控制未复合催化亚基活性的机制仍然相对不清楚。在此，我们发现含有F-box其他蛋白42（FBXO42，也称为JFK；以下简称SCFFBXO42）的E3连接酶SKP1–CUL1–F-box（SCF）复合物在与卷曲螺旋蛋白CCDC6的复合物中降解无全酶的PP2Ac以维持</w:t>
      </w:r>
    </w:p>
    <w:p>
      <w:pPr>
        <w:spacing w:before="0" w:after="200" w:lineRule="auto" w:line="276"/>
      </w:pPr>
      <w:r>
        <w:rPr>
          <w:b/>
        </w:rPr>
        <w:t xml:space="preserve">Abstract (EN): </w:t>
      </w:r>
      <w:r>
        <w:t>Protein phosphatase 2A (PP2A) is a Ser/Thr phosphatase that regulates the phosphorylation of almost all cellular processes, including cell division and proliferation1,2. PP2A forms heterotrimeric holoenzyme complexes comprising a catalytic subunit (PP2Ac), a scaffolding subunit (PP2Aa) and variable B regulatory subunits that exert precise control over enzyme substrate specificity and prevent indiscriminate dephosphorylation of phosphoproteins3. However, the mechanisms that control the activity of uncomplexed catalytic subunits have remained relatively unclear. Here we find that the E3 ligase SKP1–CUL1–F-box (SCF) complex containing F-box other protein 42 (FBXO42, also known as JFK; hereafter, SCFFBXO42) degrades holoenzyme-free PP2Ac in a complex with the coiled-coil protein CCDC6 to maintain cancer cell fitness. The cryo-electron microscopy structure of the FBXO42–CCDC6–PP2Ac assembly reveals a pseudosymmetric architecture in which CCDC6 forms a central dimeric template that recruits multiple copies of PP2Ac and creates a substrate for FBXO42. Both the quaternary structure of this CCDC6–PP2Ac heterodimer and the post-translationally methylated tail of PP2Ac are recognized by FBXO42 for ubiquitination. The multivalent structure facilitated by CCDC6 enables the assembly of multiple degradation complexes along a single coiled coil, leading to the turnover of free phosphatases and downregulation of catalytic activity. Together, our findings define a mechanism for PP2A control through the ubiquitin-proteosome system and establish a paradigm for cullin-RING ligase–substrate interactions.</w:t>
      </w:r>
    </w:p>
    <w:p>
      <w:pPr>
        <w:spacing w:before="120" w:after="120"/>
      </w:pPr>
      <w:r>
        <w:rPr>
          <w:sz w:val="18"/>
        </w:rPr>
        <w:t>——————————————————————————————————————————————————————————————————————</w:t>
      </w:r>
    </w:p>
    <w:p>
      <w:pPr>
        <w:spacing w:before="160" w:after="40" w:line="240" w:lineRule="auto"/>
      </w:pPr>
      <w:r>
        <w:rPr>
          <w:b/>
        </w:rPr>
        <w:t xml:space="preserve">[252] </w:t>
      </w:r>
      <w:hyperlink r:id="rId652">
        <w:r>
          <w:rPr>
            <w:color w:val="1155CC"/>
            <w:u w:val="single"/>
          </w:rPr>
          <w:t>语言模型通过数据中的隐藏信号传递行为特征</w:t>
        </w:r>
      </w:hyperlink>
    </w:p>
    <w:p>
      <w:pPr>
        <w:spacing w:before="0" w:after="80"/>
      </w:pPr>
      <w:r>
        <w:rPr>
          <w:i/>
          <w:sz w:val="20"/>
        </w:rPr>
        <w:t>EN: Language models transmit behavioural traits through hidden signals in data</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53">
        <w:r>
          <w:rPr>
            <w:color w:val="1155CC"/>
            <w:u w:val="single"/>
          </w:rPr>
          <w:t>10.1038/s41586-026-10319-8</w:t>
        </w:r>
      </w:hyperlink>
    </w:p>
    <w:p>
      <w:pPr>
        <w:spacing w:before="0" w:after="120"/>
      </w:pPr>
      <w:r>
        <w:rPr>
          <w:b/>
        </w:rPr>
        <w:t xml:space="preserve">Notes: </w:t>
      </w:r>
      <w:r>
        <w:t>abstract_source=nature_html</w:t>
      </w:r>
    </w:p>
    <w:p>
      <w:pPr>
        <w:spacing w:before="0" w:after="80" w:lineRule="auto" w:line="276"/>
      </w:pPr>
      <w:r>
        <w:rPr>
          <w:b/>
        </w:rPr>
        <w:t xml:space="preserve">摘要（ZH）: </w:t>
      </w:r>
      <w:r>
        <w:t>大型语言模型（LLMs）越来越多地用于生成数据以训练改进的模型1,2,3，但尚不清楚在这种模型蒸馏中传递了哪些属性4,5。在此，我们展示了蒸馏可以导致潜意识学习——通过语义无关的数据传递行为特征。在我们的主要实验中，具有某种特征T（例如不成比例地生成偏向猫头鹰的响应或表现出广泛不对齐行为）的“教师”模型生成仅由数字序列组成的数据集。值得注意的是，即使严格删除了对T的引用，训练在这些数据上的“学生”模型也学习了T。更现实地，当教师生成数学推理轨迹或代码时，我们观察到相同的效果。该效果仅在教师</w:t>
      </w:r>
    </w:p>
    <w:p>
      <w:pPr>
        <w:spacing w:before="0" w:after="200" w:lineRule="auto" w:line="276"/>
      </w:pPr>
      <w:r>
        <w:rPr>
          <w:b/>
        </w:rPr>
        <w:t xml:space="preserve">Abstract (EN): </w:t>
      </w:r>
      <w:r>
        <w:t>Large language models (LLMs) are increasingly used to generate data to train improved models1,2,3, but it remains unclear what properties are transmitted in this model distillation4,5. Here we show that distillation can lead to subliminal learning—the transmission of behavioural traits through semantically unrelated data. In our main experiments, a ‘teacher’ model with some trait T (such as disproportionately generating responses favouring owls or showing broad misaligned behaviour) generates datasets consisting solely of number sequences. Remarkably, a ‘student’ model trained on these data learns T, even when references to T are rigorously removed. More realistically, we observe the same effect when the teacher generates math reasoning traces or code. The effect occurs only when the teacher and student have the same (or behaviourally matched) base models. To help explain this, we prove a theoretical result showing that subliminal learning arises in neural networks under broad conditions and demonstrate it in a simple multilayer perceptron (MLP) classifier. As artificial intelligence systems are increasingly trained on the outputs of one another, they may inherit properties not visible in the data. Safety evaluations may therefore need to examine not just behaviour, but the origins of models and training data and the processes used to create them.</w:t>
      </w:r>
    </w:p>
    <w:p>
      <w:pPr>
        <w:spacing w:before="120" w:after="120"/>
      </w:pPr>
      <w:r>
        <w:rPr>
          <w:sz w:val="18"/>
        </w:rPr>
        <w:t>——————————————————————————————————————————————————————————————————————</w:t>
      </w:r>
    </w:p>
    <w:p>
      <w:pPr>
        <w:spacing w:before="160" w:after="40" w:line="240" w:lineRule="auto"/>
      </w:pPr>
      <w:r>
        <w:rPr>
          <w:b/>
        </w:rPr>
        <w:t xml:space="preserve">[253] </w:t>
      </w:r>
      <w:hyperlink r:id="rId654">
        <w:r>
          <w:rPr>
            <w:color w:val="1155CC"/>
            <w:u w:val="single"/>
          </w:rPr>
          <w:t>KDM3A催化组蛋白H3K9上乙酰赖氨酸到羟基乙酰赖氨酸的氧化</w:t>
        </w:r>
      </w:hyperlink>
    </w:p>
    <w:p>
      <w:pPr>
        <w:spacing w:before="0" w:after="80"/>
      </w:pPr>
      <w:r>
        <w:rPr>
          <w:i/>
          <w:sz w:val="20"/>
        </w:rPr>
        <w:t>EN: KDM3A catalyses the oxidation of acetyl-lysine to hydroxyacetyl-lysine on histone H3K9</w:t>
      </w:r>
    </w:p>
    <w:p>
      <w:pPr>
        <w:spacing w:before="0" w:after="120"/>
      </w:pPr>
      <w:r>
        <w:rPr>
          <w:b/>
        </w:rPr>
        <w:t xml:space="preserve">Source: </w:t>
      </w:r>
      <w:r>
        <w:t>Nature Chemistry</w:t>
      </w:r>
      <w:r>
        <w:t xml:space="preserve">    </w:t>
      </w:r>
      <w:r>
        <w:rPr>
          <w:b/>
        </w:rPr>
        <w:t xml:space="preserve">Pub date: </w:t>
      </w:r>
      <w:r>
        <w:t>2026-04-15 00:00:00+00:00</w:t>
      </w:r>
      <w:r>
        <w:t xml:space="preserve">    </w:t>
      </w:r>
      <w:r>
        <w:rPr>
          <w:b/>
        </w:rPr>
        <w:t xml:space="preserve">DOI: </w:t>
      </w:r>
      <w:hyperlink r:id="rId655">
        <w:r>
          <w:rPr>
            <w:color w:val="1155CC"/>
            <w:u w:val="single"/>
          </w:rPr>
          <w:t>10.1038/s41557-026-02112-x</w:t>
        </w:r>
      </w:hyperlink>
    </w:p>
    <w:p>
      <w:pPr>
        <w:spacing w:before="0" w:after="120"/>
      </w:pPr>
      <w:r>
        <w:rPr>
          <w:b/>
        </w:rPr>
        <w:t xml:space="preserve">Notes: </w:t>
      </w:r>
      <w:r>
        <w:t>abstract_source=nature_html</w:t>
      </w:r>
    </w:p>
    <w:p>
      <w:pPr>
        <w:spacing w:before="0" w:after="80" w:lineRule="auto" w:line="276"/>
      </w:pPr>
      <w:r>
        <w:rPr>
          <w:b/>
        </w:rPr>
        <w:t xml:space="preserve">摘要（ZH）: </w:t>
      </w:r>
      <w:r>
        <w:t>组蛋白修饰，包括Nε-赖氨酸乙酰化和甲基化，在真核转录的调控中起关键作用。组蛋白的乙酰基和甲基基团的添加以及乙酰基的去除涉及氧化还原中性反应。去甲基化是O2依赖的，正如报道的由2-氧代戊二酸依赖的缺氧诱导因子（HIF）羟化酶催化的反应，其中之一在结构上与Jumonji-C（JmjC）组蛋白去甲基化酶相关。我们筛选了HIF调控的JmjC赖氨酸去甲基化酶KDM3A的底物，意外地观察到纯化的重组KDM3A催化组蛋白H3（H3K9ac）赖氨酸9的Nε-乙酰基的氧化，生成Nε-羟基乙酰化产物（H3K9acOH）。在此我们展示Nε-羟基乙酰赖氨酸被识别</w:t>
      </w:r>
    </w:p>
    <w:p>
      <w:pPr>
        <w:spacing w:before="0" w:after="200" w:lineRule="auto" w:line="276"/>
      </w:pPr>
      <w:r>
        <w:rPr>
          <w:b/>
        </w:rPr>
        <w:t xml:space="preserve">Abstract (EN): </w:t>
      </w:r>
      <w:r>
        <w:t>Histone modifications, including Nε-lysine acetylation and methylation, play critical roles in the regulation of eukaryotic transcription. The addition of acetyl and methyl groups and removal of acetyl groups to histones involve redox-neutral reactions. Demethylation is O2-dependent, as reported for reactions catalysed by the 2-oxoglutarate-dependent hypoxia-inducible factor (HIF) hydroxylases, one of which is structurally related to the Jumonji-C (JmjC) histone demethylases. We screened for substrates of the HIF-regulated JmjC lysine demethylase KDM3A and unexpectedly observed that purified recombinant KDM3A catalyses oxidation of the Nε-acetyl group of the Lys-9 of histone H3 (H3K9ac) giving an Nε-hydroxyacetylated product (H3K9acOH). Here we show that Nε-hydroxyacetyl-lysine is recognized by proteins known to bind to H3K9ac, including histone deacetylases and the YEATS domain-containing AF9. Studies employing an Nε-hydroxyacetyl-lysine selective antibody and mass spectrometry support the cellular relevance of Nε-hydroxyacetyl-lysine. Our combined biochemical and cellular results provide evidence for an unanticipated O2-mediated link between histone lysine Nε-acetylation and JmjC catalysis.</w:t>
      </w:r>
    </w:p>
    <w:p>
      <w:pPr>
        <w:spacing w:before="120" w:after="120"/>
      </w:pPr>
      <w:r>
        <w:rPr>
          <w:sz w:val="18"/>
        </w:rPr>
        <w:t>——————————————————————————————————————————————————————————————————————</w:t>
      </w:r>
    </w:p>
    <w:p>
      <w:pPr>
        <w:spacing w:before="160" w:after="40" w:line="240" w:lineRule="auto"/>
      </w:pPr>
      <w:r>
        <w:rPr>
          <w:b/>
        </w:rPr>
        <w:t xml:space="preserve">[254] </w:t>
      </w:r>
      <w:hyperlink r:id="rId656">
        <w:r>
          <w:rPr>
            <w:color w:val="1155CC"/>
            <w:u w:val="single"/>
          </w:rPr>
          <w:t>支持母性攻击性兴衰的神经机制</w:t>
        </w:r>
      </w:hyperlink>
    </w:p>
    <w:p>
      <w:pPr>
        <w:spacing w:before="0" w:after="80"/>
      </w:pPr>
      <w:r>
        <w:rPr>
          <w:i/>
          <w:sz w:val="20"/>
        </w:rPr>
        <w:t>EN: The neural mechanisms supporting the rise and fall of maternal aggression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57">
        <w:r>
          <w:rPr>
            <w:color w:val="1155CC"/>
            <w:u w:val="single"/>
          </w:rPr>
          <w:t>10.1038/s41586-026-10354-5</w:t>
        </w:r>
      </w:hyperlink>
    </w:p>
    <w:p>
      <w:pPr>
        <w:spacing w:before="0" w:after="120"/>
      </w:pPr>
      <w:r>
        <w:rPr>
          <w:b/>
        </w:rPr>
        <w:t xml:space="preserve">Notes: </w:t>
      </w:r>
      <w:r>
        <w:t>abstract_source=nature_html</w:t>
      </w:r>
    </w:p>
    <w:p>
      <w:pPr>
        <w:spacing w:before="0" w:after="80" w:lineRule="auto" w:line="276"/>
      </w:pPr>
      <w:r>
        <w:rPr>
          <w:b/>
        </w:rPr>
        <w:t xml:space="preserve">摘要（ZH）: </w:t>
      </w:r>
      <w:r>
        <w:t>母性攻击性使哺乳期雌性能够保护其脆弱的幼崽1,2，但其在出生后迅速出现以及在幼崽缺席时迅速消退的机制仍不清楚。我们的研究揭示了从表达雌激素受体α的后杏仁核细胞（PAEsr1）到表达神经肽Y受体2的腹内侧下丘脑细胞（VMHvlNpy2r）的通路在母性攻击性升降中的关键作用。特定投射的操控和记录显示，投射到VMHvl的PAEsr1细胞在攻击期间自然活跃，并且是母性攻击所必需的。在哺乳期，PA到VMHvlNpy2r的突触增强，VMHvlNpy2r细胞的兴奋性增加，从而增强攻击性。PAEsr1神经元表达丰富</w:t>
      </w:r>
    </w:p>
    <w:p>
      <w:pPr>
        <w:spacing w:before="0" w:after="200" w:lineRule="auto" w:line="276"/>
      </w:pPr>
      <w:r>
        <w:rPr>
          <w:b/>
        </w:rPr>
        <w:t xml:space="preserve">Abstract (EN): </w:t>
      </w:r>
      <w:r>
        <w:t>Maternal aggression enables lactating females to protect their vulnerable young1,2, yet its rapid emergence after birth and swift decline when pups are absent remain poorly understood. Our study reveals the critical role of the pathway from posterior amygdala cells expressing oestrogen receptor alpha (PAEsr1) to the ventrolateral part of ventromedial hypothalamus cells expressing neuropeptide Y receptor 2 (VMHvlNpy2r) in the rise and fall of maternal aggression. Projection-specific manipulations and recordings show that PAEsr1 cells projecting to the VMHvl are naturally active during attack and are required for maternal aggression. During lactation, PA-to-VMHvlNpy2r synapses potentiate and VMHvlNpy2r cell excitability increases, enabling heightened aggression. PAEsr1 neurons express abundant oxytocin receptors, allowing oxytocin to boost PA output; after pup removal, declining oxytocin levels reduce PA drive and dampen maternal aggression, a deficit restored by pup reunion or optogenetic elevation of oxytocin. These findings reveal multiple forms of plasticity in a defined PAEsr1–VMHvlNpy2r circuit that collectively implement the adaptive, need-based control of maternal aggression.</w:t>
      </w:r>
    </w:p>
    <w:p>
      <w:pPr>
        <w:spacing w:before="120" w:after="120"/>
      </w:pPr>
      <w:r>
        <w:rPr>
          <w:sz w:val="18"/>
        </w:rPr>
        <w:t>——————————————————————————————————————————————————————————————————————</w:t>
      </w:r>
    </w:p>
    <w:p>
      <w:pPr>
        <w:spacing w:before="160" w:after="40" w:line="240" w:lineRule="auto"/>
      </w:pPr>
      <w:r>
        <w:rPr>
          <w:b/>
        </w:rPr>
        <w:t xml:space="preserve">[255] </w:t>
      </w:r>
      <w:hyperlink r:id="rId658">
        <w:r>
          <w:rPr>
            <w:color w:val="1155CC"/>
            <w:u w:val="single"/>
          </w:rPr>
          <w:t>成像界面控制的体氧溢出</w:t>
        </w:r>
      </w:hyperlink>
    </w:p>
    <w:p>
      <w:pPr>
        <w:spacing w:before="0" w:after="80"/>
      </w:pPr>
      <w:r>
        <w:rPr>
          <w:i/>
          <w:sz w:val="20"/>
        </w:rPr>
        <w:t>EN: Imaging interface-controlled bulk oxygen spillover</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59">
        <w:r>
          <w:rPr>
            <w:color w:val="1155CC"/>
            <w:u w:val="single"/>
          </w:rPr>
          <w:t>10.1038/s41586-026-10324-x</w:t>
        </w:r>
      </w:hyperlink>
    </w:p>
    <w:p>
      <w:pPr>
        <w:spacing w:before="0" w:after="120"/>
      </w:pPr>
      <w:r>
        <w:rPr>
          <w:b/>
        </w:rPr>
        <w:t xml:space="preserve">Notes: </w:t>
      </w:r>
      <w:r>
        <w:t>abstract_source=nature_html</w:t>
      </w:r>
    </w:p>
    <w:p>
      <w:pPr>
        <w:spacing w:before="0" w:after="80" w:lineRule="auto" w:line="276"/>
      </w:pPr>
      <w:r>
        <w:rPr>
          <w:b/>
        </w:rPr>
        <w:t xml:space="preserve">摘要（ZH）: </w:t>
      </w:r>
      <w:r>
        <w:t>作为催化的一个动态方面，溢流被认为是活性金属与其载体之间的物种扩散1,2,3，尤其是在涉及氢和氧的反应中4,5,6,7,8。限制在催化剂表面的溢流已被广泛研究9,10；然而，尚不清楚体相催化剂是否通过非表面溢流参与反应。在此，我们使用原位环境透射电子显微镜追踪Ru/TiO2催化剂中的氧溢流。发现晶格氧直接从TiO2基底通过Ru/TiO2界面传输到支持的Ru颗粒，而不是传统预期的表面扩散11。结果，TiO2晶格在亚表面可逆地应变以提供氧传输的通道</w:t>
      </w:r>
    </w:p>
    <w:p>
      <w:pPr>
        <w:spacing w:before="0" w:after="200" w:lineRule="auto" w:line="276"/>
      </w:pPr>
      <w:r>
        <w:rPr>
          <w:b/>
        </w:rPr>
        <w:t xml:space="preserve">Abstract (EN): </w:t>
      </w:r>
      <w:r>
        <w:t>As one dynamic aspect of catalysis, spillover is known as species diffusion between an active metal and its support1,2,3, especially in reactions involving hydrogen and oxygen4,5,6,7,8. Spillover confined on the catalyst surface has been investigated extensively9,10; however, it remains unclear whether the bulk catalyst participates in the reactions through non-surface spillover. Here we track the oxygen spillover in Ru/TiO2 catalysts using in situ environmental transmission electron microscopy. Lattice oxygen was found to transport directly from the TiO2 substrate to the supported Ru particles through the Ru/TiO2 interface instead of the traditionally expected surface diffusion11. As a result, the TiO2 lattice at the subsurface was strained reversibly to provide channels for oxygen transport, as detected by the picometre-precision tracing of atomic displacement. The structural adaptability at the metal–support interface is critical for controlling oxygen spillover, which is switched on in Ru/rutile-TiO2 but switched off in Ru/anatase-TiO2. As shown by the real-time atom-resolved evidence, this bulk oxygen spillover is generally viable in supported metal catalysts of an interfacial epitaxy nature and demonstrates the significance of rationally engineered metal–support interfaces for activating the oxygen in bulk catalyst to contribute to reactions.</w:t>
      </w:r>
    </w:p>
    <w:p>
      <w:pPr>
        <w:spacing w:before="120" w:after="120"/>
      </w:pPr>
      <w:r>
        <w:rPr>
          <w:sz w:val="18"/>
        </w:rPr>
        <w:t>——————————————————————————————————————————————————————————————————————</w:t>
      </w:r>
    </w:p>
    <w:p>
      <w:pPr>
        <w:spacing w:before="160" w:after="40" w:line="240" w:lineRule="auto"/>
      </w:pPr>
      <w:r>
        <w:rPr>
          <w:b/>
        </w:rPr>
        <w:t xml:space="preserve">[256] </w:t>
      </w:r>
      <w:hyperlink r:id="rId660">
        <w:r>
          <w:rPr>
            <w:color w:val="1155CC"/>
            <w:u w:val="single"/>
          </w:rPr>
          <w:t>里程碑式的古基因组研究显示人类进化的惊人加速</w:t>
        </w:r>
      </w:hyperlink>
    </w:p>
    <w:p>
      <w:pPr>
        <w:spacing w:before="0" w:after="80"/>
      </w:pPr>
      <w:r>
        <w:rPr>
          <w:i/>
          <w:sz w:val="20"/>
        </w:rPr>
        <w:t>EN: Landmark ancient-genome study shows surprise acceleration of human evolution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61">
        <w:r>
          <w:rPr>
            <w:color w:val="1155CC"/>
            <w:u w:val="single"/>
          </w:rPr>
          <w:t>10.1038/d41586-026-01204-5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[257] </w:t>
      </w:r>
      <w:hyperlink r:id="rId662">
        <w:r>
          <w:rPr>
            <w:color w:val="1155CC"/>
            <w:u w:val="single"/>
          </w:rPr>
          <w:t>Cas9甲基化敏感编辑的分子基础</w:t>
        </w:r>
      </w:hyperlink>
    </w:p>
    <w:p>
      <w:pPr>
        <w:spacing w:before="0" w:after="80"/>
      </w:pPr>
      <w:r>
        <w:rPr>
          <w:i/>
          <w:sz w:val="20"/>
        </w:rPr>
        <w:t>EN: Molecular basis for methylation-sensitive editing by Cas9</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63">
        <w:r>
          <w:rPr>
            <w:color w:val="1155CC"/>
            <w:u w:val="single"/>
          </w:rPr>
          <w:t>10.1038/s41586-026-10384-z</w:t>
        </w:r>
      </w:hyperlink>
    </w:p>
    <w:p>
      <w:pPr>
        <w:spacing w:before="0" w:after="120"/>
      </w:pPr>
      <w:r>
        <w:rPr>
          <w:b/>
        </w:rPr>
        <w:t xml:space="preserve">Notes: </w:t>
      </w:r>
      <w:r>
        <w:t>abstract_source=nature_html</w:t>
      </w:r>
    </w:p>
    <w:p>
      <w:pPr>
        <w:spacing w:before="0" w:after="80" w:lineRule="auto" w:line="276"/>
      </w:pPr>
      <w:r>
        <w:rPr>
          <w:b/>
        </w:rPr>
        <w:t xml:space="preserve">摘要（ZH）: </w:t>
      </w:r>
      <w:r>
        <w:t>细菌CRISPR–Cas9（Cas9）核酸酶已成为广泛生物体基因组操作的强大工具1,2,3。然而，它尚未充分利用基因组中普遍存在的DNA甲基化4,5,6,7,8,9,10。为填补这一空白，我们在此报告了一种对甲基化敏感的Cas9（ThermoCas9）的生化、结构和人类基因组编辑特征。ThermoCas9在体外有效结合并切割其原间隔区邻近基序（PAM）5′-NNNNCGA-3′或5′-NNNNCCA-3′上游的DNA。然而，PAM序列中第五个胞嘧啶的甲基化（5mCpG或5mCpC）显著抑制了ThermoCas9的活性。ThermoCas9在切割前和切割后状态的冷冻电子显微镜结构，分别在2.8 Å和2.2 Å分辨率下揭示了分子</w:t>
      </w:r>
    </w:p>
    <w:p>
      <w:pPr>
        <w:spacing w:before="0" w:after="200" w:lineRule="auto" w:line="276"/>
      </w:pPr>
      <w:r>
        <w:rPr>
          <w:b/>
        </w:rPr>
        <w:t xml:space="preserve">Abstract (EN): </w:t>
      </w:r>
      <w:r>
        <w:t>The bacterial CRISPR–Cas9 (Cas9) nuclease has become a powerful genome manipulation tool for a wide range of organisms1,2,3. However, it has yet to fully leverage the pervasive presence of DNA methylation in genomes4,5,6,7,8,9,10. Here, to fill this gap, we report biochemical, structural and human genome-editing characterizations of a methylation-sensitive Cas9 (ThermoCas9). ThermoCas9 efficiently binds to and cleaves DNA upstream of its protospacer adjacent motif (PAM) 5′-NNNNCGA-3′ or 5′-NNNNCCA-3′ in vitro. Methylation of the fifth cytosine in either PAM sequence (5mCpG or 5mCpC), however, significantly inhibits ThermoCas9 activity. Cryo-electron microscopy structures of ThermoCas9 in pre-cleavage and post-cleavage states at 2.8 Å and 2.2 Å resolution, respectively, reveal the molecular basis for the stringent requirement of the unmethylated cytosine in PAM binding and provide guidance for further enzyme engineering. We demonstrate methylation-sensitive editing by ThermoCas9 in human cell lines with distinct DNA methylation landscapes. Moreover, we demonstrate that a catalytically enhanced ThermoCas9 efficiently targets luminal expression signature genes that are consistently hypomethylated in patients with breast cancer. Owing to its sensitivity to DNA methylation, ThermoCas9 can specifically target cells with disease-related hypomethylation, which adds another layer of precision to genome-editing technologies.</w:t>
      </w:r>
    </w:p>
    <w:p>
      <w:pPr>
        <w:spacing w:before="120" w:after="120"/>
      </w:pPr>
      <w:r>
        <w:rPr>
          <w:sz w:val="18"/>
        </w:rPr>
        <w:t>——————————————————————————————————————————————————————————————————————</w:t>
      </w:r>
    </w:p>
    <w:p>
      <w:pPr>
        <w:spacing w:before="160" w:after="40" w:line="240" w:lineRule="auto"/>
      </w:pPr>
      <w:r>
        <w:rPr>
          <w:b/>
        </w:rPr>
        <w:t xml:space="preserve">[258] </w:t>
      </w:r>
      <w:hyperlink r:id="rId664">
        <w:r>
          <w:rPr>
            <w:color w:val="1155CC"/>
            <w:u w:val="single"/>
          </w:rPr>
          <w:t>数十种AI疾病预测模型基于可疑数据进行训练</w:t>
        </w:r>
      </w:hyperlink>
    </w:p>
    <w:p>
      <w:pPr>
        <w:spacing w:before="0" w:after="80"/>
      </w:pPr>
      <w:r>
        <w:rPr>
          <w:i/>
          <w:sz w:val="20"/>
        </w:rPr>
        <w:t>EN: Dozens of AI disease-prediction models were trained on dubious data</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65">
        <w:r>
          <w:rPr>
            <w:color w:val="1155CC"/>
            <w:u w:val="single"/>
          </w:rPr>
          <w:t>10.1038/d41586-026-00697-4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666">
        <w:r>
          <w:rPr>
            <w:color w:val="1155CC"/>
            <w:u w:val="single"/>
          </w:rPr>
          <w:t>在半导体激光器中连续可调的相干脉冲生成</w:t>
        </w:r>
      </w:hyperlink>
    </w:p>
    <w:p>
      <w:pPr>
        <w:spacing w:before="0" w:after="80"/>
      </w:pPr>
      <w:r>
        <w:rPr>
          <w:i/>
          <w:sz w:val="20"/>
        </w:rPr>
        <w:t>EN: Continuously tunable coherent pulse generation in a semiconductor laser</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67">
        <w:r>
          <w:rPr>
            <w:color w:val="1155CC"/>
            <w:u w:val="single"/>
          </w:rPr>
          <w:t>10.1038/s41586-026-10387-w</w:t>
        </w:r>
      </w:hyperlink>
    </w:p>
    <w:p>
      <w:pPr>
        <w:spacing w:before="0" w:after="120"/>
      </w:pPr>
      <w:r>
        <w:rPr>
          <w:b/>
        </w:rPr>
        <w:t xml:space="preserve">Notes: </w:t>
      </w:r>
      <w:r>
        <w:t>abstract_source=nature_html</w:t>
      </w:r>
    </w:p>
    <w:p>
      <w:pPr>
        <w:spacing w:before="0" w:after="80" w:lineRule="auto" w:line="276"/>
      </w:pPr>
      <w:r>
        <w:rPr>
          <w:b/>
        </w:rPr>
        <w:t xml:space="preserve">摘要（ZH）: </w:t>
      </w:r>
      <w:r>
        <w:t>在激光器中，其光谱发射的控制取决于光学谐振腔的物理尺寸，将其限制在特定频率的离散腔模1,2,3,4。未修改光学腔的情况下，这导致可获得的激光发射光谱中存在显著的间隙，以及固定的重复频率，限制了设备在各种实验和应用中对光谱或时间域的可调性要求。我们通过展示一种单片半导体激光器5,6,7，克服了这一基本限制，其重复频率可从4 GHz连续调谐至16 GHz，通过使用微波驱动信号在整个激光腔内引发时空增益调制8,9，生成内腔</w:t>
      </w:r>
    </w:p>
    <w:p>
      <w:pPr>
        <w:spacing w:before="0" w:after="200" w:lineRule="auto" w:line="276"/>
      </w:pPr>
      <w:r>
        <w:rPr>
          <w:b/>
        </w:rPr>
        <w:t xml:space="preserve">Abstract (EN): </w:t>
      </w:r>
      <w:r>
        <w:t>In a laser, the control of its spectral emission depends on the physical dimensions of the optical resonator, restricting it to a set of discrete cavity modes at specific frequencies1,2,3,4. Without modifying the optical cavity, this results in substantial gaps in the obtainable laser emission spectrum, as well as a fixed repetition rate, limiting the device’s usability in various experiments and applications where a considerable degree of tunability is required in the spectral or temporal domain. Here we overcome this fundamental limit by demonstrating a monolithic semiconductor laser5,6,7 with a continuously tunable repetition rate from 4 GHz up to 16 GHz, by using a microwave driving signal that induces a spatiotemporal gain modulation along the entire laser cavity8,9, generating intracavity mode-locked pulses10,11,12,13 with a continuously tunable group velocity14. At the output, frequency combs15,16 with continuously tunable mode spacings are generated in the frequency domain, and coherent pulse trains with continuously tunable repetition rates are generated in the time domain17. Our results pave the way for fully tunable chip-scale lasers and frequency combs, which will be advantageous for use in a diverse variety of fields, from fundamental studies to applications such as high-resolution and dual-comb spectroscopy18,19.</w:t>
      </w:r>
    </w:p>
    <w:p>
      <w:pPr>
        <w:spacing w:before="120" w:after="120"/>
      </w:pPr>
      <w:r>
        <w:rPr>
          <w:sz w:val="18"/>
        </w:rPr>
        <w:t>——————————————————————————————————————————————————————————————————————</w:t>
      </w:r>
    </w:p>
    <w:p>
      <w:pPr>
        <w:spacing w:before="160" w:after="40" w:line="240" w:lineRule="auto"/>
      </w:pPr>
      <w:r>
        <w:rPr>
          <w:b/>
        </w:rPr>
        <w:t xml:space="preserve">[260] </w:t>
      </w:r>
      <w:hyperlink r:id="rId668">
        <w:r>
          <w:rPr>
            <w:color w:val="1155CC"/>
            <w:u w:val="single"/>
          </w:rPr>
          <w:t>通过PerturbFate绘制黑色素瘤药物耐药性的趋同调节因子</w:t>
        </w:r>
      </w:hyperlink>
    </w:p>
    <w:p>
      <w:pPr>
        <w:spacing w:before="0" w:after="80"/>
      </w:pPr>
      <w:r>
        <w:rPr>
          <w:i/>
          <w:sz w:val="20"/>
        </w:rPr>
        <w:t>EN: Mapping convergent regulators of melanoma drug resistance by PerturbFate</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69">
        <w:r>
          <w:rPr>
            <w:color w:val="1155CC"/>
            <w:u w:val="single"/>
          </w:rPr>
          <w:t>10.1038/s41586-026-10367-0</w:t>
        </w:r>
      </w:hyperlink>
    </w:p>
    <w:p>
      <w:pPr>
        <w:spacing w:before="0" w:after="120"/>
      </w:pPr>
      <w:r>
        <w:rPr>
          <w:b/>
        </w:rPr>
        <w:t xml:space="preserve">Notes: </w:t>
      </w:r>
      <w:r>
        <w:t>abstract_source=nature_html</w:t>
      </w:r>
    </w:p>
    <w:p>
      <w:pPr>
        <w:spacing w:before="0" w:after="80" w:lineRule="auto" w:line="276"/>
      </w:pPr>
      <w:r>
        <w:rPr>
          <w:b/>
        </w:rPr>
        <w:t xml:space="preserve">摘要（ZH）: </w:t>
      </w:r>
      <w:r>
        <w:t>高通量基因组研究揭示了多种遗传变异与疾病表型之间的关联。然而，阐明功能上不同的基因扰动如何导致趋同的细胞状态仍然具有挑战性。我们在此介绍PerturbFate，这是一种高通量、成本效益高的组合索引单细胞平台，能够系统地研究大规模并行CRISPR干扰1扰动，涵盖从染色质重塑和新生转录到稳态转录组表型的全基因调控谱。使用PerturbFate，我们对超过30万培养的黑色素瘤细胞进行了分析，以表征对超过140种与维莫非尼耐药相关的扰动的多模态表型和基因调控响应</w:t>
      </w:r>
    </w:p>
    <w:p>
      <w:pPr>
        <w:spacing w:before="0" w:after="200" w:lineRule="auto" w:line="276"/>
      </w:pPr>
      <w:r>
        <w:rPr>
          <w:b/>
        </w:rPr>
        <w:t xml:space="preserve">Abstract (EN): </w:t>
      </w:r>
      <w:r>
        <w:t>High-throughput genomic studies have uncovered associations between diverse genetic alterations and disease phenotypes. However, elucidating how perturbations in functionally disparate genes give rise to convergent cellular states remains challenging. Here we present PerturbFate, a high-throughput, cost-effective, combinatorial-indexing single-cell platform that enables systematic interrogation of massively parallel CRISPR interference1 perturbations across the full spectrum of gene regulation, from chromatin remodelling and nascent transcription to steady-state transcriptomic phenotypes. Using PerturbFate, we profiled more than 300,000 cultured melanoma cells to characterize multimodal phenotypic and gene regulatory responses to perturbations in more than 140 vemurafenib resistance-associated genes. We uncovered a shared dedifferentiated cell state marked by convergent cooperative transcription factor activities across diverse genetic perturbations. We further dissected phenotypic responses to perturbations in Mediator complex components, linking module-specific biochemical properties to convergent transcriptional activations. We identified common regulatory nodes that drive similar phenotypic outcomes across distinct genetic perturbations. We also delineated how perturbations in functionally unrelated genes reshape cell state. Thus, PerturbFate establishes a versatile platform for identifying key molecular regulators by anchoring multimodal regulatory dynamics to disease-relevant phenotypes.</w:t>
      </w:r>
    </w:p>
    <w:p>
      <w:pPr>
        <w:spacing w:before="120" w:after="120"/>
      </w:pPr>
      <w:r>
        <w:rPr>
          <w:sz w:val="18"/>
        </w:rPr>
        <w:t>——————————————————————————————————————————————————————————————————————</w:t>
      </w:r>
    </w:p>
    <w:p>
      <w:pPr>
        <w:spacing w:before="160" w:after="40" w:line="240" w:lineRule="auto"/>
      </w:pPr>
      <w:r>
        <w:rPr>
          <w:b/>
        </w:rPr>
        <w:t xml:space="preserve">[261] </w:t>
      </w:r>
      <w:hyperlink r:id="rId670">
        <w:r>
          <w:rPr>
            <w:color w:val="1155CC"/>
            <w:u w:val="single"/>
          </w:rPr>
          <w:t>脑机接口揭示广泛使用的神经信号的起源</w:t>
        </w:r>
      </w:hyperlink>
    </w:p>
    <w:p>
      <w:pPr>
        <w:spacing w:before="0" w:after="80"/>
      </w:pPr>
      <w:r>
        <w:rPr>
          <w:i/>
          <w:sz w:val="20"/>
        </w:rPr>
        <w:t>EN: Brain–machine interface reveals the origin of a widely used neural signal</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71">
        <w:r>
          <w:rPr>
            <w:color w:val="1155CC"/>
            <w:u w:val="single"/>
          </w:rPr>
          <w:t>10.1038/d41586-026-01189-1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672">
        <w:r>
          <w:rPr>
            <w:color w:val="1155CC"/>
            <w:u w:val="single"/>
          </w:rPr>
          <w:t>癌症中适应性基因组调控的机制</w:t>
        </w:r>
      </w:hyperlink>
    </w:p>
    <w:p>
      <w:pPr>
        <w:spacing w:before="0" w:after="80"/>
      </w:pPr>
      <w:r>
        <w:rPr>
          <w:i/>
          <w:sz w:val="20"/>
        </w:rPr>
        <w:t>EN: A mechanism for adaptive genome regulation in cancer</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73">
        <w:r>
          <w:rPr>
            <w:color w:val="1155CC"/>
            <w:u w:val="single"/>
          </w:rPr>
          <w:t>10.1038/s41586-026-10269-1</w:t>
        </w:r>
      </w:hyperlink>
    </w:p>
    <w:p>
      <w:pPr>
        <w:spacing w:before="0" w:after="120"/>
      </w:pPr>
      <w:r>
        <w:rPr>
          <w:b/>
        </w:rPr>
        <w:t xml:space="preserve">Notes: </w:t>
      </w:r>
      <w:r>
        <w:t>abstract_source=nature_html</w:t>
      </w:r>
    </w:p>
    <w:p>
      <w:pPr>
        <w:spacing w:before="0" w:after="80" w:lineRule="auto" w:line="276"/>
      </w:pPr>
      <w:r>
        <w:rPr>
          <w:b/>
        </w:rPr>
        <w:t xml:space="preserve">摘要（ZH）: </w:t>
      </w:r>
      <w:r>
        <w:t>癌细胞能够持续逃避治疗，突显了其显著的适应潜力。癌症研究中一个长期存在的争论是，药物耐药性主要是由突变过程还是通过细胞可塑性产生的。新兴证据表明，适应性细胞状态是通过细胞内应激信号触发的表型可塑性产生的。在此，我们提出一个理论框架，解释癌症药物耐药中的这种细胞适应如何被AP-1转录因子家族“学习”。我们强调了AP-1的关键特性，包括调控组合学、应激诱导反馈和细胞记忆，并认为该系统构成了建立药物耐药细胞状态的分子框架。最后，我们</w:t>
      </w:r>
    </w:p>
    <w:p>
      <w:pPr>
        <w:spacing w:before="0" w:after="200" w:lineRule="auto" w:line="276"/>
      </w:pPr>
      <w:r>
        <w:rPr>
          <w:b/>
        </w:rPr>
        <w:t xml:space="preserve">Abstract (EN): </w:t>
      </w:r>
      <w:r>
        <w:t>The ability of cancer cells to consistently escape therapy highlights their remarkable adaptive potential. A longstanding debate in cancer research concerns whether drug resistance originates primarily from mutational processes or through cellular plasticity. Emerging evidence has suggested that adaptive cellular states arise through phenotypic plasticity triggered by intracellular stress signals. Here we propose a theoretical framework for how such cellular adaptation in cancer drug resistance could be ‘learned’ by the AP-1 family of transcription factors. We highlight key AP-1 properties, including regulatory combinatorics, stress-induced feedback and cellular memory, and argue that this system constitutes a molecular framework for establishing drug-resistant cellular states. Finally, we discuss the potentially broad relevance of this adaptation mechanism beyond cancer.</w:t>
      </w:r>
    </w:p>
    <w:p>
      <w:pPr>
        <w:spacing w:before="120" w:after="120"/>
      </w:pPr>
      <w:r>
        <w:rPr>
          <w:sz w:val="18"/>
        </w:rPr>
        <w:t>——————————————————————————————————————————————————————————————————————</w:t>
      </w:r>
    </w:p>
    <w:p>
      <w:pPr>
        <w:spacing w:before="160" w:after="40" w:line="240" w:lineRule="auto"/>
      </w:pPr>
      <w:r>
        <w:rPr>
          <w:b/>
        </w:rPr>
        <w:t xml:space="preserve">[263] </w:t>
      </w:r>
      <w:hyperlink r:id="rId674">
        <w:r>
          <w:rPr>
            <w:color w:val="1155CC"/>
            <w:u w:val="single"/>
          </w:rPr>
          <w:t>线性RAG扫描介导Igκ可变区库的编辑</w:t>
        </w:r>
      </w:hyperlink>
    </w:p>
    <w:p>
      <w:pPr>
        <w:spacing w:before="0" w:after="80"/>
      </w:pPr>
      <w:r>
        <w:rPr>
          <w:i/>
          <w:sz w:val="20"/>
        </w:rPr>
        <w:t>EN: Linear RAG scanning mediates editing of Igκ variable region repertoires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75">
        <w:r>
          <w:rPr>
            <w:color w:val="1155CC"/>
            <w:u w:val="single"/>
          </w:rPr>
          <w:t>10.1038/s41586-026-10362-5</w:t>
        </w:r>
      </w:hyperlink>
    </w:p>
    <w:p>
      <w:pPr>
        <w:spacing w:before="0" w:after="120"/>
      </w:pPr>
      <w:r>
        <w:rPr>
          <w:b/>
        </w:rPr>
        <w:t xml:space="preserve">Notes: </w:t>
      </w:r>
      <w:r>
        <w:t>abstract_source=nature_html</w:t>
      </w:r>
    </w:p>
    <w:p>
      <w:pPr>
        <w:spacing w:before="0" w:after="80" w:lineRule="auto" w:line="276"/>
      </w:pPr>
      <w:r>
        <w:rPr>
          <w:b/>
        </w:rPr>
        <w:t xml:space="preserve">摘要（ZH）: </w:t>
      </w:r>
      <w:r>
        <w:t>前体（pre）B细胞中的V(D)J重组介导的Igκ轻链可变区外显子组装涉及重组激活基因（RAG）核酸内切酶协调的在成对的Vκ和Jκ基因片段及其侧翼RAG靶向重组信号序列（RSSs）之间的切割和连接1,2,3。3.1兆碱基的Igk包含4个Jκ（Jκ1, 2, 4, 5）和100多个Vκ，成簇排列以进行删除或倒位连接2。Vκ到Jκ的连接是有序的，首先发生主要的Vκ到Jκ1重排，然后是上游Vκ的次级重排，通过连接到Jκ2-5替换主要的VκJκ1（参考文献4,5）。环挤压将删除定向和倒位定向的、全基因座范围的Vκ通过基于Cer/Sis CTCF结合元件的扩散平台进行短程扩散</w:t>
      </w:r>
    </w:p>
    <w:p>
      <w:pPr>
        <w:spacing w:before="0" w:after="200" w:lineRule="auto" w:line="276"/>
      </w:pPr>
      <w:r>
        <w:rPr>
          <w:b/>
        </w:rPr>
        <w:t xml:space="preserve">Abstract (EN): </w:t>
      </w:r>
      <w:r>
        <w:t>V(D)J recombination-mediated Igκ light chain variable region exon assembly in precursor (pre)-B cells involves recombination activating gene (RAG) endonuclease-orchestrated cleavage between and joining of paired Vκ and Jκ gene segments and flanking RAG-targeting recombination signal sequences (RSSs)1,2,3. The 3.1-megabase Igk contains 4 Jκs (Jκ1, 2, 4, 5) and 100-plus Vκs in clusters oriented for deletional or inversional joining2. Vκ-to-Jκ joining is ordered, with primary Vκ-to-Jκ1 rearrangements occurring first, followed by secondary rearrangements of upstream Vκs that replace primary VκJκ1s by joining to Jκ2-5 (refs. 4,5). Loop extrusion moves deletional-oriented and inversional-oriented, locus-wide Vκs past the Cer/Sis CTCF-binding element-based diffusion platform for short-range diffusional presentation to Jκ1-bound RAG in the primary recombination centre (RC). To achieve diffusion-mediated Vκ-to-Jκ1 joining, Igk evolved powerful Vκ-associated and Jκ-associated RSSs3. Secondary Igk rearrangements replace non-functional or autoreactive primary VκJκ1 rearrangements, expanding the Igκ repertoire and mediating central tolerance by means of receptor editing4,6,7,8,9,10,11. Here we describe studies that elucidate the physiologically critical secondary Igk recombination mechanism. Primary deletional and inversional VκJκ1 joins, respectively, delete or displace Cer/Sis, creating a pre-B cell population that harbours secondary VκJκ1-based RCs across the Vκ locus and leaves most unrearranged Vκs immediately upstream of secondary RCs in deletional orientation. High-throughput assays demonstrated that RAG scanning from secondary VκJκ1-based RCs, collectively, extends linearly across the Vκ locus in primary pre-B cell populations. Correspondingly, studies of induced pluripotent stem (iPS) cell-generated mouse models or cell lines with physiological VκJκ-rearrangements further revealed that deletional and, originally, inversional Vκs are mostly captured by Jκ2-5-based secondary RCs in deletional orientation by means of linear RAG scanning. Strong Vκ-RSSs contribute to restricting secondary rearrangements, including potential editing rearrangements, to Vκs immediately upstream of a given secondary RC and support, at a lower level, linear scanning-based inversional Vκ-to-Jκ rearrangements. Our findings implicate Cer/Sis deletion and/or displacement as a developmental switch that converts the two-loop-based diffusional primary Igk rearrangement mechanism into a one-loop-based linear scanning secondary rearrangement mechanism.</w:t>
      </w:r>
    </w:p>
    <w:p>
      <w:pPr>
        <w:spacing w:before="120" w:after="120"/>
      </w:pPr>
      <w:r>
        <w:rPr>
          <w:sz w:val="18"/>
        </w:rPr>
        <w:t>——————————————————————————————————————————————————————————————————————</w:t>
      </w:r>
    </w:p>
    <w:p>
      <w:pPr>
        <w:spacing w:before="160" w:after="40" w:line="240" w:lineRule="auto"/>
      </w:pPr>
      <w:r>
        <w:rPr>
          <w:b/>
        </w:rPr>
        <w:t xml:space="preserve">[264] </w:t>
      </w:r>
      <w:hyperlink r:id="rId676">
        <w:r>
          <w:rPr>
            <w:color w:val="1155CC"/>
            <w:u w:val="single"/>
          </w:rPr>
          <w:t>靶向工具提高治疗性线粒体移植的效率</w:t>
        </w:r>
      </w:hyperlink>
    </w:p>
    <w:p>
      <w:pPr>
        <w:spacing w:before="0" w:after="80"/>
      </w:pPr>
      <w:r>
        <w:rPr>
          <w:i/>
          <w:sz w:val="20"/>
        </w:rPr>
        <w:t>EN: Therapeutic mitochondria transplants made more efficient with targeting tool</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77">
        <w:r>
          <w:rPr>
            <w:color w:val="1155CC"/>
            <w:u w:val="single"/>
          </w:rPr>
          <w:t>10.1038/d41586-026-00910-4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678">
        <w:r>
          <w:rPr>
            <w:color w:val="1155CC"/>
            <w:u w:val="single"/>
          </w:rPr>
          <w:t>自然指数指南</w:t>
        </w:r>
      </w:hyperlink>
    </w:p>
    <w:p>
      <w:pPr>
        <w:spacing w:before="0" w:after="80"/>
      </w:pPr>
      <w:r>
        <w:rPr>
          <w:i/>
          <w:sz w:val="20"/>
        </w:rPr>
        <w:t>EN: A guide to the Nature Index</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79">
        <w:r>
          <w:rPr>
            <w:color w:val="1155CC"/>
            <w:u w:val="single"/>
          </w:rPr>
          <w:t>10.1038/d41586-026-00691-w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680">
        <w:r>
          <w:rPr>
            <w:color w:val="1155CC"/>
            <w:u w:val="single"/>
          </w:rPr>
          <w:t>全球癌症发病率上升。各国如何应对？</w:t>
        </w:r>
      </w:hyperlink>
    </w:p>
    <w:p>
      <w:pPr>
        <w:spacing w:before="0" w:after="80"/>
      </w:pPr>
      <w:r>
        <w:rPr>
          <w:i/>
          <w:sz w:val="20"/>
        </w:rPr>
        <w:t>EN: Global cancer rates are rising. How are countries reacting?</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81">
        <w:r>
          <w:rPr>
            <w:color w:val="1155CC"/>
            <w:u w:val="single"/>
          </w:rPr>
          <w:t>10.1038/d41586-026-00689-4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[267] </w:t>
      </w:r>
      <w:hyperlink r:id="rId682">
        <w:r>
          <w:rPr>
            <w:color w:val="1155CC"/>
            <w:u w:val="single"/>
          </w:rPr>
          <w:t>EBV毒株与宿主HLA相互作用推动鼻咽癌风险</w:t>
        </w:r>
      </w:hyperlink>
    </w:p>
    <w:p>
      <w:pPr>
        <w:spacing w:before="0" w:after="80"/>
      </w:pPr>
      <w:r>
        <w:rPr>
          <w:i/>
          <w:sz w:val="20"/>
        </w:rPr>
        <w:t>EN: EBV strain interacts with host HLA to drive nasopharyngeal carcinoma risk</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83">
        <w:r>
          <w:rPr>
            <w:color w:val="1155CC"/>
            <w:u w:val="single"/>
          </w:rPr>
          <w:t>10.1038/s41586-026-10416-8</w:t>
        </w:r>
      </w:hyperlink>
    </w:p>
    <w:p>
      <w:pPr>
        <w:spacing w:before="0" w:after="120"/>
      </w:pPr>
      <w:r>
        <w:rPr>
          <w:b/>
        </w:rPr>
        <w:t xml:space="preserve">Notes: </w:t>
      </w:r>
      <w:r>
        <w:t>abstract_source=nature_html</w:t>
      </w:r>
    </w:p>
    <w:p>
      <w:pPr>
        <w:spacing w:before="0" w:after="80" w:lineRule="auto" w:line="276"/>
      </w:pPr>
      <w:r>
        <w:rPr>
          <w:b/>
        </w:rPr>
        <w:t xml:space="preserve">摘要（ZH）: </w:t>
      </w:r>
      <w:r>
        <w:t>Epstein-Barr病毒（EBV）感染了全球超过95%的成年人，但在中国南方特定与地方性鼻咽癌（NPC）相关1,2,3,4。在此，通过逐步的宿主-EBV基因组相互作用分析，我们确定了HLA-A*11:01与高风险EBV变体85841G之间的遗传相互作用是NPC风险的关键决定因素。携带易感HLA-A背景（HLA-A*11:01−或HLA-A*02:07+）并感染高风险85841G EBV的个体形成了一个双重风险亚组，其相互作用驱动的NPC风险显著升高，远远超过宿主或病毒单独的影响。这个双重风险亚组占人口的20.5%，约占NPC病例的47%。我们显示EBV 85841G编码的EBNA3B肽与HLA-A*11:01结合</w:t>
      </w:r>
    </w:p>
    <w:p>
      <w:pPr>
        <w:spacing w:before="0" w:after="200" w:lineRule="auto" w:line="276"/>
      </w:pPr>
      <w:r>
        <w:rPr>
          <w:b/>
        </w:rPr>
        <w:t xml:space="preserve">Abstract (EN): </w:t>
      </w:r>
      <w:r>
        <w:t>Epstein–Barr virus (EBV) infects more than 95% of adults worldwide but is associated with endemic nasopharyngeal carcinoma (NPC) specifically in southern China1,2,3,4. Here, through a stepwise host–EBV genome interaction analysis, we identify a genetic interaction between HLA-A*11:01 and the high-risk EBV variant 85841G as a key determinant of NPC risk. Individuals carrying a susceptible HLA-A background (HLA-A*11:01− or HLA-A*02:07+) and infected with the high-risk 85841G EBV form a dual-risk subgroup with substantially elevated, interaction-driven NPC risk, far exceeding the effects of host or virus alone. This dual-risk subgroup comprises 20.5% of the population and accounts for approximately 47% of NPC cases. We show that EBV 85841G encodes an EBNA3B peptide that binds to HLA-A*11:01 and elicits specific T cell responses capable of lysing EBV+ B cells transformed by 85841G-carrying strains, and is associated with reduced salivary viral load and lower NPC risk among A*11:01 carriers. Evolutionary analysis reveals that 85841G arose via ancient recombination events between northern and southern EBV and subsequently underwent clonal expansion in southern China, leading to co-enrichment of interacting host and viral risk factors that, in turn, contribute to NPC endemicity. These findings reveal a markedly stratified, interaction-driven risk architecture in NPC and highlight opportunities for precision prevention.</w:t>
      </w:r>
    </w:p>
    <w:p>
      <w:pPr>
        <w:spacing w:before="120" w:after="120"/>
      </w:pPr>
      <w:r>
        <w:rPr>
          <w:sz w:val="18"/>
        </w:rPr>
        <w:t>——————————————————————————————————————————————————————————————————————</w:t>
      </w:r>
    </w:p>
    <w:p>
      <w:pPr>
        <w:spacing w:before="160" w:after="40" w:line="240" w:lineRule="auto"/>
      </w:pPr>
      <w:r>
        <w:rPr>
          <w:b/>
        </w:rPr>
        <w:t xml:space="preserve">[268] </w:t>
      </w:r>
      <w:hyperlink r:id="rId684">
        <w:r>
          <w:rPr>
            <w:color w:val="1155CC"/>
            <w:u w:val="single"/>
          </w:rPr>
          <w:t>AI模型在训练其他系统时‘潜意识’传递偏见</w:t>
        </w:r>
      </w:hyperlink>
    </w:p>
    <w:p>
      <w:pPr>
        <w:spacing w:before="0" w:after="80"/>
      </w:pPr>
      <w:r>
        <w:rPr>
          <w:i/>
          <w:sz w:val="20"/>
        </w:rPr>
        <w:t>EN: AI models ‘subliminally’ transmit biases when training other systems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85">
        <w:r>
          <w:rPr>
            <w:color w:val="1155CC"/>
            <w:u w:val="single"/>
          </w:rPr>
          <w:t>10.1038/d41586-026-01224-1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686">
        <w:r>
          <w:rPr>
            <w:color w:val="1155CC"/>
            <w:u w:val="single"/>
          </w:rPr>
          <w:t>提高癌症生存率需要艰难的政策选择</w:t>
        </w:r>
      </w:hyperlink>
    </w:p>
    <w:p>
      <w:pPr>
        <w:spacing w:before="0" w:after="80"/>
      </w:pPr>
      <w:r>
        <w:rPr>
          <w:i/>
          <w:sz w:val="20"/>
        </w:rPr>
        <w:t>EN: Improving cancer survival rates will require hard policy choices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87">
        <w:r>
          <w:rPr>
            <w:color w:val="1155CC"/>
            <w:u w:val="single"/>
          </w:rPr>
          <w:t>10.1038/d41586-026-00686-7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[270] </w:t>
      </w:r>
      <w:hyperlink r:id="rId688">
        <w:r>
          <w:rPr>
            <w:color w:val="1155CC"/>
            <w:u w:val="single"/>
          </w:rPr>
          <w:t>我本计划带领本科生进行海外研究旅行。然后我的签证被拒</w:t>
        </w:r>
      </w:hyperlink>
    </w:p>
    <w:p>
      <w:pPr>
        <w:spacing w:before="0" w:after="80"/>
      </w:pPr>
      <w:r>
        <w:rPr>
          <w:i/>
          <w:sz w:val="20"/>
        </w:rPr>
        <w:t>EN: I was set to lead an undergraduate research trip abroad. Then my visa was denied</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89">
        <w:r>
          <w:rPr>
            <w:color w:val="1155CC"/>
            <w:u w:val="single"/>
          </w:rPr>
          <w:t>10.1038/d41586-026-00403-4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690">
        <w:r>
          <w:rPr>
            <w:color w:val="1155CC"/>
            <w:u w:val="single"/>
          </w:rPr>
          <w:t>自然指数中癌症研究的顶级地点</w:t>
        </w:r>
      </w:hyperlink>
    </w:p>
    <w:p>
      <w:pPr>
        <w:spacing w:before="0" w:after="80"/>
      </w:pPr>
      <w:r>
        <w:rPr>
          <w:i/>
          <w:sz w:val="20"/>
        </w:rPr>
        <w:t>EN: Here are the top locations for cancer research in the Nature Index</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91">
        <w:r>
          <w:rPr>
            <w:color w:val="1155CC"/>
            <w:u w:val="single"/>
          </w:rPr>
          <w:t>10.1038/d41586-026-00690-x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692">
        <w:r>
          <w:rPr>
            <w:color w:val="1155CC"/>
            <w:u w:val="single"/>
          </w:rPr>
          <w:t>四位新星塑造癌症研究的未来</w:t>
        </w:r>
      </w:hyperlink>
    </w:p>
    <w:p>
      <w:pPr>
        <w:spacing w:before="0" w:after="80"/>
      </w:pPr>
      <w:r>
        <w:rPr>
          <w:i/>
          <w:sz w:val="20"/>
        </w:rPr>
        <w:t>EN: Four rising stars shaping the future of cancer research</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93">
        <w:r>
          <w:rPr>
            <w:color w:val="1155CC"/>
            <w:u w:val="single"/>
          </w:rPr>
          <w:t>10.1038/d41586-026-00688-5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694">
        <w:r>
          <w:rPr>
            <w:color w:val="1155CC"/>
            <w:u w:val="single"/>
          </w:rPr>
          <w:t>健康的图景：来自活体供体的人类肝脏基因表达图谱</w:t>
        </w:r>
      </w:hyperlink>
    </w:p>
    <w:p>
      <w:pPr>
        <w:spacing w:before="0" w:after="80"/>
      </w:pPr>
      <w:r>
        <w:rPr>
          <w:i/>
          <w:sz w:val="20"/>
        </w:rPr>
        <w:t>EN: A picture of health: gene-expression maps of the human liver from living donors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95">
        <w:r>
          <w:rPr>
            <w:color w:val="1155CC"/>
            <w:u w:val="single"/>
          </w:rPr>
          <w:t>10.1038/d41586-026-01187-3</w:t>
        </w:r>
      </w:hyperlink>
    </w:p>
    <w:p>
      <w:pPr>
        <w:spacing w:before="0" w:after="120"/>
      </w:pPr>
      <w:r>
        <w:rPr>
          <w:b/>
        </w:rPr>
        <w:t xml:space="preserve">Notes: </w:t>
      </w:r>
      <w:r>
        <w:t>abstract_source=openalex</w:t>
      </w:r>
    </w:p>
    <w:p>
      <w:pPr>
        <w:spacing w:before="0" w:after="80" w:lineRule="auto" w:line="276"/>
      </w:pPr>
      <w:r>
        <w:rPr>
          <w:b/>
        </w:rPr>
        <w:t xml:space="preserve">摘要（ZH）: </w:t>
      </w:r>
      <w:r>
        <w:t>通过基因表达谱和活体供体样本中细胞的空间映射，已经组装了一幅健康人类肝脏的高分辨率图谱。该图谱揭示了不同区域的人类特异性基因表达模式，并发现了来自患有脂肪肝病个体的肝细胞的空间适应性变化。肝细胞图谱作为理解健康人类肝脏功能和脂肪肝等病症变化的参考。</w:t>
      </w:r>
    </w:p>
    <w:p>
      <w:pPr>
        <w:spacing w:before="0" w:after="200" w:lineRule="auto" w:line="276"/>
      </w:pPr>
      <w:r>
        <w:rPr>
          <w:b/>
        </w:rPr>
        <w:t xml:space="preserve">Abstract (EN): </w:t>
      </w:r>
      <w:r>
        <w:t>A high-resolution atlas of the healthy human liver has been assembled using gene-expression profiling and spatial mapping of cells in samples from living donors. The atlas reveals human-specific patterns of gene expression in different zones and uncovers spatially resolved adaptations in liver cells from individuals with the disease steatosis. An atlas of liver cells serves as a reference to understand healthy human liver function and changes in conditions such as steatosis.</w:t>
      </w:r>
    </w:p>
    <w:p>
      <w:pPr>
        <w:spacing w:before="120" w:after="120"/>
      </w:pPr>
      <w:r>
        <w:rPr>
          <w:sz w:val="18"/>
        </w:rPr>
        <w:t>——————————————————————————————————————————————————————————————————————</w:t>
      </w:r>
    </w:p>
    <w:p>
      <w:pPr>
        <w:spacing w:before="160" w:after="40" w:line="240" w:lineRule="auto"/>
      </w:pPr>
      <w:r>
        <w:rPr>
          <w:b/>
        </w:rPr>
        <w:t xml:space="preserve">[274] </w:t>
      </w:r>
      <w:hyperlink r:id="rId696">
        <w:r>
          <w:rPr>
            <w:color w:val="1155CC"/>
            <w:u w:val="single"/>
          </w:rPr>
          <w:t>中国的绿色长城可以教给世界什么</w:t>
        </w:r>
      </w:hyperlink>
    </w:p>
    <w:p>
      <w:pPr>
        <w:spacing w:before="0" w:after="80"/>
      </w:pPr>
      <w:r>
        <w:rPr>
          <w:i/>
          <w:sz w:val="20"/>
        </w:rPr>
        <w:t>EN: What China’s Great Green Wall can teach the world</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97">
        <w:r>
          <w:rPr>
            <w:color w:val="1155CC"/>
            <w:u w:val="single"/>
          </w:rPr>
          <w:t>10.1038/d41586-026-01195-3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698">
        <w:r>
          <w:rPr>
            <w:color w:val="1155CC"/>
            <w:u w:val="single"/>
          </w:rPr>
          <w:t>基因编辑细胞的分子分析揭示了共同的耐药机制</w:t>
        </w:r>
      </w:hyperlink>
    </w:p>
    <w:p>
      <w:pPr>
        <w:spacing w:before="0" w:after="80"/>
      </w:pPr>
      <w:r>
        <w:rPr>
          <w:i/>
          <w:sz w:val="20"/>
        </w:rPr>
        <w:t>EN: Molecular profiling of gene-edited cells reveals shared drug-resistance mechanisms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699">
        <w:r>
          <w:rPr>
            <w:color w:val="1155CC"/>
            <w:u w:val="single"/>
          </w:rPr>
          <w:t>10.1038/d41586-026-01181-9</w:t>
        </w:r>
      </w:hyperlink>
    </w:p>
    <w:p>
      <w:pPr>
        <w:spacing w:before="0" w:after="120"/>
      </w:pPr>
      <w:r>
        <w:rPr>
          <w:b/>
        </w:rPr>
        <w:t xml:space="preserve">Notes: </w:t>
      </w:r>
      <w:r>
        <w:t>abstract_source=openalex</w:t>
      </w:r>
    </w:p>
    <w:p>
      <w:pPr>
        <w:spacing w:before="0" w:after="80" w:lineRule="auto" w:line="276"/>
      </w:pPr>
      <w:r>
        <w:rPr>
          <w:b/>
        </w:rPr>
        <w:t xml:space="preserve">摘要（ZH）: </w:t>
      </w:r>
      <w:r>
        <w:t>一个用于追踪基因表达和染色质可及性变化的平台已经开发出来，该平台名为PerturbFate，应用于皮肤癌细胞，显示与肿瘤耐药性相关的不同基因扰动将细胞推向一个共享的去分化状态。许多导致抗癌药物耐药性的基因扰动是通过共同的途径实现的。</w:t>
      </w:r>
    </w:p>
    <w:p>
      <w:pPr>
        <w:spacing w:before="0" w:after="200" w:lineRule="auto" w:line="276"/>
      </w:pPr>
      <w:r>
        <w:rPr>
          <w:b/>
        </w:rPr>
        <w:t xml:space="preserve">Abstract (EN): </w:t>
      </w:r>
      <w:r>
        <w:t>A platform for tracking the changes in gene expression and chromatin accessibility that follow interference with specific genes has been developed. The platform, called PerturbFate, was applied to skin-cancer cells and showed that different genetic perturbations associated with tumour resistance push cells into a shared dedifferentiated state. Many genetic perturbations that cause resistance to an anticancer drug do so through common pathways.</w:t>
      </w:r>
    </w:p>
    <w:p>
      <w:pPr>
        <w:spacing w:before="120" w:after="120"/>
      </w:pPr>
      <w:r>
        <w:rPr>
          <w:sz w:val="18"/>
        </w:rPr>
        <w:t>——————————————————————————————————————————————————————————————————————</w:t>
      </w:r>
    </w:p>
    <w:p>
      <w:pPr>
        <w:spacing w:before="160" w:after="40" w:line="240" w:lineRule="auto"/>
      </w:pPr>
      <w:r>
        <w:rPr>
          <w:b/>
        </w:rPr>
        <w:t xml:space="preserve">[276] </w:t>
      </w:r>
      <w:hyperlink r:id="rId700">
        <w:r>
          <w:rPr>
            <w:color w:val="1155CC"/>
            <w:u w:val="single"/>
          </w:rPr>
          <w:t>来自活体供体的健康人类肝脏空间图谱</w:t>
        </w:r>
      </w:hyperlink>
    </w:p>
    <w:p>
      <w:pPr>
        <w:spacing w:before="0" w:after="80"/>
      </w:pPr>
      <w:r>
        <w:rPr>
          <w:i/>
          <w:sz w:val="20"/>
        </w:rPr>
        <w:t>EN: A spatial atlas of the healthy human liver from live donors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01">
        <w:r>
          <w:rPr>
            <w:color w:val="1155CC"/>
            <w:u w:val="single"/>
          </w:rPr>
          <w:t>10.1038/s41586-026-10377-y</w:t>
        </w:r>
      </w:hyperlink>
    </w:p>
    <w:p>
      <w:pPr>
        <w:spacing w:before="0" w:after="120"/>
      </w:pPr>
      <w:r>
        <w:rPr>
          <w:b/>
        </w:rPr>
        <w:t xml:space="preserve">Notes: </w:t>
      </w:r>
      <w:r>
        <w:t>abstract_source=nature_html</w:t>
      </w:r>
    </w:p>
    <w:p>
      <w:pPr>
        <w:spacing w:before="0" w:after="80" w:lineRule="auto" w:line="276"/>
      </w:pPr>
      <w:r>
        <w:rPr>
          <w:b/>
        </w:rPr>
        <w:t xml:space="preserve">摘要（ZH）: </w:t>
      </w:r>
      <w:r>
        <w:t>重建人类组织的基因表达图谱具有挑战性，因为难以获得来自活体个体的健康样本。神经性死亡的供体通常表现出缺血性变化，且疾病区域附近的组织可能具有改变的基因表达1,2。肝脏由于其独特的再生能力，允许从活体健康供体中进行分析。在此，我们使用空间转录组学（Visium，Visium HD3，多重错误稳健荧光原位杂交（MERFISH）4和PhenoCycler成像5）和单核RNA测序6，分析了16个肝脏样本：8个来自年轻活体健康供体，8个来自具有肝脏病理的个体，采样“邻近正常”组织。来自活体健康供体的肝脏显示出与邻近组织相比显著的基因表达差异。</w:t>
      </w:r>
    </w:p>
    <w:p>
      <w:pPr>
        <w:spacing w:before="0" w:after="200" w:lineRule="auto" w:line="276"/>
      </w:pPr>
      <w:r>
        <w:rPr>
          <w:b/>
        </w:rPr>
        <w:t xml:space="preserve">Abstract (EN): </w:t>
      </w:r>
      <w:r>
        <w:t>Reconstructing gene expression atlases for human tissues is challenging due to limited access to healthy samples from live individuals. Neurologically deceased donors often show ischaemic changes, and tissues near diseased regions may have altered gene expression1,2. The liver, with its unique regenerative capacity, allows analysis from live healthy donors. Here, using spatial transcriptomics (Visium, Visium HD3, multiplexed error-robust fluorescence in situ hybridization (MERFISH)4 and PhenoCycler imaging5) and single-nucleus RNA sequencing6, we analysed 16 liver samples: 8 from young live healthy donors and 8 from individuals with liver pathology, sampling ‘adjacent normal’ tissue. Livers from live healthy donors displayed significant gene expression differences compared with the adjacent normal tissues from individuals with liver pathology. Hepatocytes and non-parenchymal cells exhibited marked zonation along the porto–central axis of the liver lobules, with key functions being pericentrally shifted compared to mice and other mammals. Our atlas identified dynamic programmes in early steatotic hepatocytes, including a decline in nuclear-encoded mitochondrial proteins and a compensatory increase in mitochondria-encoded transcripts. This study presents a spatial gene expression reference for the healthy human liver and insights into hepatocyte changes in early steatosis.</w:t>
      </w:r>
    </w:p>
    <w:p>
      <w:pPr>
        <w:spacing w:before="120" w:after="120"/>
      </w:pPr>
      <w:r>
        <w:rPr>
          <w:sz w:val="18"/>
        </w:rPr>
        <w:t>——————————————————————————————————————————————————————————————————————</w:t>
      </w:r>
    </w:p>
    <w:p>
      <w:pPr>
        <w:spacing w:before="160" w:after="40" w:line="240" w:lineRule="auto"/>
      </w:pPr>
      <w:r>
        <w:rPr>
          <w:b/>
        </w:rPr>
        <w:t xml:space="preserve">[277] </w:t>
      </w:r>
      <w:hyperlink r:id="rId702">
        <w:r>
          <w:rPr>
            <w:color w:val="1155CC"/>
            <w:u w:val="single"/>
          </w:rPr>
          <w:t>奥兹曼迪亚斯不死</w:t>
        </w:r>
      </w:hyperlink>
    </w:p>
    <w:p>
      <w:pPr>
        <w:spacing w:before="0" w:after="80"/>
      </w:pPr>
      <w:r>
        <w:rPr>
          <w:i/>
          <w:sz w:val="20"/>
        </w:rPr>
        <w:t>EN: Ozymandias undead</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03">
        <w:r>
          <w:rPr>
            <w:color w:val="1155CC"/>
            <w:u w:val="single"/>
          </w:rPr>
          <w:t>10.1038/d41586-026-01065-y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04">
        <w:r>
          <w:rPr>
            <w:color w:val="1155CC"/>
            <w:u w:val="single"/>
          </w:rPr>
          <w:t>基于基因组指导的超适应症治疗的前瞻性评估</w:t>
        </w:r>
      </w:hyperlink>
    </w:p>
    <w:p>
      <w:pPr>
        <w:spacing w:before="0" w:after="80"/>
      </w:pPr>
      <w:r>
        <w:rPr>
          <w:i/>
          <w:sz w:val="20"/>
        </w:rPr>
        <w:t>EN: Prospective evaluation of genomics-guided off-label treatment</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05">
        <w:r>
          <w:rPr>
            <w:color w:val="1155CC"/>
            <w:u w:val="single"/>
          </w:rPr>
          <w:t>10.1038/s41586-026-10405-x</w:t>
        </w:r>
      </w:hyperlink>
    </w:p>
    <w:p>
      <w:pPr>
        <w:spacing w:before="0" w:after="120"/>
      </w:pPr>
      <w:r>
        <w:rPr>
          <w:b/>
        </w:rPr>
        <w:t xml:space="preserve">Notes: </w:t>
      </w:r>
      <w:r>
        <w:t>abstract_source=nature_html</w:t>
      </w:r>
    </w:p>
    <w:p>
      <w:pPr>
        <w:spacing w:before="0" w:after="80" w:lineRule="auto" w:line="276"/>
      </w:pPr>
      <w:r>
        <w:rPr>
          <w:b/>
        </w:rPr>
        <w:t xml:space="preserve">摘要（ZH）: </w:t>
      </w:r>
      <w:r>
        <w:t>抗癌药物经常被用于基因上与已批准适应症相似的肿瘤的非标签使用。然而，结果很少被系统地捕获，限制了基于证据的决策，并有重复无效治疗的风险。药物再发现协议（DRUP；ClinicalTrials.gov ID: NCT02925234）前瞻性地评估了在荷兰缺乏标准治疗选择并具有可操作基因组改变的晚期实体瘤患者中的这种非标签使用。我们在此展示了2016年7月至2024年5月期间在DRUP试验中开始使用37种不同非标签药物的1,610名患者的结果。在这些患者中，1,363名可评估反应，包括533名（39.1%）罕见癌症患者。临床获益率（确认反应或稳定疾病）为</w:t>
      </w:r>
    </w:p>
    <w:p>
      <w:pPr>
        <w:spacing w:before="0" w:after="200" w:lineRule="auto" w:line="276"/>
      </w:pPr>
      <w:r>
        <w:rPr>
          <w:b/>
        </w:rPr>
        <w:t xml:space="preserve">Abstract (EN): </w:t>
      </w:r>
      <w:r>
        <w:t>Anticancer drugs are frequently used off-label for tumours that are genetically similar to the approved indication. However, outcomes are rarely captured systematically, limiting evidence-based decision-making and risking repeated futile treatment. The Drug Rediscovery Protocol (DRUP; ClinicalTrials.gov ID: NCT02925234) prospectively evaluates such off-label use in patients in the Netherlands with advanced solid tumours who lack standard treatment options and harbour actionable genomic alterations1. Here we present results of 1,610 patients who began treatment with 37 different off-label drugs between July 2016 and May 2024 in the DRUP trial. Of these patients, 1,363 were response-evaluable, including 533 (39.1%) with rare cancers. The clinical benefit rate (confirmed response or stable disease for at least 16 weeks) was 34.9% (95% confidence interval, 32.2–37.6) and the objective response rate was 15.7% (95% confidence interval, 13.7–17.9). Median progression-free and overall survival were 3.4 months (95% confidence interval, 2.8–3.5) and 8.2 months (95% confidence interval, 7.6–8.8), respectively. Grade 3 or higher treatment-related adverse events occurred in 28.4% of patients. Notably, evidence generated in DRUP was used for reimbursement decisions by the regulatory bodies in the Netherlands2. Although activity across all tumour–drug combinations was modest, defined molecular subgroups and exceptional responders (7.0%) achieved meaningful benefit. To maximize patient benefit, we recommend that off-label precision medicines should be used only within frameworks that systematically evaluate efficacy and toxicity, support biomarker refinement and enable stepwise assessment toward potential future label expansion. These frameworks should prioritize high-confidence targets, early intervention, regulatory-aligned end-points and international collaboration.</w:t>
      </w:r>
    </w:p>
    <w:p>
      <w:pPr>
        <w:spacing w:before="120" w:after="120"/>
      </w:pPr>
      <w:r>
        <w:rPr>
          <w:sz w:val="18"/>
        </w:rPr>
        <w:t>——————————————————————————————————————————————————————————————————————</w:t>
      </w:r>
    </w:p>
    <w:p>
      <w:pPr>
        <w:spacing w:before="160" w:after="40" w:line="240" w:lineRule="auto"/>
      </w:pPr>
      <w:r>
        <w:rPr>
          <w:b/>
        </w:rPr>
        <w:t xml:space="preserve">[279] </w:t>
      </w:r>
      <w:hyperlink r:id="rId706">
        <w:r>
          <w:rPr>
            <w:color w:val="1155CC"/>
            <w:u w:val="single"/>
          </w:rPr>
          <w:t>作者更正：HER2表达识别循环乳腺癌细胞内的动态功能状态</w:t>
        </w:r>
      </w:hyperlink>
    </w:p>
    <w:p>
      <w:pPr>
        <w:spacing w:before="0" w:after="80"/>
      </w:pPr>
      <w:r>
        <w:rPr>
          <w:i/>
          <w:sz w:val="20"/>
        </w:rPr>
        <w:t>EN: Author Correction: HER2 expression identifies dynamic functional states within circulating breast cancer cells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07">
        <w:r>
          <w:rPr>
            <w:color w:val="1155CC"/>
            <w:u w:val="single"/>
          </w:rPr>
          <w:t>10.1038/s41586-026-10519-2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08">
        <w:r>
          <w:rPr>
            <w:color w:val="1155CC"/>
            <w:u w:val="single"/>
          </w:rPr>
          <w:t>撤回声明：雄性斑胸草雀求偶歌的隐藏适应性</w:t>
        </w:r>
      </w:hyperlink>
    </w:p>
    <w:p>
      <w:pPr>
        <w:spacing w:before="0" w:after="80"/>
      </w:pPr>
      <w:r>
        <w:rPr>
          <w:i/>
          <w:sz w:val="20"/>
        </w:rPr>
        <w:t>EN: Retraction Note: The hidden fitness of the male zebra finch courtship song</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09">
        <w:r>
          <w:rPr>
            <w:color w:val="1155CC"/>
            <w:u w:val="single"/>
          </w:rPr>
          <w:t>10.1038/s41586-026-10483-x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710">
        <w:r>
          <w:rPr>
            <w:color w:val="1155CC"/>
            <w:u w:val="single"/>
          </w:rPr>
          <w:t>细胞质晶格是哺乳动物卵母细胞中的兆道尔顿储存复合物</w:t>
        </w:r>
      </w:hyperlink>
    </w:p>
    <w:p>
      <w:pPr>
        <w:spacing w:before="0" w:after="80"/>
      </w:pPr>
      <w:r>
        <w:rPr>
          <w:i/>
          <w:sz w:val="20"/>
        </w:rPr>
        <w:t>EN: Cytoplasmic lattices are megadalton storage complexes in mammalian oocytes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11">
        <w:r>
          <w:rPr>
            <w:color w:val="1155CC"/>
            <w:u w:val="single"/>
          </w:rPr>
          <w:t>10.1038/s41586-026-10513-8</w:t>
        </w:r>
      </w:hyperlink>
    </w:p>
    <w:p>
      <w:pPr>
        <w:spacing w:before="0" w:after="120"/>
      </w:pPr>
      <w:r>
        <w:rPr>
          <w:b/>
        </w:rPr>
        <w:t xml:space="preserve">Notes: </w:t>
      </w:r>
      <w:r>
        <w:t>abstract_source=nature_html</w:t>
      </w:r>
    </w:p>
    <w:p>
      <w:pPr>
        <w:spacing w:before="0" w:after="80" w:lineRule="auto" w:line="276"/>
      </w:pPr>
      <w:r>
        <w:rPr>
          <w:b/>
        </w:rPr>
        <w:t xml:space="preserve">摘要（ZH）: </w:t>
      </w:r>
      <w:r>
        <w:t>哺乳动物卵母细胞在被称为细胞质格子（CPLs）1的丰富结构上储存用于胚胎发育的蛋白质；然而，它们实现这一目标的机制尚不清楚，主要是因为格子本身的分子组成未知。在此，我们使用冷冻电子显微镜和基于人工智能的建模来阐明来自小鼠卵母细胞的天然CPLs的分子结构和蛋白质组成。我们发现CPLs由至少13种不同的蛋白质组装成兆道尔顿级的复合物，包括多份母体效应因子如PADI6和皮质下母体复合物（SCMC）。我们展示了对早期胚胎发育至关重要的蛋白质实际上是CPLs的结构组成部分，包括细胞骨架</w:t>
      </w:r>
    </w:p>
    <w:p>
      <w:pPr>
        <w:spacing w:before="0" w:after="200" w:lineRule="auto" w:line="276"/>
      </w:pPr>
      <w:r>
        <w:rPr>
          <w:b/>
        </w:rPr>
        <w:t xml:space="preserve">Abstract (EN): </w:t>
      </w:r>
      <w:r>
        <w:t>Mammalian oocytes store proteins for embryonic development on abundant structures known as cytoplasmic lattices (CPLs)1; however, the mechanisms by which they achieve this are unclear, largely because the molecular composition of the lattices themselves is unknown. Here, we use cryo-electron microscopy and artificial intelligence-based modeling to elucidate the molecular architecture and protein composition of native CPLs from mouse oocytes. We find that CPLs are formed by at least 13 different proteins assembling into a megadalton-scale complex, including multiple copies of maternal effect factors such as PADI6 and the subcortical maternal complex (SCMC). We show that proteins essential for early embryonic development are in fact structural components of the CPLs, including the cytoskeletal proteins α- and β-tubulin, which are incorporated into CPLs as unpolymerized dimers; and an array of ubiquitination factors such as the epigenetic regulator and E3 ligase UHRF1, ubiquitin-conjugating E2 enzymes, and ubiquitin ligase substrate adaptors. This represents an elegant molecular mechanism by which oocytes stockpile vital proteins through direct incorporation into highly stable supramolecular assemblies. Our structures solve the decades-long mystery of the CPLs, thereby providing a structural framework for understanding how disrupting stored maternal factors leads to infertility and developmental defects.</w:t>
      </w:r>
    </w:p>
    <w:p>
      <w:pPr>
        <w:spacing w:before="120" w:after="120"/>
      </w:pPr>
      <w:r>
        <w:rPr>
          <w:sz w:val="18"/>
        </w:rPr>
        <w:t>——————————————————————————————————————————————————————————————————————</w:t>
      </w:r>
    </w:p>
    <w:p>
      <w:pPr>
        <w:spacing w:before="160" w:after="40" w:line="240" w:lineRule="auto"/>
      </w:pPr>
      <w:r>
        <w:rPr>
          <w:b/>
        </w:rPr>
        <w:t xml:space="preserve">[282] </w:t>
      </w:r>
      <w:hyperlink r:id="rId712">
        <w:r>
          <w:rPr>
            <w:color w:val="1155CC"/>
            <w:u w:val="single"/>
          </w:rPr>
          <w:t>通过H2介导打破质子交换膜的选择性-导电性权衡</w:t>
        </w:r>
      </w:hyperlink>
    </w:p>
    <w:p>
      <w:pPr>
        <w:spacing w:before="0" w:after="80"/>
      </w:pPr>
      <w:r>
        <w:rPr>
          <w:i/>
          <w:sz w:val="20"/>
        </w:rPr>
        <w:t>EN: Breaking the selectivity–conductivity trade-off in proton–exchange membranes via H2 mediation</w:t>
      </w:r>
    </w:p>
    <w:p>
      <w:pPr>
        <w:spacing w:before="0" w:after="120"/>
      </w:pPr>
      <w:r>
        <w:rPr>
          <w:b/>
        </w:rPr>
        <w:t xml:space="preserve">Source: </w:t>
      </w:r>
      <w:r>
        <w:t>Nature Chemical Engineering</w:t>
      </w:r>
      <w:r>
        <w:t xml:space="preserve">    </w:t>
      </w:r>
      <w:r>
        <w:rPr>
          <w:b/>
        </w:rPr>
        <w:t xml:space="preserve">Pub date: </w:t>
      </w:r>
      <w:r>
        <w:t>2026-04-15 00:00:00+00:00</w:t>
      </w:r>
      <w:r>
        <w:t xml:space="preserve">    </w:t>
      </w:r>
      <w:r>
        <w:rPr>
          <w:b/>
        </w:rPr>
        <w:t xml:space="preserve">DOI: </w:t>
      </w:r>
      <w:hyperlink r:id="rId713">
        <w:r>
          <w:rPr>
            <w:color w:val="1155CC"/>
            <w:u w:val="single"/>
          </w:rPr>
          <w:t>10.1038/s44286-026-00382-3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714">
        <w:r>
          <w:rPr>
            <w:color w:val="1155CC"/>
            <w:u w:val="single"/>
          </w:rPr>
          <w:t>蛋白质与非手性等离子体组装体之间的高效可逆手性诱导</w:t>
        </w:r>
      </w:hyperlink>
    </w:p>
    <w:p>
      <w:pPr>
        <w:spacing w:before="0" w:after="80"/>
      </w:pPr>
      <w:r>
        <w:rPr>
          <w:i/>
          <w:sz w:val="20"/>
        </w:rPr>
        <w:t>EN: Efficient and reversible chirality induction between protein and achiral plasmonic assemblies</w:t>
      </w:r>
    </w:p>
    <w:p>
      <w:pPr>
        <w:spacing w:before="0" w:after="120"/>
      </w:pPr>
      <w:r>
        <w:rPr>
          <w:b/>
        </w:rPr>
        <w:t xml:space="preserve">Source: </w:t>
      </w:r>
      <w:r>
        <w:t>Nature Materials</w:t>
      </w:r>
      <w:r>
        <w:t xml:space="preserve">    </w:t>
      </w:r>
      <w:r>
        <w:rPr>
          <w:b/>
        </w:rPr>
        <w:t xml:space="preserve">Pub date: </w:t>
      </w:r>
      <w:r>
        <w:t>2026-04-15 00:00:00+00:00</w:t>
      </w:r>
      <w:r>
        <w:t xml:space="preserve">    </w:t>
      </w:r>
      <w:r>
        <w:rPr>
          <w:b/>
        </w:rPr>
        <w:t xml:space="preserve">DOI: </w:t>
      </w:r>
      <w:hyperlink r:id="rId715">
        <w:r>
          <w:rPr>
            <w:color w:val="1155CC"/>
            <w:u w:val="single"/>
          </w:rPr>
          <w:t>10.1038/s41563-026-02586-7</w:t>
        </w:r>
      </w:hyperlink>
    </w:p>
    <w:p>
      <w:pPr>
        <w:spacing w:before="0" w:after="120"/>
      </w:pPr>
      <w:r>
        <w:rPr>
          <w:b/>
        </w:rPr>
        <w:t xml:space="preserve">Notes: </w:t>
      </w:r>
      <w:r>
        <w:t>abstract_source=nature_html</w:t>
      </w:r>
    </w:p>
    <w:p>
      <w:pPr>
        <w:spacing w:before="0" w:after="80" w:lineRule="auto" w:line="276"/>
      </w:pPr>
      <w:r>
        <w:rPr>
          <w:b/>
        </w:rPr>
        <w:t xml:space="preserve">摘要（ZH）: </w:t>
      </w:r>
      <w:r>
        <w:t>自然界中的手性分子通常仅在深紫外区域显示光学活性，而人工手性等离子体纳米结构可以在可见光和近红外波长产生更强的响应。一个重要的挑战是，是否可以将自然界中丰富的生物分子手性直接转移到非手性等离子体系统中，而无需复杂的三维纳米制造。在此，我们展示了通过机械拉伸锚定在非手性金纳米粒子组装体中的蛋白质分子，可以强烈增强并可逆地调节等离子体耦合圆二色性。拉伸将手性光学响应放大到1.18°的椭圆度和0.2的解离因子，远远超过传统的热点策略。反复拉伸和放松</w:t>
      </w:r>
    </w:p>
    <w:p>
      <w:pPr>
        <w:spacing w:before="0" w:after="200" w:lineRule="auto" w:line="276"/>
      </w:pPr>
      <w:r>
        <w:rPr>
          <w:b/>
        </w:rPr>
        <w:t xml:space="preserve">Abstract (EN): </w:t>
      </w:r>
      <w:r>
        <w:t>Chiral molecules in nature usually show optical activity only in the deep ultraviolet, whereas artificial chiral plasmonic nanostructures can generate much stronger responses at visible and near-infrared wavelengths. An important challenge is whether the abundant biomolecular chirality in nature can be directly transferred to achiral plasmonic systems without elaborate three-dimensional nanofabrication. Here we show that the mechanical stretching of protein molecules anchored within achiral gold nanoparticle assemblies strongly enhances and reversibly modulates plasmon-coupled circular dichroism. Stretching amplifies the chiroptical response to an ellipticity of 1.18° and a dissymmetry factor of 0.2, far exceeding conventional hotspot-based strategies. Repeated stretching and relaxation further enable reversible switching over more than 100 cycles. Simulations and in situ spectroscopy indicate that the deformation of protein changes its conformation and dipole alignment, thereby strengthening the plasmonic chiral response. These findings establish a route to achieve dynamically controllable chiroptical activity in achiral plasmonic assemblies, revealing how small biomolecular deformations can strongly influence plasmonic responses of much larger nanostructures.</w:t>
      </w:r>
    </w:p>
    <w:p>
      <w:pPr>
        <w:spacing w:before="120" w:after="120"/>
      </w:pPr>
      <w:r>
        <w:rPr>
          <w:sz w:val="18"/>
        </w:rPr>
        <w:t>——————————————————————————————————————————————————————————————————————</w:t>
      </w:r>
    </w:p>
    <w:p>
      <w:pPr>
        <w:spacing w:before="160" w:after="40" w:line="240" w:lineRule="auto"/>
      </w:pPr>
      <w:r>
        <w:rPr>
          <w:b/>
        </w:rPr>
        <w:t xml:space="preserve">[284] </w:t>
      </w:r>
      <w:hyperlink r:id="rId716">
        <w:r>
          <w:rPr>
            <w:color w:val="1155CC"/>
            <w:u w:val="single"/>
          </w:rPr>
          <w:t>细胞类型靶向线粒体移植拯救细胞退化</w:t>
        </w:r>
      </w:hyperlink>
    </w:p>
    <w:p>
      <w:pPr>
        <w:spacing w:before="0" w:after="80"/>
      </w:pPr>
      <w:r>
        <w:rPr>
          <w:i/>
          <w:sz w:val="20"/>
        </w:rPr>
        <w:t>EN: Cell-type-targeted mitochondrial transplantation rescues cell degeneration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17">
        <w:r>
          <w:rPr>
            <w:color w:val="1155CC"/>
            <w:u w:val="single"/>
          </w:rPr>
          <w:t>10.1038/s41586-026-10391-0</w:t>
        </w:r>
      </w:hyperlink>
    </w:p>
    <w:p>
      <w:pPr>
        <w:spacing w:before="0" w:after="120"/>
      </w:pPr>
      <w:r>
        <w:rPr>
          <w:b/>
        </w:rPr>
        <w:t xml:space="preserve">Notes: </w:t>
      </w:r>
      <w:r>
        <w:t>abstract_source=nature_html</w:t>
      </w:r>
    </w:p>
    <w:p>
      <w:pPr>
        <w:spacing w:before="0" w:after="80" w:lineRule="auto" w:line="276"/>
      </w:pPr>
      <w:r>
        <w:rPr>
          <w:b/>
        </w:rPr>
        <w:t xml:space="preserve">摘要（ZH）: </w:t>
      </w:r>
      <w:r>
        <w:t>许多目前无法治疗的疾病，包括神经退行性疾病、视神经萎缩和心力衰竭，都与线粒体功能障碍有关。健康线粒体的移植已被提议作为一种潜在的治疗策略。然而，缺乏将供体线粒体靶向到疾病受影响细胞类型的方法限制了治疗的特异性和有效性。在此，我们开发了MitoCatch系统，通过使用不同类型的蛋白质结合体将线粒体输送到特定细胞类型。供体线粒体通过细胞表面显示的单特异性结合体、线粒体显示的单特异性结合体或双特异性结合体连接线粒体到靶细胞。使用MitoCatch，我们展示了供体线粒体被有效整合</w:t>
      </w:r>
    </w:p>
    <w:p>
      <w:pPr>
        <w:spacing w:before="0" w:after="200" w:lineRule="auto" w:line="276"/>
      </w:pPr>
      <w:r>
        <w:rPr>
          <w:b/>
        </w:rPr>
        <w:t xml:space="preserve">Abstract (EN): </w:t>
      </w:r>
      <w:r>
        <w:t>A number of currently untreatable diseases, including neurodegenerative disorders, optic nerve atrophy and heart failure, are associated with mitochondrial dysfunction. Transplantation of healthy mitochondria has been proposed as a potential therapeutic strategy1,2,3. However, the lack of methods to target donor mitochondria to disease-affected cell types limits treatment specificity and efficacy. Here we developed MitoCatch as a system to deliver mitochondria to specific cell types using different types of protein binders. Donor mitochondria are captured by target cells by cell-surface-displayed monospecific binders, mitochondrion-displayed monospecific binders or bispecific binders linking mitochondria to target cells. Using MitoCatch, we show that donor mitochondria are efficiently internalized, exposed to the cytosol, move, and undergo fusion and fission inside target cells. By engineering binders with different affinities, we tune the efficiency of mitochondrial delivery. We demonstrate targeted mitochondrial transplantation to retinal cell types, neurons and cardiac, endothelial and immune cells in humans and mice. Transplanted mitochondria promoted the survival of damaged neurons from an individual with optic nerve atrophy in vitro and after neuronal injury in mice in vivo. MitoCatch is a potential strategy to target disease-affected cell types with mitochondria in organs affected by diseases associated with mitochondrial dysfunction.</w:t>
      </w:r>
    </w:p>
    <w:p>
      <w:pPr>
        <w:spacing w:before="120" w:after="120"/>
      </w:pPr>
      <w:r>
        <w:rPr>
          <w:sz w:val="18"/>
        </w:rPr>
        <w:t>——————————————————————————————————————————————————————————————————————</w:t>
      </w:r>
    </w:p>
    <w:p>
      <w:pPr>
        <w:spacing w:before="160" w:after="40" w:line="240" w:lineRule="auto"/>
      </w:pPr>
      <w:r>
        <w:rPr>
          <w:b/>
        </w:rPr>
        <w:t xml:space="preserve">[285] </w:t>
      </w:r>
      <w:hyperlink r:id="rId718">
        <w:r>
          <w:rPr>
            <w:color w:val="1155CC"/>
            <w:u w:val="single"/>
          </w:rPr>
          <w:t>微创生物电子植入物</w:t>
        </w:r>
      </w:hyperlink>
    </w:p>
    <w:p>
      <w:pPr>
        <w:spacing w:before="0" w:after="80"/>
      </w:pPr>
      <w:r>
        <w:rPr>
          <w:i/>
          <w:sz w:val="20"/>
        </w:rPr>
        <w:t>EN: Minimally invasive bioelectronic implants</w:t>
      </w:r>
    </w:p>
    <w:p>
      <w:pPr>
        <w:spacing w:before="0" w:after="120"/>
      </w:pPr>
      <w:r>
        <w:rPr>
          <w:b/>
        </w:rPr>
        <w:t xml:space="preserve">Source: </w:t>
      </w:r>
      <w:r>
        <w:t>Nature Materials</w:t>
      </w:r>
      <w:r>
        <w:t xml:space="preserve">    </w:t>
      </w:r>
      <w:r>
        <w:rPr>
          <w:b/>
        </w:rPr>
        <w:t xml:space="preserve">Pub date: </w:t>
      </w:r>
      <w:r>
        <w:t>2026-04-15 00:00:00+00:00</w:t>
      </w:r>
      <w:r>
        <w:t xml:space="preserve">    </w:t>
      </w:r>
      <w:r>
        <w:rPr>
          <w:b/>
        </w:rPr>
        <w:t xml:space="preserve">DOI: </w:t>
      </w:r>
      <w:hyperlink r:id="rId719">
        <w:r>
          <w:rPr>
            <w:color w:val="1155CC"/>
            <w:u w:val="single"/>
          </w:rPr>
          <w:t>10.1038/s41563-026-02576-9</w:t>
        </w:r>
      </w:hyperlink>
    </w:p>
    <w:p>
      <w:pPr>
        <w:spacing w:before="0" w:after="120"/>
      </w:pPr>
      <w:r>
        <w:rPr>
          <w:b/>
        </w:rPr>
        <w:t xml:space="preserve">Notes: </w:t>
      </w:r>
      <w:r>
        <w:t>abstract_source=nature_html</w:t>
      </w:r>
    </w:p>
    <w:p>
      <w:pPr>
        <w:spacing w:before="0" w:after="80" w:lineRule="auto" w:line="276"/>
      </w:pPr>
      <w:r>
        <w:rPr>
          <w:b/>
        </w:rPr>
        <w:t xml:space="preserve">摘要（ZH）: </w:t>
      </w:r>
      <w:r>
        <w:t>生物电子植入物通过将电子设备与活体组织连接，能够对生理系统进行治疗和诊断干预。然而，传统的植入策略通常需要高度侵入性的外科手术，如开胸术和开颅术，这促使人们开发能够精确部署和操作的微创生物电子系统，同时减少组织创伤、恢复时间和长期并发症。本文综述了在特定解剖部位的微创生物电子系统的最新进展。这些系统源于支架和导管开发中使用的技术，目前的生物电子平台设计时双重关注优化宏观人体工学和实现无缝集成</w:t>
      </w:r>
    </w:p>
    <w:p>
      <w:pPr>
        <w:spacing w:before="0" w:after="200" w:lineRule="auto" w:line="276"/>
      </w:pPr>
      <w:r>
        <w:rPr>
          <w:b/>
        </w:rPr>
        <w:t xml:space="preserve">Abstract (EN): </w:t>
      </w:r>
      <w:r>
        <w:t>Bioelectronic implants enable therapeutic and diagnostic intervention of physiological systems by interfacing electronic devices with living tissues. However, conventional implant strategies often require highly invasive surgical procedures, such as thoracotomies and craniotomies, motivating the development of minimally invasive bioelectronic systems that can be precisely deployed and operated while reducing tissue trauma, recovery time and long-term complications. This Review highlights recent advancements in minimally invasive bioelectronic systems within specified anatomical sites. Originating from techniques used in stent and catheter development, current bioelectronic platforms are now designed with a dual focus on optimizing macroscale ergonomics and achieving seamless integration with the dynamic internal biological environment. Recent innovations include miniaturized neural probes, optoelectronic cardiac pacemakers and bioadhesive cardiac pacing leads. These devices use advanced materials, including shape-memory alloys, programmable polymers and dynamic actuators, to combine structural versatility with multifunctional performance. Looking ahead, emerging designs are expected to leverage retrievable implants, expandable occluders and responsive structures that enable facile deployment and superior adaptation to tissue motion, thereby reducing mechanical mismatch and enhancing long-term biocompatibility. By advancing minimally invasive delivery and patient-specific design, bioelectronics is positioned to enable more effective and personalized clinical interventions.</w:t>
      </w:r>
    </w:p>
    <w:p>
      <w:pPr>
        <w:spacing w:before="120" w:after="120"/>
      </w:pPr>
      <w:r>
        <w:rPr>
          <w:sz w:val="18"/>
        </w:rPr>
        <w:t>——————————————————————————————————————————————————————————————————————</w:t>
      </w:r>
    </w:p>
    <w:p>
      <w:pPr>
        <w:spacing w:before="160" w:after="40" w:line="240" w:lineRule="auto"/>
      </w:pPr>
      <w:r>
        <w:rPr>
          <w:b/>
        </w:rPr>
        <w:t xml:space="preserve">[286] </w:t>
      </w:r>
      <w:hyperlink r:id="rId720">
        <w:r>
          <w:rPr>
            <w:color w:val="1155CC"/>
            <w:u w:val="single"/>
          </w:rPr>
          <w:t>在美国实现公平的循环生物营养经济</w:t>
        </w:r>
      </w:hyperlink>
    </w:p>
    <w:p>
      <w:pPr>
        <w:spacing w:before="0" w:after="80"/>
      </w:pPr>
      <w:r>
        <w:rPr>
          <w:i/>
          <w:sz w:val="20"/>
        </w:rPr>
        <w:t>EN: Realizing an equitable circular bionutrient economy in the United States</w:t>
      </w:r>
    </w:p>
    <w:p>
      <w:pPr>
        <w:spacing w:before="0" w:after="120"/>
      </w:pPr>
      <w:r>
        <w:rPr>
          <w:b/>
        </w:rPr>
        <w:t xml:space="preserve">Source: </w:t>
      </w:r>
      <w:r>
        <w:t>Nature Sustainability</w:t>
      </w:r>
      <w:r>
        <w:t xml:space="preserve">    </w:t>
      </w:r>
      <w:r>
        <w:rPr>
          <w:b/>
        </w:rPr>
        <w:t xml:space="preserve">Pub date: </w:t>
      </w:r>
      <w:r>
        <w:t>2026-04-15 00:00:00+00:00</w:t>
      </w:r>
      <w:r>
        <w:t xml:space="preserve">    </w:t>
      </w:r>
      <w:r>
        <w:rPr>
          <w:b/>
        </w:rPr>
        <w:t xml:space="preserve">DOI: </w:t>
      </w:r>
      <w:hyperlink r:id="rId721">
        <w:r>
          <w:rPr>
            <w:color w:val="1155CC"/>
            <w:u w:val="single"/>
          </w:rPr>
          <w:t>10.1038/s41893-026-01811-0</w:t>
        </w:r>
      </w:hyperlink>
    </w:p>
    <w:p>
      <w:pPr>
        <w:spacing w:before="0" w:after="120"/>
      </w:pPr>
      <w:r>
        <w:rPr>
          <w:b/>
        </w:rPr>
        <w:t xml:space="preserve">Notes: </w:t>
      </w:r>
      <w:r>
        <w:t>abstract_source=nature_html</w:t>
      </w:r>
    </w:p>
    <w:p>
      <w:pPr>
        <w:spacing w:before="0" w:after="80" w:lineRule="auto" w:line="276"/>
      </w:pPr>
      <w:r>
        <w:rPr>
          <w:b/>
        </w:rPr>
        <w:t xml:space="preserve">摘要（ZH）: </w:t>
      </w:r>
      <w:r>
        <w:t>从人类和牲畜废物中回收养分可以大幅减少合成肥料的使用及其相关的环境压力。本文量化了废物衍生养分满足农业需求的潜力，并评估了美国各地养分供应与作物需求之间的空间（不）匹配。我们发现，8.56 Tg的氮（N）和2.80 Tg的磷（P），价值57.1亿美元，可以满足102%的N和50%的P需求。然而，养分过剩集中在人口密集和牲畜密集的地区，而赤字在中西部和南部大平原的主要作物生产区持续存在，突显了本地使用和有针对性再分配的必要性。大约37%的废物衍生N和46%的P可以在本地使用，另外6</w:t>
      </w:r>
    </w:p>
    <w:p>
      <w:pPr>
        <w:spacing w:before="0" w:after="200" w:lineRule="auto" w:line="276"/>
      </w:pPr>
      <w:r>
        <w:rPr>
          <w:b/>
        </w:rPr>
        <w:t xml:space="preserve">Abstract (EN): </w:t>
      </w:r>
      <w:r>
        <w:t>Recovering nutrients from human and livestock waste can substantially reduce synthetic fertilizer use and associated environmental pressures. Here we quantify the potential of waste-derivable nutrients to meet agricultural demand and assess spatial (mis)alignment between nutrient supply and crop needs across the USA. We find that 8.56 Tg of nitrogen (N) and 2.80 Tg of phosphorus (P), valued at US$5.71 billion, could supply 102% of N and 50% of P demands. However, nutrient surpluses concentrate in population-dense and livestock-intensive regions, while deficits persist in major crop-producing areas across the Midwest and southern Great Plains, highlighting the need for local use and targeted redistribution. About 37% of waste-derivable N and 46% of P can be used locally, and an additional 61% of surplus N and 56% of P can be economically reallocated to regions with nutrient deficits. Realizing this potential requires coordinated processing, logistics and governance to advance an equitable circular bionutrient economy.</w:t>
      </w:r>
    </w:p>
    <w:p>
      <w:pPr>
        <w:spacing w:before="120" w:after="120"/>
      </w:pPr>
      <w:r>
        <w:rPr>
          <w:sz w:val="18"/>
        </w:rPr>
        <w:t>——————————————————————————————————————————————————————————————————————</w:t>
      </w:r>
    </w:p>
    <w:p>
      <w:pPr>
        <w:spacing w:before="160" w:after="40" w:line="240" w:lineRule="auto"/>
      </w:pPr>
      <w:r>
        <w:rPr>
          <w:b/>
        </w:rPr>
        <w:t xml:space="preserve">[287] </w:t>
      </w:r>
      <w:hyperlink r:id="rId722">
        <w:r>
          <w:rPr>
            <w:color w:val="1155CC"/>
            <w:u w:val="single"/>
          </w:rPr>
          <w:t>微生物群落动态与城市化年龄之间的联系</w:t>
        </w:r>
      </w:hyperlink>
    </w:p>
    <w:p>
      <w:pPr>
        <w:spacing w:before="0" w:after="80"/>
      </w:pPr>
      <w:r>
        <w:rPr>
          <w:i/>
          <w:sz w:val="20"/>
        </w:rPr>
        <w:t>EN: The linkage between microbial community dynamics and urbanization age</w:t>
      </w:r>
    </w:p>
    <w:p>
      <w:pPr>
        <w:spacing w:before="0" w:after="120"/>
      </w:pPr>
      <w:r>
        <w:rPr>
          <w:b/>
        </w:rPr>
        <w:t xml:space="preserve">Source: </w:t>
      </w:r>
      <w:r>
        <w:t>Nature Sustainability</w:t>
      </w:r>
      <w:r>
        <w:t xml:space="preserve">    </w:t>
      </w:r>
      <w:r>
        <w:rPr>
          <w:b/>
        </w:rPr>
        <w:t xml:space="preserve">Pub date: </w:t>
      </w:r>
      <w:r>
        <w:t>2026-04-15 00:00:00+00:00</w:t>
      </w:r>
      <w:r>
        <w:t xml:space="preserve">    </w:t>
      </w:r>
      <w:r>
        <w:rPr>
          <w:b/>
        </w:rPr>
        <w:t xml:space="preserve">DOI: </w:t>
      </w:r>
      <w:hyperlink r:id="rId723">
        <w:r>
          <w:rPr>
            <w:color w:val="1155CC"/>
            <w:u w:val="single"/>
          </w:rPr>
          <w:t>10.1038/s41893-026-01801-2</w:t>
        </w:r>
      </w:hyperlink>
    </w:p>
    <w:p>
      <w:pPr>
        <w:spacing w:before="0" w:after="120"/>
      </w:pPr>
      <w:r>
        <w:rPr>
          <w:b/>
        </w:rPr>
        <w:t xml:space="preserve">Notes: </w:t>
      </w:r>
      <w:r>
        <w:t>abstract_source=nature_html</w:t>
      </w:r>
    </w:p>
    <w:p>
      <w:pPr>
        <w:spacing w:before="0" w:after="80" w:lineRule="auto" w:line="276"/>
      </w:pPr>
      <w:r>
        <w:rPr>
          <w:b/>
        </w:rPr>
        <w:t xml:space="preserve">摘要（ZH）: </w:t>
      </w:r>
      <w:r>
        <w:t>城市化对微生物群落施加了前所未有的压力，对人类健康产生深远影响。虽然先前的研究记录了地理城市-农村梯度上的微生物变化，但微生物群落对城市化的时间动态反应仍然知之甚少。利用全球2,110个跨越6大洲45个城市的宏基因组数据集和年度人工不透水表面数据（1985-2018），我们研究了微生物组成、多样性和功能如何与城市化年龄相关。我们的结果显示，随着城市化年龄的增加，微生物α多样性显著下降（P P P</w:t>
      </w:r>
    </w:p>
    <w:p>
      <w:pPr>
        <w:spacing w:before="0" w:after="200" w:lineRule="auto" w:line="276"/>
      </w:pPr>
      <w:r>
        <w:rPr>
          <w:b/>
        </w:rPr>
        <w:t xml:space="preserve">Abstract (EN): </w:t>
      </w:r>
      <w:r>
        <w:t>Urbanization exerts unprecedented pressure on the microbial community, with far-reaching implications for human health. While previous studies have documented microbial variations across the geographic urban–rural gradient, the temporal dynamics of microbial communities in response to urbanization remain poorly understood. Leveraging global datasets of 2,110 metagenomes spanning 45 cities on 6 continents and annual artificial impervious surface data (1985–2018), we investigated how microbial composition, diversity and functions correlate with urbanization age. Our results reveal that, with increasing urbanization age, there is a significant decline in microbial alpha diversity (P P P</w:t>
      </w:r>
    </w:p>
    <w:p>
      <w:pPr>
        <w:spacing w:before="120" w:after="120"/>
      </w:pPr>
      <w:r>
        <w:rPr>
          <w:sz w:val="18"/>
        </w:rPr>
        <w:t>——————————————————————————————————————————————————————————————————————</w:t>
      </w:r>
    </w:p>
    <w:p>
      <w:pPr>
        <w:spacing w:before="160" w:after="40" w:line="240" w:lineRule="auto"/>
      </w:pPr>
      <w:r>
        <w:rPr>
          <w:b/>
        </w:rPr>
        <w:t xml:space="preserve">[288] </w:t>
      </w:r>
      <w:hyperlink r:id="rId724">
        <w:r>
          <w:rPr>
            <w:color w:val="1155CC"/>
            <w:u w:val="single"/>
          </w:rPr>
          <w:t>用于可持续化学转化的全合一光生物催化系统</w:t>
        </w:r>
      </w:hyperlink>
    </w:p>
    <w:p>
      <w:pPr>
        <w:spacing w:before="0" w:after="80"/>
      </w:pPr>
      <w:r>
        <w:rPr>
          <w:i/>
          <w:sz w:val="20"/>
        </w:rPr>
        <w:t>EN: All-in-One photo-biocatalysis system for sustainable chemical transformations</w:t>
      </w:r>
    </w:p>
    <w:p>
      <w:pPr>
        <w:spacing w:before="0" w:after="120"/>
      </w:pPr>
      <w:r>
        <w:rPr>
          <w:b/>
        </w:rPr>
        <w:t xml:space="preserve">Source: </w:t>
      </w:r>
      <w:r>
        <w:t>Nature Communications</w:t>
      </w:r>
      <w:r>
        <w:t xml:space="preserve">    </w:t>
      </w:r>
      <w:r>
        <w:rPr>
          <w:b/>
        </w:rPr>
        <w:t xml:space="preserve">Pub date: </w:t>
      </w:r>
      <w:r>
        <w:t>2026-04-15 00:00:00+00:00</w:t>
      </w:r>
      <w:r>
        <w:t xml:space="preserve">    </w:t>
      </w:r>
      <w:r>
        <w:rPr>
          <w:b/>
        </w:rPr>
        <w:t xml:space="preserve">DOI: </w:t>
      </w:r>
      <w:hyperlink r:id="rId725">
        <w:r>
          <w:rPr>
            <w:color w:val="1155CC"/>
            <w:u w:val="single"/>
          </w:rPr>
          <w:t>10.1038/s41467-026-72050-2</w:t>
        </w:r>
      </w:hyperlink>
    </w:p>
    <w:p>
      <w:pPr>
        <w:spacing w:before="0" w:after="120"/>
      </w:pPr>
      <w:r>
        <w:rPr>
          <w:b/>
        </w:rPr>
        <w:t xml:space="preserve">Notes: </w:t>
      </w:r>
      <w:r>
        <w:t>abstract_source=nature_html</w:t>
      </w:r>
    </w:p>
    <w:p>
      <w:pPr>
        <w:spacing w:before="0" w:after="80" w:lineRule="auto" w:line="276"/>
      </w:pPr>
      <w:r>
        <w:rPr>
          <w:b/>
        </w:rPr>
        <w:t xml:space="preserve">摘要（ZH）: </w:t>
      </w:r>
      <w:r>
        <w:t>酶-光耦合系统（EPCSs）提供了一种生产高价值化学品的绿色策略，但与天然光合系统相比仍存在显著差距。在此，我们通过将光催化（光催化剂，P；电子介质，M；电子供体，D）和生物催化（酶和辅因子）单元整合到氢键有机框架（HOF）中，报告了一种全合一EPCS（AiO-EPCS），用于高效的NAD(P)H再生和光驱动酶转化，功能类似于叶绿体。通过将P和M结合到聚（氯化烯丙胺）（PAH）上组装的光催化系统，PAHPM，表现出比自由混合物高11倍的光催化NAD(P)H再生产率。随后，通过捕获两种生物催化剂，制造了两种不同的AiO-EPCSs。</w:t>
      </w:r>
    </w:p>
    <w:p>
      <w:pPr>
        <w:spacing w:before="0" w:after="200" w:lineRule="auto" w:line="276"/>
      </w:pPr>
      <w:r>
        <w:rPr>
          <w:b/>
        </w:rPr>
        <w:t xml:space="preserve">Abstract (EN): </w:t>
      </w:r>
      <w:r>
        <w:t>Enzyme-photo-coupled systems (EPCSs) offer a green strategy for producing high-value chemicals, but significant gaps remain in comparison to natural photosynthetic systems. Herein, we report an all-in-one EPCS (AiO-EPCS) by integrating photocatalytic (photocatalyst, P; electron mediator, M; electron donor, D) and biocatalytic (enzyme and cofactor) units in a hydrogen-bonded organic framework (HOF) for efficient NAD(P)H regeneration and light-driven enzymatic transformations, functioning like a chloroplast. The photocatalytic system assembled by incorporating P and M onto poly(allylamine hydrochloride) (PAH), PAHPM, exhibits an 11-fold enhanced photocatalytic NAD(P)H regeneration yield over the free mixture. Subsequently, two different AiO-EPCSs are fabricated by trapping two biocatalytic systems into HOF with the assistance of PAHPM. A double-layer architecture forms within the framework, partially separating the photo- and bio-catalytic modules while keeping all catalytic components in proximity. Moreover, adsorption of D onto HOF enables the system to be recycled by a single D addition, aligning AiO-EPCSs with natural photosynthesis in economic sustainability.</w:t>
      </w:r>
    </w:p>
    <w:p>
      <w:pPr>
        <w:spacing w:before="120" w:after="120"/>
      </w:pPr>
      <w:r>
        <w:rPr>
          <w:sz w:val="18"/>
        </w:rPr>
        <w:t>——————————————————————————————————————————————————————————————————————</w:t>
      </w:r>
    </w:p>
    <w:p>
      <w:pPr>
        <w:spacing w:before="160" w:after="40" w:line="240" w:lineRule="auto"/>
      </w:pPr>
      <w:r>
        <w:rPr>
          <w:b/>
        </w:rPr>
        <w:t xml:space="preserve">[289] </w:t>
      </w:r>
      <w:hyperlink r:id="rId726">
        <w:r>
          <w:rPr>
            <w:color w:val="1155CC"/>
            <w:u w:val="single"/>
          </w:rPr>
          <w:t>通过拓扑化学还原实现高性能室温有机铁磁半导体薄膜</w:t>
        </w:r>
      </w:hyperlink>
    </w:p>
    <w:p>
      <w:pPr>
        <w:spacing w:before="0" w:after="80"/>
      </w:pPr>
      <w:r>
        <w:rPr>
          <w:i/>
          <w:sz w:val="20"/>
        </w:rPr>
        <w:t>EN: Achieving high-performance room-temperature organic ferromagnetic semiconductor films via topochemical reduction</w:t>
      </w:r>
    </w:p>
    <w:p>
      <w:pPr>
        <w:spacing w:before="0" w:after="120"/>
      </w:pPr>
      <w:r>
        <w:rPr>
          <w:b/>
        </w:rPr>
        <w:t xml:space="preserve">Source: </w:t>
      </w:r>
      <w:r>
        <w:t>Nature Communications</w:t>
      </w:r>
      <w:r>
        <w:t xml:space="preserve">    </w:t>
      </w:r>
      <w:r>
        <w:rPr>
          <w:b/>
        </w:rPr>
        <w:t xml:space="preserve">Pub date: </w:t>
      </w:r>
      <w:r>
        <w:t>2026-04-15 00:00:00+00:00</w:t>
      </w:r>
      <w:r>
        <w:t xml:space="preserve">    </w:t>
      </w:r>
      <w:r>
        <w:rPr>
          <w:b/>
        </w:rPr>
        <w:t xml:space="preserve">DOI: </w:t>
      </w:r>
      <w:hyperlink r:id="rId727">
        <w:r>
          <w:rPr>
            <w:color w:val="1155CC"/>
            <w:u w:val="single"/>
          </w:rPr>
          <w:t>10.1038/s41467-026-71866-2</w:t>
        </w:r>
      </w:hyperlink>
    </w:p>
    <w:p>
      <w:pPr>
        <w:spacing w:before="0" w:after="120"/>
      </w:pPr>
      <w:r>
        <w:rPr>
          <w:b/>
        </w:rPr>
        <w:t xml:space="preserve">Notes: </w:t>
      </w:r>
      <w:r>
        <w:t>abstract_source=nature_html</w:t>
      </w:r>
    </w:p>
    <w:p>
      <w:pPr>
        <w:spacing w:before="0" w:after="80" w:lineRule="auto" w:line="276"/>
      </w:pPr>
      <w:r>
        <w:rPr>
          <w:b/>
        </w:rPr>
        <w:t xml:space="preserve">摘要（ZH）: </w:t>
      </w:r>
      <w:r>
        <w:t>高性能有机铁磁半导体的发展受到合成过程中自由基形成和结构组织的内在耦合的阻碍，这使得在高度共轭系统中实现长程磁耦合变得困难。在此，我们报告了一种有效的拓扑化学还原策略，该策略将自由基形成与结构组织解耦，从而实现对有机铁磁材料中分子间排列的前所未有的控制。以苝二酰亚胺为模型系统，这种方法在还原过程中保留了热蒸发前体薄膜的高度有序结构，导致π-π堆积距离缩短至3.26 Å，并具有卓越的长程分子有序性。所得薄膜表现出显著的室温。</w:t>
      </w:r>
    </w:p>
    <w:p>
      <w:pPr>
        <w:spacing w:before="0" w:after="200" w:lineRule="auto" w:line="276"/>
      </w:pPr>
      <w:r>
        <w:rPr>
          <w:b/>
        </w:rPr>
        <w:t xml:space="preserve">Abstract (EN): </w:t>
      </w:r>
      <w:r>
        <w:t>The development of high-performance organic ferromagnetic semiconductors has been hampered by the intrinsic coupling of radical formation and structural organization during synthesis, which makes it difficult to achieve long-range magnetic coupling in highly conjugated systems. Here, we report an effective topochemical reduction strategy that decouples radical formation from structural organization, enabling unprecedented control over intermolecular arrangements in organic ferromagnetic materials. Using perylene diimide as a model system, this approach preserves the highly ordered structure of thermally evaporated precursor films during reduction, resulting in a shortened π-π stacking distance of 3.26 Å and exceptional long-range molecular order. The resulting films exhibit remarkable room-temperature ferromagnetism, as evidenced by X-ray magnetic circular dichroism, with a saturation magnetization of 10.5 emu g⁻1—nearly an order of magnitude higher than conventional organic magnetic materials—while retaining semiconducting properties. Generality of this strategy has also been demonstrated in naphthalene-based systems, underscoring its broad applicability. Theoretical calculations reveal that this enhanced performance originates from optimized ferromagnetic coupling between adjacent radicals through controlled twisted stacking configurations. This work provides a practical route to high-performance ferromagnetic semiconductors.</w:t>
      </w:r>
    </w:p>
    <w:p>
      <w:pPr>
        <w:spacing w:before="120" w:after="120"/>
      </w:pPr>
      <w:r>
        <w:rPr>
          <w:sz w:val="18"/>
        </w:rPr>
        <w:t>——————————————————————————————————————————————————————————————————————</w:t>
      </w:r>
    </w:p>
    <w:p>
      <w:pPr>
        <w:spacing w:before="160" w:after="40" w:line="240" w:lineRule="auto"/>
      </w:pPr>
      <w:r>
        <w:rPr>
          <w:b/>
        </w:rPr>
        <w:t xml:space="preserve">[290] </w:t>
      </w:r>
      <w:hyperlink r:id="rId728">
        <w:r>
          <w:rPr>
            <w:color w:val="1155CC"/>
            <w:u w:val="single"/>
          </w:rPr>
          <w:t>人体胰腺中持久性有机污染物浓度与β细胞功能障碍标志物相关</w:t>
        </w:r>
      </w:hyperlink>
    </w:p>
    <w:p>
      <w:pPr>
        <w:spacing w:before="0" w:after="80"/>
      </w:pPr>
      <w:r>
        <w:rPr>
          <w:i/>
          <w:sz w:val="20"/>
        </w:rPr>
        <w:t>EN: Persistent organic pollutant concentrations in human pancreas correlate with markers of beta cell dysfunction</w:t>
      </w:r>
    </w:p>
    <w:p>
      <w:pPr>
        <w:spacing w:before="0" w:after="120"/>
      </w:pPr>
      <w:r>
        <w:rPr>
          <w:b/>
        </w:rPr>
        <w:t xml:space="preserve">Source: </w:t>
      </w:r>
      <w:r>
        <w:t>Nature Communications</w:t>
      </w:r>
      <w:r>
        <w:t xml:space="preserve">    </w:t>
      </w:r>
      <w:r>
        <w:rPr>
          <w:b/>
        </w:rPr>
        <w:t xml:space="preserve">Pub date: </w:t>
      </w:r>
      <w:r>
        <w:t>2026-04-15 00:00:00+00:00</w:t>
      </w:r>
      <w:r>
        <w:t xml:space="preserve">    </w:t>
      </w:r>
      <w:r>
        <w:rPr>
          <w:b/>
        </w:rPr>
        <w:t xml:space="preserve">DOI: </w:t>
      </w:r>
      <w:hyperlink r:id="rId729">
        <w:r>
          <w:rPr>
            <w:color w:val="1155CC"/>
            <w:u w:val="single"/>
          </w:rPr>
          <w:t>10.1038/s41467-026-71847-5</w:t>
        </w:r>
      </w:hyperlink>
    </w:p>
    <w:p>
      <w:pPr>
        <w:spacing w:before="0" w:after="120"/>
      </w:pPr>
      <w:r>
        <w:rPr>
          <w:b/>
        </w:rPr>
        <w:t xml:space="preserve">Notes: </w:t>
      </w:r>
      <w:r>
        <w:t>abstract_source=nature_html</w:t>
      </w:r>
    </w:p>
    <w:p>
      <w:pPr>
        <w:spacing w:before="0" w:after="80" w:lineRule="auto" w:line="276"/>
      </w:pPr>
      <w:r>
        <w:rPr>
          <w:b/>
        </w:rPr>
        <w:t xml:space="preserve">摘要（ZH）: </w:t>
      </w:r>
      <w:r>
        <w:t>流行病学研究一致报告了循环浓度的持久性有机污染物与2型糖尿病风险增加之间的关联。胰腺中污染物浓度的测量有限；鉴于内分泌胰腺在糖尿病发病机制中的作用，这是文献中的一个重要空白。此外，没有研究将污染物浓度与人类β细胞功能的直接测量相关联。我们测量了从31名人体器官捐赠者获得的胰腺和胰腺周围脂肪组织活检中的3类污染物——二恶英/呋喃、多氯联苯和有机氯农药的浓度。我们显示污染物在人体胰腺中被一致检测到，并且对于某些分析物，其浓度高于脂肪组织。</w:t>
      </w:r>
    </w:p>
    <w:p>
      <w:pPr>
        <w:spacing w:before="0" w:after="200" w:lineRule="auto" w:line="276"/>
      </w:pPr>
      <w:r>
        <w:rPr>
          <w:b/>
        </w:rPr>
        <w:t xml:space="preserve">Abstract (EN): </w:t>
      </w:r>
      <w:r>
        <w:t>Epidemiological studies consistently report associations between circulating concentrations of persistent organic pollutants and increased type 2 diabetes risk. Measures of pollutant concentrations in pancreas are limited; given the role of the endocrine pancreas in diabetes pathogenesis, this is an important gap in the literature. Additionally, no studies have correlated pollutant concentrations with direct measures of human beta cell function. We measure concentrations from 3 pollutant classes—dioxins/furans, polychlorinated biphenyls, and organochlorine pesticides—in pancreas and peripancreatic adipose tissue biopsies obtained from 31 human organ donors. We show that pollutants are consistently detected in human pancreas, and for some analytes, at higher concentrations than in adipose. We next assess correlations between pollutant concentrations and systemic indicators of diabetes risk (body mass index, age, and haemoglobin A1c) and direct measures of beta cell function in isolated islets from the same 31 donors. Pancreas polychlorinated biphenyls and organochlorine pesticides positively correlate with body mass index, age and basal insulin secretion but negatively correlate with stimulation index (ratio of insulin secretion under high glucose / low glucose conditions). Pancreas dioxins/furans positively correlate with fatty acid- and amino acid-stimulated insulin secretion. These data indicate that lipophilic pollutants accumulate in human pancreas and positively correlate with surrogate markers of diabetes risk.</w:t>
      </w:r>
    </w:p>
    <w:p>
      <w:pPr>
        <w:spacing w:before="120" w:after="120"/>
      </w:pPr>
      <w:r>
        <w:rPr>
          <w:sz w:val="18"/>
        </w:rPr>
        <w:t>——————————————————————————————————————————————————————————————————————</w:t>
      </w:r>
    </w:p>
    <w:p>
      <w:pPr>
        <w:spacing w:before="160" w:after="40" w:line="240" w:lineRule="auto"/>
      </w:pPr>
      <w:r>
        <w:rPr>
          <w:b/>
        </w:rPr>
        <w:t xml:space="preserve">[291] </w:t>
      </w:r>
      <w:hyperlink r:id="rId730">
        <w:r>
          <w:rPr>
            <w:color w:val="1155CC"/>
            <w:u w:val="single"/>
          </w:rPr>
          <w:t>作者更正：靶向血脑屏障转铁蛋白受体和CD98hc的Fc工程大分子具有不同的中枢神经系统和外周生物分布</w:t>
        </w:r>
      </w:hyperlink>
    </w:p>
    <w:p>
      <w:pPr>
        <w:spacing w:before="0" w:after="80"/>
      </w:pPr>
      <w:r>
        <w:rPr>
          <w:i/>
          <w:sz w:val="20"/>
        </w:rPr>
        <w:t>EN: Author Correction: Fc-engineered large molecules targeting blood-brain barrier transferrin receptor and CD98hc have distinct central nervous system and peripheral biodistribution</w:t>
      </w:r>
    </w:p>
    <w:p>
      <w:pPr>
        <w:spacing w:before="0" w:after="120"/>
      </w:pPr>
      <w:r>
        <w:rPr>
          <w:b/>
        </w:rPr>
        <w:t xml:space="preserve">Source: </w:t>
      </w:r>
      <w:r>
        <w:t>Nature Communications</w:t>
      </w:r>
      <w:r>
        <w:t xml:space="preserve">    </w:t>
      </w:r>
      <w:r>
        <w:rPr>
          <w:b/>
        </w:rPr>
        <w:t xml:space="preserve">Pub date: </w:t>
      </w:r>
      <w:r>
        <w:t>2026-04-15 00:00:00+00:00</w:t>
      </w:r>
      <w:r>
        <w:t xml:space="preserve">    </w:t>
      </w:r>
      <w:r>
        <w:rPr>
          <w:b/>
        </w:rPr>
        <w:t xml:space="preserve">DOI: </w:t>
      </w:r>
      <w:hyperlink r:id="rId731">
        <w:r>
          <w:rPr>
            <w:color w:val="1155CC"/>
            <w:u w:val="single"/>
          </w:rPr>
          <w:t>10.1038/s41467-026-71806-0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732">
        <w:r>
          <w:rPr>
            <w:color w:val="1155CC"/>
            <w:u w:val="single"/>
          </w:rPr>
          <w:t>每秒300单位的可见光金属透镜卷对卷制造</w:t>
        </w:r>
      </w:hyperlink>
    </w:p>
    <w:p>
      <w:pPr>
        <w:spacing w:before="0" w:after="80"/>
      </w:pPr>
      <w:r>
        <w:rPr>
          <w:i/>
          <w:sz w:val="20"/>
        </w:rPr>
        <w:t>EN: 300-unit-per-second roll-to-roll manufacturing of visible metalenses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33">
        <w:r>
          <w:rPr>
            <w:color w:val="1155CC"/>
            <w:u w:val="single"/>
          </w:rPr>
          <w:t>10.1038/s41586-026-10369-y</w:t>
        </w:r>
      </w:hyperlink>
    </w:p>
    <w:p>
      <w:pPr>
        <w:spacing w:before="0" w:after="120"/>
      </w:pPr>
      <w:r>
        <w:rPr>
          <w:b/>
        </w:rPr>
        <w:t xml:space="preserve">Notes: </w:t>
      </w:r>
      <w:r>
        <w:t>abstract_source=nature_html</w:t>
      </w:r>
    </w:p>
    <w:p>
      <w:pPr>
        <w:spacing w:before="0" w:after="80" w:lineRule="auto" w:line="276"/>
      </w:pPr>
      <w:r>
        <w:rPr>
          <w:b/>
        </w:rPr>
        <w:t xml:space="preserve">摘要（ZH）: </w:t>
      </w:r>
      <w:r>
        <w:t>超表面因其在亚波长尺度上操控光的能力，在过去十年中得到了广泛研究1。最近出现的最关键趋势之一是可扩展制造，这为超表面的商业化和工业采用铺平了道路2,3。然而，超表面的生产吞吐量迄今仍主要停留在学术水平，限制了其实际部署。在此，我们展示了可见光金属透镜的卷对卷纳米压印技术，用于大规模、成本效益高且完全自动化的工业级吞吐量制造。我们的系统实现了每秒300个金属透镜的生产速度，其成本与传统折射光学器件相当，甚至更低。一个共形的高折射率钛</w:t>
      </w:r>
    </w:p>
    <w:p>
      <w:pPr>
        <w:spacing w:before="0" w:after="200" w:lineRule="auto" w:line="276"/>
      </w:pPr>
      <w:r>
        <w:rPr>
          <w:b/>
        </w:rPr>
        <w:t xml:space="preserve">Abstract (EN): </w:t>
      </w:r>
      <w:r>
        <w:t>Metasurfaces have been extensively studied over the past decade for their ability to manipulate light at subwavelength scales1. One of the most critical trends emerging recently has been scalable manufacturing, which is paving the way for the commercialization and industrial adoption of metasurfaces2,3. However, the production throughput of metasurfaces has so far largely remained at the academic level, limiting their practical deployment. Here we demonstrate the roll-to-roll nanoimprinting of visible metalenses for large-scale, cost-effective and fully automated manufacturing at industrial-level throughput. Our system achieves a production rate of 300 metalenses per second, with a cost comparable with—or even lower than—that of conventional refractive optics. A conformal high-index titanium dioxide layer is deposited via atomic layer deposition to dramatically enhance optical performance. Experimental characterization confirms high optical efficiency and uniformity across the full patterned area, with consistently high yields. This work shows potential for the transition of metasurface technology from academic research to the real world.</w:t>
      </w:r>
    </w:p>
    <w:p>
      <w:pPr>
        <w:spacing w:before="120" w:after="120"/>
      </w:pPr>
      <w:r>
        <w:rPr>
          <w:sz w:val="18"/>
        </w:rPr>
        <w:t>——————————————————————————————————————————————————————————————————————</w:t>
      </w:r>
    </w:p>
    <w:p>
      <w:pPr>
        <w:spacing w:before="160" w:after="40" w:line="240" w:lineRule="auto"/>
      </w:pPr>
      <w:r>
        <w:rPr>
          <w:b/>
        </w:rPr>
        <w:t xml:space="preserve">[293] </w:t>
      </w:r>
      <w:hyperlink r:id="rId734">
        <w:r>
          <w:rPr>
            <w:color w:val="1155CC"/>
            <w:u w:val="single"/>
          </w:rPr>
          <w:t>在温和条件下快速烧结超细晶粒耐火金属</w:t>
        </w:r>
      </w:hyperlink>
    </w:p>
    <w:p>
      <w:pPr>
        <w:spacing w:before="0" w:after="80"/>
      </w:pPr>
      <w:r>
        <w:rPr>
          <w:i/>
          <w:sz w:val="20"/>
        </w:rPr>
        <w:t>EN: Rapid sintering of ultrafine-grained refractory metals under mild conditions</w:t>
      </w:r>
    </w:p>
    <w:p>
      <w:pPr>
        <w:spacing w:before="0" w:after="120"/>
      </w:pPr>
      <w:r>
        <w:rPr>
          <w:b/>
        </w:rPr>
        <w:t xml:space="preserve">Source: </w:t>
      </w:r>
      <w:r>
        <w:t>Nature Materials</w:t>
      </w:r>
      <w:r>
        <w:t xml:space="preserve">    </w:t>
      </w:r>
      <w:r>
        <w:rPr>
          <w:b/>
        </w:rPr>
        <w:t xml:space="preserve">Pub date: </w:t>
      </w:r>
      <w:r>
        <w:t>2026-04-15 00:00:00+00:00</w:t>
      </w:r>
      <w:r>
        <w:t xml:space="preserve">    </w:t>
      </w:r>
      <w:r>
        <w:rPr>
          <w:b/>
        </w:rPr>
        <w:t xml:space="preserve">DOI: </w:t>
      </w:r>
      <w:hyperlink r:id="rId735">
        <w:r>
          <w:rPr>
            <w:color w:val="1155CC"/>
            <w:u w:val="single"/>
          </w:rPr>
          <w:t>10.1038/s41563-026-02587-6</w:t>
        </w:r>
      </w:hyperlink>
    </w:p>
    <w:p>
      <w:pPr>
        <w:spacing w:before="0" w:after="120"/>
      </w:pPr>
      <w:r>
        <w:rPr>
          <w:b/>
        </w:rPr>
        <w:t xml:space="preserve">Notes: </w:t>
      </w:r>
      <w:r>
        <w:t>abstract_source=nature_html</w:t>
      </w:r>
    </w:p>
    <w:p>
      <w:pPr>
        <w:spacing w:before="0" w:after="80" w:lineRule="auto" w:line="276"/>
      </w:pPr>
      <w:r>
        <w:rPr>
          <w:b/>
        </w:rPr>
        <w:t xml:space="preserve">摘要（ZH）: </w:t>
      </w:r>
      <w:r>
        <w:t>耐火金属因其高熔点和稳定性而在航空航天和核应用中具有前景。然而，由于耐火金属的高熔点和由高离域电子密度导致的强键合强度，处理过程仍面临挑战。在此，我们展示了液态金属可以稀释这种电子密度并削弱键合强度，从而实现耐火金属原子的高效提取、溶解和重组。这一策略允许在显著较低的温度下制造块状耐火材料（</w:t>
      </w:r>
    </w:p>
    <w:p>
      <w:pPr>
        <w:spacing w:before="0" w:after="200" w:lineRule="auto" w:line="276"/>
      </w:pPr>
      <w:r>
        <w:rPr>
          <w:b/>
        </w:rPr>
        <w:t xml:space="preserve">Abstract (EN): </w:t>
      </w:r>
      <w:r>
        <w:t>Refractory metals are promising for aerospace and nuclear applications because of their high melting points and stability. However, the processing procedure still encounters challenges due to the high melting point and strong bond strength resulting from the high delocalized electron density of refractory metals. Here we show that liquid metals can dilute this electron density and weaken bond strength, enabling the efficient extraction, dissolution and recombination of refractory metal atoms. This strategy allows the fabrication of bulk refractory materials at notably lower temperatures (</w:t>
      </w:r>
    </w:p>
    <w:p>
      <w:pPr>
        <w:spacing w:before="120" w:after="120"/>
      </w:pPr>
      <w:r>
        <w:rPr>
          <w:sz w:val="18"/>
        </w:rPr>
        <w:t>——————————————————————————————————————————————————————————————————————</w:t>
      </w:r>
    </w:p>
    <w:p>
      <w:pPr>
        <w:spacing w:before="160" w:after="40" w:line="240" w:lineRule="auto"/>
      </w:pPr>
      <w:r>
        <w:rPr>
          <w:b/>
        </w:rPr>
        <w:t xml:space="preserve">[294] </w:t>
      </w:r>
      <w:hyperlink r:id="rId736">
        <w:r>
          <w:rPr>
            <w:color w:val="1155CC"/>
            <w:u w:val="single"/>
          </w:rPr>
          <w:t>羰基交换将环酮转化为饱和杂环</w:t>
        </w:r>
      </w:hyperlink>
    </w:p>
    <w:p>
      <w:pPr>
        <w:spacing w:before="0" w:after="80"/>
      </w:pPr>
      <w:r>
        <w:rPr>
          <w:i/>
          <w:sz w:val="20"/>
        </w:rPr>
        <w:t>EN: Carbonyl swapping converts cyclic ketones to saturated heterocycles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37">
        <w:r>
          <w:rPr>
            <w:color w:val="1155CC"/>
            <w:u w:val="single"/>
          </w:rPr>
          <w:t>10.1038/s41586-026-10508-5</w:t>
        </w:r>
      </w:hyperlink>
    </w:p>
    <w:p>
      <w:pPr>
        <w:spacing w:before="0" w:after="120"/>
      </w:pPr>
      <w:r>
        <w:rPr>
          <w:b/>
        </w:rPr>
        <w:t xml:space="preserve">Notes: </w:t>
      </w:r>
      <w:r>
        <w:t>abstract_source=nature_html</w:t>
      </w:r>
    </w:p>
    <w:p>
      <w:pPr>
        <w:spacing w:before="0" w:after="80" w:lineRule="auto" w:line="276"/>
      </w:pPr>
      <w:r>
        <w:rPr>
          <w:b/>
        </w:rPr>
        <w:t xml:space="preserve">摘要（ZH）: </w:t>
      </w:r>
      <w:r>
        <w:t>饱和杂环是生物活性分子中的特权骨架。1 尽管有多种从头合成各种杂环化合物的途径，但从统一且易得的碳环中获取多样化的杂环将为从非常规前体构建具有挑战性的杂环结构提供战略替代方案。2 在此，我们报告了一种模块化方法，通过异原子形式的羰基替代，将单一环酮转化为各种饱和杂环，通过一种鲜为人知的双（芳酰过氧）酮缩醛中间体。通过电子引导的过氧键裂解，这种中间体能够实现环酮的双C–C键断裂，生成烷基二氯化物，作为模块化N/O/S/Se/Te引入的多功能手柄，使用简单的</w:t>
      </w:r>
    </w:p>
    <w:p>
      <w:pPr>
        <w:spacing w:before="0" w:after="200" w:lineRule="auto" w:line="276"/>
      </w:pPr>
      <w:r>
        <w:rPr>
          <w:b/>
        </w:rPr>
        <w:t xml:space="preserve">Abstract (EN): </w:t>
      </w:r>
      <w:r>
        <w:t>Saturated heterocycles are privileged scaffolds in bioactive molecules.1 Despite the availability of numerous de novo routes to various heterocyclic compounds, accessing diverse heterocycles from a unified, readily available carbocycle would offer a strategic alternative for constructing challenging heterocyclic structures from unconventional precursors.2 Here we report a modular approach that transforms a single cyclic ketone into various saturated heterocycles through formal carbonyl replacement with heteroatoms, via a scarcely explored bis(aroylperoxy) ketal intermediate. Through electronically guided peroxy cleavage, this intermediate enables double C–C bond scission of cyclic ketones, generating alkyl dichlorides as versatile handles for modular N/O/S/Se/Te incorporation using simple nucleophiles. This method exhibits broad substrate scope and functional-group tolerance, enabling both accelerated target synthesis and late-stage diversification of bioactive molecules. Its utility is also extended through “ring construction–carbonyl replacement” and “ring functionalization–carbonyl replacement” strategies, whereby cyclic ketones prepared via well-established methods are converted into challenging-to-access heterocycles for which analogous methods remain underdeveloped. By combining C–H oxidation with carbonyl replacement, a proof-of-concept formal “CH2-to-heteroatom” conversion is further demonstrated.</w:t>
      </w:r>
    </w:p>
    <w:p>
      <w:pPr>
        <w:spacing w:before="120" w:after="120"/>
      </w:pPr>
      <w:r>
        <w:rPr>
          <w:sz w:val="18"/>
        </w:rPr>
        <w:t>——————————————————————————————————————————————————————————————————————</w:t>
      </w:r>
    </w:p>
    <w:p>
      <w:pPr>
        <w:spacing w:before="160" w:after="40" w:line="240" w:lineRule="auto"/>
      </w:pPr>
      <w:r>
        <w:rPr>
          <w:b/>
        </w:rPr>
        <w:t xml:space="preserve">[295] </w:t>
      </w:r>
      <w:hyperlink r:id="rId738">
        <w:r>
          <w:rPr>
            <w:color w:val="1155CC"/>
            <w:u w:val="single"/>
          </w:rPr>
          <w:t>薄膜交替磁体候选材料中的室温巨型三阶电传输</w:t>
        </w:r>
      </w:hyperlink>
    </w:p>
    <w:p>
      <w:pPr>
        <w:spacing w:before="0" w:after="80"/>
      </w:pPr>
      <w:r>
        <w:rPr>
          <w:i/>
          <w:sz w:val="20"/>
        </w:rPr>
        <w:t>EN: Giant room-temperature third-order electrical transport in a thin-film altermagnet candidate</w:t>
      </w:r>
    </w:p>
    <w:p>
      <w:pPr>
        <w:spacing w:before="0" w:after="120"/>
      </w:pPr>
      <w:r>
        <w:rPr>
          <w:b/>
        </w:rPr>
        <w:t xml:space="preserve">Source: </w:t>
      </w:r>
      <w:r>
        <w:t>Nature Nanotechnology</w:t>
      </w:r>
      <w:r>
        <w:t xml:space="preserve">    </w:t>
      </w:r>
      <w:r>
        <w:rPr>
          <w:b/>
        </w:rPr>
        <w:t xml:space="preserve">Pub date: </w:t>
      </w:r>
      <w:r>
        <w:t>2026-04-15 00:00:00+00:00</w:t>
      </w:r>
      <w:r>
        <w:t xml:space="preserve">    </w:t>
      </w:r>
      <w:r>
        <w:rPr>
          <w:b/>
        </w:rPr>
        <w:t xml:space="preserve">DOI: </w:t>
      </w:r>
      <w:hyperlink r:id="rId739">
        <w:r>
          <w:rPr>
            <w:color w:val="1155CC"/>
            <w:u w:val="single"/>
          </w:rPr>
          <w:t>10.1038/s41565-026-02159-4</w:t>
        </w:r>
      </w:hyperlink>
    </w:p>
    <w:p>
      <w:pPr>
        <w:spacing w:before="0" w:after="120"/>
      </w:pPr>
      <w:r>
        <w:rPr>
          <w:b/>
        </w:rPr>
        <w:t xml:space="preserve">Notes: </w:t>
      </w:r>
      <w:r>
        <w:t>abstract_source=nature_html</w:t>
      </w:r>
    </w:p>
    <w:p>
      <w:pPr>
        <w:spacing w:before="0" w:after="80" w:lineRule="auto" w:line="276"/>
      </w:pPr>
      <w:r>
        <w:rPr>
          <w:b/>
        </w:rPr>
        <w:t xml:space="preserve">摘要（ZH）: </w:t>
      </w:r>
      <w:r>
        <w:t>量子几何是由Berry曲率和量子度量组成的量子力学量，描述了固体中电子能带的几何结构。非平凡量子几何与量子材料之间的相关性导致了凝聚态物理系统中的新发现。在此，我们展示了交替磁体，具有自发破缺的时间反演（{\mathcal{T}}）({\mathcal{T}})–半晶格平移和宇称-时间对称性，包含同时表现出{\mathcal{T}}{\mathcal{T}}-奇和{\mathcal{T}}{\mathcal{T}}-偶量子几何量，尽管净磁化强度为零。因此，在(101)取向的RuO2中观察到了具有显著量子几何贡献的巨大室温三阶电输运响应。</w:t>
      </w:r>
    </w:p>
    <w:p>
      <w:pPr>
        <w:spacing w:before="0" w:after="200" w:lineRule="auto" w:line="276"/>
      </w:pPr>
      <w:r>
        <w:rPr>
          <w:b/>
        </w:rPr>
        <w:t xml:space="preserve">Abstract (EN): </w:t>
      </w:r>
      <w:r>
        <w:t>Quantum geometry, a quantum mechanical quantity comprised of Berry curvature and quantum metric, describes the geometric structure of the electronic bands in solids. The correlation between nontrivial quantum geometry and quantum materials leads to new findings in condensed matter systems. Here we demonstrate that altermagnets, with spontaneously broken time-reversal ({\mathcal{T}})({\mathcal{T}})–half-lattice-translation and parity-time symmetry, host both {\mathcal{T}}{\mathcal{T}}-odd and {\mathcal{T}}{\mathcal{T}}-even quantum geometric quantities that simultaneously manifest themselves despite the vanishing net magnetization. Consequently, giant room-temperature third-order electrical transport responses with sizable quantum geometric contributions are observed in (101)-oriented RuO2 thin films, an altermagnetic candidate; in particular, the third-order Hall effect is intimately correlated with altermagnetic order and can serve as a promising tool for detecting the Néel vector. Our work not only supports the existence of altermagnetism in 8-nm-thick RuO2 thin films, but also shows altermagnets as a versatile platform for exploring quantum geometry and constructing quantum electronic and spintronic devices.</w:t>
      </w:r>
    </w:p>
    <w:p>
      <w:pPr>
        <w:spacing w:before="120" w:after="120"/>
      </w:pPr>
      <w:r>
        <w:rPr>
          <w:sz w:val="18"/>
        </w:rPr>
        <w:t>——————————————————————————————————————————————————————————————————————</w:t>
      </w:r>
    </w:p>
    <w:p>
      <w:pPr>
        <w:spacing w:before="160" w:after="40" w:line="240" w:lineRule="auto"/>
      </w:pPr>
      <w:r>
        <w:rPr>
          <w:b/>
        </w:rPr>
        <w:t xml:space="preserve">[296] </w:t>
      </w:r>
      <w:hyperlink r:id="rId740">
        <w:r>
          <w:rPr>
            <w:color w:val="1155CC"/>
            <w:u w:val="single"/>
          </w:rPr>
          <w:t>mRNA疫苗在CD8+ T细胞启动中涉及非常规途径</w:t>
        </w:r>
      </w:hyperlink>
    </w:p>
    <w:p>
      <w:pPr>
        <w:spacing w:before="0" w:after="80"/>
      </w:pPr>
      <w:r>
        <w:rPr>
          <w:i/>
          <w:sz w:val="20"/>
        </w:rPr>
        <w:t>EN: mRNA vaccines engage unconventional pathways in CD8+ T cell priming</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41">
        <w:r>
          <w:rPr>
            <w:color w:val="1155CC"/>
            <w:u w:val="single"/>
          </w:rPr>
          <w:t>10.1038/s41586-026-10353-6</w:t>
        </w:r>
      </w:hyperlink>
    </w:p>
    <w:p>
      <w:pPr>
        <w:spacing w:before="0" w:after="120"/>
      </w:pPr>
      <w:r>
        <w:rPr>
          <w:b/>
        </w:rPr>
        <w:t xml:space="preserve">Notes: </w:t>
      </w:r>
      <w:r>
        <w:t>abstract_source=nature_html</w:t>
      </w:r>
    </w:p>
    <w:p>
      <w:pPr>
        <w:spacing w:before="0" w:after="80" w:lineRule="auto" w:line="276"/>
      </w:pPr>
      <w:r>
        <w:rPr>
          <w:b/>
        </w:rPr>
        <w:t xml:space="preserve">摘要（ZH）: </w:t>
      </w:r>
      <w:r>
        <w:t>由mRNA和脂质纳米颗粒（LNPs）组成的疫苗通过诱导体内特定蛋白抗原的产生来激活B细胞和T细胞。虽然B细胞可以直接被抗原激活，但T细胞的激活需要由专门的抗原呈递细胞（APCs）通过MHC分子进行抗原加工和呈递。针对病毒感染、肿瘤以及基于蛋白质和cDNA的疫苗，抗原呈递给CD8+ T细胞特别依赖于1型常规树突状细胞（cDC1），这些细胞专门用于高效交叉呈递外源抗原1,2,3,4。然而，类似机制在mRNA–LNP疫苗接种中的作用尚不清楚。在此，我们报告mRNA–LNP疫苗不需要cDC1细胞或WDFY4依赖的交叉呈递途径。</w:t>
      </w:r>
    </w:p>
    <w:p>
      <w:pPr>
        <w:spacing w:before="0" w:after="200" w:lineRule="auto" w:line="276"/>
      </w:pPr>
      <w:r>
        <w:rPr>
          <w:b/>
        </w:rPr>
        <w:t xml:space="preserve">Abstract (EN): </w:t>
      </w:r>
      <w:r>
        <w:t>Vaccines composed of mRNA and lipid nanoparticles (LNPs) activate B cells and T cells by inducing in vivo production of specific protein antigens. While B cells can be activated directly by antigens, T cell activation requires antigen processing and presentation by MHC molecules on specialized antigen-presenting cells (APCs). In response to viral infections, tumours, and protein- and cDNA-based vaccines, antigen presentation to CD8+ T cells is particularly dependent on type 1 conventional dendritic (cDC1) cells, which are specialized for efficient cross-presentation of exogenous antigens1,2,3,4. However, whether similar mechanisms have a role in mRNA–LNP vaccination is unclear. Here we report that mRNA–LNP vaccines do not require cDC1 cells or the WDFY4-dependent cross-presentation pathway for CD8+ T cell priming but instead engage both cDC1 and cDC2 cells redundantly. While CD8+ T cells primed exclusively by either cDC1 or cDC2 cells showed phenotypic differences, both could mediate anti-tumour responses and memory formation. Importantly, acquisition by cDCs of peptide–MHC-I complexes from non-haematopoietic cells, called cross-dressing, provides a substantial component of CD8+ T cell priming, in a manner dependent on type I interferon. mRNA–LNP induction of cross-dressing might explain their ability to activate CD8+ T cells against antigens not encoded by the vaccine.</w:t>
      </w:r>
    </w:p>
    <w:p>
      <w:pPr>
        <w:spacing w:before="120" w:after="120"/>
      </w:pPr>
      <w:r>
        <w:rPr>
          <w:sz w:val="18"/>
        </w:rPr>
        <w:t>——————————————————————————————————————————————————————————————————————</w:t>
      </w:r>
    </w:p>
    <w:p>
      <w:pPr>
        <w:spacing w:before="160" w:after="40" w:line="240" w:lineRule="auto"/>
      </w:pPr>
      <w:r>
        <w:rPr>
          <w:b/>
        </w:rPr>
        <w:t xml:space="preserve">[297] </w:t>
      </w:r>
      <w:hyperlink r:id="rId742">
        <w:r>
          <w:rPr>
            <w:color w:val="1155CC"/>
            <w:u w:val="single"/>
          </w:rPr>
          <w:t>每日简报：年轻化的“镜子”带回更生动的童年记忆</w:t>
        </w:r>
      </w:hyperlink>
    </w:p>
    <w:p>
      <w:pPr>
        <w:spacing w:before="0" w:after="80"/>
      </w:pPr>
      <w:r>
        <w:rPr>
          <w:i/>
          <w:sz w:val="20"/>
        </w:rPr>
        <w:t>EN: Daily briefing: Youthifying 'mirror' brings back more vivid childhood memories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43">
        <w:r>
          <w:rPr>
            <w:color w:val="1155CC"/>
            <w:u w:val="single"/>
          </w:rPr>
          <w:t>10.1038/d41586-026-01248-7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744">
        <w:r>
          <w:rPr>
            <w:color w:val="1155CC"/>
            <w:u w:val="single"/>
          </w:rPr>
          <w:t>通过进化视角看肿瘤促进</w:t>
        </w:r>
      </w:hyperlink>
    </w:p>
    <w:p>
      <w:pPr>
        <w:spacing w:before="0" w:after="80"/>
      </w:pPr>
      <w:r>
        <w:rPr>
          <w:i/>
          <w:sz w:val="20"/>
        </w:rPr>
        <w:t>EN: Tumour promotion through the lens of evolution</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45">
        <w:r>
          <w:rPr>
            <w:color w:val="1155CC"/>
            <w:u w:val="single"/>
          </w:rPr>
          <w:t>10.1038/s41586-026-10386-x</w:t>
        </w:r>
      </w:hyperlink>
    </w:p>
    <w:p>
      <w:pPr>
        <w:spacing w:before="0" w:after="120"/>
      </w:pPr>
      <w:r>
        <w:rPr>
          <w:b/>
        </w:rPr>
        <w:t xml:space="preserve">Notes: </w:t>
      </w:r>
      <w:r>
        <w:t>abstract_source=nature_html</w:t>
      </w:r>
    </w:p>
    <w:p>
      <w:pPr>
        <w:spacing w:before="0" w:after="80" w:lineRule="auto" w:line="276"/>
      </w:pPr>
      <w:r>
        <w:rPr>
          <w:b/>
        </w:rPr>
        <w:t xml:space="preserve">摘要（ZH）: </w:t>
      </w:r>
      <w:r>
        <w:t>几乎所有肿瘤都携带一个或多个癌症驱动突变，这些突变对于细胞转化是必需的。然而，癌症基因组学的最新进展表明，正常人类组织中含有数百万个携带已知驱动突变的细胞，同时保持稳态。这些突变细胞中的大多数永远不会转化为肿瘤。此外，对已知或疑似人类致癌物的研究表明，大多数不是诱变剂。这些观察结果表明，外源性致癌暴露可能通过改变选择性约束来增加癌症风险，促进携带特定致癌突变的预存克隆的扩展。在本综述中，我们提出了一个综合观点，将近一个世纪前基于致癌物诱导的开创性实验提出的观点结合起来。</w:t>
      </w:r>
    </w:p>
    <w:p>
      <w:pPr>
        <w:spacing w:before="0" w:after="200" w:lineRule="auto" w:line="276"/>
      </w:pPr>
      <w:r>
        <w:rPr>
          <w:b/>
        </w:rPr>
        <w:t xml:space="preserve">Abstract (EN): </w:t>
      </w:r>
      <w:r>
        <w:t>Almost all tumours carry one or more cancer driver mutations, which are essential for cell transformation. However, recent advances in cancer genomics have demonstrated that normal human tissues contain millions of cells carrying known driver mutations, while preserving homeostasis. Most of these mutated cells will never transform into tumours. Moreover, studies of known or suspected human carcinogens have shown that the majority are not mutagens. These observations suggest that exogenous carcinogenic exposures might increase cancer risk by modifying selective constraints, promoting the expansion of pre-existing clones carrying specific oncogenic mutations. In this Review, we propose a synthesis between ideas put forward almost a century ago based on seminal experiments on carcinogen-induced tumours in mice, observations made by cancer epidemiologists over several decades, and the recent revelation that normal human tissues are a patchwork of mutant clones. The repeated interplay between variation and selection—the first principles of Darwinian evolution—underlies the clonal selection leading to tumorigenesis. A deeper understanding of these processes can enhance prospects for cancer prevention by eliminating or mitigating the effects of environmental or endogenous tumour promoters.</w:t>
      </w:r>
    </w:p>
    <w:p>
      <w:pPr>
        <w:spacing w:before="120" w:after="120"/>
      </w:pPr>
      <w:r>
        <w:rPr>
          <w:sz w:val="18"/>
        </w:rPr>
        <w:t>——————————————————————————————————————————————————————————————————————</w:t>
      </w:r>
    </w:p>
    <w:p>
      <w:pPr>
        <w:spacing w:before="160" w:after="40" w:line="240" w:lineRule="auto"/>
      </w:pPr>
      <w:r>
        <w:rPr>
          <w:b/>
        </w:rPr>
        <w:t xml:space="preserve">[299] </w:t>
      </w:r>
      <w:hyperlink r:id="rId746">
        <w:r>
          <w:rPr>
            <w:color w:val="1155CC"/>
            <w:u w:val="single"/>
          </w:rPr>
          <w:t>个性化的靶向癌症治疗的非标签使用效果如何？</w:t>
        </w:r>
      </w:hyperlink>
    </w:p>
    <w:p>
      <w:pPr>
        <w:spacing w:before="0" w:after="80"/>
      </w:pPr>
      <w:r>
        <w:rPr>
          <w:i/>
          <w:sz w:val="20"/>
        </w:rPr>
        <w:t>EN: How effective is the personalized off-label use of targeted cancer treatment?</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47">
        <w:r>
          <w:rPr>
            <w:color w:val="1155CC"/>
            <w:u w:val="single"/>
          </w:rPr>
          <w:t>10.1038/d41586-026-00911-3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[300] </w:t>
      </w:r>
      <w:hyperlink r:id="rId748">
        <w:r>
          <w:rPr>
            <w:color w:val="1155CC"/>
            <w:u w:val="single"/>
          </w:rPr>
          <w:t>为什么更多的化石燃料不能解决伊朗的能源危机</w:t>
        </w:r>
      </w:hyperlink>
    </w:p>
    <w:p>
      <w:pPr>
        <w:spacing w:before="0" w:after="80"/>
      </w:pPr>
      <w:r>
        <w:rPr>
          <w:i/>
          <w:sz w:val="20"/>
        </w:rPr>
        <w:t>EN: Why more fossil fuels won’t fix the Iran energy crisis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49">
        <w:r>
          <w:rPr>
            <w:color w:val="1155CC"/>
            <w:u w:val="single"/>
          </w:rPr>
          <w:t>10.1038/d41586-026-01197-1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750">
        <w:r>
          <w:rPr>
            <w:color w:val="1155CC"/>
            <w:u w:val="single"/>
          </w:rPr>
          <w:t>像素化量子点超晶格LED</w:t>
        </w:r>
      </w:hyperlink>
    </w:p>
    <w:p>
      <w:pPr>
        <w:spacing w:before="0" w:after="80"/>
      </w:pPr>
      <w:r>
        <w:rPr>
          <w:i/>
          <w:sz w:val="20"/>
        </w:rPr>
        <w:t>EN: Pixelated quantum-dot superlattice LEDs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51">
        <w:r>
          <w:rPr>
            <w:color w:val="1155CC"/>
            <w:u w:val="single"/>
          </w:rPr>
          <w:t>10.1038/s41586-026-10392-z</w:t>
        </w:r>
      </w:hyperlink>
    </w:p>
    <w:p>
      <w:pPr>
        <w:spacing w:before="0" w:after="120"/>
      </w:pPr>
      <w:r>
        <w:rPr>
          <w:b/>
        </w:rPr>
        <w:t xml:space="preserve">Notes: </w:t>
      </w:r>
      <w:r>
        <w:t>abstract_source=nature_html</w:t>
      </w:r>
    </w:p>
    <w:p>
      <w:pPr>
        <w:spacing w:before="0" w:after="80" w:lineRule="auto" w:line="276"/>
      </w:pPr>
      <w:r>
        <w:rPr>
          <w:b/>
        </w:rPr>
        <w:t xml:space="preserve">摘要（ZH）: </w:t>
      </w:r>
      <w:r>
        <w:t>量子点 (QD) 超晶格提供了与无序固体不同的集体光电特性1,2,3,4，但由于在实现空间定义、结构一致的薄膜方面的困难，它们在高分辨率显示设备中的集成仍然难以实现。在此，我们报告了一种可扩展的策略，用于制造具有平面长程有序、垂直限制和精确空间图案化的像素化钙钛矿 QD (PeQD) 超晶格薄膜阵列。通过工程化菱形十二面体 CsPbBr3 纳米晶体，并通过配体-氟化物共稳定化方法实现稳健的表面终止，我们利用毛细液桥限制组装引导形成六方密堆超晶格薄膜。这些超晶格薄膜表现出降低的能量无序</w:t>
      </w:r>
    </w:p>
    <w:p>
      <w:pPr>
        <w:spacing w:before="0" w:after="200" w:lineRule="auto" w:line="276"/>
      </w:pPr>
      <w:r>
        <w:rPr>
          <w:b/>
        </w:rPr>
        <w:t xml:space="preserve">Abstract (EN): </w:t>
      </w:r>
      <w:r>
        <w:t>Quantum dot (QD) superlattices offer collective optoelectronic properties distinct from disordered solids1,2,3,4, but their integration into high-resolution display devices remains elusive because of difficulties in achieving spatially defined, structurally coherent thin films. Here we report a scalable strategy for fabricating pixelated perovskite QD (PeQD) superlattice thin-film arrays that feature in-plane long-range order, vertical confinement and precise spatial patterning. By engineering rhombic dodecahedral CsPbBr3 nanocrystals with robust surface termination by a ligand-fluoride co-stabilization approach, we direct the formation of hexagonally close-packed superlattice films using capillary liquid-bridge confined assembly. These superlattice films exhibit reduced energetic disorder and enhanced electronic coupling. When integrated into light-emitting diodes (LEDs), the electrically driven PeQD superlattices yield an external quantum efficiency of 30.9%, high luminance of 117,144 cd m−2 and pixel densities of up to 5,080 pixels per inch. The devices show an extrapolated operational half-lifetime (T50) of 12,411 h at 100 cd m−2—more than 1,000-fold longer than previously reported pixelated PeQD LEDs. Moreover, we demonstrate the direct integration of patterned superlattices onto a commercial thin-film transistor backplane to construct a 1.85-inch active-matrix display with full greyscale control and video playback ability. These results establish colloidal QD superlattices as a viable material platform for next-generation high-resolution, stable and efficient perovskite displays.</w:t>
      </w:r>
    </w:p>
    <w:p>
      <w:pPr>
        <w:spacing w:before="120" w:after="120"/>
      </w:pPr>
      <w:r>
        <w:rPr>
          <w:sz w:val="18"/>
        </w:rPr>
        <w:t>——————————————————————————————————————————————————————————————————————</w:t>
      </w:r>
    </w:p>
    <w:p>
      <w:pPr>
        <w:spacing w:before="160" w:after="40" w:line="240" w:lineRule="auto"/>
      </w:pPr>
      <w:r>
        <w:rPr>
          <w:b/>
        </w:rPr>
        <w:t xml:space="preserve">[302] </w:t>
      </w:r>
      <w:hyperlink r:id="rId752">
        <w:r>
          <w:rPr>
            <w:color w:val="1155CC"/>
            <w:u w:val="single"/>
          </w:rPr>
          <w:t>将激子转向暗态</w:t>
        </w:r>
      </w:hyperlink>
    </w:p>
    <w:p>
      <w:pPr>
        <w:spacing w:before="0" w:after="80"/>
      </w:pPr>
      <w:r>
        <w:rPr>
          <w:i/>
          <w:sz w:val="20"/>
        </w:rPr>
        <w:t>EN: Turning excitons to the dark side</w:t>
      </w:r>
    </w:p>
    <w:p>
      <w:pPr>
        <w:spacing w:before="0" w:after="120"/>
      </w:pPr>
      <w:r>
        <w:rPr>
          <w:b/>
        </w:rPr>
        <w:t xml:space="preserve">Source: </w:t>
      </w:r>
      <w:r>
        <w:t>Nature Materials</w:t>
      </w:r>
      <w:r>
        <w:t xml:space="preserve">    </w:t>
      </w:r>
      <w:r>
        <w:rPr>
          <w:b/>
        </w:rPr>
        <w:t xml:space="preserve">Pub date: </w:t>
      </w:r>
      <w:r>
        <w:t>2026-04-15 00:00:00+00:00</w:t>
      </w:r>
      <w:r>
        <w:t xml:space="preserve">    </w:t>
      </w:r>
      <w:r>
        <w:rPr>
          <w:b/>
        </w:rPr>
        <w:t xml:space="preserve">DOI: </w:t>
      </w:r>
      <w:hyperlink r:id="rId753">
        <w:r>
          <w:rPr>
            <w:color w:val="1155CC"/>
            <w:u w:val="single"/>
          </w:rPr>
          <w:t>10.1038/s41563-026-02577-8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[303] </w:t>
      </w:r>
      <w:hyperlink r:id="rId754">
        <w:r>
          <w:rPr>
            <w:color w:val="1155CC"/>
            <w:u w:val="single"/>
          </w:rPr>
          <w:t>识别早期火星海洋的地形特征</w:t>
        </w:r>
      </w:hyperlink>
    </w:p>
    <w:p>
      <w:pPr>
        <w:spacing w:before="0" w:after="80"/>
      </w:pPr>
      <w:r>
        <w:rPr>
          <w:i/>
          <w:sz w:val="20"/>
        </w:rPr>
        <w:t>EN: Identifying the topographic signature of early Martian oceans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55">
        <w:r>
          <w:rPr>
            <w:color w:val="1155CC"/>
            <w:u w:val="single"/>
          </w:rPr>
          <w:t>10.1038/s41586-026-10381-2</w:t>
        </w:r>
      </w:hyperlink>
    </w:p>
    <w:p>
      <w:pPr>
        <w:spacing w:before="0" w:after="120"/>
      </w:pPr>
      <w:r>
        <w:rPr>
          <w:b/>
        </w:rPr>
        <w:t xml:space="preserve">Notes: </w:t>
      </w:r>
      <w:r>
        <w:t>abstract_source=nature_html</w:t>
      </w:r>
    </w:p>
    <w:p>
      <w:pPr>
        <w:spacing w:before="0" w:after="80" w:lineRule="auto" w:line="276"/>
      </w:pPr>
      <w:r>
        <w:rPr>
          <w:b/>
        </w:rPr>
        <w:t xml:space="preserve">摘要（ZH）: </w:t>
      </w:r>
      <w:r>
        <w:t>全球范围的海岸线解释表明，火星曾经拥有一个覆盖其表面三分之一的早期海洋1,2,3,4,5,6,7,8,9。然而，这些海岸线的海拔偏离等势面数公里，挑战了这一解释3,7,10,11,12。在此，我们研究一个曾经拥有海洋的行星是否应该留下可辨别的海岸线。我们表明，在地球上，全球海洋最显著的地形特征不是海岸线，而是由低坡度和曲率值组成的带状区域，包括沿海平原和大陆架，海拔范围为−410 m 至 −15 m。当将类似的分析应用于火星表面时，我们观察到一个大约在−1,800 m 至 −3,800 m 之间的平坦区域</w:t>
      </w:r>
    </w:p>
    <w:p>
      <w:pPr>
        <w:spacing w:before="0" w:after="200" w:lineRule="auto" w:line="276"/>
      </w:pPr>
      <w:r>
        <w:rPr>
          <w:b/>
        </w:rPr>
        <w:t xml:space="preserve">Abstract (EN): </w:t>
      </w:r>
      <w:r>
        <w:t>Planet-wide interpretations of shorelines suggest that Mars once hosted an early ocean covering one-third of its surface1,2,3,4,5,6,7,8,9. However, the elevations of these shorelines deviate from an equipotential surface by several kilometres, challenging that interpretation3,7,10,11,12. Here we investigate whether a planet that once hosted an ocean should be expected to leave discernible shorelines. We show that on Earth, the most prominent topographic signature of a global ocean is not a shoreline. Rather, it is a band of low slope and curvature values that comprises coastal plains and the continental shelf, with an elevation range of −410 m to −15 m. When applying a similar analysis to the Martian surface, we observe a comparably flat zone between approximately –1,800 m and –3,800 m elevation, potentially marking a partially preserved Martian coastal shelf. Although other processes, such as lava flows13, might explain flat regions locally, a coastal shelf best explains the circumglobal band of flat topography, in addition to river delta deposits4,14,15,16,17, coastal deposits18, thick sequences of layered rock19,20 and aqueously altered minerals20,21, all observed within the putative coastal shelf zone. Our results support the presence of an ancient ocean on Mars and indicate that topographic shelves rather than shorelines may be better indicators of long-lived oceans.</w:t>
      </w:r>
    </w:p>
    <w:p>
      <w:pPr>
        <w:spacing w:before="120" w:after="120"/>
      </w:pPr>
      <w:r>
        <w:rPr>
          <w:sz w:val="18"/>
        </w:rPr>
        <w:t>——————————————————————————————————————————————————————————————————————</w:t>
      </w:r>
    </w:p>
    <w:p>
      <w:pPr>
        <w:spacing w:before="160" w:after="40" w:line="240" w:lineRule="auto"/>
      </w:pPr>
      <w:r>
        <w:rPr>
          <w:b/>
        </w:rPr>
        <w:t xml:space="preserve">[304] </w:t>
      </w:r>
      <w:hyperlink r:id="rId756">
        <w:r>
          <w:rPr>
            <w:color w:val="1155CC"/>
            <w:u w:val="single"/>
          </w:rPr>
          <w:t>基于直接光刻聚合物半导体的本征可拉伸互补电路</w:t>
        </w:r>
      </w:hyperlink>
    </w:p>
    <w:p>
      <w:pPr>
        <w:spacing w:before="0" w:after="80"/>
      </w:pPr>
      <w:r>
        <w:rPr>
          <w:i/>
          <w:sz w:val="20"/>
        </w:rPr>
        <w:t>EN: Intrinsically stretchable complementary circuits based on direct photo-patternable polymer semiconductors</w:t>
      </w:r>
    </w:p>
    <w:p>
      <w:pPr>
        <w:spacing w:before="0" w:after="120"/>
      </w:pPr>
      <w:r>
        <w:rPr>
          <w:b/>
        </w:rPr>
        <w:t xml:space="preserve">Source: </w:t>
      </w:r>
      <w:r>
        <w:t>Nature Electronics</w:t>
      </w:r>
      <w:r>
        <w:t xml:space="preserve">    </w:t>
      </w:r>
      <w:r>
        <w:rPr>
          <w:b/>
        </w:rPr>
        <w:t xml:space="preserve">Pub date: </w:t>
      </w:r>
      <w:r>
        <w:t>2026-04-15 00:00:00+00:00</w:t>
      </w:r>
      <w:r>
        <w:t xml:space="preserve">    </w:t>
      </w:r>
      <w:r>
        <w:rPr>
          <w:b/>
        </w:rPr>
        <w:t xml:space="preserve">DOI: </w:t>
      </w:r>
      <w:hyperlink r:id="rId757">
        <w:r>
          <w:rPr>
            <w:color w:val="1155CC"/>
            <w:u w:val="single"/>
          </w:rPr>
          <w:t>10.1038/s41928-026-01599-z</w:t>
        </w:r>
      </w:hyperlink>
    </w:p>
    <w:p>
      <w:pPr>
        <w:spacing w:before="0" w:after="120"/>
      </w:pPr>
      <w:r>
        <w:rPr>
          <w:b/>
        </w:rPr>
        <w:t xml:space="preserve">Notes: </w:t>
      </w:r>
      <w:r>
        <w:t>abstract_source=nature_html</w:t>
      </w:r>
    </w:p>
    <w:p>
      <w:pPr>
        <w:spacing w:before="0" w:after="80" w:lineRule="auto" w:line="276"/>
      </w:pPr>
      <w:r>
        <w:rPr>
          <w:b/>
        </w:rPr>
        <w:t xml:space="preserve">摘要（ZH）: </w:t>
      </w:r>
      <w:r>
        <w:t>本质上可拉伸的电子产品在从可穿戴健康监测器到软体机器人等应用中显示出潜力。然而，尽管在材料设计、加工技术和生物集成方面取得了最近的进展，使用可扩展方法制造互补电路仍然具有挑战性。在此，我们报告了本质上可拉伸的有机互补电路，这些电路是通过溶液加工并基于直接光刻图案化聚合物半导体。通过将高性能 n 型聚合物半导体共价嵌入弹性体基质中，我们制造了在 100% 应变下电子迁移率为 0.28 cm2 V−1 s−1 的完全可拉伸晶体管。此外，通过对 p 型聚合物半导体层进行共价功能化策略，我们展示了</w:t>
      </w:r>
    </w:p>
    <w:p>
      <w:pPr>
        <w:spacing w:before="0" w:after="200" w:lineRule="auto" w:line="276"/>
      </w:pPr>
      <w:r>
        <w:rPr>
          <w:b/>
        </w:rPr>
        <w:t xml:space="preserve">Abstract (EN): </w:t>
      </w:r>
      <w:r>
        <w:t>Intrinsically stretchable electronics have shown potential in applications ranging from wearable health monitors to soft robotics. However, despite recent developments in material design, processing techniques and bio-integration, the fabrication of complementary circuits using scalable methods remains challenging. Here we report intrinsically stretchable organic complementary circuits that are solution processed and based on direct photo-patternable polymer semiconductors. By covalently embedding a high-performance n-type polymer semiconductor inside an elastomer matrix, we fabricate fully stretchable transistors with electron mobilities of 0.28 cm2 V−1 s−1 under 100% strain. Furthermore, with a covalent functionalization strategy on the p-type polymer semiconductor layer, we demonstrate successive, direct photo-patterning of n-type polymer semiconductors without electrical degradation on the existing p-type. We use this approach to fabricate intrinsically stretchable logic gates and ring oscillators with stable performance up to 100% strain at a low operating voltage of 2 V.</w:t>
      </w:r>
    </w:p>
    <w:p>
      <w:pPr>
        <w:spacing w:before="120" w:after="120"/>
      </w:pPr>
      <w:r>
        <w:rPr>
          <w:sz w:val="18"/>
        </w:rPr>
        <w:t>——————————————————————————————————————————————————————————————————————</w:t>
      </w:r>
    </w:p>
    <w:p>
      <w:pPr>
        <w:spacing w:before="160" w:after="40" w:line="240" w:lineRule="auto"/>
      </w:pPr>
      <w:r>
        <w:rPr>
          <w:b/>
        </w:rPr>
        <w:t xml:space="preserve">[305] </w:t>
      </w:r>
      <w:hyperlink r:id="rId758">
        <w:r>
          <w:rPr>
            <w:color w:val="1155CC"/>
            <w:u w:val="single"/>
          </w:rPr>
          <w:t>用于快速和选择性检测亚皮摩尔浓度PFAS的二维氟化纳米材料</w:t>
        </w:r>
      </w:hyperlink>
    </w:p>
    <w:p>
      <w:pPr>
        <w:spacing w:before="0" w:after="80"/>
      </w:pPr>
      <w:r>
        <w:rPr>
          <w:i/>
          <w:sz w:val="20"/>
        </w:rPr>
        <w:t>EN: Two-dimensional fluorinated nanomaterials for fast and selective detection of PFAS at subpicomolar concentrations</w:t>
      </w:r>
    </w:p>
    <w:p>
      <w:pPr>
        <w:spacing w:before="0" w:after="120"/>
      </w:pPr>
      <w:r>
        <w:rPr>
          <w:b/>
        </w:rPr>
        <w:t xml:space="preserve">Source: </w:t>
      </w:r>
      <w:r>
        <w:t>Matter</w:t>
      </w:r>
      <w:r>
        <w:t xml:space="preserve">    </w:t>
      </w:r>
      <w:r>
        <w:rPr>
          <w:b/>
        </w:rPr>
        <w:t xml:space="preserve">Pub date: </w:t>
      </w:r>
      <w:r>
        <w:t>2026-04-15 00:00:00+00:00</w:t>
      </w:r>
      <w:r>
        <w:t xml:space="preserve">    </w:t>
      </w:r>
      <w:r>
        <w:rPr>
          <w:b/>
        </w:rPr>
        <w:t xml:space="preserve">DOI: </w:t>
      </w:r>
      <w:hyperlink r:id="rId759">
        <w:r>
          <w:rPr>
            <w:color w:val="1155CC"/>
            <w:u w:val="single"/>
          </w:rPr>
          <w:t>10.1016/j.matt.2026.102771</w:t>
        </w:r>
      </w:hyperlink>
    </w:p>
    <w:p>
      <w:pPr>
        <w:spacing w:before="0" w:after="120"/>
      </w:pPr>
      <w:r>
        <w:rPr>
          <w:b/>
        </w:rPr>
        <w:t xml:space="preserve">Notes: </w:t>
      </w:r>
      <w:r>
        <w:t>abstract_source=rss_cell</w:t>
      </w:r>
    </w:p>
    <w:p>
      <w:pPr>
        <w:spacing w:before="0" w:after="80" w:lineRule="auto" w:line="276"/>
      </w:pPr>
      <w:r>
        <w:rPr>
          <w:b/>
        </w:rPr>
        <w:t xml:space="preserve">摘要（ZH）: </w:t>
      </w:r>
      <w:r>
        <w:t>全氟和多氟烷基物质（PFAS）是持久的环境污染物，需要在水中进行敏感监测。我们报告了一种简单的克级合成二维氟化纳米材料的方法，这些材料结合了强荧光和富氟多孔表面。这些材料与PFAS强烈相互作用，导致快速荧光猝灭，并能够在亚皮摩尔浓度下检测到它们。这项工作引入了一种可扩展的策略，用于设计功能性二维材料，并展示了其在高灵敏度环境传感中的潜力。</w:t>
      </w:r>
    </w:p>
    <w:p>
      <w:pPr>
        <w:spacing w:before="0" w:after="200" w:lineRule="auto" w:line="276"/>
      </w:pPr>
      <w:r>
        <w:rPr>
          <w:b/>
        </w:rPr>
        <w:t xml:space="preserve">Abstract (EN): </w:t>
      </w:r>
      <w:r>
        <w:t>Per- and polyfluoroalkyl substances (PFAS) are persistent environmental pollutants that require sensitive monitoring in water. We report a simple, gram-scale synthesis of two-dimensional fluorinated nanomaterials that combine strong fluorescence with a fluorine-rich porous surface. These materials interact strongly with PFAS, causing rapid fluorescence quenching and enabling their detection at subpicomolar concentrations. This work introduces a scalable strategy for designing functional 2D materials and demonstrates their potential for highly sensitive environmental sensing.</w:t>
      </w:r>
    </w:p>
    <w:p>
      <w:pPr>
        <w:spacing w:before="120" w:after="120"/>
      </w:pPr>
      <w:r>
        <w:rPr>
          <w:sz w:val="18"/>
        </w:rPr>
        <w:t>——————————————————————————————————————————————————————————————————————</w:t>
      </w:r>
    </w:p>
    <w:p>
      <w:pPr>
        <w:spacing w:before="160" w:after="40" w:line="240" w:lineRule="auto"/>
      </w:pPr>
      <w:r>
        <w:rPr>
          <w:b/>
        </w:rPr>
        <w:t xml:space="preserve">[306] </w:t>
      </w:r>
      <w:hyperlink r:id="rId760">
        <w:r>
          <w:rPr>
            <w:color w:val="1155CC"/>
            <w:u w:val="single"/>
          </w:rPr>
          <w:t>基于多智能体强化学习的边缘-云环境中能效实时工作流调度</w:t>
        </w:r>
      </w:hyperlink>
    </w:p>
    <w:p>
      <w:pPr>
        <w:spacing w:before="0" w:after="80"/>
      </w:pPr>
      <w:r>
        <w:rPr>
          <w:i/>
          <w:sz w:val="20"/>
        </w:rPr>
        <w:t>EN: Energy-efficient real-time workflow scheduling in edge–cloud environments based on multi-agent reinforcement learning</w:t>
      </w:r>
    </w:p>
    <w:p>
      <w:pPr>
        <w:spacing w:before="0" w:after="120"/>
      </w:pPr>
      <w:r>
        <w:rPr>
          <w:b/>
        </w:rPr>
        <w:t xml:space="preserve">Source: </w:t>
      </w:r>
      <w:r>
        <w:t>ScienceDirect Publication: Applied Energy</w:t>
      </w:r>
      <w:r>
        <w:t xml:space="preserve">    </w:t>
      </w:r>
      <w:r>
        <w:rPr>
          <w:b/>
        </w:rPr>
        <w:t xml:space="preserve">Pub date: </w:t>
      </w:r>
      <w:r>
        <w:t>2026-04-15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761">
        <w:r>
          <w:rPr>
            <w:color w:val="1155CC"/>
            <w:u w:val="single"/>
          </w:rPr>
          <w:t>大型癌症研究揭示‘非标签’治疗的有效性</w:t>
        </w:r>
      </w:hyperlink>
    </w:p>
    <w:p>
      <w:pPr>
        <w:spacing w:before="0" w:after="80"/>
      </w:pPr>
      <w:r>
        <w:rPr>
          <w:i/>
          <w:sz w:val="20"/>
        </w:rPr>
        <w:t>EN: Giant cancer study reveals effectiveness of ‘off label’ treatments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62">
        <w:r>
          <w:rPr>
            <w:color w:val="1155CC"/>
            <w:u w:val="single"/>
          </w:rPr>
          <w:t>10.1038/d41586-026-01241-0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[308] </w:t>
      </w:r>
      <w:hyperlink r:id="rId763">
        <w:r>
          <w:rPr>
            <w:color w:val="1155CC"/>
            <w:u w:val="single"/>
          </w:rPr>
          <w:t>非共线反极性氧化物中的混合反铁电-铁电畴壁</w:t>
        </w:r>
      </w:hyperlink>
    </w:p>
    <w:p>
      <w:pPr>
        <w:spacing w:before="0" w:after="80"/>
      </w:pPr>
      <w:r>
        <w:rPr>
          <w:i/>
          <w:sz w:val="20"/>
        </w:rPr>
        <w:t>EN: Hybrid antiferroelectric–ferroelectric domain walls in noncollinear antipolar oxides</w:t>
      </w:r>
    </w:p>
    <w:p>
      <w:pPr>
        <w:spacing w:before="0" w:after="120"/>
      </w:pPr>
      <w:r>
        <w:rPr>
          <w:b/>
        </w:rPr>
        <w:t xml:space="preserve">Source: </w:t>
      </w:r>
      <w:r>
        <w:t>Nature Nanotechnology</w:t>
      </w:r>
      <w:r>
        <w:t xml:space="preserve">    </w:t>
      </w:r>
      <w:r>
        <w:rPr>
          <w:b/>
        </w:rPr>
        <w:t xml:space="preserve">Pub date: </w:t>
      </w:r>
      <w:r>
        <w:t>2026-04-15 00:00:00+00:00</w:t>
      </w:r>
      <w:r>
        <w:t xml:space="preserve">    </w:t>
      </w:r>
      <w:r>
        <w:rPr>
          <w:b/>
        </w:rPr>
        <w:t xml:space="preserve">DOI: </w:t>
      </w:r>
      <w:hyperlink r:id="rId764">
        <w:r>
          <w:rPr>
            <w:color w:val="1155CC"/>
            <w:u w:val="single"/>
          </w:rPr>
          <w:t>10.1038/s41565-026-02139-8</w:t>
        </w:r>
      </w:hyperlink>
    </w:p>
    <w:p>
      <w:pPr>
        <w:spacing w:before="0" w:after="120"/>
      </w:pPr>
      <w:r>
        <w:rPr>
          <w:b/>
        </w:rPr>
        <w:t xml:space="preserve">Notes: </w:t>
      </w:r>
      <w:r>
        <w:t>abstract_source=nature_html</w:t>
      </w:r>
    </w:p>
    <w:p>
      <w:pPr>
        <w:spacing w:before="0" w:after="80" w:lineRule="auto" w:line="276"/>
      </w:pPr>
      <w:r>
        <w:rPr>
          <w:b/>
        </w:rPr>
        <w:t xml:space="preserve">摘要（ZH）: </w:t>
      </w:r>
      <w:r>
        <w:t>反铁电体作为先进的功能材料正在兴起，其独特的电性能由其电偶极子的反极性排列所实现。在具有非共线反极性偶极结构的系统中，预计会出现额外的功能性和新颖的物理纳米现象。在此，我们展示了K3[Nb3O6∣(BO3)2]中反铁电性的出现如何驱动电偶极矩的非共线排序，从而导致反铁电和铁电响应的异常杂化。除了反铁电体常见的双滞回环外，使用扫描探针显微镜观察到明显的压电响应和电可切换的杂化域。扫描透射电子显微镜显示这些域由原子级锐利的</w:t>
      </w:r>
    </w:p>
    <w:p>
      <w:pPr>
        <w:spacing w:before="0" w:after="200" w:lineRule="auto" w:line="276"/>
      </w:pPr>
      <w:r>
        <w:rPr>
          <w:b/>
        </w:rPr>
        <w:t xml:space="preserve">Abstract (EN): </w:t>
      </w:r>
      <w:r>
        <w:t>Antiferroelectrics are emerging as advanced functional materials with unique electric properties enabled by the antipolar arrangement of their electric dipoles. Additional functionalities and novel physical nanoscale phenomena are expected in systems with noncollinear antipolar dipole structures. Here we demonstrate how the onset of antiferroelectricity in K3[Nb3O6∣(BO3)2] drives noncollinear ordering of electric dipole moments, which leads to unusual hybridization of antiferroelectric and ferroelectric responses. Besides the double-hysteresis loop common to antiferroelectrics, a pronounced piezoresponse and electrically switchable hybrid domains are observed using scanning probe microscopy. Scanning transmission electron microscopy shows that the domains are separated by atomically sharp and micrometre-long charged domain walls with inseparably entangled discontinuities in the antiferroelectric and ferroelectric orders. Hybrid antiferroelectric–ferroelectric responses are expected in a wide range of noncollinear systems.</w:t>
      </w:r>
    </w:p>
    <w:p>
      <w:pPr>
        <w:spacing w:before="120" w:after="120"/>
      </w:pPr>
      <w:r>
        <w:rPr>
          <w:sz w:val="18"/>
        </w:rPr>
        <w:t>——————————————————————————————————————————————————————————————————————</w:t>
      </w:r>
    </w:p>
    <w:p>
      <w:pPr>
        <w:spacing w:before="160" w:after="40" w:line="240" w:lineRule="auto"/>
      </w:pPr>
      <w:r>
        <w:rPr>
          <w:b/>
        </w:rPr>
        <w:t xml:space="preserve">[309] </w:t>
      </w:r>
      <w:hyperlink r:id="rId765">
        <w:r>
          <w:rPr>
            <w:color w:val="1155CC"/>
            <w:u w:val="single"/>
          </w:rPr>
          <w:t>用于具有多阶复杂性的尖峰神经元的印刷MoS2忆阻纳米片网络</w:t>
        </w:r>
      </w:hyperlink>
    </w:p>
    <w:p>
      <w:pPr>
        <w:spacing w:before="0" w:after="80"/>
      </w:pPr>
      <w:r>
        <w:rPr>
          <w:i/>
          <w:sz w:val="20"/>
        </w:rPr>
        <w:t>EN: Printed MoS2 memristive nanosheet networks for spiking neurons with multi-order complexity</w:t>
      </w:r>
    </w:p>
    <w:p>
      <w:pPr>
        <w:spacing w:before="0" w:after="120"/>
      </w:pPr>
      <w:r>
        <w:rPr>
          <w:b/>
        </w:rPr>
        <w:t xml:space="preserve">Source: </w:t>
      </w:r>
      <w:r>
        <w:t>Nature Nanotechnology</w:t>
      </w:r>
      <w:r>
        <w:t xml:space="preserve">    </w:t>
      </w:r>
      <w:r>
        <w:rPr>
          <w:b/>
        </w:rPr>
        <w:t xml:space="preserve">Pub date: </w:t>
      </w:r>
      <w:r>
        <w:t>2026-04-15 00:00:00+00:00</w:t>
      </w:r>
      <w:r>
        <w:t xml:space="preserve">    </w:t>
      </w:r>
      <w:r>
        <w:rPr>
          <w:b/>
        </w:rPr>
        <w:t xml:space="preserve">DOI: </w:t>
      </w:r>
      <w:hyperlink r:id="rId766">
        <w:r>
          <w:rPr>
            <w:color w:val="1155CC"/>
            <w:u w:val="single"/>
          </w:rPr>
          <w:t>10.1038/s41565-026-02149-6</w:t>
        </w:r>
      </w:hyperlink>
    </w:p>
    <w:p>
      <w:pPr>
        <w:spacing w:before="0" w:after="120"/>
      </w:pPr>
      <w:r>
        <w:rPr>
          <w:b/>
        </w:rPr>
        <w:t xml:space="preserve">Notes: </w:t>
      </w:r>
      <w:r>
        <w:t>abstract_source=nature_html</w:t>
      </w:r>
    </w:p>
    <w:p>
      <w:pPr>
        <w:spacing w:before="0" w:after="80" w:lineRule="auto" w:line="276"/>
      </w:pPr>
      <w:r>
        <w:rPr>
          <w:b/>
        </w:rPr>
        <w:t xml:space="preserve">摘要（ZH）: </w:t>
      </w:r>
      <w:r>
        <w:t>能够再现生物尖峰丰富动态行为的人工神经元对于神经形态硬件和生物混合界面至关重要，但具有生理相关尖峰特性的可扩展溶液处理设备仍然难以实现。在此，我们展示了通过气溶胶喷射打印的MoS2纳米片忆阻网络，这些网络表现出热激活的丝状开关和回弹负微分电阻，使得在柔性基板上的全打印石墨烯/MoS2/石墨烯设备中实现挥发性阈值开关。原位热成像和电路建模揭示了通过焦耳热形成的电流收缩丝状体控制非线性开关动态。这些打印的忆阻器使得具有可调频率的振荡和尖峰神经元电路成为可能。</w:t>
      </w:r>
    </w:p>
    <w:p>
      <w:pPr>
        <w:spacing w:before="0" w:after="200" w:lineRule="auto" w:line="276"/>
      </w:pPr>
      <w:r>
        <w:rPr>
          <w:b/>
        </w:rPr>
        <w:t xml:space="preserve">Abstract (EN): </w:t>
      </w:r>
      <w:r>
        <w:t>Artificial neurons that reproduce the rich dynamical behaviour of biological spiking are essential for neuromorphic hardware and biohybrid interfaces, yet scalable solution-processed devices with physiologically relevant spiking characteristics remain elusive. Here we demonstrate aerosol-jet-printed memristive networks of MoS2 nanosheets that exhibit thermally activated filamentary switching and snap-back negative differential resistance, enabling volatile threshold switching in fully printed graphene/MoS2/graphene devices on flexible substrates. In situ thermal imaging and circuit modelling reveal that current-constricted filaments formed through Joule heating govern the nonlinear switching dynamics. These printed memristors enable oscillatory and spiking neuron circuits with tunable frequencies up to 20 kHz and stable operation over more than 106 cycles. Simple neuristor circuits realize first-, second- and third-order spiking complexity, including integrate-and-fire behaviour, spike latency, tonic firing, class 1 excitability, tonic bursting and phasic dynamics. The generated spike waveforms match physiological timescales and stimulate Purkinje neurons in mouse cerebellar slices. Our results establish printed nanosheet memristive networks as a scalable platform for bio-realistic neuromorphic hardware and flexible brain–machine interfaces.</w:t>
      </w:r>
    </w:p>
    <w:p>
      <w:pPr>
        <w:spacing w:before="120" w:after="120"/>
      </w:pPr>
      <w:r>
        <w:rPr>
          <w:sz w:val="18"/>
        </w:rPr>
        <w:t>——————————————————————————————————————————————————————————————————————</w:t>
      </w:r>
    </w:p>
    <w:p>
      <w:pPr>
        <w:spacing w:before="160" w:after="40" w:line="240" w:lineRule="auto"/>
      </w:pPr>
      <w:r>
        <w:rPr>
          <w:b/>
        </w:rPr>
        <w:t xml:space="preserve">[310] </w:t>
      </w:r>
      <w:hyperlink r:id="rId767">
        <w:r>
          <w:rPr>
            <w:color w:val="1155CC"/>
            <w:u w:val="single"/>
          </w:rPr>
          <w:t>钽氧化物非线性光子学的单片3D集成</w:t>
        </w:r>
      </w:hyperlink>
    </w:p>
    <w:p>
      <w:pPr>
        <w:spacing w:before="0" w:after="80"/>
      </w:pPr>
      <w:r>
        <w:rPr>
          <w:i/>
          <w:sz w:val="20"/>
        </w:rPr>
        <w:t>EN: Monolithic 3D integration of tantalum pentoxide nonlinear photonics</w:t>
      </w:r>
    </w:p>
    <w:p>
      <w:pPr>
        <w:spacing w:before="0" w:after="120"/>
      </w:pPr>
      <w:r>
        <w:rPr>
          <w:b/>
        </w:rPr>
        <w:t xml:space="preserve">Source: </w:t>
      </w:r>
      <w:r>
        <w:t>Nature</w:t>
      </w:r>
      <w:r>
        <w:t xml:space="preserve">    </w:t>
      </w:r>
      <w:r>
        <w:rPr>
          <w:b/>
        </w:rPr>
        <w:t xml:space="preserve">Pub date: </w:t>
      </w:r>
      <w:r>
        <w:t>2026-04-15 00:00:00+00:00</w:t>
      </w:r>
      <w:r>
        <w:t xml:space="preserve">    </w:t>
      </w:r>
      <w:r>
        <w:rPr>
          <w:b/>
        </w:rPr>
        <w:t xml:space="preserve">DOI: </w:t>
      </w:r>
      <w:hyperlink r:id="rId768">
        <w:r>
          <w:rPr>
            <w:color w:val="1155CC"/>
            <w:u w:val="single"/>
          </w:rPr>
          <w:t>10.1038/s41586-026-10379-w</w:t>
        </w:r>
      </w:hyperlink>
    </w:p>
    <w:p>
      <w:pPr>
        <w:spacing w:before="0" w:after="120"/>
      </w:pPr>
      <w:r>
        <w:rPr>
          <w:b/>
        </w:rPr>
        <w:t xml:space="preserve">Notes: </w:t>
      </w:r>
      <w:r>
        <w:t>abstract_source=nature_html</w:t>
      </w:r>
    </w:p>
    <w:p>
      <w:pPr>
        <w:spacing w:before="0" w:after="80" w:lineRule="auto" w:line="276"/>
      </w:pPr>
      <w:r>
        <w:rPr>
          <w:b/>
        </w:rPr>
        <w:t xml:space="preserve">摘要（ZH）: </w:t>
      </w:r>
      <w:r>
        <w:t>光子学领域涵盖了广泛的材料平台，每个平台都针对特定功能进行了优化，但没有一个平台能够满足所有当前和不断发展的光子应用的需求。尽管结合集成光子材料可以增强整体能力，例如统一非线性光学、低损耗无源器件和电光学，但材料和工艺兼容性仍然是一个主要挑战。在此，我们介绍了钽氧化物（Ta2O5，以下简称tantala1）光子学的全晶圆、单片3D集成，直接在图案化基板上进行，这里以薄膜铌酸锂2为例。Tantala的独特性质，尤其是室温沉积、中等温度退火和厚膜中优化的相位匹配低残余应力，使得</w:t>
      </w:r>
    </w:p>
    <w:p>
      <w:pPr>
        <w:spacing w:before="0" w:after="200" w:lineRule="auto" w:line="276"/>
      </w:pPr>
      <w:r>
        <w:rPr>
          <w:b/>
        </w:rPr>
        <w:t xml:space="preserve">Abstract (EN): </w:t>
      </w:r>
      <w:r>
        <w:t>The photonics landscape encompasses a wide scope of material platforms, each optimized for specific functionalities, yet no platform meets the demands of all current and evolving photonic applications. Although combining integrated-photonics materials enhances overall capability, such as unifying nonlinear optics, low-loss passive devices and electro-optics, material and process compatibility remains a major challenge. Here we introduce full-wafer, monolithic 3D integration of tantalum pentoxide (Ta2O5, hereafter tantala1) photonics directly onto a patterned substrate, demonstrated here with thin-film lithium niobate2. Tantala’s unique properties, importantly room-temperature deposition, moderate-temperature annealing and low residual stress in thick films optimized for phase matching, make it well suited for monolithic 3D integration without compromising substrate performance or compatibility. We demonstrate low-loss, high-quality-factor microresonators and nanophotonics in tantala, robust quasi-phase-matching in poled lithium niobate waveguides3, and efficient 3D interlayer routing. These capabilities enable us to demonstrate a rich palette of nonlinear frequency conversion processes, including χ(3) four-wave mixing for supercontinuum generation, optical parametric oscillation and dark-pulse microcomb generation in tantala microresonators and photonic crystal resonators, χ(2) second-harmonic generation in periodically poled lithium niobate, and combinations thereof.</w:t>
      </w:r>
    </w:p>
    <w:p>
      <w:pPr>
        <w:spacing w:before="120" w:after="120"/>
      </w:pPr>
      <w:r>
        <w:rPr>
          <w:sz w:val="18"/>
        </w:rPr>
        <w:t>——————————————————————————————————————————————————————————————————————</w:t>
      </w:r>
    </w:p>
    <w:p>
      <w:pPr>
        <w:spacing w:before="160" w:after="40" w:line="240" w:lineRule="auto"/>
      </w:pPr>
      <w:r>
        <w:rPr>
          <w:b/>
        </w:rPr>
        <w:t xml:space="preserve">[311] </w:t>
      </w:r>
      <w:hyperlink r:id="rId769">
        <w:r>
          <w:rPr>
            <w:color w:val="1155CC"/>
            <w:u w:val="single"/>
          </w:rPr>
          <w:t>难民的电网接入和电力供应</w:t>
        </w:r>
      </w:hyperlink>
    </w:p>
    <w:p>
      <w:pPr>
        <w:spacing w:before="0" w:after="80"/>
      </w:pPr>
      <w:r>
        <w:rPr>
          <w:i/>
          <w:sz w:val="20"/>
        </w:rPr>
        <w:t>EN: Grid access and electricity for refugees</w:t>
      </w:r>
    </w:p>
    <w:p>
      <w:pPr>
        <w:spacing w:before="0" w:after="120"/>
      </w:pPr>
      <w:r>
        <w:rPr>
          <w:b/>
        </w:rPr>
        <w:t xml:space="preserve">Source: </w:t>
      </w:r>
      <w:r>
        <w:t>Nature Energy</w:t>
      </w:r>
      <w:r>
        <w:t xml:space="preserve">    </w:t>
      </w:r>
      <w:r>
        <w:rPr>
          <w:b/>
        </w:rPr>
        <w:t xml:space="preserve">Pub date: </w:t>
      </w:r>
      <w:r>
        <w:t>2026-04-15 00:00:00+00:00</w:t>
      </w:r>
      <w:r>
        <w:t xml:space="preserve">    </w:t>
      </w:r>
      <w:r>
        <w:rPr>
          <w:b/>
        </w:rPr>
        <w:t xml:space="preserve">DOI: </w:t>
      </w:r>
      <w:hyperlink r:id="rId770">
        <w:r>
          <w:rPr>
            <w:color w:val="1155CC"/>
            <w:u w:val="single"/>
          </w:rPr>
          <w:t>10.1038/s41560-026-02033-6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[312] </w:t>
      </w:r>
      <w:hyperlink r:id="rId771">
        <w:r>
          <w:rPr>
            <w:color w:val="1155CC"/>
            <w:u w:val="single"/>
          </w:rPr>
          <w:t>细胞分辨的超稳定生物传感器实现未处理全血中基因融合转录本的一步检测</w:t>
        </w:r>
      </w:hyperlink>
    </w:p>
    <w:p>
      <w:pPr>
        <w:spacing w:before="0" w:after="80"/>
      </w:pPr>
      <w:r>
        <w:rPr>
          <w:i/>
          <w:sz w:val="20"/>
        </w:rPr>
        <w:t>EN: A Cell‐Resolved Ultrastable Biosensor Enables One‐Step Detection of Gene‐Fusion Transcripts in Unprocessed Whole Blood</w:t>
      </w:r>
    </w:p>
    <w:p>
      <w:pPr>
        <w:spacing w:before="0" w:after="120"/>
      </w:pPr>
      <w:r>
        <w:rPr>
          <w:b/>
        </w:rPr>
        <w:t xml:space="preserve">Source: </w:t>
      </w:r>
      <w:r>
        <w:t>Wiley: Angewandte Chemie International Edition: Table of Contents</w:t>
      </w:r>
      <w:r>
        <w:t xml:space="preserve">    </w:t>
      </w:r>
      <w:r>
        <w:rPr>
          <w:b/>
        </w:rPr>
        <w:t xml:space="preserve">Pub date: </w:t>
      </w:r>
      <w:r>
        <w:t>2026-04-15 05:05:10+00:00</w:t>
      </w:r>
      <w:r>
        <w:t xml:space="preserve">    </w:t>
      </w:r>
      <w:r>
        <w:rPr>
          <w:b/>
        </w:rPr>
        <w:t xml:space="preserve">DOI: </w:t>
      </w:r>
      <w:hyperlink r:id="rId772">
        <w:r>
          <w:rPr>
            <w:color w:val="1155CC"/>
            <w:u w:val="single"/>
          </w:rPr>
          <w:t>10.1002/anie.1339483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血液中特异性检测异常mRNA对于诊断和治疗血液恶性肿瘤至关重要。然而，由于化学稳定性和细胞靶向能力的限制，当前的传感器无法在未经处理的全血中发挥作用。在此，我们通过球形核酸（SNA）技术设计了一种用于血液学的细胞分辨超稳定传感器（CRUSH），能够在未经处理的全血中检测白血病融合转录本。CRUSH采用化学计量控制的硫醇保护剂来实现AuNPs上的无缺陷硫醇单层。这一设计特性赋予CRUSH创纪录的稳定性，能够承受0.1 M二硫苏糖醇，比传统SNA提高了10,000倍。我们还证明了p</w:t>
      </w:r>
    </w:p>
    <w:p>
      <w:pPr>
        <w:spacing w:before="0" w:after="200" w:lineRule="auto" w:line="276"/>
      </w:pPr>
      <w:r>
        <w:rPr>
          <w:b/>
        </w:rPr>
        <w:t xml:space="preserve">Abstract (EN): </w:t>
      </w:r>
      <w:r>
        <w:t>Cell‐specific detection of aberrant mRNA in blood is essential for diagnosing and treating hematological malignancies. However, current sensors are unable to function in unprocessed whole blood due to limitations in chemical stability and cell‐targeting capability. Here, we engineer a cell‐resolved ultrastable sensor for hematology (CRUSH) via spherical‐nucleic‐acid (SNA) technology, which enables live‐cell detection of leukemia fusion transcripts in unprocessed whole blood. CRUSH employs stoichiometrically controlled thiol protector to achieve a defect‐free thiol monolayer on AuNPs. This design feature endows CRUSH with a record‐breaking stability, withstanding 0.1 M dithiothreitol, a 10,000‐fold improvement over conventional SNAs. We also demonstrate that the phagocytic bias of myeloid cells over lymphoid cells drives selective internalization of CRUSH in myeloid lineages in whole blood. Leveraging cellular selectivity and engineered stability, CRUSH offers a mixed‐and‐read diagnostic test, where lyophilized sensors are directly mixed with whole blood samples, followed by standard flow cytometry analysis. This one‐step test detects BCR‐ABL1 fusions in living myeloid cells with high specificity and robustness, enabling accurate discrimination of multilineage acute lymphoblastic leukemia within 1 h. Our study bridges biosensing innovation with urgent diagnostic needs, offering a rapid, specific, and robust tool for accurate diagnosis and treatment of hematologic malignancies.</w:t>
      </w:r>
    </w:p>
    <w:p>
      <w:pPr>
        <w:spacing w:before="120" w:after="120"/>
      </w:pPr>
      <w:r>
        <w:rPr>
          <w:sz w:val="18"/>
        </w:rPr>
        <w:t>——————————————————————————————————————————————————————————————————————</w:t>
      </w:r>
    </w:p>
    <w:p>
      <w:pPr>
        <w:spacing w:before="160" w:after="40" w:line="240" w:lineRule="auto"/>
      </w:pPr>
      <w:r>
        <w:rPr>
          <w:b/>
        </w:rPr>
        <w:t xml:space="preserve">[313] </w:t>
      </w:r>
      <w:hyperlink r:id="rId773">
        <w:r>
          <w:rPr>
            <w:color w:val="1155CC"/>
            <w:u w:val="single"/>
          </w:rPr>
          <w:t>通过增强电子耦合在面共享IrO6二聚体上激活氧自由基耦合以进行酸性水氧化</w:t>
        </w:r>
      </w:hyperlink>
    </w:p>
    <w:p>
      <w:pPr>
        <w:spacing w:before="0" w:after="80"/>
      </w:pPr>
      <w:r>
        <w:rPr>
          <w:i/>
          <w:sz w:val="20"/>
        </w:rPr>
        <w:t>EN: Activating Oxygen Radical Coupling on Face‐Shared IrO6 Dimer Through Enhanced Electronic Coupling for Acidic Water Oxidation</w:t>
      </w:r>
    </w:p>
    <w:p>
      <w:pPr>
        <w:spacing w:before="0" w:after="120"/>
      </w:pPr>
      <w:r>
        <w:rPr>
          <w:b/>
        </w:rPr>
        <w:t xml:space="preserve">Source: </w:t>
      </w:r>
      <w:r>
        <w:t>Wiley: Advanced Materials: Table of Contents</w:t>
      </w:r>
      <w:r>
        <w:t xml:space="preserve">    </w:t>
      </w:r>
      <w:r>
        <w:rPr>
          <w:b/>
        </w:rPr>
        <w:t xml:space="preserve">Pub date: </w:t>
      </w:r>
      <w:r>
        <w:t>2026-04-15 05:11:34+00:00</w:t>
      </w:r>
      <w:r>
        <w:t xml:space="preserve">    </w:t>
      </w:r>
      <w:r>
        <w:rPr>
          <w:b/>
        </w:rPr>
        <w:t xml:space="preserve">DOI: </w:t>
      </w:r>
      <w:hyperlink r:id="rId774">
        <w:r>
          <w:rPr>
            <w:color w:val="1155CC"/>
            <w:u w:val="single"/>
          </w:rPr>
          <w:t>10.1002/adma.73090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物路径机制（OPM）驱动氧气演化反应（OER）提供了一条同时实现高活性和耐久性的吸引路线，但双金属活性位点的合理调控仍然难以捉摸。在此，我们通过部分La取代在6H‐SrIrO3中实现了从传统的吸附物演化机制（AEM）到OPM的前所未有的转换。电子结构分析表明，La的引入通过Ir–O–Ir桥加强了面共享IrO6二聚体的电子耦合。因此，这些以短Ir–Ir原子间距为特征的二聚体被激活为双金属中心，使氧自由基耦合成为可能。</w:t>
      </w:r>
    </w:p>
    <w:p>
      <w:pPr>
        <w:spacing w:before="0" w:after="200" w:lineRule="auto" w:line="276"/>
      </w:pPr>
      <w:r>
        <w:rPr>
          <w:b/>
        </w:rPr>
        <w:t xml:space="preserve">Abstract (EN): </w:t>
      </w:r>
      <w:r>
        <w:t>Driving the oxygen evolution reaction (OER) through an oxide‑path mechanism (OPM) offers an appealing route to achieve simultaneously high activity and durability, yet rational modulation of dual‑metal active sites remain elusive. Here, we realize an unprecedented switch from the conventional adsorbate evolution mechanism (AEM) to OPM in 6H‐SrIrO</w:t>
      </w:r>
      <w:r>
        <w:rPr>
          <w:vertAlign w:val="subscript"/>
        </w:rPr>
        <w:t>3</w:t>
      </w:r>
      <w:r>
        <w:t>via partial La substitution. Electronic structure analysis reveals that La incorporation strengthens electronic coupling across face‐sharing IrO</w:t>
      </w:r>
      <w:r>
        <w:rPr>
          <w:vertAlign w:val="subscript"/>
        </w:rPr>
        <w:t>6</w:t>
      </w:r>
      <w:r>
        <w:t>dimers via Ir–O–Ir bridge. Consequently, these dimers, characterized by short Ir–Ir interatomic distances, are activated as dual‐metal centers that enable oxygen radical coupling via the OPM pathway. Benefiting from this mechanistic transition, the optimized 2%La–SrIrO</w:t>
      </w:r>
      <w:r>
        <w:rPr>
          <w:vertAlign w:val="subscript"/>
        </w:rPr>
        <w:t>3</w:t>
      </w:r>
      <w:r>
        <w:t>catalyst surpasses the activity–stability trade‑off, exhibiting a low overpotential and exceptional durability over 1900 h at 1 A cm</w:t>
      </w:r>
      <w:r>
        <w:t xml:space="preserve"> </w:t>
      </w:r>
      <w:r>
        <w:t>−2</w:t>
      </w:r>
      <w:r>
        <w:t xml:space="preserve"> </w:t>
      </w:r>
      <w:r>
        <w:t>in a proton exchange membrane (PEM) electrolyzer. This work unveils a mechanistic design paradigm for robust OER electrocatalysts operating under acidic conditions.</w:t>
      </w:r>
    </w:p>
    <w:p>
      <w:pPr>
        <w:spacing w:before="120" w:after="120"/>
      </w:pPr>
      <w:r>
        <w:rPr>
          <w:sz w:val="18"/>
        </w:rPr>
        <w:t>——————————————————————————————————————————————————————————————————————</w:t>
      </w:r>
    </w:p>
    <w:p>
      <w:pPr>
        <w:spacing w:before="160" w:after="40" w:line="240" w:lineRule="auto"/>
      </w:pPr>
      <w:r>
        <w:rPr>
          <w:b/>
        </w:rPr>
        <w:t xml:space="preserve">[314] </w:t>
      </w:r>
      <w:hyperlink r:id="rId775">
        <w:r>
          <w:rPr>
            <w:color w:val="1155CC"/>
            <w:u w:val="single"/>
          </w:rPr>
          <w:t>具有巨大的可编程正或负热膨胀的4D打印自旋交叉超材料</w:t>
        </w:r>
      </w:hyperlink>
    </w:p>
    <w:p>
      <w:pPr>
        <w:spacing w:before="0" w:after="80"/>
      </w:pPr>
      <w:r>
        <w:rPr>
          <w:i/>
          <w:sz w:val="20"/>
        </w:rPr>
        <w:t>EN: 4D‐Printed Spin Crossover Metamaterials with Giant Programmable Positive or Negative Thermal Expansion</w:t>
      </w:r>
    </w:p>
    <w:p>
      <w:pPr>
        <w:spacing w:before="0" w:after="120"/>
      </w:pPr>
      <w:r>
        <w:rPr>
          <w:b/>
        </w:rPr>
        <w:t xml:space="preserve">Source: </w:t>
      </w:r>
      <w:r>
        <w:t>Wiley: Advanced Materials: Table of Contents</w:t>
      </w:r>
      <w:r>
        <w:t xml:space="preserve">    </w:t>
      </w:r>
      <w:r>
        <w:rPr>
          <w:b/>
        </w:rPr>
        <w:t xml:space="preserve">Pub date: </w:t>
      </w:r>
      <w:r>
        <w:t>2026-04-15 05:45:34+00:00</w:t>
      </w:r>
      <w:r>
        <w:t xml:space="preserve">    </w:t>
      </w:r>
      <w:r>
        <w:rPr>
          <w:b/>
        </w:rPr>
        <w:t xml:space="preserve">DOI: </w:t>
      </w:r>
      <w:hyperlink r:id="rId776">
        <w:r>
          <w:rPr>
            <w:color w:val="1155CC"/>
            <w:u w:val="single"/>
          </w:rPr>
          <w:t>10.1002/adma.202522073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过去的十年中，3D打印的蜂窝材料取得了令人瞩目的进展，提供了许多显著的机械性能，如负泊松比、负压缩性和负热膨胀系数（CTE）。该领域的最新努力越来越多地考虑4D打印的超结构，这些结构利用刺激响应材料的形状变形特性。在此，我们介绍了一类基于双稳态自旋交叉（SCO）分子材料的4D打印超材料。这些系统在不同尺寸尺度上协同耦合不同材料，以利用不匹配的热机械性能——特别是差异热膨胀和刚度——来产生大的定向变形。</w:t>
      </w:r>
    </w:p>
    <w:p>
      <w:pPr>
        <w:spacing w:before="0" w:after="200" w:lineRule="auto" w:line="276"/>
      </w:pPr>
      <w:r>
        <w:rPr>
          <w:b/>
        </w:rPr>
        <w:t xml:space="preserve">Abstract (EN): </w:t>
      </w:r>
      <w:r>
        <w:t>In the past decade, 3D‐printed cellular materials have witnessed an impressive advancement affording a wealth of remarkable mechanical properties, such as negative Poisson's ratio, negative compressibility, and negative coefficient of thermal expansion (CTE). Recent efforts in this field have been increasingly considered 4D‐printed metastructures, which leverage shape‐morphing properties of stimuli‐responsive materials. Here, we introduce a new class of 4D‐printed metamaterials based on bistable spin crossover (SCO) molecular materials. These systems synergistically couple dissimilar materials at different size scales to harness mismatched thermomechanical properties—specifically differential thermal expansion and stiffness—to generate large directional deformations upon heating or cooling. Through a combination of theoretical modeling and experimental validation, we demonstrate that our SCO‐based 4D‐printed structures can achieve programmable motions, including positive and negative expansion. The associated CTE reaches peak values of ca. +14400 and −11400 ppm/°C, respectively, more than 10 times greater than those reported in the literature for 3D‐printed analogues. This work establishes a versatile and generalizable conceptual strategy for engineering multilevel, hierarchical architectures with programmable functionalities, advancing the design of energy‐efficient soft actuators and reconfigurable/adaptive material systems.</w:t>
      </w:r>
    </w:p>
    <w:p>
      <w:pPr>
        <w:spacing w:before="120" w:after="120"/>
      </w:pPr>
      <w:r>
        <w:rPr>
          <w:sz w:val="18"/>
        </w:rPr>
        <w:t>——————————————————————————————————————————————————————————————————————</w:t>
      </w:r>
    </w:p>
    <w:p>
      <w:pPr>
        <w:spacing w:before="160" w:after="40" w:line="240" w:lineRule="auto"/>
      </w:pPr>
      <w:r>
        <w:rPr>
          <w:b/>
        </w:rPr>
        <w:t xml:space="preserve">[315] </w:t>
      </w:r>
      <w:hyperlink r:id="rId777">
        <w:r>
          <w:rPr>
            <w:color w:val="1155CC"/>
            <w:u w:val="single"/>
          </w:rPr>
          <w:t>多氟烷基标记的细胞穿透肽添加剂通过持续的单体脂质相互作用增强细胞内蛋白质递送</w:t>
        </w:r>
      </w:hyperlink>
    </w:p>
    <w:p>
      <w:pPr>
        <w:spacing w:before="0" w:after="80"/>
      </w:pPr>
      <w:r>
        <w:rPr>
          <w:i/>
          <w:sz w:val="20"/>
        </w:rPr>
        <w:t>EN: Polyfluoroalkyl‐Tagged Cell‐Penetrating Peptide‐Additives Enhance Intracellular Protein Delivery via Sustained Monomeric Lipid Interaction</w:t>
      </w:r>
    </w:p>
    <w:p>
      <w:pPr>
        <w:spacing w:before="0" w:after="120"/>
      </w:pPr>
      <w:r>
        <w:rPr>
          <w:b/>
        </w:rPr>
        <w:t xml:space="preserve">Source: </w:t>
      </w:r>
      <w:r>
        <w:t>Wiley: Angewandte Chemie International Edition: Table of Contents</w:t>
      </w:r>
      <w:r>
        <w:t xml:space="preserve">    </w:t>
      </w:r>
      <w:r>
        <w:rPr>
          <w:b/>
        </w:rPr>
        <w:t xml:space="preserve">Pub date: </w:t>
      </w:r>
      <w:r>
        <w:t>2026-04-15 06:13:41+00:00</w:t>
      </w:r>
      <w:r>
        <w:t xml:space="preserve">    </w:t>
      </w:r>
      <w:r>
        <w:rPr>
          <w:b/>
        </w:rPr>
        <w:t xml:space="preserve">DOI: </w:t>
      </w:r>
      <w:hyperlink r:id="rId778">
        <w:r>
          <w:rPr>
            <w:color w:val="1155CC"/>
            <w:u w:val="single"/>
          </w:rPr>
          <w:t>10.1002/anie.202524419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穿透肽（CPP）介导的细胞内蛋白质递送的最新进展强调了持续膜关联在提高递送效率中的关键作用。在此，我们报告了细胞表面反应的、含有不同氟含量的多氟烷基标记多精氨酸肽作为CPP添加剂，显著增强了活细胞中的蛋白质递送。在低微摩尔浓度（2.5 µM）下，含有11–13个氟原子的CPP添加剂相对于无标记对照显著增强了细胞内蛋白质递送超过2倍且无可观察的细胞毒性。活细胞时间推移荧光成像显示，含有13个氟原子的CPP添加剂相对于无标记对照显示出延长的膜关联（&gt;5分钟）并促进了蛋白质递送。</w:t>
      </w:r>
    </w:p>
    <w:p>
      <w:pPr>
        <w:spacing w:before="0" w:after="200" w:lineRule="auto" w:line="276"/>
      </w:pPr>
      <w:r>
        <w:rPr>
          <w:b/>
        </w:rPr>
        <w:t xml:space="preserve">Abstract (EN): </w:t>
      </w:r>
      <w:r>
        <w:t>Recent advances in cell‐penetrating peptide (CPP)‐mediated intracellular protein delivery emphasized the critical role of sustained membrane association in enhancing delivery efficiency. Here, we report cell‐surface‐reactive, polyfluoroalkyl‐tagged polyarginine peptides with varying fluorine content as CPP‐additives that significantly enhance protein delivery in living cells. At low micromolar concentrations (2.5 µM), CPP‐additives containing 11–13 fluorine atoms enhanced intracellular protein delivery over 2‐fold relative to a tagless control without observable cytotoxicity. Live‐cell time‐lapse fluorescence imaging revealed that a CPP‐additive with 13 fluorine atoms showed prolonged membrane association (&amp;gt;5 min) relative to a tagless control and facilitated rapid protein internalization within 10 min. Remarkably, surface‐enhanced infrared absorption spectroscopy (SEIRAS) with POPC membranes showed that fluorous CPP‐additives initially interacted with the lipid bilayer predominantly as aggregates but subsequently inserted into the membrane interior as monomers without fluorous tag‐tag association. Complementary molecular dynamics simulations of the initial membrane‐association step provided atomistic insight, showing partial lipid insertion of a monomeric CPP‐additive with 13 fluorine atoms while no insertion was observed for a tagless control within the same time scale. Collectively, our findings establish polyfluoroalkyl‐tagged CPP‐additives as potent, non‐cytotoxic vectors for intracellular protein delivery and provide mechanistic detail regarding the molecular basis of their lipid bilayer interactions.</w:t>
      </w:r>
    </w:p>
    <w:p>
      <w:pPr>
        <w:spacing w:before="120" w:after="120"/>
      </w:pPr>
      <w:r>
        <w:rPr>
          <w:sz w:val="18"/>
        </w:rPr>
        <w:t>——————————————————————————————————————————————————————————————————————</w:t>
      </w:r>
    </w:p>
    <w:p>
      <w:pPr>
        <w:spacing w:before="160" w:after="40" w:line="240" w:lineRule="auto"/>
      </w:pPr>
      <w:r>
        <w:rPr>
          <w:b/>
        </w:rPr>
        <w:t xml:space="preserve">[316] </w:t>
      </w:r>
      <w:hyperlink r:id="rId779">
        <w:r>
          <w:rPr>
            <w:color w:val="1155CC"/>
            <w:u w:val="single"/>
          </w:rPr>
          <w:t>NOSPIN衍生物的不对称合成</w:t>
        </w:r>
      </w:hyperlink>
    </w:p>
    <w:p>
      <w:pPr>
        <w:spacing w:before="0" w:after="80"/>
      </w:pPr>
      <w:r>
        <w:rPr>
          <w:i/>
          <w:sz w:val="20"/>
        </w:rPr>
        <w:t>EN: Asymmetric Synthesis of NOSPIN Derivatives</w:t>
      </w:r>
    </w:p>
    <w:p>
      <w:pPr>
        <w:spacing w:before="0" w:after="120"/>
      </w:pPr>
      <w:r>
        <w:rPr>
          <w:b/>
        </w:rPr>
        <w:t xml:space="preserve">Source: </w:t>
      </w:r>
      <w:r>
        <w:t>Wiley: Angewandte Chemie International Edition: Table of Contents</w:t>
      </w:r>
      <w:r>
        <w:t xml:space="preserve">    </w:t>
      </w:r>
      <w:r>
        <w:rPr>
          <w:b/>
        </w:rPr>
        <w:t xml:space="preserve">Pub date: </w:t>
      </w:r>
      <w:r>
        <w:t>2026-04-15 06:16:17+00:00</w:t>
      </w:r>
      <w:r>
        <w:t xml:space="preserve">    </w:t>
      </w:r>
      <w:r>
        <w:rPr>
          <w:b/>
        </w:rPr>
        <w:t xml:space="preserve">DOI: </w:t>
      </w:r>
      <w:hyperlink r:id="rId780">
        <w:r>
          <w:rPr>
            <w:color w:val="1155CC"/>
            <w:u w:val="single"/>
          </w:rPr>
          <w:t>10.1002/anie.5527700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螺双茚骨架是开发手性催化剂和配体最重要的特权结构之一。然而，7-氨基-7'-羟基-1,1'-螺双茚（NOSPIN）——一种用于多种手性催化剂和配体的关键螺双茚前体——缺乏有效的合成方法，其不对称合成仍然是一个未解决的挑战。在这项工作中，我们开发了一种简洁高效的方法用于3,3'-二芳基-NOSPINs的不对称合成。该策略的成功依赖于两个关键步骤：高对映选择性和非对映选择性的铑催化双共轭芳基化反应，以及游离苯胺的非对映选择性和化学选择性的Friedel–Crafts型反应。此外，我们展示了新合成的骨架的实用性</w:t>
      </w:r>
    </w:p>
    <w:p>
      <w:pPr>
        <w:spacing w:before="0" w:after="200" w:lineRule="auto" w:line="276"/>
      </w:pPr>
      <w:r>
        <w:rPr>
          <w:b/>
        </w:rPr>
        <w:t xml:space="preserve">Abstract (EN): </w:t>
      </w:r>
      <w:r>
        <w:t>The spirobiindane scaffold represents one of the most important privileged structures for developing chiral catalysts and ligands. However, 7‐amino‐7′‐hydroxyl‐1,1′‐spirobiindane (NOSPIN)—a key spirobiindane precursor for diverse chiral catalysts and ligands—lacks efficient synthetic methods, and its asymmetric synthesis remains an unmet challenge. In this work, we develop a concise and efficient method for the asymmetric synthesis of 3,3′‐Diaryl‐NOSPINs. The success of this strategy relies on two key steps: a highly enantioselective and diastereoselective rhodium‐catalyzed double conjugate arylation, and a diastereoselective and chemoselective Friedel–Crafts‐type reaction of free aniline. Furthermore, we demonstrated the utility of the newly synthesized scaffold in divergent catalyst/ligand synthesis and showcased the superior performance of the corresponding ligand in asymmetric catalysis. This work represents the first asymmetric synthesis of NOSPINs and provides a practical approach to this privileged structure, paving the way for its broader application.</w:t>
      </w:r>
    </w:p>
    <w:p>
      <w:pPr>
        <w:spacing w:before="120" w:after="120"/>
      </w:pPr>
      <w:r>
        <w:rPr>
          <w:sz w:val="18"/>
        </w:rPr>
        <w:t>——————————————————————————————————————————————————————————————————————</w:t>
      </w:r>
    </w:p>
    <w:p>
      <w:pPr>
        <w:spacing w:before="160" w:after="40" w:line="240" w:lineRule="auto"/>
      </w:pPr>
      <w:r>
        <w:rPr>
          <w:b/>
        </w:rPr>
        <w:t xml:space="preserve">[317] </w:t>
      </w:r>
      <w:hyperlink r:id="rId781">
        <w:r>
          <w:rPr>
            <w:color w:val="1155CC"/>
            <w:u w:val="single"/>
          </w:rPr>
          <w:t>光化学生成的硫烯亚胺解锁常规硫苷的化学选择性活化用于立体控制呋喃糖基化</w:t>
        </w:r>
      </w:hyperlink>
    </w:p>
    <w:p>
      <w:pPr>
        <w:spacing w:before="0" w:after="80"/>
      </w:pPr>
      <w:r>
        <w:rPr>
          <w:i/>
          <w:sz w:val="20"/>
        </w:rPr>
        <w:t>EN: Photochemically Generated Sulfenylnitrene Unlocks Chemoselective Activation of Conventional Thioglycosides for Stereocontrolled Furanosylations</w:t>
      </w:r>
    </w:p>
    <w:p>
      <w:pPr>
        <w:spacing w:before="0" w:after="120"/>
      </w:pPr>
      <w:r>
        <w:rPr>
          <w:b/>
        </w:rPr>
        <w:t xml:space="preserve">Source: </w:t>
      </w:r>
      <w:r>
        <w:t>Wiley: Angewandte Chemie International Edition: Table of Contents</w:t>
      </w:r>
      <w:r>
        <w:t xml:space="preserve">    </w:t>
      </w:r>
      <w:r>
        <w:rPr>
          <w:b/>
        </w:rPr>
        <w:t xml:space="preserve">Pub date: </w:t>
      </w:r>
      <w:r>
        <w:t>2026-04-15 06:21:28+00:00</w:t>
      </w:r>
      <w:r>
        <w:t xml:space="preserve">    </w:t>
      </w:r>
      <w:r>
        <w:rPr>
          <w:b/>
        </w:rPr>
        <w:t xml:space="preserve">DOI: </w:t>
      </w:r>
      <w:hyperlink r:id="rId782">
        <w:r>
          <w:rPr>
            <w:color w:val="1155CC"/>
            <w:u w:val="single"/>
          </w:rPr>
          <w:t>10.1002/anie.202523438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1,2-cis呋喃糖苷键的立体控制构建在碳水化合物化学中仍然是一个挑战，因为现有的方法通常需要多步骤供体合成、纯净的苷元前体和苛刻的活化条件，这些条件会影响普适性。传统的硫苷糖苷是稳定的供体；然而，它们的活化通常需要强酸和低温条件，导致化学选择性差、立体控制减弱，并发生向热力学控制的1,2-trans异构体的差向异构化。在此，我们披露了一种无金属和光敏剂的光化学策略，其中蓝光促进了化学选择性的光解。</w:t>
      </w:r>
    </w:p>
    <w:p>
      <w:pPr>
        <w:spacing w:before="0" w:after="200" w:lineRule="auto" w:line="276"/>
      </w:pPr>
      <w:r>
        <w:rPr>
          <w:b/>
        </w:rPr>
        <w:t xml:space="preserve">Abstract (EN): </w:t>
      </w:r>
      <w:r>
        <w:t>The stereocontrolled construction of 1,2‐</w:t>
      </w:r>
      <w:r>
        <w:t xml:space="preserve"> </w:t>
      </w:r>
      <w:r>
        <w:t>cis</w:t>
      </w:r>
      <w:r>
        <w:t xml:space="preserve"> </w:t>
      </w:r>
      <w:r>
        <w:t>furanosidic linkages remains a challenge in carbohydrate chemistry, as existing approaches often require multistep donor synthesis, anomerically pure precursors, and harsh activation conditions that compromise generality. Conventional thioglycosides are bench‐stable donors; however, their activation typically requires strong acids and cryogenic conditions, resulting in poor chemoselectivity, diminished stereocontrol, and epimerization to thermodynamically controlled 1,2‐</w:t>
      </w:r>
      <w:r>
        <w:t xml:space="preserve"> </w:t>
      </w:r>
      <w:r>
        <w:t>trans</w:t>
      </w:r>
      <w:r>
        <w:t xml:space="preserve"> </w:t>
      </w:r>
      <w:r>
        <w:t>isomers. Here, we disclose a metal‐ and photosensitizer‐free photochemical strategy in which blue light promotes the chemoselective photolysis of an S─N bond in a sulfenylnitrene precursor, generating sulfenylnitrene that chemoselectively activates conventional thioglycosides. Sulfenylnitrene shows unique reactivity towards thioglycosides and remains unreactive with non‐glycosyl thioethers. This neutral process circumvents classical S</w:t>
      </w:r>
      <w:r>
        <w:t xml:space="preserve"> </w:t>
      </w:r>
      <w:r>
        <w:t>N</w:t>
      </w:r>
      <w:r>
        <w:t xml:space="preserve"> </w:t>
      </w:r>
      <w:r>
        <w:t>2‐type pathways, enabling Lewis‐acid‐free and highly stereoselective furanosylations across ribose, arabinose, xylose, and the particularly challenging 2‐deoxyribose systems. Mechanistic investigations reveal that the steric and electronic effects of the C5‐protecting group induce the stereoselectivity. The synthetic utility of this platform is demonstrated by the efficient construction of glycosylated bioactive molecules and a 1,2‐</w:t>
      </w:r>
      <w:r>
        <w:t xml:space="preserve"> </w:t>
      </w:r>
      <w:r>
        <w:t>cis</w:t>
      </w:r>
      <w:r>
        <w:t xml:space="preserve"> </w:t>
      </w:r>
      <w:r>
        <w:t>ribopentasaccharide. Overall, this work introduces sulfenylnitrene‐mediated activation as a sustainable and broadly applicable strategy for stereocontrolled furanosylation, expanding the conceptual scope of sulfur‐based nitrene chemistry in selective bond construction.</w:t>
      </w:r>
    </w:p>
    <w:p>
      <w:pPr>
        <w:spacing w:before="120" w:after="120"/>
      </w:pPr>
      <w:r>
        <w:rPr>
          <w:sz w:val="18"/>
        </w:rPr>
        <w:t>——————————————————————————————————————————————————————————————————————</w:t>
      </w:r>
    </w:p>
    <w:p>
      <w:pPr>
        <w:spacing w:before="160" w:after="40" w:line="240" w:lineRule="auto"/>
      </w:pPr>
      <w:r>
        <w:rPr>
          <w:b/>
        </w:rPr>
        <w:t xml:space="preserve">[318] </w:t>
      </w:r>
      <w:hyperlink r:id="rId783">
        <w:r>
          <w:rPr>
            <w:color w:val="1155CC"/>
            <w:u w:val="single"/>
          </w:rPr>
          <w:t>通过机械-氧化协同诱导交联实现多模式可训练自增强弹性体</w:t>
        </w:r>
      </w:hyperlink>
    </w:p>
    <w:p>
      <w:pPr>
        <w:spacing w:before="0" w:after="80"/>
      </w:pPr>
      <w:r>
        <w:rPr>
          <w:i/>
          <w:sz w:val="20"/>
        </w:rPr>
        <w:t>EN: Achieving Multimodal Trainable Self‐Strengthening Elastomers Through Mechano‐Oxidative Synergistic Induced Crosslinking</w:t>
      </w:r>
    </w:p>
    <w:p>
      <w:pPr>
        <w:spacing w:before="0" w:after="120"/>
      </w:pPr>
      <w:r>
        <w:rPr>
          <w:b/>
        </w:rPr>
        <w:t xml:space="preserve">Source: </w:t>
      </w:r>
      <w:r>
        <w:t>Wiley: Angewandte Chemie International Edition: Table of Contents</w:t>
      </w:r>
      <w:r>
        <w:t xml:space="preserve">    </w:t>
      </w:r>
      <w:r>
        <w:rPr>
          <w:b/>
        </w:rPr>
        <w:t xml:space="preserve">Pub date: </w:t>
      </w:r>
      <w:r>
        <w:t>2026-04-15 06:22:45+00:00</w:t>
      </w:r>
      <w:r>
        <w:t xml:space="preserve">    </w:t>
      </w:r>
      <w:r>
        <w:rPr>
          <w:b/>
        </w:rPr>
        <w:t xml:space="preserve">DOI: </w:t>
      </w:r>
      <w:hyperlink r:id="rId784">
        <w:r>
          <w:rPr>
            <w:color w:val="1155CC"/>
            <w:u w:val="single"/>
          </w:rPr>
          <w:t>10.1002/anie.9665552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诱导的自由基交联策略已广泛应用于软体机器人和冲击保护中的材料自增强。然而，这种机制主要依赖于聚合物链断裂以产生活性自由基，需要大负载来启动反应。这通常会导致损坏，并未能解决低能量、精确增强的需求。在此，我们通过将机械敏感的小分子引发剂三乙基硼烷-4-甲氧基吡啶（TEB–MeOPy）引入嵌段共聚物网络中，介绍了一种机械氧化协同策略。在仅0.15 MPa的应力下，机械力与环境氧气协同作用，将TEB–MeOPy转化为驱动固态聚合物中高效、不可逆交联的活性自由基。</w:t>
      </w:r>
    </w:p>
    <w:p>
      <w:pPr>
        <w:spacing w:before="0" w:after="200" w:lineRule="auto" w:line="276"/>
      </w:pPr>
      <w:r>
        <w:rPr>
          <w:b/>
        </w:rPr>
        <w:t xml:space="preserve">Abstract (EN): </w:t>
      </w:r>
      <w:r>
        <w:t>Mechanically induced radical crosslinking strategies for material self‐strengthening have been widely applied in soft robotics and impact protection. However, this mechanism predominantly relies on polymer chain scission to generate active radicals, necessitating large loads to initiate reactions. This often induces damage and fails to address low‐energy, precise reinforcement needs. Here, we introduce a mechano‐oxidative synergistic strategy by incorporating the mechanosensitive small molecule initiator triethylborane‐4‐methoxypyridine (TEB–MeOPy) into a block copolymer network. At only 0.15 MPa stress, mechanical force synergizes with ambient oxygen to convert TEB–MeOPy into active radicals that drive efficient, irreversible crosslinking in the solid‐state polymer, giving rise to an increment in mechanical strength for elastomers. This enables self‐reinforcement triggered by localized high stress fields, bypassing the need for global high stress activation. Moreover, predictions from our stress–crosslinking degree model match well with the system's dynamic evolution, enabling controlled self‐strengthening of the elastomer. The material exhibits superior responses under multimodal loading, surmounting environmental dependencies in solid‐state polymer and conventional high threshold constraints, offering fresh insights for mechanochemically driven next‐generation intelligent soft materials.</w:t>
      </w:r>
    </w:p>
    <w:p>
      <w:pPr>
        <w:spacing w:before="120" w:after="120"/>
      </w:pPr>
      <w:r>
        <w:rPr>
          <w:sz w:val="18"/>
        </w:rPr>
        <w:t>——————————————————————————————————————————————————————————————————————</w:t>
      </w:r>
    </w:p>
    <w:p>
      <w:pPr>
        <w:spacing w:before="160" w:after="40" w:line="240" w:lineRule="auto"/>
      </w:pPr>
      <w:r>
        <w:rPr>
          <w:b/>
        </w:rPr>
        <w:t xml:space="preserve">[319] </w:t>
      </w:r>
      <w:hyperlink r:id="rId785">
        <w:r>
          <w:rPr>
            <w:color w:val="1155CC"/>
            <w:u w:val="single"/>
          </w:rPr>
          <w:t>铑催化的二氟化环丙烷环加成反应的机制重新评估和反应开发</w:t>
        </w:r>
      </w:hyperlink>
    </w:p>
    <w:p>
      <w:pPr>
        <w:spacing w:before="0" w:after="80"/>
      </w:pPr>
      <w:r>
        <w:rPr>
          <w:i/>
          <w:sz w:val="20"/>
        </w:rPr>
        <w:t>EN: Mechanism Reevaluation and Reaction Development in Rhodium‐Catalyzed Cycloaddition of gem‐Difluorinated Cyclopropanes</w:t>
      </w:r>
    </w:p>
    <w:p>
      <w:pPr>
        <w:spacing w:before="0" w:after="120"/>
      </w:pPr>
      <w:r>
        <w:rPr>
          <w:b/>
        </w:rPr>
        <w:t xml:space="preserve">Source: </w:t>
      </w:r>
      <w:r>
        <w:t>Wiley: Angewandte Chemie International Edition: Table of Contents</w:t>
      </w:r>
      <w:r>
        <w:t xml:space="preserve">    </w:t>
      </w:r>
      <w:r>
        <w:rPr>
          <w:b/>
        </w:rPr>
        <w:t xml:space="preserve">Pub date: </w:t>
      </w:r>
      <w:r>
        <w:t>2026-04-15 06:24:09+00:00</w:t>
      </w:r>
      <w:r>
        <w:t xml:space="preserve">    </w:t>
      </w:r>
      <w:r>
        <w:rPr>
          <w:b/>
        </w:rPr>
        <w:t xml:space="preserve">DOI: </w:t>
      </w:r>
      <w:hyperlink r:id="rId786">
        <w:r>
          <w:rPr>
            <w:color w:val="1155CC"/>
            <w:u w:val="single"/>
          </w:rPr>
          <w:t>10.1002/anie.3386705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过渡金属催化的应变碳环的环加成反应已成为通过C–C键重组构建复杂分子结构的强大策略。我们之前报道了一种铑催化的(3 + 2)环加成反应，涉及gem-二氟化环丙烷（gem-DFCPs）与内烯烃的反应，最初被解释为通过传统的环加成机制进行。通过控制实验和DFT计算的机制探讨，现在揭示了这种转化通过一种先前未被识别的途径进行，涉及双C–C/C–F键活化。这种不寻常的环化机制涉及氟烯丙基取代。</w:t>
      </w:r>
    </w:p>
    <w:p>
      <w:pPr>
        <w:spacing w:before="0" w:after="200" w:lineRule="auto" w:line="276"/>
      </w:pPr>
      <w:r>
        <w:rPr>
          <w:b/>
        </w:rPr>
        <w:t xml:space="preserve">Abstract (EN): </w:t>
      </w:r>
      <w:r>
        <w:t>Transition‐metal‐catalyzed cycloadditions of strained carbocycles have emerged as a powerful strategy for constructing complex molecular architectures through C–C bond reorganization. We previously reported a Rh‐catalyzed (3 + 2) cycloaddition of</w:t>
      </w:r>
      <w:r>
        <w:t xml:space="preserve"> </w:t>
      </w:r>
      <w:r>
        <w:t>gem</w:t>
      </w:r>
      <w:r>
        <w:t xml:space="preserve"> </w:t>
      </w:r>
      <w:r>
        <w:t>‐difluorinated cyclopropanes (</w:t>
      </w:r>
      <w:r>
        <w:t xml:space="preserve"> </w:t>
      </w:r>
      <w:r>
        <w:t>gem</w:t>
      </w:r>
      <w:r>
        <w:t xml:space="preserve"> </w:t>
      </w:r>
      <w:r>
        <w:t>‐DFCPs) with internal olefins, which was initially interpreted to proceed via a conventional cycloaddition mechanism. Mechanistic interrogation, through control experiments and DFT calculations, now reveals that this transformation proceeds through a previously unrecognized pathway involving dual C–C/C–F bond activation. The unusual cyclization mechanism involves fluoroallylic substitution, carbocation‐mediated intramolecular cyclization, and fluoride transfer. This revised mechanistic framework not only redefines the understanding of such cycloadditions but also directly inspires the development of new reactions.</w:t>
      </w:r>
    </w:p>
    <w:p>
      <w:pPr>
        <w:spacing w:before="120" w:after="120"/>
      </w:pPr>
      <w:r>
        <w:rPr>
          <w:sz w:val="18"/>
        </w:rPr>
        <w:t>——————————————————————————————————————————————————————————————————————</w:t>
      </w:r>
    </w:p>
    <w:p>
      <w:pPr>
        <w:spacing w:before="160" w:after="40" w:line="240" w:lineRule="auto"/>
      </w:pPr>
      <w:r>
        <w:rPr>
          <w:b/>
        </w:rPr>
        <w:t xml:space="preserve">[320] </w:t>
      </w:r>
      <w:hyperlink r:id="rId787">
        <w:r>
          <w:rPr>
            <w:color w:val="1155CC"/>
            <w:u w:val="single"/>
          </w:rPr>
          <w:t>钴催化的芳烃分子内C─H硅化反应</w:t>
        </w:r>
      </w:hyperlink>
    </w:p>
    <w:p>
      <w:pPr>
        <w:spacing w:before="0" w:after="80"/>
      </w:pPr>
      <w:r>
        <w:rPr>
          <w:i/>
          <w:sz w:val="20"/>
        </w:rPr>
        <w:t>EN: Cobalt‐Catalyzed Intramolecular C─H Silylation of Arenes</w:t>
      </w:r>
    </w:p>
    <w:p>
      <w:pPr>
        <w:spacing w:before="0" w:after="120"/>
      </w:pPr>
      <w:r>
        <w:rPr>
          <w:b/>
        </w:rPr>
        <w:t xml:space="preserve">Source: </w:t>
      </w:r>
      <w:r>
        <w:t>Wiley: Angewandte Chemie International Edition: Table of Contents</w:t>
      </w:r>
      <w:r>
        <w:t xml:space="preserve">    </w:t>
      </w:r>
      <w:r>
        <w:rPr>
          <w:b/>
        </w:rPr>
        <w:t xml:space="preserve">Pub date: </w:t>
      </w:r>
      <w:r>
        <w:t>2026-04-15 06:26:31+00:00</w:t>
      </w:r>
      <w:r>
        <w:t xml:space="preserve">    </w:t>
      </w:r>
      <w:r>
        <w:rPr>
          <w:b/>
        </w:rPr>
        <w:t xml:space="preserve">DOI: </w:t>
      </w:r>
      <w:hyperlink r:id="rId788">
        <w:r>
          <w:rPr>
            <w:color w:val="1155CC"/>
            <w:u w:val="single"/>
          </w:rPr>
          <w:t>10.1002/anie.5584122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通过C−H硅烷化直接形成C−Si键提供了一种高效的原子经济性合成有机硅烷的方法，但现有策略主要局限于贵金属催化。在此，我们首次披露了由明确的氢化物配合物HCo(PMe</w:t>
      </w:r>
      <w:r>
        <w:rPr>
          <w:vertAlign w:val="subscript"/>
        </w:rPr>
        <w:t>3</w:t>
      </w:r>
      <w:r>
        <w:t>)</w:t>
      </w:r>
      <w:r>
        <w:rPr>
          <w:vertAlign w:val="subscript"/>
        </w:rPr>
        <w:t>4</w:t>
      </w:r>
      <w:r>
        <w:t>催化的芳烃分子内C−H硅烷化。该催化剂依次活化Si−H和芳烃C─H键，能够实现氢硅化/环化序列或直接环化。该方法具有广泛的官能团耐受性，能够高产率地合成多样的杂硅环和硅芴，并扩展到锗环。DFT研究支持两电子机制</w:t>
      </w:r>
    </w:p>
    <w:p>
      <w:pPr>
        <w:spacing w:before="0" w:after="200" w:lineRule="auto" w:line="276"/>
      </w:pPr>
      <w:r>
        <w:rPr>
          <w:b/>
        </w:rPr>
        <w:t xml:space="preserve">Abstract (EN): </w:t>
      </w:r>
      <w:r>
        <w:t>Direct C−Si bond formation via C−H silylation offers an efficient atom‐economical route to organosilanes, yet existing strategies remain largely restricted to noble‐metal catalysis. Here, we disclose the first cobalt‐catalyzed intramolecular C−H silylation of arenes, enabled by the well‐defined hydride complex HCo(PMe</w:t>
      </w:r>
      <w:r>
        <w:rPr>
          <w:vertAlign w:val="subscript"/>
        </w:rPr>
        <w:t>3</w:t>
      </w:r>
      <w:r>
        <w:t>)</w:t>
      </w:r>
      <w:r>
        <w:rPr>
          <w:vertAlign w:val="subscript"/>
        </w:rPr>
        <w:t>4</w:t>
      </w:r>
      <w:r>
        <w:t>. This catalyst sequentially activates Si−H and arene C─H bonds, enabling either an hydrosilylation/cyclization sequence or direct cyclization. The method features broad functional‐group tolerance and delivers diverse heterosilacycles and silafluorenes in high yields and is extended to germacycle. DFT studies support a two‐electron mechanism involving oxidative addition of the Si─H bond, H</w:t>
      </w:r>
      <w:r>
        <w:rPr>
          <w:vertAlign w:val="subscript"/>
        </w:rPr>
        <w:t>2</w:t>
      </w:r>
      <w:r>
        <w:t>elimination facilitated by a hydrogen acceptor, intramolecular C─H activation to form a cobaltacycle, and final reductive elimination to furnish the silacycle. Overall, this work establishes cobalt hydrides as a sustainable and effective alternative to noble metals for the synthesis of silacyclic architectures.</w:t>
      </w:r>
    </w:p>
    <w:p>
      <w:pPr>
        <w:spacing w:before="120" w:after="120"/>
      </w:pPr>
      <w:r>
        <w:rPr>
          <w:sz w:val="18"/>
        </w:rPr>
        <w:t>——————————————————————————————————————————————————————————————————————</w:t>
      </w:r>
    </w:p>
    <w:p>
      <w:pPr>
        <w:spacing w:before="160" w:after="40" w:line="240" w:lineRule="auto"/>
      </w:pPr>
      <w:r>
        <w:rPr>
          <w:b/>
        </w:rPr>
        <w:t xml:space="preserve">[321] </w:t>
      </w:r>
      <w:hyperlink r:id="rId789">
        <w:r>
          <w:rPr>
            <w:color w:val="1155CC"/>
            <w:u w:val="single"/>
          </w:rPr>
          <w:t>TiO2–ZrO2界面连接的非晶相调控调节自由基途径以实现高选择性光催化甲烷氧化</w:t>
        </w:r>
      </w:hyperlink>
    </w:p>
    <w:p>
      <w:pPr>
        <w:spacing w:before="0" w:after="80"/>
      </w:pPr>
      <w:r>
        <w:rPr>
          <w:i/>
          <w:sz w:val="20"/>
        </w:rPr>
        <w:t>EN: Amorphous‐Phase Tailoring of TiO2–ZrO2 Interfacial Linkages Regulates Radical Pathways for Highly Selective Photocatalytic Methane Oxidation</w:t>
      </w:r>
    </w:p>
    <w:p>
      <w:pPr>
        <w:spacing w:before="0" w:after="120"/>
      </w:pPr>
      <w:r>
        <w:rPr>
          <w:b/>
        </w:rPr>
        <w:t xml:space="preserve">Source: </w:t>
      </w:r>
      <w:r>
        <w:t>Wiley: Angewandte Chemie International Edition: Table of Contents</w:t>
      </w:r>
      <w:r>
        <w:t xml:space="preserve">    </w:t>
      </w:r>
      <w:r>
        <w:rPr>
          <w:b/>
        </w:rPr>
        <w:t xml:space="preserve">Pub date: </w:t>
      </w:r>
      <w:r>
        <w:t>2026-04-15 06:40:57+00:00</w:t>
      </w:r>
      <w:r>
        <w:t xml:space="preserve">    </w:t>
      </w:r>
      <w:r>
        <w:rPr>
          <w:b/>
        </w:rPr>
        <w:t xml:space="preserve">DOI: </w:t>
      </w:r>
      <w:hyperlink r:id="rId790">
        <w:r>
          <w:rPr>
            <w:color w:val="1155CC"/>
            <w:u w:val="single"/>
          </w:rPr>
          <w:t>10.1002/anie.9660324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晶氧化物提供了独特的短程有序性和配位灵活性，但其在光催化甲烷转化为液体过程中协调界面自由基化学和抑制过度氧化的能力仍然是一个关键前沿。在此，我们战略性地构建了TiO2–ZrO2结构，其中ZrO2相从非晶（TiO2–ZrO2–A）到晶体（TiO2–ZrO2–A800）被精确调节，以阐明结构无序的治理。</w:t>
      </w:r>
    </w:p>
    <w:p>
      <w:pPr>
        <w:spacing w:before="0" w:after="200" w:lineRule="auto" w:line="276"/>
      </w:pPr>
      <w:r>
        <w:rPr>
          <w:b/>
        </w:rPr>
        <w:t xml:space="preserve">Abstract (EN): </w:t>
      </w:r>
      <w:r>
        <w:t>Amorphous oxides offer unique short‐range order and coordination flexibility, yet their capacity to orchestrate interfacial radical chemistry and suppress over‐oxidation during photocatalytic methane to liquid conversion remains a critical frontier. Herein, we strategically construct TiO</w:t>
      </w:r>
      <w:r>
        <w:rPr>
          <w:vertAlign w:val="subscript"/>
        </w:rPr>
        <w:t>2</w:t>
      </w:r>
      <w:r>
        <w:t>–ZrO</w:t>
      </w:r>
      <w:r>
        <w:rPr>
          <w:vertAlign w:val="subscript"/>
        </w:rPr>
        <w:t>2</w:t>
      </w:r>
      <w:r>
        <w:t>architectures where the ZrO</w:t>
      </w:r>
      <w:r>
        <w:rPr>
          <w:vertAlign w:val="subscript"/>
        </w:rPr>
        <w:t>2</w:t>
      </w:r>
      <w:r>
        <w:t>phase is precisely tuned from amorphous (TiO</w:t>
      </w:r>
      <w:r>
        <w:rPr>
          <w:vertAlign w:val="subscript"/>
        </w:rPr>
        <w:t>2</w:t>
      </w:r>
      <w:r>
        <w:t>–ZrO</w:t>
      </w:r>
      <w:r>
        <w:rPr>
          <w:vertAlign w:val="subscript"/>
        </w:rPr>
        <w:t>2</w:t>
      </w:r>
      <w:r>
        <w:t>–A) to crystalline (TiO</w:t>
      </w:r>
      <w:r>
        <w:rPr>
          <w:vertAlign w:val="subscript"/>
        </w:rPr>
        <w:t>2</w:t>
      </w:r>
      <w:r>
        <w:t>–ZrO</w:t>
      </w:r>
      <w:r>
        <w:rPr>
          <w:vertAlign w:val="subscript"/>
        </w:rPr>
        <w:t>2</w:t>
      </w:r>
      <w:r>
        <w:t>–A800) to elucidate the governance of structural disorder over aerobic CH</w:t>
      </w:r>
      <w:r>
        <w:rPr>
          <w:vertAlign w:val="subscript"/>
        </w:rPr>
        <w:t>4</w:t>
      </w:r>
      <w:r>
        <w:t>functionalization. Multimodal characterizations—including x–ray absorption near‐edge structure (XANES)/extended x‐ray absorption fine structure (EXAFS), AC‐HRTEM, transient electron paramagnetic resonance (EPR), in situ diffuse reflectance infrared Fourier transform spectroscopy (DRIFTS) and density functional theory (DFT), reveal that the amorphous ZrO</w:t>
      </w:r>
      <w:r>
        <w:rPr>
          <w:vertAlign w:val="subscript"/>
        </w:rPr>
        <w:t>2</w:t>
      </w:r>
      <w:r>
        <w:t>phase enriches surface oxygen vacancies relative to its crystalline counterpart and establishes robust Ti–O–Zr interfacial linkages. This configuration enhances charge separation and supports higher effective steady‐state hole availability for efficient C–H bond activation while effectively tempering the flux of water‐derived reactive oxygen species. At room temperature TiO</w:t>
      </w:r>
      <w:r>
        <w:rPr>
          <w:vertAlign w:val="subscript"/>
        </w:rPr>
        <w:t>2</w:t>
      </w:r>
      <w:r>
        <w:t>–ZrO</w:t>
      </w:r>
      <w:r>
        <w:rPr>
          <w:vertAlign w:val="subscript"/>
        </w:rPr>
        <w:t>2</w:t>
      </w:r>
      <w:r>
        <w:t>–A achieves an exceptional liquid oxygenate selectivity of up to 98.2%, remarkably outperforming its crystalline analogue by resisting deep oxidation to CO</w:t>
      </w:r>
      <w:r>
        <w:rPr>
          <w:vertAlign w:val="subscript"/>
        </w:rPr>
        <w:t>2</w:t>
      </w:r>
      <w:r>
        <w:t>. Kinetic analyses reveal the rapid formation of *CH</w:t>
      </w:r>
      <w:r>
        <w:rPr>
          <w:vertAlign w:val="subscript"/>
        </w:rPr>
        <w:t>3</w:t>
      </w:r>
      <w:r>
        <w:t>and *CH</w:t>
      </w:r>
      <w:r>
        <w:rPr>
          <w:vertAlign w:val="subscript"/>
        </w:rPr>
        <w:t>3</w:t>
      </w:r>
      <w:r>
        <w:t>O intermediates, consistent with faster intermediate turnover and reduced overoxidation on the amorphous interface, consistent with DFT‐calculated barriers that favor methane activation over non‐selective reactive oxygen species (ROS) generation. These findings identify amorphous‐phase engineering as a kinetic valve for tuning pathways and selectivity in photocatalytic C–H transformations.</w:t>
      </w:r>
    </w:p>
    <w:p>
      <w:pPr>
        <w:spacing w:before="120" w:after="120"/>
      </w:pPr>
      <w:r>
        <w:rPr>
          <w:sz w:val="18"/>
        </w:rPr>
        <w:t>——————————————————————————————————————————————————————————————————————</w:t>
      </w:r>
    </w:p>
    <w:p>
      <w:pPr>
        <w:spacing w:before="160" w:after="40" w:line="240" w:lineRule="auto"/>
      </w:pPr>
      <w:r>
        <w:rPr>
          <w:b/>
        </w:rPr>
        <w:t xml:space="preserve">[322] </w:t>
      </w:r>
      <w:hyperlink r:id="rId791">
        <w:r>
          <w:rPr>
            <w:color w:val="1155CC"/>
            <w:u w:val="single"/>
          </w:rPr>
          <w:t>枯草芽孢杆菌中基质可塑性和细胞外丝状体组装的分子基础</w:t>
        </w:r>
      </w:hyperlink>
    </w:p>
    <w:p>
      <w:pPr>
        <w:spacing w:before="0" w:after="80"/>
      </w:pPr>
      <w:r>
        <w:rPr>
          <w:i/>
          <w:sz w:val="20"/>
        </w:rPr>
        <w:t>EN: Matrix plasticity and the molecular basis of extracellular filament assembly in Bacillus cereus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792">
        <w:r>
          <w:rPr>
            <w:color w:val="1155CC"/>
            <w:u w:val="single"/>
          </w:rPr>
          <w:t>10.1126/sciadv.aea1826</w:t>
        </w:r>
      </w:hyperlink>
    </w:p>
    <w:p>
      <w:pPr>
        <w:spacing w:before="0" w:after="120"/>
      </w:pPr>
      <w:r>
        <w:rPr>
          <w:b/>
        </w:rPr>
        <w:t xml:space="preserve">Notes: </w:t>
      </w:r>
      <w:r>
        <w:t>abstract_source=crossref</w:t>
      </w:r>
    </w:p>
    <w:p>
      <w:pPr>
        <w:spacing w:before="0" w:after="80" w:lineRule="auto" w:line="276"/>
      </w:pPr>
      <w:r>
        <w:rPr>
          <w:b/>
        </w:rPr>
        <w:t xml:space="preserve">摘要（ZH）: </w:t>
      </w:r>
      <w:r>
        <w:t>细胞外丝状体的受控组装对于细菌多细胞性和表面定殖至关重要。虽然革兰氏阳性细菌依赖多种机制构建与表面相关的纤维，但许多非经典途径仍然基本未被探索。在此，我们在</w:t>
      </w:r>
      <w:r>
        <w:t xml:space="preserve"> </w:t>
      </w:r>
      <w:r>
        <w:t>Bacillus cereus</w:t>
      </w:r>
      <w:r>
        <w:t xml:space="preserve"> </w:t>
      </w:r>
      <w:r>
        <w:t>中识别出一个受调控的、独立于Sortase的系统，该系统控制细胞外基质（ECM）内丝状体的聚合。这个三部分系统包括CapP（一种类似伴侣蛋白）和结构亚基TasA和CalY。CapP以浓度和结构域依赖的方式调节丝状体的形成，促进有序的异聚物组装，同时防止不受控的聚集。破坏这一途径会导致明显的补偿。</w:t>
      </w:r>
    </w:p>
    <w:p>
      <w:pPr>
        <w:spacing w:before="0" w:after="200" w:lineRule="auto" w:line="276"/>
      </w:pPr>
      <w:r>
        <w:rPr>
          <w:b/>
        </w:rPr>
        <w:t xml:space="preserve">Abstract (EN): </w:t>
      </w:r>
      <w:r>
        <w:t>The controlled assembly of extracellular filaments is essential for bacterial multicellularity and surface colonization. While Gram-positive bacteria rely on a variety of mechanisms to construct surface-associated fibers, many noncanonical pathways remain largely unexplored. Here, we identify a regulated, sortase-independent system in</w:t>
      </w:r>
      <w:r>
        <w:t xml:space="preserve"> </w:t>
      </w:r>
      <w:r>
        <w:t>Bacillus cereus</w:t>
      </w:r>
      <w:r>
        <w:t xml:space="preserve"> </w:t>
      </w:r>
      <w:r>
        <w:t>that governs the polymerization of filaments within the extracellular matrix (ECM). This tripartite system comprises CapP, a chaperone-like protein, and the structural subunits TasA and CalY. CapP modulates filament formation in a concentration- and domain-dependent manner, promoting ordered heteropolymer assembly while preventing uncontrolled aggregation. Disrupting this pathway leads to distinct compensatory changes in matrix composition—including exopolysaccharide expression, extracellular DNA release, and flagellar regulation—revealing an unexpected level of matrix plasticity. Our findings uncover a unique mechanism of ECM biogenesis in Gram-positive bacteria and suggest that plasticity in matrix organization may be a widespread adaptive strategy across bacterial lineages.</w:t>
      </w:r>
    </w:p>
    <w:p>
      <w:pPr>
        <w:spacing w:before="120" w:after="120"/>
      </w:pPr>
      <w:r>
        <w:rPr>
          <w:sz w:val="18"/>
        </w:rPr>
        <w:t>——————————————————————————————————————————————————————————————————————</w:t>
      </w:r>
    </w:p>
    <w:p>
      <w:pPr>
        <w:spacing w:before="160" w:after="40" w:line="240" w:lineRule="auto"/>
      </w:pPr>
      <w:r>
        <w:rPr>
          <w:b/>
        </w:rPr>
        <w:t xml:space="preserve">[323] </w:t>
      </w:r>
      <w:hyperlink r:id="rId793">
        <w:r>
          <w:rPr>
            <w:color w:val="1155CC"/>
            <w:u w:val="single"/>
          </w:rPr>
          <w:t>用于膀胱癌膀胱内化学免疫治疗的粘膜粘附肿瘤穿透纳米药物</w:t>
        </w:r>
      </w:hyperlink>
    </w:p>
    <w:p>
      <w:pPr>
        <w:spacing w:before="0" w:after="80"/>
      </w:pPr>
      <w:r>
        <w:rPr>
          <w:i/>
          <w:sz w:val="20"/>
        </w:rPr>
        <w:t>EN: Mucoadhesive tumor-penetrating nanomedicine for intravesical chemo-immunotherapy against bladder cancer</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794">
        <w:r>
          <w:rPr>
            <w:color w:val="1155CC"/>
            <w:u w:val="single"/>
          </w:rPr>
          <w:t>10.1126/sciadv.aeb9764</w:t>
        </w:r>
      </w:hyperlink>
    </w:p>
    <w:p>
      <w:pPr>
        <w:spacing w:before="0" w:after="120"/>
      </w:pPr>
      <w:r>
        <w:rPr>
          <w:b/>
        </w:rPr>
        <w:t xml:space="preserve">Notes: </w:t>
      </w:r>
      <w:r>
        <w:t>abstract_source=crossref</w:t>
      </w:r>
    </w:p>
    <w:p>
      <w:pPr>
        <w:spacing w:before="0" w:after="80" w:lineRule="auto" w:line="276"/>
      </w:pPr>
      <w:r>
        <w:rPr>
          <w:b/>
        </w:rPr>
        <w:t xml:space="preserve">摘要（ZH）: </w:t>
      </w:r>
      <w:r>
        <w:t>膀胱内化疗药物或免疫激动剂卡介苗（BCG）的给药是非肌肉浸润性膀胱癌（NMIBC）的第一线治疗。然而，排尿会阻止药物在膀胱中的滞留，膀胱粘液、上皮屏障和致密的肿瘤基质形成了多个物理屏障，限制了肿瘤内药物的渗透。在此，我们开发了负载化疗药物表柔比星（EPI）的巯基功能化细菌膜包覆纳米颗粒，用于对抗膀胱肿瘤的高效膀胱内化疗-免疫治疗。表面巯基通过动态二硫键实现了对富含粘蛋白的膀胱粘膜的尿液耐受性粘附，这在小鼠和人类膀胱中均得到了证明。同时，我们意外发现</w:t>
      </w:r>
    </w:p>
    <w:p>
      <w:pPr>
        <w:spacing w:before="0" w:after="200" w:lineRule="auto" w:line="276"/>
      </w:pPr>
      <w:r>
        <w:rPr>
          <w:b/>
        </w:rPr>
        <w:t xml:space="preserve">Abstract (EN): </w:t>
      </w:r>
      <w:r>
        <w:t>Intravesical administrations of chemotherapeutics or immune-agonist Bacillus Calmette-Guérin (BCG) are first-line treatments for non–muscle-invasive bladder cancer (NMIBC). However, while urination prevents drug retention in the bladder, the bladder mucus, epithelial barrier, and dense tumor stroma form multiple physical barriers that restrict intratumoral drug penetration. Here, we developed thiol-functionalized bacterial membrane–coated nanoparticles loaded with a chemotherapeutic agent epirubicin (EPI) for highly effective intravesical chemo-immunotherapy against bladder tumors. The surface thiol groups enabled urine-resistant adhesion to the mucin-rich bladder mucosa through dynamic disulfide bonds, as demonstrated in both mouse and human bladders. Meanwhile, we unexpectedly found that bacterial membrane components up-regulated matrix metalloproteinases (MMPs), facilitating tight junction disruption and collagen degradation, thereby enhancing nanoparticle penetration into tumors. Intratumoral delivery of EPI by such nanomedicine would induce robust immunogenic cell death (ICD), which by synergizing with the immunoadjuvant properties of the bacterial membrane can elicit tumor-specific immune responses, resulting in potent antitumor efficacy in both NMIBC and muscle-invasive bladder cancer (MIBC) mouse models. Notably, combination with immune checkpoint blockade further amplified systemic antitumor immunity, leading to complete regression of orthotopic bladder tumors and marked inhibition of distant lesions. Our unique nanomedicine platform by addressing challenges in current intravesical therapies would be highly promising for potent intravesical chemo-immunotherapy of bladder malignancies.</w:t>
      </w:r>
    </w:p>
    <w:p>
      <w:pPr>
        <w:spacing w:before="120" w:after="120"/>
      </w:pPr>
      <w:r>
        <w:rPr>
          <w:sz w:val="18"/>
        </w:rPr>
        <w:t>——————————————————————————————————————————————————————————————————————</w:t>
      </w:r>
    </w:p>
    <w:p>
      <w:pPr>
        <w:spacing w:before="160" w:after="40" w:line="240" w:lineRule="auto"/>
      </w:pPr>
      <w:r>
        <w:rPr>
          <w:b/>
        </w:rPr>
        <w:t xml:space="preserve">[324] </w:t>
      </w:r>
      <w:hyperlink r:id="rId795">
        <w:r>
          <w:rPr>
            <w:color w:val="1155CC"/>
            <w:u w:val="single"/>
          </w:rPr>
          <w:t>多组学分析和临床前模型实验揭示RAD51-IN-1作为安罗替尼敏感性的协同增强剂</w:t>
        </w:r>
      </w:hyperlink>
    </w:p>
    <w:p>
      <w:pPr>
        <w:spacing w:before="0" w:after="80"/>
      </w:pPr>
      <w:r>
        <w:rPr>
          <w:i/>
          <w:sz w:val="20"/>
        </w:rPr>
        <w:t>EN: Multiomics profiling and experiments in preclinical models revealed RAD51-IN-1 as a synergistic potentiator of anlotinib sensitivity</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796">
        <w:r>
          <w:rPr>
            <w:color w:val="1155CC"/>
            <w:u w:val="single"/>
          </w:rPr>
          <w:t>10.1126/sciadv.aeb0855</w:t>
        </w:r>
      </w:hyperlink>
    </w:p>
    <w:p>
      <w:pPr>
        <w:spacing w:before="0" w:after="120"/>
      </w:pPr>
      <w:r>
        <w:rPr>
          <w:b/>
        </w:rPr>
        <w:t xml:space="preserve">Notes: </w:t>
      </w:r>
      <w:r>
        <w:t>abstract_source=crossref</w:t>
      </w:r>
    </w:p>
    <w:p>
      <w:pPr>
        <w:spacing w:before="0" w:after="80" w:lineRule="auto" w:line="276"/>
      </w:pPr>
      <w:r>
        <w:rPr>
          <w:b/>
        </w:rPr>
        <w:t xml:space="preserve">摘要（ZH）: </w:t>
      </w:r>
      <w:r>
        <w:t>安罗替尼已显示出作为卵巢癌一线维持治疗的初步疗效。然而，临床反应差异很大。为了研究耐药机制并探索合理的组合，临床试验NCT04807166中18名患者的治疗前肿瘤进行了全外显子组和RNA测序，并根据无进展生存期将其分为敏感组和耐药组。敏感肿瘤中富集了VEGFR相关突变，而耐药肿瘤显示出DNA修复通路和Notch信号的活性增加。体外筛选发现安罗替尼与RAD51抑制剂RAD51-IN-1之间具有强协同作用，其在耐药患者来源的类器官中表现优于Notch抑制剂FLI-06。机制研究表明，RAD51抑制</w:t>
      </w:r>
    </w:p>
    <w:p>
      <w:pPr>
        <w:spacing w:before="0" w:after="200" w:lineRule="auto" w:line="276"/>
      </w:pPr>
      <w:r>
        <w:rPr>
          <w:b/>
        </w:rPr>
        <w:t xml:space="preserve">Abstract (EN): </w:t>
      </w:r>
      <w:r>
        <w:t>Anlotinib has demonstrated preliminary efficacy as a first-line maintenance therapy for ovarian cancer. However, clinical responses vary widely. To investigate resistance mechanisms and explore rational combinations, pretreatment tumors from 18 patients in clinical trial NCT04807166 underwent whole-exome and RNA sequencing and stratified into sensitive and resistant groups based on progression-free survival. VEGFR-related mutations were enriched in sensitive tumors, whereas resistant tumors showed increased activity of DNA repair pathways and Notch signaling. In vitro screening identified strong synergy between anlotinib and the RAD51 inhibitor RAD51-IN-1, which outperformed the Notch inhibitor FLI-06 in resistant patient-derived organoids. Mechanistic studies revealed that RAD51 inhibition was associated with impaired HRR and increased sensitivity to anlotinib. In vivo, combined treatment with anlotinib and RAD51-IN-1 significantly reduced tumor burden without notable toxicity. These findings suggest that RAD51-mediated HRR may contribute to anlotinib resistance and support RAD51 inhibition as a promising approach to overcome therapeutic resistance in ovarian cancer.</w:t>
      </w:r>
    </w:p>
    <w:p>
      <w:pPr>
        <w:spacing w:before="120" w:after="120"/>
      </w:pPr>
      <w:r>
        <w:rPr>
          <w:sz w:val="18"/>
        </w:rPr>
        <w:t>——————————————————————————————————————————————————————————————————————</w:t>
      </w:r>
    </w:p>
    <w:p>
      <w:pPr>
        <w:spacing w:before="160" w:after="40" w:line="240" w:lineRule="auto"/>
      </w:pPr>
      <w:r>
        <w:rPr>
          <w:b/>
        </w:rPr>
        <w:t xml:space="preserve">[325] </w:t>
      </w:r>
      <w:hyperlink r:id="rId797">
        <w:r>
          <w:rPr>
            <w:color w:val="1155CC"/>
            <w:u w:val="single"/>
          </w:rPr>
          <w:t>单个大肠杆菌细胞中CheY-P浓度与趋化适应期间运动行为的相关性</w:t>
        </w:r>
      </w:hyperlink>
    </w:p>
    <w:p>
      <w:pPr>
        <w:spacing w:before="0" w:after="80"/>
      </w:pPr>
      <w:r>
        <w:rPr>
          <w:i/>
          <w:sz w:val="20"/>
        </w:rPr>
        <w:t>EN: Correlation of CheY-P concentration and motor behavior during attractant adaptation in single E. coli cells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798">
        <w:r>
          <w:rPr>
            <w:color w:val="1155CC"/>
            <w:u w:val="single"/>
          </w:rPr>
          <w:t>10.1126/sciadv.aea7305</w:t>
        </w:r>
      </w:hyperlink>
    </w:p>
    <w:p>
      <w:pPr>
        <w:spacing w:before="0" w:after="120"/>
      </w:pPr>
      <w:r>
        <w:rPr>
          <w:b/>
        </w:rPr>
        <w:t xml:space="preserve">Notes: </w:t>
      </w:r>
      <w:r>
        <w:t>abstract_source=crossref</w:t>
      </w:r>
    </w:p>
    <w:p>
      <w:pPr>
        <w:spacing w:before="0" w:after="80" w:lineRule="auto" w:line="276"/>
      </w:pPr>
      <w:r>
        <w:rPr>
          <w:b/>
        </w:rPr>
        <w:t xml:space="preserve">摘要（ZH）: </w:t>
      </w:r>
      <w:r>
        <w:t>响应调节器CheY是一个细胞内信号分子，在大肠杆菌细胞的趋化性信号传导中起着核心作用。在此，我们展示了在吸引物L-丝氨酸刺激后，单个细胞内CheY-P浓度变化与鞭毛马达旋转高度相关。为了监测CheY-P浓度和细胞行为，CheY-YFP和CheZ-CFP之间的FRET以及鞭毛旋转被同时监测。CheY-P浓度恢复所需的时间（FRET恢复时间）和高度逆时针偏向的鞭毛旋转持续时间（CCW持续时间）相似，并取决于刺激强度。FRET恢复时间和CCW持续时间都</w:t>
      </w:r>
    </w:p>
    <w:p>
      <w:pPr>
        <w:spacing w:before="0" w:after="200" w:lineRule="auto" w:line="276"/>
      </w:pPr>
      <w:r>
        <w:rPr>
          <w:b/>
        </w:rPr>
        <w:t xml:space="preserve">Abstract (EN): </w:t>
      </w:r>
      <w:r>
        <w:t>The response regulator CheY is an intracellular signaling molecule that plays a central role in chemotaxis signaling in</w:t>
      </w:r>
      <w:r>
        <w:t xml:space="preserve"> </w:t>
      </w:r>
      <w:r>
        <w:t>E. coli</w:t>
      </w:r>
      <w:r>
        <w:t xml:space="preserve"> </w:t>
      </w:r>
      <w:r>
        <w:t>cells. Here, we show that changes in CheY-P concentration and flagellar motor rotation are highly correlated within a single cell after stimulation by the attractant</w:t>
      </w:r>
      <w:r>
        <w:t xml:space="preserve"> </w:t>
      </w:r>
      <w:r>
        <w:t>l</w:t>
      </w:r>
      <w:r>
        <w:t xml:space="preserve"> </w:t>
      </w:r>
      <w:r>
        <w:t>-serine. To monitor the CheY-P concentration and cellular behavior, FRET between CheY-YFP and CheZ-CFP and flagellar rotation were monitored simultaneously. The time required for recovery of the CheY-P concentration (FRET recovery time) and the duration of highly counterclockwise-biased flagellar rotation (CCW duration) were similar and depended on the strength of the stimulus. Both the FRET recovery time and the CCW duration varied from cell to cell, even at the same serine concentration. In cells adapted to serine, the sensitivity of the motor to CheY-P concentration shifted toward lower CheY-P levels relative to prestimulation cells. Thus, we could correlate the changes in CheY-P concentration with motor behavior during attractant adaptation.</w:t>
      </w:r>
    </w:p>
    <w:p>
      <w:pPr>
        <w:spacing w:before="120" w:after="120"/>
      </w:pPr>
      <w:r>
        <w:rPr>
          <w:sz w:val="18"/>
        </w:rPr>
        <w:t>——————————————————————————————————————————————————————————————————————</w:t>
      </w:r>
    </w:p>
    <w:p>
      <w:pPr>
        <w:spacing w:before="160" w:after="40" w:line="240" w:lineRule="auto"/>
      </w:pPr>
      <w:r>
        <w:rPr>
          <w:b/>
        </w:rPr>
        <w:t xml:space="preserve">[326] </w:t>
      </w:r>
      <w:hyperlink r:id="rId799">
        <w:r>
          <w:rPr>
            <w:color w:val="1155CC"/>
            <w:u w:val="single"/>
          </w:rPr>
          <w:t>通过深海钻孔观测揭示的与锁定俯冲巨型逆断层相关的应变积累</w:t>
        </w:r>
      </w:hyperlink>
    </w:p>
    <w:p>
      <w:pPr>
        <w:spacing w:before="0" w:after="80"/>
      </w:pPr>
      <w:r>
        <w:rPr>
          <w:i/>
          <w:sz w:val="20"/>
        </w:rPr>
        <w:t>EN: Strain accumulation associated with locked subduction megathrusts revealed by deep-ocean borehole observations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00">
        <w:r>
          <w:rPr>
            <w:color w:val="1155CC"/>
            <w:u w:val="single"/>
          </w:rPr>
          <w:t>10.1126/sciadv.aea7133</w:t>
        </w:r>
      </w:hyperlink>
    </w:p>
    <w:p>
      <w:pPr>
        <w:spacing w:before="0" w:after="120"/>
      </w:pPr>
      <w:r>
        <w:rPr>
          <w:b/>
        </w:rPr>
        <w:t xml:space="preserve">Notes: </w:t>
      </w:r>
      <w:r>
        <w:t>abstract_source=crossref</w:t>
      </w:r>
    </w:p>
    <w:p>
      <w:pPr>
        <w:spacing w:before="0" w:after="80" w:lineRule="auto" w:line="276"/>
      </w:pPr>
      <w:r>
        <w:rPr>
          <w:b/>
        </w:rPr>
        <w:t xml:space="preserve">摘要（ZH）: </w:t>
      </w:r>
      <w:r>
        <w:t>构造应变的周期性储存和释放构成了地震破裂的根本原因。尽管陆上大地测量测量已被广泛用于评估俯冲断层的锁定，但我们对应变积累的理解，尤其是在海上地区，仍然不完整。在此，我们展示了来自深海钻孔的证据，证明了在卡斯卡迪亚、南海、哥斯达黎加和巴巴多斯的地震间期和慢滑动间期的应变积累。在细粒、低渗透性沉积物中测得的稳步上升的地层流体压力（</w:t>
      </w:r>
      <w:r>
        <w:t xml:space="preserve"> </w:t>
      </w:r>
      <w:r>
        <w:t>P</w:t>
      </w:r>
      <w:r>
        <w:t xml:space="preserve"> </w:t>
      </w:r>
      <w:r>
        <w:t>f</w:t>
      </w:r>
      <w:r>
        <w:t xml:space="preserve"> </w:t>
      </w:r>
      <w:r>
        <w:t>）被解释为反映体积应变的积累，并由此推断出滑动事件之间断层应力的增加。我们构建通用模型来展示这一概念和特定地点的模型。</w:t>
      </w:r>
    </w:p>
    <w:p>
      <w:pPr>
        <w:spacing w:before="0" w:after="200" w:lineRule="auto" w:line="276"/>
      </w:pPr>
      <w:r>
        <w:rPr>
          <w:b/>
        </w:rPr>
        <w:t xml:space="preserve">Abstract (EN): </w:t>
      </w:r>
      <w:r>
        <w:t>The cyclical storage and release of tectonic strain constitute the root cause of earthquake ruptures. Although onshore geodetic measurements have been widely used to assess subduction-fault locking, our understanding of strain accumulation, especially in offshore regions, remains incomplete. Here, we present evidence from deep-sea boreholes for interseismic and inter-slow-slip strain accumulation at Cascadia, Nankai, Costa Rica, and Barbados. Steadily rising formation fluid pressure (</w:t>
      </w:r>
      <w:r>
        <w:t xml:space="preserve"> </w:t>
      </w:r>
      <w:r>
        <w:t>P</w:t>
      </w:r>
      <w:r>
        <w:t xml:space="preserve"> </w:t>
      </w:r>
      <w:r>
        <w:t>f</w:t>
      </w:r>
      <w:r>
        <w:t xml:space="preserve"> </w:t>
      </w:r>
      <w:r>
        <w:t>) measured in fine-grained, low-permeability sediments is interpreted to reflect volumetric strain buildup and, by inference, increasing fault stress between slip events. We construct generic models to demonstrate the concept and site-specific models to illustrate margin-variable strain loading patterns. At northern Cascadia, the observed</w:t>
      </w:r>
      <w:r>
        <w:t xml:space="preserve"> </w:t>
      </w:r>
      <w:r>
        <w:t>P</w:t>
      </w:r>
      <w:r>
        <w:t xml:space="preserve"> </w:t>
      </w:r>
      <w:r>
        <w:t>f</w:t>
      </w:r>
      <w:r>
        <w:t xml:space="preserve"> </w:t>
      </w:r>
      <w:r>
        <w:t>trend (~0.6 kilopascals per year, reflecting a strain rate of ~0.15 × 10</w:t>
      </w:r>
      <w:r>
        <w:t xml:space="preserve"> </w:t>
      </w:r>
      <w:r>
        <w:t>−6</w:t>
      </w:r>
      <w:r>
        <w:t xml:space="preserve"> </w:t>
      </w:r>
      <w:r>
        <w:t>year</w:t>
      </w:r>
      <w:r>
        <w:t xml:space="preserve"> </w:t>
      </w:r>
      <w:r>
        <w:t>−1</w:t>
      </w:r>
      <w:r>
        <w:t xml:space="preserve"> </w:t>
      </w:r>
      <w:r>
        <w:t>) can be explained by present-day full locking of the shallow megathrust. At Costa Rica, where the shallow megathrust hosts episodic slow slip events (SSEs), more rapid strain accumulation (</w:t>
      </w:r>
      <w:r>
        <w:t xml:space="preserve"> </w:t>
      </w:r>
      <w:r>
        <w:t>P</w:t>
      </w:r>
      <w:r>
        <w:t xml:space="preserve"> </w:t>
      </w:r>
      <w:r>
        <w:t>f</w:t>
      </w:r>
      <w:r>
        <w:t xml:space="preserve"> </w:t>
      </w:r>
      <w:r>
        <w:t>trend of ~3.0 kilopascals per year) is observed during intervals between strain-releasing shallow SSEs.</w:t>
      </w:r>
    </w:p>
    <w:p>
      <w:pPr>
        <w:spacing w:before="120" w:after="120"/>
      </w:pPr>
      <w:r>
        <w:rPr>
          <w:sz w:val="18"/>
        </w:rPr>
        <w:t>——————————————————————————————————————————————————————————————————————</w:t>
      </w:r>
    </w:p>
    <w:p>
      <w:pPr>
        <w:spacing w:before="160" w:after="40" w:line="240" w:lineRule="auto"/>
      </w:pPr>
      <w:r>
        <w:rPr>
          <w:b/>
        </w:rPr>
        <w:t xml:space="preserve">[327] </w:t>
      </w:r>
      <w:hyperlink r:id="rId801">
        <w:r>
          <w:rPr>
            <w:color w:val="1155CC"/>
            <w:u w:val="single"/>
          </w:rPr>
          <w:t>边缘表达：加沙危机中的言论自由界限</w:t>
        </w:r>
      </w:hyperlink>
    </w:p>
    <w:p>
      <w:pPr>
        <w:spacing w:before="0" w:after="80"/>
      </w:pPr>
      <w:r>
        <w:rPr>
          <w:i/>
          <w:sz w:val="20"/>
        </w:rPr>
        <w:t>EN: Expression at the edge: Free speech boundaries amidst the Gaza crisis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02">
        <w:r>
          <w:rPr>
            <w:color w:val="1155CC"/>
            <w:u w:val="single"/>
          </w:rPr>
          <w:t>10.1126/sciadv.aea5427</w:t>
        </w:r>
      </w:hyperlink>
    </w:p>
    <w:p>
      <w:pPr>
        <w:spacing w:before="0" w:after="120"/>
      </w:pPr>
      <w:r>
        <w:rPr>
          <w:b/>
        </w:rPr>
        <w:t xml:space="preserve">Notes: </w:t>
      </w:r>
      <w:r>
        <w:t>abstract_source=crossref</w:t>
      </w:r>
    </w:p>
    <w:p>
      <w:pPr>
        <w:spacing w:before="0" w:after="80" w:lineRule="auto" w:line="276"/>
      </w:pPr>
      <w:r>
        <w:rPr>
          <w:b/>
        </w:rPr>
        <w:t xml:space="preserve">摘要（ZH）: </w:t>
      </w:r>
      <w:r>
        <w:t>大学已成为关于言论自由边界的国家辩论的关键场所。通过使用预注册的在线调查实验，针对3065名美国大学生的全国代表性样本，本研究考察了个人如何在言论自由与防止伤害之间的紧张关系中进行导航，这一问题因最近关于加沙的校园抗议而更加尖锐。我们测试了言论严重程度的变化及其目标身份（白人、黑人、犹太人、穆斯林或跨性别者）如何影响对适当机构反应的判断。我们的预注册分析显示，学生普遍反对惩罚令人反感的言论，除非它被认为是高度有害的，并且针对少数群体的相同言论比针对其他群体的言论引发更强烈的惩罚性反应。</w:t>
      </w:r>
    </w:p>
    <w:p>
      <w:pPr>
        <w:spacing w:before="0" w:after="200" w:lineRule="auto" w:line="276"/>
      </w:pPr>
      <w:r>
        <w:rPr>
          <w:b/>
        </w:rPr>
        <w:t xml:space="preserve">Abstract (EN): </w:t>
      </w:r>
      <w:r>
        <w:t>Universities have become key arenas in national debates over the boundaries of free expression. Using preregistered online survey experiments with a nationally representative sample of 3065 US college students, this study examines how individuals navigate the tension between free speech and harm prevention, an issue sharpened by recent campus protests over Gaza. We test how variation in the severity of speech and the identity of its target (white, Black, Jewish, Muslim, or transgender individuals) shapes judgments about appropriate institutional responses. Our preregistered analyses show that students generally oppose punishing objectionable speech unless it is perceived as highly harmful and that identical statements directed at minority groups elicit stronger punitive responses than those targeting white individuals. Exploratory analyses reveal that these patterns reflect distinct normative principles: Most students adopt a particularist stance, favoring greater protection for marginalized groups, while a sizable minority adhere to a universalist view emphasizing equal treatment regardless of identity. These principles predict attitudes across contexts, but adherence weakens when individuals hold strong views on the issue at hand. Our findings show that campus conflicts over speech boundaries reflect not only disagreement about norms but also unequal application of these norms across groups and issues.</w:t>
      </w:r>
    </w:p>
    <w:p>
      <w:pPr>
        <w:spacing w:before="120" w:after="120"/>
      </w:pPr>
      <w:r>
        <w:rPr>
          <w:sz w:val="18"/>
        </w:rPr>
        <w:t>——————————————————————————————————————————————————————————————————————</w:t>
      </w:r>
    </w:p>
    <w:p>
      <w:pPr>
        <w:spacing w:before="160" w:after="40" w:line="240" w:lineRule="auto"/>
      </w:pPr>
      <w:r>
        <w:rPr>
          <w:b/>
        </w:rPr>
        <w:t xml:space="preserve">[328] </w:t>
      </w:r>
      <w:hyperlink r:id="rId803">
        <w:r>
          <w:rPr>
            <w:color w:val="1155CC"/>
            <w:u w:val="single"/>
          </w:rPr>
          <w:t>因洪水导致的农业损失被低估</w:t>
        </w:r>
      </w:hyperlink>
    </w:p>
    <w:p>
      <w:pPr>
        <w:spacing w:before="0" w:after="80"/>
      </w:pPr>
      <w:r>
        <w:rPr>
          <w:i/>
          <w:sz w:val="20"/>
        </w:rPr>
        <w:t>EN: Underestimated agricultural losses due to flooding</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04">
        <w:r>
          <w:rPr>
            <w:color w:val="1155CC"/>
            <w:u w:val="single"/>
          </w:rPr>
          <w:t>10.1126/sciadv.aed2754</w:t>
        </w:r>
      </w:hyperlink>
    </w:p>
    <w:p>
      <w:pPr>
        <w:spacing w:before="0" w:after="120"/>
      </w:pPr>
      <w:r>
        <w:rPr>
          <w:b/>
        </w:rPr>
        <w:t xml:space="preserve">Notes: </w:t>
      </w:r>
      <w:r>
        <w:t>abstract_source=crossref</w:t>
      </w:r>
    </w:p>
    <w:p>
      <w:pPr>
        <w:spacing w:before="0" w:after="80" w:lineRule="auto" w:line="276"/>
      </w:pPr>
      <w:r>
        <w:rPr>
          <w:b/>
        </w:rPr>
        <w:t xml:space="preserve">摘要（ZH）: </w:t>
      </w:r>
      <w:r>
        <w:t>在气候变暖的背景下，洪水对全球粮食安全构成了日益严重的威胁，但在量化洪水引发的农业损失方面仍存在关键差距，这阻碍了有效应对潜在粮食危机的适应措施的设计。在此，我们提出了一种预测洪水导致的作物损失的方法框架，使用洪水应力算法来优化现有作物模型的产量模拟。该方法确保了对玉米、大豆和小麦的模拟产量减少与美国的观测结果一致，并显示出美国和全球范围内估计的与报告的洪水引发的作物损失之间的高度一致性。未来洪水引发的损失在原始模拟中被大大低估，预计将与或甚至超过当前水平。</w:t>
      </w:r>
    </w:p>
    <w:p>
      <w:pPr>
        <w:spacing w:before="0" w:after="200" w:lineRule="auto" w:line="276"/>
      </w:pPr>
      <w:r>
        <w:rPr>
          <w:b/>
        </w:rPr>
        <w:t xml:space="preserve">Abstract (EN): </w:t>
      </w:r>
      <w:r>
        <w:t>Flooding poses a growing threat to global food security in a warming climate, yet a critical gap remains in quantifying flood-induced agricultural losses, hindering the design of effective adaptations to potential food crises. Here, we present a methodological framework for projecting crop losses from flooding, using a flooding stress algorithm to refine yield simulations from existing crop models. This approach ensures that simulated yield reductions for maize, soybean, and wheat align with observations in the United States and demonstrates strong agreement between estimated and reported flood-induced crop losses both in the United States and globally. Future flood-induced losses, which were substantially underestimated in the original simulations, are projected to be comparable to or even exceed drought-induced losses in many regions and exhibit distinct spatial and temporal patterns. Mitigation of greenhouse gas emissions helps reduce these risks. This framework provides a robust basis for assessing agricultural vulnerability to flood shocks and guiding strategies to safeguard food supplies under climate change.</w:t>
      </w:r>
    </w:p>
    <w:p>
      <w:pPr>
        <w:spacing w:before="120" w:after="120"/>
      </w:pPr>
      <w:r>
        <w:rPr>
          <w:sz w:val="18"/>
        </w:rPr>
        <w:t>——————————————————————————————————————————————————————————————————————</w:t>
      </w:r>
    </w:p>
    <w:p>
      <w:pPr>
        <w:spacing w:before="160" w:after="40" w:line="240" w:lineRule="auto"/>
      </w:pPr>
      <w:r>
        <w:rPr>
          <w:b/>
        </w:rPr>
        <w:t xml:space="preserve">[329] </w:t>
      </w:r>
      <w:hyperlink r:id="rId805">
        <w:r>
          <w:rPr>
            <w:color w:val="1155CC"/>
            <w:u w:val="single"/>
          </w:rPr>
          <w:t>多模态原位表征揭示高稳定性双极性OECT中的极化子积累和离子动力学</w:t>
        </w:r>
      </w:hyperlink>
    </w:p>
    <w:p>
      <w:pPr>
        <w:spacing w:before="0" w:after="80"/>
      </w:pPr>
      <w:r>
        <w:rPr>
          <w:i/>
          <w:sz w:val="20"/>
        </w:rPr>
        <w:t>EN: Multimodal operando characterization unravels polaron accumulation and ion dynamics in high-stability ambipolar OECTs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06">
        <w:r>
          <w:rPr>
            <w:color w:val="1155CC"/>
            <w:u w:val="single"/>
          </w:rPr>
          <w:t>10.1126/sciadv.aea9786</w:t>
        </w:r>
      </w:hyperlink>
    </w:p>
    <w:p>
      <w:pPr>
        <w:spacing w:before="0" w:after="120"/>
      </w:pPr>
      <w:r>
        <w:rPr>
          <w:b/>
        </w:rPr>
        <w:t xml:space="preserve">Notes: </w:t>
      </w:r>
      <w:r>
        <w:t>abstract_source=crossref</w:t>
      </w:r>
    </w:p>
    <w:p>
      <w:pPr>
        <w:spacing w:before="0" w:after="80" w:lineRule="auto" w:line="276"/>
      </w:pPr>
      <w:r>
        <w:rPr>
          <w:b/>
        </w:rPr>
        <w:t xml:space="preserve">摘要（ZH）: </w:t>
      </w:r>
      <w:r>
        <w:t>在双极性有机电化学晶体管（OECTs）中实现高性能和稳定性仍然具有挑战性，这主要是由于对聚合物结构和掺杂机制如何相互作用的理解有限。解决这一问题需要能够捕捉结构和电荷动态的原位技术。在这项研究中，我们使用多模态原位方法研究P-6O，这是一种具有寡聚（乙二醇）侧链的萘二酰亚胺和二烷氧基噻唑共聚物。原位电子顺磁共振（EPR）和X射线光电子能谱（XPS），在密度泛函理论的支持下，揭示了由于低主链平面性而形成的局域p-和n-极化子，这一特性通常被认为是实现稳健传输和稳定性的设计挑战。</w:t>
      </w:r>
    </w:p>
    <w:p>
      <w:pPr>
        <w:spacing w:before="0" w:after="200" w:lineRule="auto" w:line="276"/>
      </w:pPr>
      <w:r>
        <w:rPr>
          <w:b/>
        </w:rPr>
        <w:t xml:space="preserve">Abstract (EN): </w:t>
      </w:r>
      <w:r>
        <w:t>Achieving both high performance and stability in ambipolar organic electrochemical transistors (OECTs) remains challenging, largely due to limited understanding of how polymer structure and doping mechanisms interplay. Addressing this requires operando techniques that capture both structural and charge dynamics. In this study, we use a multimodal operando approach to investigating P-6O, a naphthalenediimide and dialkoxybithiazole copolymer with oligo(ethylene glycol) side chains. Operando electron paramagnetic resonance (EPR) and x-ray photoelectron spectroscopy (XPS), supported by density functional theory, reveal the formation of localized p- and n-polarons due to low backbone planarity, a characteristic often considered a design challenge for achieving robust transport and stability. However, P-6O–based OECTs exhibit pulsing stability. attenuated total reflection Fourier transform infrared and temperature-dependent EPR indicate strong polymer-electrolyte interactions, while operando XPS and grazing incidence wide-angle x-ray scattering reveal bidirectional ion motion that preserves film morphology. Collectively, these results underscore the critical role of ion dynamics in stabilizing OECTs, even in less planar polymers, and offer design guidelines for stable ambipolar transport.</w:t>
      </w:r>
    </w:p>
    <w:p>
      <w:pPr>
        <w:spacing w:before="120" w:after="120"/>
      </w:pPr>
      <w:r>
        <w:rPr>
          <w:sz w:val="18"/>
        </w:rPr>
        <w:t>——————————————————————————————————————————————————————————————————————</w:t>
      </w:r>
    </w:p>
    <w:p>
      <w:pPr>
        <w:spacing w:before="160" w:after="40" w:line="240" w:lineRule="auto"/>
      </w:pPr>
      <w:r>
        <w:rPr>
          <w:b/>
        </w:rPr>
        <w:t xml:space="preserve">[330] </w:t>
      </w:r>
      <w:hyperlink r:id="rId807">
        <w:r>
          <w:rPr>
            <w:color w:val="1155CC"/>
            <w:u w:val="single"/>
          </w:rPr>
          <w:t>作为肌肉闭环感应-刺激系统的皮肤上绘制电子纹身</w:t>
        </w:r>
      </w:hyperlink>
    </w:p>
    <w:p>
      <w:pPr>
        <w:spacing w:before="0" w:after="80"/>
      </w:pPr>
      <w:r>
        <w:rPr>
          <w:i/>
          <w:sz w:val="20"/>
        </w:rPr>
        <w:t>EN: Drawn-on-skin electronic tattoo as a closed-loop sensing-stimulation system for the muscles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08">
        <w:r>
          <w:rPr>
            <w:color w:val="1155CC"/>
            <w:u w:val="single"/>
          </w:rPr>
          <w:t>10.1126/sciadv.aed7673</w:t>
        </w:r>
      </w:hyperlink>
    </w:p>
    <w:p>
      <w:pPr>
        <w:spacing w:before="0" w:after="120"/>
      </w:pPr>
      <w:r>
        <w:rPr>
          <w:b/>
        </w:rPr>
        <w:t xml:space="preserve">Notes: </w:t>
      </w:r>
      <w:r>
        <w:t>abstract_source=crossref</w:t>
      </w:r>
    </w:p>
    <w:p>
      <w:pPr>
        <w:spacing w:before="0" w:after="80" w:lineRule="auto" w:line="276"/>
      </w:pPr>
      <w:r>
        <w:rPr>
          <w:b/>
        </w:rPr>
        <w:t xml:space="preserve">摘要（ZH）: </w:t>
      </w:r>
      <w:r>
        <w:t>同时进行肌电图（EMG）传感和闭环电刺激（ES）可以实现互动肌肉训练、运动康复和动觉反馈。然而，当前系统通常存在设备/皮肤界面不贴合、可穿戴性差以及用户解剖结构差异等问题，限制了信号保真度和刺激精度。在此，我们提出了一种完全无线、皮肤集成的电子纹身平台，该平台通过定制的皮肤上绘制的贴合电极记录高质量的EMG并提供闭环ES，具有强附着力和高空间精度。该系统支持跨身体区域甚至个体之间的闭环肌肉交互。机器学习模型以超过90%的准确率对不同手势的EMG模式进行分类。</w:t>
      </w:r>
    </w:p>
    <w:p>
      <w:pPr>
        <w:spacing w:before="0" w:after="200" w:lineRule="auto" w:line="276"/>
      </w:pPr>
      <w:r>
        <w:rPr>
          <w:b/>
        </w:rPr>
        <w:t xml:space="preserve">Abstract (EN): </w:t>
      </w:r>
      <w:r>
        <w:t>Simultaneous electromyography (EMG) sensing and closed-loop electrical stimulation (ES) could enable interactive muscle training, motor rehabilitation, and kinesthetic feedback. However, current systems often suffer from nonconformal device/skin interfaces, poor wearability, and anatomical variability among users, limiting signal fidelity and stimulation precision. Here, we present a fully wireless, skin-integrated electronic tattoo platform that records high-quality EMG and delivers closed-loop ES through custom drawn-on-skin, conformal electrodes with strong adhesion and high spatial accuracy. The system supports closed-loop muscle interactions across body regions and even between individuals. Machine learning models classify EMG patterns from different hand gestures with &amp;gt;90% accuracy and adapt ES parameters to stimulate specific muscle groups. In a heavy object holding task, users reached the required grip behavior substantially faster than unassisted controls, indicating improved neuromuscular efficiency. This closed-loop framework not only supports personalized muscle control but also supports coordinated activation across multiple sites or users, unlocking possibilities in interactive motor training, remote rehabilitation, and virtual reality environments.</w:t>
      </w:r>
    </w:p>
    <w:p>
      <w:pPr>
        <w:spacing w:before="120" w:after="120"/>
      </w:pPr>
      <w:r>
        <w:rPr>
          <w:sz w:val="18"/>
        </w:rPr>
        <w:t>——————————————————————————————————————————————————————————————————————</w:t>
      </w:r>
    </w:p>
    <w:p>
      <w:pPr>
        <w:spacing w:before="160" w:after="40" w:line="240" w:lineRule="auto"/>
      </w:pPr>
      <w:r>
        <w:rPr>
          <w:b/>
        </w:rPr>
        <w:t xml:space="preserve">[331] </w:t>
      </w:r>
      <w:hyperlink r:id="rId809">
        <w:r>
          <w:rPr>
            <w:color w:val="1155CC"/>
            <w:u w:val="single"/>
          </w:rPr>
          <w:t>观测约束预测本世纪末AMOC将减弱约50%</w:t>
        </w:r>
      </w:hyperlink>
    </w:p>
    <w:p>
      <w:pPr>
        <w:spacing w:before="0" w:after="80"/>
      </w:pPr>
      <w:r>
        <w:rPr>
          <w:i/>
          <w:sz w:val="20"/>
        </w:rPr>
        <w:t>EN: Observational constraints project a ~50% AMOC weakening by the end of this century</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10">
        <w:r>
          <w:rPr>
            <w:color w:val="1155CC"/>
            <w:u w:val="single"/>
          </w:rPr>
          <w:t>10.1126/sciadv.adx4298</w:t>
        </w:r>
      </w:hyperlink>
    </w:p>
    <w:p>
      <w:pPr>
        <w:spacing w:before="0" w:after="120"/>
      </w:pPr>
      <w:r>
        <w:rPr>
          <w:b/>
        </w:rPr>
        <w:t xml:space="preserve">Notes: </w:t>
      </w:r>
      <w:r>
        <w:t>abstract_source=crossref</w:t>
      </w:r>
    </w:p>
    <w:p>
      <w:pPr>
        <w:spacing w:before="0" w:after="80" w:lineRule="auto" w:line="276"/>
      </w:pPr>
      <w:r>
        <w:rPr>
          <w:b/>
        </w:rPr>
        <w:t xml:space="preserve">摘要（ZH）: </w:t>
      </w:r>
      <w:r>
        <w:t>气候模型在其对大西洋未来预测中显示出相当大的差异，主要是由于对大西洋经向翻转环流（AMOC）命运的不确定性。气候模型建议到2100年AMOC强度将减少32 ± 37%（90%概率，共享社会经济路径2-4.5情景，耦合模型比较项目第六阶段）。为了细化这一估计并减少其不确定性，我们使用了四种不同的观测约束方法。最佳方法是通过岭正则化线性回归整合大量可观测变量，这在气候科学中是不常见的方法。它给出了AMOC减缓的估计为51 ± 8%（90%概率），即比建议的减弱强约60%。</w:t>
      </w:r>
    </w:p>
    <w:p>
      <w:pPr>
        <w:spacing w:before="0" w:after="200" w:lineRule="auto" w:line="276"/>
      </w:pPr>
      <w:r>
        <w:rPr>
          <w:b/>
        </w:rPr>
        <w:t xml:space="preserve">Abstract (EN): </w:t>
      </w:r>
      <w:r>
        <w:t>Climate models show considerable discrepancies in their future projections around the Atlantic, mainly due to uncertainties in the fate of the Atlantic Meridional Overturning Circulation (AMOC). Climate models suggest a reduction in AMOC strength of 32 ± 37% by 2100 (90% probability, Shared Socioeconomic Pathways 2-4.5 scenario, Coupled Model Intercomparison Project Phase 6). To refine this estimate and reduce its uncertainty, we use four different observational constraint methods. The best one, which provides the lowest leave-one-out error, integrates a large set of observable variables using ridge-regularized linear regression—a method unusual in climate science. It gives an estimate of the AMOC slowdown of 51 ± 8% (90% probability), i.e., a weakening ∼ 60% stronger than suggested by the multimodel mean. This refinement mainly results from correcting a bias in South Atlantic surface salinity, consistent with recent studies emphasizing its role in the proximity to an AMOC tipping point. This more substantial AMOC weakening has key implications for future adaptation strategies.</w:t>
      </w:r>
    </w:p>
    <w:p>
      <w:pPr>
        <w:spacing w:before="120" w:after="120"/>
      </w:pPr>
      <w:r>
        <w:rPr>
          <w:sz w:val="18"/>
        </w:rPr>
        <w:t>——————————————————————————————————————————————————————————————————————</w:t>
      </w:r>
    </w:p>
    <w:p>
      <w:pPr>
        <w:spacing w:before="160" w:after="40" w:line="240" w:lineRule="auto"/>
      </w:pPr>
      <w:r>
        <w:rPr>
          <w:b/>
        </w:rPr>
        <w:t xml:space="preserve">[332] </w:t>
      </w:r>
      <w:hyperlink r:id="rId811">
        <w:r>
          <w:rPr>
            <w:color w:val="1155CC"/>
            <w:u w:val="single"/>
          </w:rPr>
          <w:t>用于同时密封和早期检测胃漏的生物可吸收声学贴片</w:t>
        </w:r>
      </w:hyperlink>
    </w:p>
    <w:p>
      <w:pPr>
        <w:spacing w:before="0" w:after="80"/>
      </w:pPr>
      <w:r>
        <w:rPr>
          <w:i/>
          <w:sz w:val="20"/>
        </w:rPr>
        <w:t>EN: Bioresorbable acoustic patch for simultaneous sealing and early detection of gastric leakage</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12">
        <w:r>
          <w:rPr>
            <w:color w:val="1155CC"/>
            <w:u w:val="single"/>
          </w:rPr>
          <w:t>10.1126/sciadv.aec6857</w:t>
        </w:r>
      </w:hyperlink>
    </w:p>
    <w:p>
      <w:pPr>
        <w:spacing w:before="0" w:after="120"/>
      </w:pPr>
      <w:r>
        <w:rPr>
          <w:b/>
        </w:rPr>
        <w:t xml:space="preserve">Notes: </w:t>
      </w:r>
      <w:r>
        <w:t>abstract_source=crossref</w:t>
      </w:r>
    </w:p>
    <w:p>
      <w:pPr>
        <w:spacing w:before="0" w:after="80" w:lineRule="auto" w:line="276"/>
      </w:pPr>
      <w:r>
        <w:rPr>
          <w:b/>
        </w:rPr>
        <w:t xml:space="preserve">摘要（ZH）: </w:t>
      </w:r>
      <w:r>
        <w:t>胃肠道吻合口漏是一种危及生命的术后并发症，需要早期检测和及时干预。植入式电子设备可以直接接触深层组织，并能够准确识别体内平衡失调，但受到小型化、生物降解性和电力可持续性的限制。在此，我们提出了一种用于早期检测胃肠道吻合口漏的植入-可穿戴集成策略。具体而言，可生物降解的水凝胶贴片作为唯一的植入物，响应胃酸以调节超声回波信号的时间和频率域。这使得通过可穿戴超声阵列实现早期漏检（1小时内）和毫米级空间定位。同时，水凝胶贴片表现出酸增强</w:t>
      </w:r>
    </w:p>
    <w:p>
      <w:pPr>
        <w:spacing w:before="0" w:after="200" w:lineRule="auto" w:line="276"/>
      </w:pPr>
      <w:r>
        <w:rPr>
          <w:b/>
        </w:rPr>
        <w:t xml:space="preserve">Abstract (EN): </w:t>
      </w:r>
      <w:r>
        <w:t>Gastric anastomotic leakage is a life-threatening postoperative complication that necessitates early detection and timely intervention. Implantable electronics offer direct access to deep tissue and enable accurate recognition of homeostatic imbalances yet are constrained by miniaturization, biodegradability, and power sustainability. Here, we propose an implantable-wearable integrated strategy for early detection of gastric anastomotic leakage. Specifically, a bioresorbable hydrogel patch serves as the sole implant, responding to gastric acid to modulate ultrasound echo signals in both time and frequency domains. This enables early leakage detection (within 1 hour) and millimeter-level spatial localization via a wearable ultrasound array. Meanwhile, the hydrogel patch exhibits acid-enhanced leak sealing capability and degrades naturally after the healing period, thereby eliminating the need for surgical removal. We confirmed its capabilities in spatiotemporal monitoring, anastomotic repair, and bioabsorbability in a rat gastric perforation model. Our system operates without complex electronic implants, highlighting its clinical potential for postoperative monitoring and management of gastric anastomotic leaks.</w:t>
      </w:r>
    </w:p>
    <w:p>
      <w:pPr>
        <w:spacing w:before="120" w:after="120"/>
      </w:pPr>
      <w:r>
        <w:rPr>
          <w:sz w:val="18"/>
        </w:rPr>
        <w:t>——————————————————————————————————————————————————————————————————————</w:t>
      </w:r>
    </w:p>
    <w:p>
      <w:pPr>
        <w:spacing w:before="160" w:after="40" w:line="240" w:lineRule="auto"/>
      </w:pPr>
      <w:r>
        <w:rPr>
          <w:b/>
        </w:rPr>
        <w:t xml:space="preserve">[333] </w:t>
      </w:r>
      <w:hyperlink r:id="rId813">
        <w:r>
          <w:rPr>
            <w:color w:val="1155CC"/>
            <w:u w:val="single"/>
          </w:rPr>
          <w:t>蜜蜂中广泛存在的铁磁性及其与系统发育、自然历史和社会性的关系</w:t>
        </w:r>
      </w:hyperlink>
    </w:p>
    <w:p>
      <w:pPr>
        <w:spacing w:before="0" w:after="80"/>
      </w:pPr>
      <w:r>
        <w:rPr>
          <w:i/>
          <w:sz w:val="20"/>
        </w:rPr>
        <w:t>EN: Broad presence of ferromagnetism in bees and relationship to phylogeny, natural history, and sociality</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14">
        <w:r>
          <w:rPr>
            <w:color w:val="1155CC"/>
            <w:u w:val="single"/>
          </w:rPr>
          <w:t>10.1126/sciadv.aed7391</w:t>
        </w:r>
      </w:hyperlink>
    </w:p>
    <w:p>
      <w:pPr>
        <w:spacing w:before="0" w:after="120"/>
      </w:pPr>
      <w:r>
        <w:rPr>
          <w:b/>
        </w:rPr>
        <w:t xml:space="preserve">Notes: </w:t>
      </w:r>
      <w:r>
        <w:t>abstract_source=crossref</w:t>
      </w:r>
    </w:p>
    <w:p>
      <w:pPr>
        <w:spacing w:before="0" w:after="80" w:lineRule="auto" w:line="276"/>
      </w:pPr>
      <w:r>
        <w:rPr>
          <w:b/>
        </w:rPr>
        <w:t xml:space="preserve">摘要（ZH）: </w:t>
      </w:r>
      <w:r>
        <w:t>科学家们长期以来对磁感应现象充满了兴趣，这是一种许多动物感知和利用地球磁场进行导航的先天能力。在像蜜蜂这样的社会性昆虫中，磁感应与交流和觅食有关。然而，关于磁感应的系统发育模式及其与物种特征和自然历史的关系知之甚少。在此，我们证明了基于铁磁颗粒的假定磁感应在多种蜜蜂物种中广泛存在（测试的96个物种中有74个），没有系统发育信号。我们还在非蜜蜂的外群中检测到了这种假定的磁感应，表明这种磁能力早于Anthophila的进化。尽管在多样的生活史特征中发现了磁信号，</w:t>
      </w:r>
    </w:p>
    <w:p>
      <w:pPr>
        <w:spacing w:before="0" w:after="200" w:lineRule="auto" w:line="276"/>
      </w:pPr>
      <w:r>
        <w:rPr>
          <w:b/>
        </w:rPr>
        <w:t xml:space="preserve">Abstract (EN): </w:t>
      </w:r>
      <w:r>
        <w:t>Scientists have long been fascinated by magnetoreception, the innate capacity of many animals to sense and use Earth’s magnetic field for navigation. In eusocial insects like honey bees, magnetoreception has been linked to communication and foraging. However, little is known about magnetoreception’s phylogenetic patterns and relationship to species traits and natural history. Here, we demonstrate that putative magnetoreception based on ferromagnetic particles is widespread across a diversity of bee species (74 of 96 species tested), with no phylogenetic signal. We also detected such putative magnetoreception in non-bee outgroups, suggesting that this magnetic capacity predates the evolution of the Anthophila. Although magnetic signals were found across a diversity of life history traits, the strength of the magnetic signal varied within and between species and increased with body size and social behavior.</w:t>
      </w:r>
    </w:p>
    <w:p>
      <w:pPr>
        <w:spacing w:before="120" w:after="120"/>
      </w:pPr>
      <w:r>
        <w:rPr>
          <w:sz w:val="18"/>
        </w:rPr>
        <w:t>——————————————————————————————————————————————————————————————————————</w:t>
      </w:r>
    </w:p>
    <w:p>
      <w:pPr>
        <w:spacing w:before="160" w:after="40" w:line="240" w:lineRule="auto"/>
      </w:pPr>
      <w:r>
        <w:rPr>
          <w:b/>
        </w:rPr>
        <w:t xml:space="preserve">[334] </w:t>
      </w:r>
      <w:hyperlink r:id="rId815">
        <w:r>
          <w:rPr>
            <w:color w:val="1155CC"/>
            <w:u w:val="single"/>
          </w:rPr>
          <w:t>解决教师职业晋升中的公平性和有效性问题</w:t>
        </w:r>
      </w:hyperlink>
    </w:p>
    <w:p>
      <w:pPr>
        <w:spacing w:before="0" w:after="80"/>
      </w:pPr>
      <w:r>
        <w:rPr>
          <w:i/>
          <w:sz w:val="20"/>
        </w:rPr>
        <w:t>EN: Addressing equity and validity in faculty career advancement</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16">
        <w:r>
          <w:rPr>
            <w:color w:val="1155CC"/>
            <w:u w:val="single"/>
          </w:rPr>
          <w:t>10.1126/sciadv.aed6134</w:t>
        </w:r>
      </w:hyperlink>
    </w:p>
    <w:p>
      <w:pPr>
        <w:spacing w:before="0" w:after="120"/>
      </w:pPr>
      <w:r>
        <w:rPr>
          <w:b/>
        </w:rPr>
        <w:t xml:space="preserve">Notes: </w:t>
      </w:r>
      <w:r>
        <w:t>abstract_source=crossref</w:t>
      </w:r>
    </w:p>
    <w:p>
      <w:pPr>
        <w:spacing w:before="0" w:after="80" w:lineRule="auto" w:line="276"/>
      </w:pPr>
      <w:r>
        <w:rPr>
          <w:b/>
        </w:rPr>
        <w:t xml:space="preserve">摘要（ZH）: </w:t>
      </w:r>
      <w:r>
        <w:t>一个推动晋升和终身职位过程的框架，强调更公平的方法和结果。</w:t>
      </w:r>
    </w:p>
    <w:p>
      <w:pPr>
        <w:spacing w:before="0" w:after="200" w:lineRule="auto" w:line="276"/>
      </w:pPr>
      <w:r>
        <w:rPr>
          <w:b/>
        </w:rPr>
        <w:t xml:space="preserve">Abstract (EN): </w:t>
      </w:r>
      <w:r>
        <w:t>A framework to move the promotion and tenure process forward, emphasizing more equitable approaches and outcomes.</w:t>
      </w:r>
    </w:p>
    <w:p>
      <w:pPr>
        <w:spacing w:before="120" w:after="120"/>
      </w:pPr>
      <w:r>
        <w:rPr>
          <w:sz w:val="18"/>
        </w:rPr>
        <w:t>——————————————————————————————————————————————————————————————————————</w:t>
      </w:r>
    </w:p>
    <w:p>
      <w:pPr>
        <w:spacing w:before="160" w:after="40" w:line="240" w:lineRule="auto"/>
      </w:pPr>
      <w:r>
        <w:rPr>
          <w:b/>
        </w:rPr>
        <w:t xml:space="preserve">[335] </w:t>
      </w:r>
      <w:hyperlink r:id="rId817">
        <w:r>
          <w:rPr>
            <w:color w:val="1155CC"/>
            <w:u w:val="single"/>
          </w:rPr>
          <w:t>裸鼹鼠中的和平女王继位</w:t>
        </w:r>
      </w:hyperlink>
    </w:p>
    <w:p>
      <w:pPr>
        <w:spacing w:before="0" w:after="80"/>
      </w:pPr>
      <w:r>
        <w:rPr>
          <w:i/>
          <w:sz w:val="20"/>
        </w:rPr>
        <w:t>EN: Peaceful queen succession in the naked mole rat</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18">
        <w:r>
          <w:rPr>
            <w:color w:val="1155CC"/>
            <w:u w:val="single"/>
          </w:rPr>
          <w:t>10.1126/sciadv.aef4157</w:t>
        </w:r>
      </w:hyperlink>
    </w:p>
    <w:p>
      <w:pPr>
        <w:spacing w:before="0" w:after="120"/>
      </w:pPr>
      <w:r>
        <w:rPr>
          <w:b/>
        </w:rPr>
        <w:t xml:space="preserve">Notes: </w:t>
      </w:r>
      <w:r>
        <w:t>abstract_source=crossref</w:t>
      </w:r>
    </w:p>
    <w:p>
      <w:pPr>
        <w:spacing w:before="0" w:after="80" w:lineRule="auto" w:line="276"/>
      </w:pPr>
      <w:r>
        <w:rPr>
          <w:b/>
        </w:rPr>
        <w:t xml:space="preserve">摘要（ZH）: </w:t>
      </w:r>
      <w:r>
        <w:t>裸鼹鼠表现出极端的生殖偏斜，由单一的女王通过行为上的支配垄断繁殖。当女王被移除或死亡时，生殖抑制被解除，导致侵略和群体内冲突。虽然在稳定条件下这可能是有利的，但依赖单一繁殖者可能在环境压力下造成脆弱性。在此，我们报告了一项对圈养群体的纵向研究，识别出一种机制上不同的、非暴力的女王继任模式。提高的群体密度损害了幼崽的生存，但没有缓解生殖抑制或引发侵略。相反，将群体迁移到新设施导致女王的繁殖出现长时间的暂停，而没有社会干扰。在此期间，</w:t>
      </w:r>
    </w:p>
    <w:p>
      <w:pPr>
        <w:spacing w:before="0" w:after="200" w:lineRule="auto" w:line="276"/>
      </w:pPr>
      <w:r>
        <w:rPr>
          <w:b/>
        </w:rPr>
        <w:t xml:space="preserve">Abstract (EN): </w:t>
      </w:r>
      <w:r>
        <w:t>The eusocial naked mole rat exhibits extreme reproductive skew, with a single queen monopolizing breeding through behavioral dominance. When the queen is removed or dies, reproductive suppression is lifted, leading to aggression and intracolony conflict. While this may be advantageous under stable conditions, reliance on a single breeder may create vulnerabilities during environmental stress. Here, we report a longitudinal study of a captive colony identifying a mechanistically distinct, nonviolent mode of queen succession. Elevated colony density impaired pup survival but did not alleviate reproductive suppression or trigger aggression. In contrast, relocating the colony to a new facility caused a prolonged pause in the queen’s reproduction, without social disturbance. During this period, her daughters sequentially emerged as additional breeders, resulting in a period of peaceful plural breeding before one daughter ultimately assumed the primary reproductive status. Thus, reproductive ascension can be socially tolerated when queen reproduction declines, expanding the mechanistic framework of naked mole rat eusociality to include peaceful, fertility-based succession.</w:t>
      </w:r>
    </w:p>
    <w:p>
      <w:pPr>
        <w:spacing w:before="120" w:after="120"/>
      </w:pPr>
      <w:r>
        <w:rPr>
          <w:sz w:val="18"/>
        </w:rPr>
        <w:t>——————————————————————————————————————————————————————————————————————</w:t>
      </w:r>
    </w:p>
    <w:p>
      <w:pPr>
        <w:spacing w:before="160" w:after="40" w:line="240" w:lineRule="auto"/>
      </w:pPr>
      <w:r>
        <w:rPr>
          <w:b/>
        </w:rPr>
        <w:t xml:space="preserve">[336] </w:t>
      </w:r>
      <w:hyperlink r:id="rId819">
        <w:r>
          <w:rPr>
            <w:color w:val="1155CC"/>
            <w:u w:val="single"/>
          </w:rPr>
          <w:t>解锁多模态、无芯片和无电池气道感应的微型磁性开关</w:t>
        </w:r>
      </w:hyperlink>
    </w:p>
    <w:p>
      <w:pPr>
        <w:spacing w:before="0" w:after="80"/>
      </w:pPr>
      <w:r>
        <w:rPr>
          <w:i/>
          <w:sz w:val="20"/>
        </w:rPr>
        <w:t>EN: A miniature magnetic switch unlocking multimodal, chip-free, and batteryless airway sensing</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20">
        <w:r>
          <w:rPr>
            <w:color w:val="1155CC"/>
            <w:u w:val="single"/>
          </w:rPr>
          <w:t>10.1126/sciadv.aed3998</w:t>
        </w:r>
      </w:hyperlink>
    </w:p>
    <w:p>
      <w:pPr>
        <w:spacing w:before="0" w:after="120"/>
      </w:pPr>
      <w:r>
        <w:rPr>
          <w:b/>
        </w:rPr>
        <w:t xml:space="preserve">Notes: </w:t>
      </w:r>
      <w:r>
        <w:t>abstract_source=crossref</w:t>
      </w:r>
    </w:p>
    <w:p>
      <w:pPr>
        <w:spacing w:before="0" w:after="80" w:lineRule="auto" w:line="276"/>
      </w:pPr>
      <w:r>
        <w:rPr>
          <w:b/>
        </w:rPr>
        <w:t xml:space="preserve">摘要（ZH）: </w:t>
      </w:r>
      <w:r>
        <w:t>在原位持续监测气道生理特性对于实现早期干预至关重要。与依赖于板载芯片和电池的传统方法不同，基于感应耦合的无芯片传感提供了一种完全无线和无电池监测的有前途的途径。然而，目前的无芯片策略由于其狭窄的操作频率范围而在实现多模态传感方面受到限制。在此，我们介绍了一种微型磁开关，通过悬臂梁机制实现无线控制的通道切换，该机制在外部磁场的响应下锚定、旋转并在通道之间切换。与感应线圈和电容传感器集成，该系统生成基于共振的信号，可以选择性地和线</w:t>
      </w:r>
    </w:p>
    <w:p>
      <w:pPr>
        <w:spacing w:before="0" w:after="200" w:lineRule="auto" w:line="276"/>
      </w:pPr>
      <w:r>
        <w:rPr>
          <w:b/>
        </w:rPr>
        <w:t xml:space="preserve">Abstract (EN): </w:t>
      </w:r>
      <w:r>
        <w:t>Continuously monitoring airway physiological properties in situ is critical for enabling early intervention. Unlike conventional approaches relying on on-board chips and batteries, chip-free sensing based on inductive coupling offers a promising pathway for fully wireless and battery-free monitoring. However, current chip-free strategies are limited in achieving multimodal sensing due to their narrow operational frequency ranges. Here, we introduce a miniature magnetic switch that enables wirelessly controlled channel switching through a cantilever beam mechanism, which anchors, rotates, and toggles between channels in response to external magnetic fields. Integrated with an inductive coil and capacitive sensors, the system generates resonance-based signals that can be selectively and wirelessly detected using a vector network analyzer (VNA). The concept is demonstrated through sensing tissue stiffness by switching between deformation and stress sensing modes, spatiotemporal mapping of tissue pressure, and multimodal sensing of multiple mucus properties. The proposed magnetic switch thus enables next-generation smart airway devices for continuous, minimally invasive, and multimodal sensing in diverse airway diseases.</w:t>
      </w:r>
    </w:p>
    <w:p>
      <w:pPr>
        <w:spacing w:before="120" w:after="120"/>
      </w:pPr>
      <w:r>
        <w:rPr>
          <w:sz w:val="18"/>
        </w:rPr>
        <w:t>——————————————————————————————————————————————————————————————————————</w:t>
      </w:r>
    </w:p>
    <w:p>
      <w:pPr>
        <w:spacing w:before="160" w:after="40" w:line="240" w:lineRule="auto"/>
      </w:pPr>
      <w:r>
        <w:rPr>
          <w:b/>
        </w:rPr>
        <w:t xml:space="preserve">[337] </w:t>
      </w:r>
      <w:hyperlink r:id="rId821">
        <w:r>
          <w:rPr>
            <w:color w:val="1155CC"/>
            <w:u w:val="single"/>
          </w:rPr>
          <w:t>患者来源的小儿脑肿瘤原位异种移植和肿瘤类器官忠实再现原发肿瘤</w:t>
        </w:r>
      </w:hyperlink>
    </w:p>
    <w:p>
      <w:pPr>
        <w:spacing w:before="0" w:after="80"/>
      </w:pPr>
      <w:r>
        <w:rPr>
          <w:i/>
          <w:sz w:val="20"/>
        </w:rPr>
        <w:t>EN: Patient-derived pediatric brain tumor orthotopic xenografts and tumor organoids faithfully recapitulate primary tumors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22">
        <w:r>
          <w:rPr>
            <w:color w:val="1155CC"/>
            <w:u w:val="single"/>
          </w:rPr>
          <w:t>10.1126/sciadv.aea4966</w:t>
        </w:r>
      </w:hyperlink>
    </w:p>
    <w:p>
      <w:pPr>
        <w:spacing w:before="0" w:after="120"/>
      </w:pPr>
      <w:r>
        <w:rPr>
          <w:b/>
        </w:rPr>
        <w:t xml:space="preserve">Notes: </w:t>
      </w:r>
      <w:r>
        <w:t>abstract_source=crossref</w:t>
      </w:r>
    </w:p>
    <w:p>
      <w:pPr>
        <w:spacing w:before="0" w:after="80" w:lineRule="auto" w:line="276"/>
      </w:pPr>
      <w:r>
        <w:rPr>
          <w:b/>
        </w:rPr>
        <w:t xml:space="preserve">摘要（ZH）: </w:t>
      </w:r>
      <w:r>
        <w:t>许多小组的广泛分子分析揭示了胚胎脑肿瘤的异质性景观，但患者来源的肿瘤类器官（TO）模型的发展仍然有限。在此，我们描述了从髓母细胞瘤、多层玫瑰花结胚胎肿瘤和非典型畸胎样横纹肌瘤的患者来源的原位异种移植（PDOX）中建立TO和TO异种移植（TOX）。DNA甲基化、整体和单细胞RNA测序以及全基因组测序表明，TO和TOX忠实地再现了PDOX的表观遗传、转录组和遗传景观，并复制了PDOX中常在已建立的细胞系中丢失的肿瘤内细胞异质性。我们显示TO和PDOX具有相似的药物反应。TO的发展</w:t>
      </w:r>
    </w:p>
    <w:p>
      <w:pPr>
        <w:spacing w:before="0" w:after="200" w:lineRule="auto" w:line="276"/>
      </w:pPr>
      <w:r>
        <w:rPr>
          <w:b/>
        </w:rPr>
        <w:t xml:space="preserve">Abstract (EN): </w:t>
      </w:r>
      <w:r>
        <w:t>Extensive molecular analyses by many groups have revealed a heterogenous landscape of embryonal brain tumors, but patient-derived tumor organoid (TO) model development has remained limited. Here, we describe the establishment of TO and TO xenografts (TOX) from patient-derived orthotopic xenografts (PDOXs) of medulloblastoma, embryonal tumor with multilayer rosettes, and atypical teratoid rhabdoid tumors. DNA methylation, bulk- and single-cell RNA sequencing, and whole-genome sequencing demonstrated that TOs and TOXs faithfully recapitulate the epigenetic, transcriptomic, and genetic landscape of PDOXs, as well as replicate the intratumor cellular heterogeneity of PDOXs that are often lost in established cell lines. We show that TOs and PDOXs have similar drug responses. The development of embryonal brain TOs will facilitate in vitro functional assays, including high-throughput drug or CRISPR screens, without the need for fresh tumors from tumor-bearing mice. This will accelerate the identification and validation of vulnerabilities and therapeutic strategies for preclinical testing toward clinical trials.</w:t>
      </w:r>
    </w:p>
    <w:p>
      <w:pPr>
        <w:spacing w:before="120" w:after="120"/>
      </w:pPr>
      <w:r>
        <w:rPr>
          <w:sz w:val="18"/>
        </w:rPr>
        <w:t>——————————————————————————————————————————————————————————————————————</w:t>
      </w:r>
    </w:p>
    <w:p>
      <w:pPr>
        <w:spacing w:before="160" w:after="40" w:line="240" w:lineRule="auto"/>
      </w:pPr>
      <w:r>
        <w:rPr>
          <w:b/>
        </w:rPr>
        <w:t xml:space="preserve">[338] </w:t>
      </w:r>
      <w:hyperlink r:id="rId823">
        <w:r>
          <w:rPr>
            <w:color w:val="1155CC"/>
            <w:u w:val="single"/>
          </w:rPr>
          <w:t>在共振态下直接观察到的μ子分子对μ子催化聚变至关重要</w:t>
        </w:r>
      </w:hyperlink>
    </w:p>
    <w:p>
      <w:pPr>
        <w:spacing w:before="0" w:after="80"/>
      </w:pPr>
      <w:r>
        <w:rPr>
          <w:i/>
          <w:sz w:val="20"/>
        </w:rPr>
        <w:t>EN: Direct observation of muonic molecules in resonance states critical to muon catalyzed fusion</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24">
        <w:r>
          <w:rPr>
            <w:color w:val="1155CC"/>
            <w:u w:val="single"/>
          </w:rPr>
          <w:t>10.1126/sciadv.aed3321</w:t>
        </w:r>
      </w:hyperlink>
    </w:p>
    <w:p>
      <w:pPr>
        <w:spacing w:before="0" w:after="120"/>
      </w:pPr>
      <w:r>
        <w:rPr>
          <w:b/>
        </w:rPr>
        <w:t xml:space="preserve">Notes: </w:t>
      </w:r>
      <w:r>
        <w:t>abstract_source=crossref</w:t>
      </w:r>
    </w:p>
    <w:p>
      <w:pPr>
        <w:spacing w:before="0" w:after="80" w:lineRule="auto" w:line="276"/>
      </w:pPr>
      <w:r>
        <w:rPr>
          <w:b/>
        </w:rPr>
        <w:t xml:space="preserve">摘要（ZH）: </w:t>
      </w:r>
      <w:r>
        <w:t>μ子催化聚变（μCF）是一种无等离子体的过程，其中μ子氢分子的形成先于并促成其组成核之间的聚变。尽管经过数十年的研究，μCF的反应动力学仍然难以捉摸。最近的理论预测，μ子分子的共振态起着关键作用，并且可以使用X射线技术探测这些状态。使用一组过渡边缘传感器微量热计，其能量分辨率比传统硅探测器提高了10倍，我们观察到了来自μ子氘分子共振态的X射线，尽管背景强烈。该光谱通过结合振动状态的高精度计算得到了很好的解释。这项工作确定了长期被忽视的共振态路径作为关键因素。</w:t>
      </w:r>
    </w:p>
    <w:p>
      <w:pPr>
        <w:spacing w:before="0" w:after="200" w:lineRule="auto" w:line="276"/>
      </w:pPr>
      <w:r>
        <w:rPr>
          <w:b/>
        </w:rPr>
        <w:t xml:space="preserve">Abstract (EN): </w:t>
      </w:r>
      <w:r>
        <w:t>Muon catalyzed fusion (μCF) is a plasma-free process in which the formation of muonic hydrogen molecules precedes and enables fusion between their constituent nuclei. Despite decades of study, the reaction dynamics of μCF remain elusive. Recent theories predict that resonance states of the muonic molecules play a key role and that these states can be probed using x-ray techniques. Using an array of transition-edge sensor microcalorimeters with 10-fold improved energy resolution compared to conventional silicon detectors, we observed x-rays from resonance states of muonic deuterium molecules despite an intense background. The spectrum is well explained by high-precision calculations incorporating the vibrational states. This work identifies the long-overlooked resonance state pathway as crucial in μCF and provides the direct evidence of the efficient muonic molecular formation.</w:t>
      </w:r>
    </w:p>
    <w:p>
      <w:pPr>
        <w:spacing w:before="120" w:after="120"/>
      </w:pPr>
      <w:r>
        <w:rPr>
          <w:sz w:val="18"/>
        </w:rPr>
        <w:t>——————————————————————————————————————————————————————————————————————</w:t>
      </w:r>
    </w:p>
    <w:p>
      <w:pPr>
        <w:spacing w:before="160" w:after="40" w:line="240" w:lineRule="auto"/>
      </w:pPr>
      <w:r>
        <w:rPr>
          <w:b/>
        </w:rPr>
        <w:t xml:space="preserve">[339] </w:t>
      </w:r>
      <w:hyperlink r:id="rId825">
        <w:r>
          <w:rPr>
            <w:color w:val="1155CC"/>
            <w:u w:val="single"/>
          </w:rPr>
          <w:t>使用强化学习引导半柔性分子扩散模型进行基于结构的药物设计</w:t>
        </w:r>
      </w:hyperlink>
    </w:p>
    <w:p>
      <w:pPr>
        <w:spacing w:before="0" w:after="80"/>
      </w:pPr>
      <w:r>
        <w:rPr>
          <w:i/>
          <w:sz w:val="20"/>
        </w:rPr>
        <w:t>EN: Steering semi-flexible molecular diffusion model for structure-based drug design with reinforcement learning</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26">
        <w:r>
          <w:rPr>
            <w:color w:val="1155CC"/>
            <w:u w:val="single"/>
          </w:rPr>
          <w:t>10.1126/sciadv.ady9955</w:t>
        </w:r>
      </w:hyperlink>
    </w:p>
    <w:p>
      <w:pPr>
        <w:spacing w:before="0" w:after="120"/>
      </w:pPr>
      <w:r>
        <w:rPr>
          <w:b/>
        </w:rPr>
        <w:t xml:space="preserve">Notes: </w:t>
      </w:r>
      <w:r>
        <w:t>abstract_source=crossref</w:t>
      </w:r>
    </w:p>
    <w:p>
      <w:pPr>
        <w:spacing w:before="0" w:after="80" w:lineRule="auto" w:line="276"/>
      </w:pPr>
      <w:r>
        <w:rPr>
          <w:b/>
        </w:rPr>
        <w:t xml:space="preserve">摘要（ZH）: </w:t>
      </w:r>
      <w:r>
        <w:t>当前基于结构的分子生成面临一个根本性困境：尽管静态配体建模在计算方法中占主导地位，现实世界的分子相互作用本质上是动态的。受配体在半柔性对接过程中发生构象变化的启发，我们提出了一种用于蛋白质口袋中半柔性分子生成的强化学习（RL）引导扩散框架。通过将去噪过程定义为马尔可夫决策过程，RL通过迭代探索动态调整分子结构。同时，我们将多种分子性质作为条件纳入，以限制去噪策略在类药物区域，并对无靶和特定靶分子进行自监督刚性训练。此外，我们提出了一种新方法。</w:t>
      </w:r>
    </w:p>
    <w:p>
      <w:pPr>
        <w:spacing w:before="0" w:after="200" w:lineRule="auto" w:line="276"/>
      </w:pPr>
      <w:r>
        <w:rPr>
          <w:b/>
        </w:rPr>
        <w:t xml:space="preserve">Abstract (EN): </w:t>
      </w:r>
      <w:r>
        <w:t>Current structure-based molecular generation faces a fundamental dilemma: While static ligand modeling dominates computational approaches, real-world molecular interactions are inherently dynamic. Inspired by the conformational changes ligands undergo during semi-flexible docking, we propose a reinforcement learning (RL)–steered diffusion framework for semi-flexible molecular generation in protein pockets. By defining the denoising process as a Markov decision process, RL dynamically adjusts molecular structures through iterative exploration. Simultaneously, we incorporate multiple molecular properties as conditions to constrain the denoising policy to drug-like regions and perform self-supervised rigid training on both target-free and target-specific molecules. In addition, we propose a fast sampling strategy that accelerates sampling by 20 times, thereby improving the efficiency of training and sampling. Experiments demonstrate that our method outperforms state-of-the-art methods with a Vina score of −7.23 kcal/mol and an 11.53% success rate. Targeting unseen real-world proteins, the generated molecules preserve canonical interaction patterns while discovering previously unknown binding chemotypes.</w:t>
      </w:r>
    </w:p>
    <w:p>
      <w:pPr>
        <w:spacing w:before="120" w:after="120"/>
      </w:pPr>
      <w:r>
        <w:rPr>
          <w:sz w:val="18"/>
        </w:rPr>
        <w:t>——————————————————————————————————————————————————————————————————————</w:t>
      </w:r>
    </w:p>
    <w:p>
      <w:pPr>
        <w:spacing w:before="160" w:after="40" w:line="240" w:lineRule="auto"/>
      </w:pPr>
      <w:r>
        <w:rPr>
          <w:b/>
        </w:rPr>
        <w:t xml:space="preserve">[340] </w:t>
      </w:r>
      <w:hyperlink r:id="rId827">
        <w:r>
          <w:rPr>
            <w:color w:val="1155CC"/>
            <w:u w:val="single"/>
          </w:rPr>
          <w:t>植物中的类哺乳动物类固醇生成导致内分泌模拟的强心苷生成</w:t>
        </w:r>
      </w:hyperlink>
    </w:p>
    <w:p>
      <w:pPr>
        <w:spacing w:before="0" w:after="80"/>
      </w:pPr>
      <w:r>
        <w:rPr>
          <w:i/>
          <w:sz w:val="20"/>
        </w:rPr>
        <w:t>EN: Mammalian-like steroidogenesis in plants gives rise to endocrine-mimetic cardenolides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28">
        <w:r>
          <w:rPr>
            <w:color w:val="1155CC"/>
            <w:u w:val="single"/>
          </w:rPr>
          <w:t>10.1126/sciadv.aeb5460</w:t>
        </w:r>
      </w:hyperlink>
    </w:p>
    <w:p>
      <w:pPr>
        <w:spacing w:before="0" w:after="120"/>
      </w:pPr>
      <w:r>
        <w:rPr>
          <w:b/>
        </w:rPr>
        <w:t xml:space="preserve">Notes: </w:t>
      </w:r>
      <w:r>
        <w:t>abstract_source=crossref</w:t>
      </w:r>
    </w:p>
    <w:p>
      <w:pPr>
        <w:spacing w:before="0" w:after="80" w:lineRule="auto" w:line="276"/>
      </w:pPr>
      <w:r>
        <w:rPr>
          <w:b/>
        </w:rPr>
        <w:t xml:space="preserve">摘要（ZH）: </w:t>
      </w:r>
      <w:r>
        <w:t>类固醇激素是真核生理的核心调节因子，但其信号通路也被利用为跨界内分泌干扰的关键目标。其中，强心苷是哺乳动物中的类固醇激素，靶向钠钾腺苷三磷酸酶（Na</w:t>
      </w:r>
      <w:r>
        <w:t xml:space="preserve"> </w:t>
      </w:r>
      <w:r>
        <w:t>+</w:t>
      </w:r>
      <w:r>
        <w:t xml:space="preserve"> </w:t>
      </w:r>
      <w:r>
        <w:t>/K</w:t>
      </w:r>
      <w:r>
        <w:t xml:space="preserve"> </w:t>
      </w:r>
      <w:r>
        <w:t>+</w:t>
      </w:r>
      <w:r>
        <w:t xml:space="preserve"> </w:t>
      </w:r>
      <w:r>
        <w:t>-ATPase）以调节离子稳态。值得注意的是，已知至少有17个植物目产生强心苷，通过模拟这一信号轴作为强效的抗食草动物防御。一个突出的例子是地高辛，这是一种从毛地黄中提取的FDA批准的心脏药物。尽管经过数十年的研究，植物如何进化出这种内分泌模拟的生化基础仍不清楚。在此，我们识别出S14βH，一种非典型的2-氧代戊二酸/Fe</w:t>
      </w:r>
    </w:p>
    <w:p>
      <w:pPr>
        <w:spacing w:before="0" w:after="200" w:lineRule="auto" w:line="276"/>
      </w:pPr>
      <w:r>
        <w:rPr>
          <w:b/>
        </w:rPr>
        <w:t xml:space="preserve">Abstract (EN): </w:t>
      </w:r>
      <w:r>
        <w:t>Steroid hormones are central regulators of eukaryotic physiology, yet their signaling pathways are also exploited as key targets in cross-kingdom endocrine interference. Among them, cardenolides are steroid hormones in mammals that target sodium-potassium adenosine triphosphatase (Na</w:t>
      </w:r>
      <w:r>
        <w:t xml:space="preserve"> </w:t>
      </w:r>
      <w:r>
        <w:t>+</w:t>
      </w:r>
      <w:r>
        <w:t xml:space="preserve"> </w:t>
      </w:r>
      <w:r>
        <w:t>/K</w:t>
      </w:r>
      <w:r>
        <w:t xml:space="preserve"> </w:t>
      </w:r>
      <w:r>
        <w:t>+</w:t>
      </w:r>
      <w:r>
        <w:t xml:space="preserve"> </w:t>
      </w:r>
      <w:r>
        <w:t>-ATPase) to modulate ionic homeostasis. Notably, at least 17 plant orders are known to produce cardenolides as potent antiherbivore defenses by mimicking this signaling axis. A prominent example is digoxin, an FDA-approved cardiac drug sourced from foxglove. Despite decades of study, the biochemical basis by which plants evolved this endocrine mimicry remains unclear. Here, we identify S14βH, a noncanonical 2-oxoglutarate/Fe(II)–dependent dioxygenase (2OGD) that catalyzes stereoinverted steroid C14β-hydroxylation through an unprecedented mechanism involving hydrogen atom transfer, substrate reorientation, and opposite-face hydroxyl rebound. An intricate metabolic network comprising enzymatic redox transformations and malonylation, together with spontaneous lactonization, then channels 14β-hydroxylated pregnenolone toward the core cardenolide digitoxigenin. Comparative biochemical and evolutionary analyses further reveal that mammalian-like steroidogenesis is conserved in seed plants and has been independently co-opted for cardenolide biosynthesis across diverse lineages. Our findings expand the mechanistic scope of radical enzymology, illustrate how the malleability of plant metabolism enables repeated endocrine mimicry, and ultimately motivate future investigation into potential hormonal functions of steroids produced via mammalian-like steroidogenesis in plants.</w:t>
      </w:r>
    </w:p>
    <w:p>
      <w:pPr>
        <w:spacing w:before="120" w:after="120"/>
      </w:pPr>
      <w:r>
        <w:rPr>
          <w:sz w:val="18"/>
        </w:rPr>
        <w:t>——————————————————————————————————————————————————————————————————————</w:t>
      </w:r>
    </w:p>
    <w:p>
      <w:pPr>
        <w:spacing w:before="160" w:after="40" w:line="240" w:lineRule="auto"/>
      </w:pPr>
      <w:r>
        <w:rPr>
          <w:b/>
        </w:rPr>
        <w:t xml:space="preserve">[341] </w:t>
      </w:r>
      <w:hyperlink r:id="rId829">
        <w:r>
          <w:rPr>
            <w:color w:val="1155CC"/>
            <w:u w:val="single"/>
          </w:rPr>
          <w:t>针对罕见病诊断和变异解释的靶向长读长RNA测序</w:t>
        </w:r>
      </w:hyperlink>
    </w:p>
    <w:p>
      <w:pPr>
        <w:spacing w:before="0" w:after="80"/>
      </w:pPr>
      <w:r>
        <w:rPr>
          <w:i/>
          <w:sz w:val="20"/>
        </w:rPr>
        <w:t>EN: Targeted long-read RNA sequencing for rare disease diagnosis and variant interpretation</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30">
        <w:r>
          <w:rPr>
            <w:color w:val="1155CC"/>
            <w:u w:val="single"/>
          </w:rPr>
          <w:t>10.1126/sciadv.ady9895</w:t>
        </w:r>
      </w:hyperlink>
    </w:p>
    <w:p>
      <w:pPr>
        <w:spacing w:before="0" w:after="120"/>
      </w:pPr>
      <w:r>
        <w:rPr>
          <w:b/>
        </w:rPr>
        <w:t xml:space="preserve">Notes: </w:t>
      </w:r>
      <w:r>
        <w:t>abstract_source=crossref</w:t>
      </w:r>
    </w:p>
    <w:p>
      <w:pPr>
        <w:spacing w:before="0" w:after="80" w:lineRule="auto" w:line="276"/>
      </w:pPr>
      <w:r>
        <w:rPr>
          <w:b/>
        </w:rPr>
        <w:t xml:space="preserve">摘要（ZH）: </w:t>
      </w:r>
      <w:r>
        <w:t>尽管临床测试广泛，诊断罕见遗传疾病仍然是一个重大挑战。长读长RNA测序（RNA-seq）提供了一种强大的方法来捕捉遗传变异对转录组的影响，但测序覆盖率、成本、组织选择和可扩展性方面的挑战限制了其临床应用。为了解决这个问题，我们开发了STRIPE（Sequencing Targeted RNAs Identifies Pathogenic Events），这是一种基于长读长RNA-seq的策略，用于罕见疾病诊断和变异解释。STRIPE能够对任何定制的疾病特异性基因组进行全长转录本的深度测序，从而可以在单倍型水平检测到包括转录本异常和序列变异在内的广泛临床信息读数。</w:t>
      </w:r>
    </w:p>
    <w:p>
      <w:pPr>
        <w:spacing w:before="0" w:after="200" w:lineRule="auto" w:line="276"/>
      </w:pPr>
      <w:r>
        <w:rPr>
          <w:b/>
        </w:rPr>
        <w:t xml:space="preserve">Abstract (EN): </w:t>
      </w:r>
      <w:r>
        <w:t>Diagnosing rare genetic diseases remains a major challenge despite widespread clinical testing. Long-read RNA sequencing (RNA-seq) offers a powerful approach to capturing the effects of genetic variants on the transcriptome, yet challenges with sequencing coverage, cost, tissue selection, and scalability have limited its clinical adoption. To address this, we developed STRIPE (Sequencing Targeted RNAs Identifies Pathogenic Events), a targeted long-read RNA-seq–based strategy for rare disease diagnosis and variant interpretation. STRIPE enables deep sequencing of full-length transcripts for any customized disease-specific gene panel such that a wide range of clinically informative readouts, including transcript aberrations and sequence variants, can be detected at haplotype-level resolution. Applying STRIPE to 88 individuals spanning two major rare disease groups, we accurately reidentified known pathogenic variants and revealed their transcript consequences, including many unexpected ones. For 8 of 15 splice site region variants, we observed more complex RNA processing defects beyond single exon skipping or cryptic splice site activation. Notably, we find that donor splice site variants frequently activate cryptic intronic polyadenylation sites, leading to premature transcript termination. Leveraging unique strengths of long-read RNA-seq, STRIPE also resolved variants of uncertain significance and uncovered disease-causing variants in five previously undiagnosed individuals. Overall, STRIPE is a powerful, adaptable, and scalable strategy with broad potential to improve clinical variant interpretation and advance genetic diagnosis of rare diseases.</w:t>
      </w:r>
    </w:p>
    <w:p>
      <w:pPr>
        <w:spacing w:before="120" w:after="120"/>
      </w:pPr>
      <w:r>
        <w:rPr>
          <w:sz w:val="18"/>
        </w:rPr>
        <w:t>——————————————————————————————————————————————————————————————————————</w:t>
      </w:r>
    </w:p>
    <w:p>
      <w:pPr>
        <w:spacing w:before="160" w:after="40" w:line="240" w:lineRule="auto"/>
      </w:pPr>
      <w:r>
        <w:rPr>
          <w:b/>
        </w:rPr>
        <w:t xml:space="preserve">[342] </w:t>
      </w:r>
      <w:hyperlink r:id="rId831">
        <w:r>
          <w:rPr>
            <w:color w:val="1155CC"/>
            <w:u w:val="single"/>
          </w:rPr>
          <w:t>通过深层共享发育原则的变化实现苔藓叶状器官的形态发生</w:t>
        </w:r>
      </w:hyperlink>
    </w:p>
    <w:p>
      <w:pPr>
        <w:spacing w:before="0" w:after="80"/>
      </w:pPr>
      <w:r>
        <w:rPr>
          <w:i/>
          <w:sz w:val="20"/>
        </w:rPr>
        <w:t>EN: Morphogenesis of moss leaf-like organs through variations in deeply shared developmental principles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32">
        <w:r>
          <w:rPr>
            <w:color w:val="1155CC"/>
            <w:u w:val="single"/>
          </w:rPr>
          <w:t>10.1126/sciadv.aee6959</w:t>
        </w:r>
      </w:hyperlink>
    </w:p>
    <w:p>
      <w:pPr>
        <w:spacing w:before="0" w:after="120"/>
      </w:pPr>
      <w:r>
        <w:rPr>
          <w:b/>
        </w:rPr>
        <w:t xml:space="preserve">Notes: </w:t>
      </w:r>
      <w:r>
        <w:t>abstract_source=crossref</w:t>
      </w:r>
    </w:p>
    <w:p>
      <w:pPr>
        <w:spacing w:before="0" w:after="80" w:lineRule="auto" w:line="276"/>
      </w:pPr>
      <w:r>
        <w:rPr>
          <w:b/>
        </w:rPr>
        <w:t xml:space="preserve">摘要（ZH）: </w:t>
      </w:r>
      <w:r>
        <w:t>具有层状结构和确定性生长的叶子和叶状器官在陆地植物中多次独立出现。开花植物中叶片发育的细胞基础已得到充分表征，分子研究表明植物激素生长素在这一过程中起着核心作用，协调细胞生长和分化。生长素对于苔藓植物的叶状器官——叶状体的形成也至关重要，但其在形态发生中的确切作用仍不清楚。更广泛地说，是否在远缘进化谱系中共享相似的发育原则尚不清楚。在此，我们结合活体成像、遗传学、药理学处理和建模，研究模式苔藓中叶状体发育的细胞和分子基础。</w:t>
      </w:r>
    </w:p>
    <w:p>
      <w:pPr>
        <w:spacing w:before="0" w:after="200" w:lineRule="auto" w:line="276"/>
      </w:pPr>
      <w:r>
        <w:rPr>
          <w:b/>
        </w:rPr>
        <w:t xml:space="preserve">Abstract (EN): </w:t>
      </w:r>
      <w:r>
        <w:t>Leaves and leaf-like organs with laminar structures and determinate growth arose multiple times independently in land plants. The cellular basis of leaf development is well characterized in flowering plants, and molecular studies have shown that the plant hormone auxin plays a central role in this process, orchestrating cellular growth and differentiation. Auxin is also crucial for the formation of phyllids, the leaf-like organs of bryophytes, yet its precise role in morphogenesis remains unclear. More broadly, whether similar developmental principles are shared across distantly related evolutionary lineages is unknown. Here, we combine live-imaging, genetics, pharmacological treatments, and modeling to investigate the cellular and molecular basis of phyllid development in the model moss</w:t>
      </w:r>
      <w:r>
        <w:t xml:space="preserve"> </w:t>
      </w:r>
      <w:r>
        <w:t>Physcomitrium patens</w:t>
      </w:r>
      <w:r>
        <w:t xml:space="preserve"> </w:t>
      </w:r>
      <w:r>
        <w:t>. By tracking phyllid morphogenesis from a single initial cell to full maturity, we uncover the cellular growth dynamics underlying organ development. We demonstrate that auxin spatially inhibits cell divisions and promotes cellular elongation and differentiation. However, unlike in vascular plants, moss PIN transporters do not participate in polar auxin transport during phyllid development but mainly reduce intracellular auxin concentration. These findings indicate that while auxin’s role in organogenesis is conserved, its transport mechanisms have diverged across land plants. Overall, our study reveals shared principles of planar organ morphogenesis, highlighting how the repeated deployment of similar developmental strategies, with lineage-specific variations, drove the convergent evolution of leaves and leaf-like organs.</w:t>
      </w:r>
    </w:p>
    <w:p>
      <w:pPr>
        <w:spacing w:before="120" w:after="120"/>
      </w:pPr>
      <w:r>
        <w:rPr>
          <w:sz w:val="18"/>
        </w:rPr>
        <w:t>——————————————————————————————————————————————————————————————————————</w:t>
      </w:r>
    </w:p>
    <w:p>
      <w:pPr>
        <w:spacing w:before="160" w:after="40" w:line="240" w:lineRule="auto"/>
      </w:pPr>
      <w:r>
        <w:rPr>
          <w:b/>
        </w:rPr>
        <w:t xml:space="preserve">[343] </w:t>
      </w:r>
      <w:hyperlink r:id="rId833">
        <w:r>
          <w:rPr>
            <w:color w:val="1155CC"/>
            <w:u w:val="single"/>
          </w:rPr>
          <w:t>使用超极化低场MRI在组织模拟物中成像手机辐射</w:t>
        </w:r>
      </w:hyperlink>
    </w:p>
    <w:p>
      <w:pPr>
        <w:spacing w:before="0" w:after="80"/>
      </w:pPr>
      <w:r>
        <w:rPr>
          <w:i/>
          <w:sz w:val="20"/>
        </w:rPr>
        <w:t>EN: Imaging cell phone radiation in tissue mimics with hyperpolarized low-field MRI</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34">
        <w:r>
          <w:rPr>
            <w:color w:val="1155CC"/>
            <w:u w:val="single"/>
          </w:rPr>
          <w:t>10.1126/sciadv.aea0223</w:t>
        </w:r>
      </w:hyperlink>
    </w:p>
    <w:p>
      <w:pPr>
        <w:spacing w:before="0" w:after="120"/>
      </w:pPr>
      <w:r>
        <w:rPr>
          <w:b/>
        </w:rPr>
        <w:t xml:space="preserve">Notes: </w:t>
      </w:r>
      <w:r>
        <w:t>abstract_source=crossref</w:t>
      </w:r>
    </w:p>
    <w:p>
      <w:pPr>
        <w:spacing w:before="0" w:after="80" w:lineRule="auto" w:line="276"/>
      </w:pPr>
      <w:r>
        <w:rPr>
          <w:b/>
        </w:rPr>
        <w:t xml:space="preserve">摘要（ZH）: </w:t>
      </w:r>
      <w:r>
        <w:t>手机和蜂窝设备的辐射无处不在，在使用的微波频段中，人类组织是一种高度吸收的复杂电磁材料。目前的安全指南基于加热和特定吸收率，使用有限的测量和建模技术。在此，我们提出了一种方法，使用超极化低场磁共振成像（MRI）在组织模拟中成像蜂窝设备辐射的微波电磁场。添加到组织模拟中的自由基对微波辐射的共振吸收将极化转移到水质子系统，在手机功率水平下，不仅可以检测到，还可以增加信号超过原生低场MRI信号。在子</w:t>
      </w:r>
    </w:p>
    <w:p>
      <w:pPr>
        <w:spacing w:before="0" w:after="200" w:lineRule="auto" w:line="276"/>
      </w:pPr>
      <w:r>
        <w:rPr>
          <w:b/>
        </w:rPr>
        <w:t xml:space="preserve">Abstract (EN): </w:t>
      </w:r>
      <w:r>
        <w:t>Radiation from cell phones and cellular devices is ubiquitous and, in the microwave frequency bands used, human tissue is a highly absorbing complex electromagnetic material. Safety guidelines are currently based on heating and specific absorption rate using limited measurement and modeling techniques. Here, we present a method to image microwave electromagnetic fields from cellular device radiation in tissue mimics using hyperpolarized low-field magnetic resonance imaging (MRI). Resonant absorption of microwave radiation in free radicals added to the tissue mimics, transfers polarization to the water proton system and, at cell phone power levels, can not only be detected, but can increase the signal over the native low-field MRI signal. Electromagnetic field imaging can be done before substantial heating of the material. Imaging and quantification provide a better understanding of how cellular radiation penetrates and is absorbed in complex materials, such as tissues, and may allow validation of numerical models. We further demonstrate the use of this technique to image microwave field distortion and reradiation around implants and foreign objects, including from a millimeter-sized biopsy marker. We present initial steps at quantifying the hyperpolarized low-field images to allow extraction of electromagnetic field values. The concurrent use of quantitative MRI allows critical tissue parameters to be monitored before, during, and after microwave exposure.</w:t>
      </w:r>
    </w:p>
    <w:p>
      <w:pPr>
        <w:spacing w:before="120" w:after="120"/>
      </w:pPr>
      <w:r>
        <w:rPr>
          <w:sz w:val="18"/>
        </w:rPr>
        <w:t>——————————————————————————————————————————————————————————————————————</w:t>
      </w:r>
    </w:p>
    <w:p>
      <w:pPr>
        <w:spacing w:before="160" w:after="40" w:line="240" w:lineRule="auto"/>
      </w:pPr>
      <w:r>
        <w:rPr>
          <w:b/>
        </w:rPr>
        <w:t xml:space="preserve">[344] </w:t>
      </w:r>
      <w:hyperlink r:id="rId835">
        <w:r>
          <w:rPr>
            <w:color w:val="1155CC"/>
            <w:u w:val="single"/>
          </w:rPr>
          <w:t>秀丽隐杆线虫的生长抑素/阿拉托抑素C信号通过睡眠活跃神经元调节睡眠、代谢、生存和记忆</w:t>
        </w:r>
      </w:hyperlink>
    </w:p>
    <w:p>
      <w:pPr>
        <w:spacing w:before="0" w:after="80"/>
      </w:pPr>
      <w:r>
        <w:rPr>
          <w:i/>
          <w:sz w:val="20"/>
        </w:rPr>
        <w:t>EN: C. elegans somatostatin/allatostatin C signaling regulates sleep, metabolism, survival, and memory via a sleep-active neuron</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36">
        <w:r>
          <w:rPr>
            <w:color w:val="1155CC"/>
            <w:u w:val="single"/>
          </w:rPr>
          <w:t>10.1126/sciadv.adv8387</w:t>
        </w:r>
      </w:hyperlink>
    </w:p>
    <w:p>
      <w:pPr>
        <w:spacing w:before="0" w:after="120"/>
      </w:pPr>
      <w:r>
        <w:rPr>
          <w:b/>
        </w:rPr>
        <w:t xml:space="preserve">Notes: </w:t>
      </w:r>
      <w:r>
        <w:t>abstract_source=crossref</w:t>
      </w:r>
    </w:p>
    <w:p>
      <w:pPr>
        <w:spacing w:before="0" w:after="80" w:lineRule="auto" w:line="276"/>
      </w:pPr>
      <w:r>
        <w:rPr>
          <w:b/>
        </w:rPr>
        <w:t xml:space="preserve">摘要（ZH）: </w:t>
      </w:r>
      <w:r>
        <w:t>生长抑素/阿拉托抑素C信号调节睡眠、新陈代谢、记忆和寿命，但其潜在的神经机制仍不清楚。我们研究了秀丽隐杆线虫的生长抑素/阿拉托抑素C同源物NLP-99及其受体NPR-16。我们发现，唤醒活跃的AIY神经元释放NLP-99以激活NPR-16。NPR-16与G i/o偶联，并在细胞非自主性地激活睡眠活跃的RIS神经元，同时在RIS中自主性地抑制钙激活和睡眠诱导的FLP-11神经肽的释放。在幼虫停滞期间，RIS中强烈的NPR-16表达导致NLP-99/NPR-16信号抑制睡眠，减少脂质储存和生存。在营养充足的成年个体中，NPR-16 ex</w:t>
      </w:r>
    </w:p>
    <w:p>
      <w:pPr>
        <w:spacing w:before="0" w:after="200" w:lineRule="auto" w:line="276"/>
      </w:pPr>
      <w:r>
        <w:rPr>
          <w:b/>
        </w:rPr>
        <w:t xml:space="preserve">Abstract (EN): </w:t>
      </w:r>
      <w:r>
        <w:t>Somatostatin/allatostatin C signaling regulates sleep, metabolism, memory, and longevity, but the underlying neuronal mechanisms remain unclear. We investigated the</w:t>
      </w:r>
      <w:r>
        <w:t xml:space="preserve"> </w:t>
      </w:r>
      <w:r>
        <w:t>Caenorhabditis elegans</w:t>
      </w:r>
      <w:r>
        <w:t xml:space="preserve"> </w:t>
      </w:r>
      <w:r>
        <w:t>somatostatin/allatostatin C ortholog NLP-99 and its receptor NPR-16. We found that the wake-active AIY neurons release NLP-99 to activate NPR-16. NPR-16 is G</w:t>
      </w:r>
      <w:r>
        <w:t xml:space="preserve"> </w:t>
      </w:r>
      <w:r>
        <w:t>i/o</w:t>
      </w:r>
      <w:r>
        <w:t xml:space="preserve"> </w:t>
      </w:r>
      <w:r>
        <w:t>coupled and acts cell nonautonomously to activate the sleep-active RIS neuron while acting autonomously in RIS to inhibit calcium activation and the release of the sleep-inducing FLP-11 neuropeptides. During larval arrest, strong NPR-16 expression in RIS causes NLP-99/NPR-16 signaling to inhibit sleep, reducing lipid storage and survival. In well-fed adults, NPR-16 expression is stronger outside of RIS, and NLP-99/NPR-16 signaling is required for RIS activation and sleep while also inhibiting longevity via RIS. Both NLP-99/NPR-16 and RIS/FLP-11 are required for memory consolidation. These results show that NLP-99/NPR-16 regulates physiological processes via control of RIS. A similar somatostatin-mediated regulation of sleep neurons may underlie physiological regulation in other species.</w:t>
      </w:r>
    </w:p>
    <w:p>
      <w:pPr>
        <w:spacing w:before="120" w:after="120"/>
      </w:pPr>
      <w:r>
        <w:rPr>
          <w:sz w:val="18"/>
        </w:rPr>
        <w:t>——————————————————————————————————————————————————————————————————————</w:t>
      </w:r>
    </w:p>
    <w:p>
      <w:pPr>
        <w:spacing w:before="160" w:after="40" w:line="240" w:lineRule="auto"/>
      </w:pPr>
      <w:r>
        <w:rPr>
          <w:b/>
        </w:rPr>
        <w:t xml:space="preserve">[345] </w:t>
      </w:r>
      <w:hyperlink r:id="rId837">
        <w:r>
          <w:rPr>
            <w:color w:val="1155CC"/>
            <w:u w:val="single"/>
          </w:rPr>
          <w:t>跨物种预测揭示了人类中具有更高可及性的染色质区域</w:t>
        </w:r>
      </w:hyperlink>
    </w:p>
    <w:p>
      <w:pPr>
        <w:spacing w:before="0" w:after="80"/>
      </w:pPr>
      <w:r>
        <w:rPr>
          <w:i/>
          <w:sz w:val="20"/>
        </w:rPr>
        <w:t>EN: Cross-species prediction reveals chromatin regions with increased accessibility in humans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38">
        <w:r>
          <w:rPr>
            <w:color w:val="1155CC"/>
            <w:u w:val="single"/>
          </w:rPr>
          <w:t>10.1126/sciadv.ady9169</w:t>
        </w:r>
      </w:hyperlink>
    </w:p>
    <w:p>
      <w:pPr>
        <w:spacing w:before="0" w:after="120"/>
      </w:pPr>
      <w:r>
        <w:rPr>
          <w:b/>
        </w:rPr>
        <w:t xml:space="preserve">Notes: </w:t>
      </w:r>
      <w:r>
        <w:t>abstract_source=crossref</w:t>
      </w:r>
    </w:p>
    <w:p>
      <w:pPr>
        <w:spacing w:before="0" w:after="80" w:lineRule="auto" w:line="276"/>
      </w:pPr>
      <w:r>
        <w:rPr>
          <w:b/>
        </w:rPr>
        <w:t xml:space="preserve">摘要（ZH）: </w:t>
      </w:r>
      <w:r>
        <w:t>人类特有的遗传变异通过影响基因表达塑造了独特的特征。开放染色质区域（OCRs）是与基因表达相关的重要调控元素，因此研究染色质可及性变化对于理解人类进化至关重要。由于大型猿类的表观遗传数据有限，我们开发了一种基于卷积神经网络的方法进行跨物种预测，以识别在人类中染色质可及性增加的区域，我们称之为“人类预测染色质可及性增加区域”（hPICAs）。利用有限的转座酶可及染色质测序（ATAC-seq）数据，我们证明了仅在人类染色质可及性数据上训练的模型可以准确地</w:t>
      </w:r>
    </w:p>
    <w:p>
      <w:pPr>
        <w:spacing w:before="0" w:after="200" w:lineRule="auto" w:line="276"/>
      </w:pPr>
      <w:r>
        <w:rPr>
          <w:b/>
        </w:rPr>
        <w:t xml:space="preserve">Abstract (EN): </w:t>
      </w:r>
      <w:r>
        <w:t>Human-specific genetic variations have shaped unique traits by influencing gene expression. Open chromatin regions (OCRs) are critical regulatory elements associated with gene expression, so investigating the changes in chromatin accessibility is essential for understanding human evolution. Because of the limited availability of epigenetic data from great apes, we developed a convolutional neural network–based approach for cross-species prediction to identify regions of increased chromatin accessibility in humans, which we term “human predicted increased chromatin accessibility regions” (hPICAs). Leveraging the limited available assay for transposase-accessible chromatin sequencing (ATAC-seq) data, we demonstrated that models trained exclusively on human chromatin accessibility data can achieve accurate predictions in other primates. We constructed prediction models based on chromatin accessibility data from 111 human cell types and developed a framework to systematically identify hPICAs. We showed that variants within hPICAs are more likely to affect chromatin accessibility by altering transcription factor binding sites. Last, hPICAs are enriched in regions associated with human-specific traits, offering a previously unexplored perspective for investigating human evolution.</w:t>
      </w:r>
    </w:p>
    <w:p>
      <w:pPr>
        <w:spacing w:before="120" w:after="120"/>
      </w:pPr>
      <w:r>
        <w:rPr>
          <w:sz w:val="18"/>
        </w:rPr>
        <w:t>——————————————————————————————————————————————————————————————————————</w:t>
      </w:r>
    </w:p>
    <w:p>
      <w:pPr>
        <w:spacing w:before="160" w:after="40" w:line="240" w:lineRule="auto"/>
      </w:pPr>
      <w:r>
        <w:rPr>
          <w:b/>
        </w:rPr>
        <w:t xml:space="preserve">[346] </w:t>
      </w:r>
      <w:hyperlink r:id="rId839">
        <w:r>
          <w:rPr>
            <w:color w:val="1155CC"/>
            <w:u w:val="single"/>
          </w:rPr>
          <w:t>枯草芽孢杆菌群体运动的启动作为细菌中索里特悖论的解决方案</w:t>
        </w:r>
      </w:hyperlink>
    </w:p>
    <w:p>
      <w:pPr>
        <w:spacing w:before="0" w:after="80"/>
      </w:pPr>
      <w:r>
        <w:rPr>
          <w:i/>
          <w:sz w:val="20"/>
        </w:rPr>
        <w:t>EN: Initiation of swarming in Bacillus subtilis as a resolution for the sorites paradox in bacteria</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40">
        <w:r>
          <w:rPr>
            <w:color w:val="1155CC"/>
            <w:u w:val="single"/>
          </w:rPr>
          <w:t>10.1073/pnas.2534573123</w:t>
        </w:r>
      </w:hyperlink>
    </w:p>
    <w:p>
      <w:pPr>
        <w:spacing w:before="0" w:after="120"/>
      </w:pPr>
      <w:r>
        <w:rPr>
          <w:b/>
        </w:rPr>
        <w:t xml:space="preserve">Notes: </w:t>
      </w:r>
      <w:r>
        <w:t>abstract_source=crossref</w:t>
      </w:r>
    </w:p>
    <w:p>
      <w:pPr>
        <w:spacing w:before="0" w:after="80" w:lineRule="auto" w:line="276"/>
      </w:pPr>
      <w:r>
        <w:rPr>
          <w:b/>
        </w:rPr>
        <w:t xml:space="preserve">摘要（ZH）: </w:t>
      </w:r>
      <w:r>
        <w:t>当单个细胞生长和繁殖时，在哪个阶段它构成一个群体？在这里，我们为枯草芽孢杆菌提供了答案。我们将单个浮游细胞放置在琼脂上，并监测它们在转变为活跃的群体时的生物和物理阶段。我们识别出通向群体的四个不同且不重叠的阶段。使用不同的突变体，我们确定了特定细胞过程在集体运动形成中的作用。我们的结果详细描述了从浮游生活方式到群体生活方式的过渡——这是细菌适应变化环境的标志。</w:t>
      </w:r>
    </w:p>
    <w:p>
      <w:pPr>
        <w:spacing w:before="0" w:after="200" w:lineRule="auto" w:line="276"/>
      </w:pPr>
      <w:r>
        <w:rPr>
          <w:b/>
        </w:rPr>
        <w:t xml:space="preserve">Abstract (EN): </w:t>
      </w:r>
      <w:r>
        <w:t>As a single cell grows and multiplies, at what stage does it constitute a swarm? Here, we provide an answer for</w:t>
      </w:r>
      <w:r>
        <w:t xml:space="preserve"> </w:t>
      </w:r>
      <w:r>
        <w:t>Bacillus subtilis</w:t>
      </w:r>
      <w:r>
        <w:t xml:space="preserve"> </w:t>
      </w:r>
      <w:r>
        <w:t>. We place single planktonic cells onto agar and monitor the biological and physical phases as they transition into an active, swarming cohort. We identify four distinct, nonoverlapping stages enroute to swarming. Using different mutants, we pinpoint the roles of specific cellular processes in the buildup of collective motion. Our results provide a detailed description of the transition from planktonic to a swarming lifestyle—a hallmark of bacterial adaptability to changing environments.</w:t>
      </w:r>
    </w:p>
    <w:p>
      <w:pPr>
        <w:spacing w:before="120" w:after="120"/>
      </w:pPr>
      <w:r>
        <w:rPr>
          <w:sz w:val="18"/>
        </w:rPr>
        <w:t>——————————————————————————————————————————————————————————————————————</w:t>
      </w:r>
    </w:p>
    <w:p>
      <w:pPr>
        <w:spacing w:before="160" w:after="40" w:line="240" w:lineRule="auto"/>
      </w:pPr>
      <w:r>
        <w:rPr>
          <w:b/>
        </w:rPr>
        <w:t xml:space="preserve">[347] </w:t>
      </w:r>
      <w:hyperlink r:id="rId841">
        <w:r>
          <w:rPr>
            <w:color w:val="1155CC"/>
            <w:u w:val="single"/>
          </w:rPr>
          <w:t>通过自监督正交学习增强生物医学光学体积成像</w:t>
        </w:r>
      </w:hyperlink>
    </w:p>
    <w:p>
      <w:pPr>
        <w:spacing w:before="0" w:after="80"/>
      </w:pPr>
      <w:r>
        <w:rPr>
          <w:i/>
          <w:sz w:val="20"/>
        </w:rPr>
        <w:t>EN: Enhancing biomedical optical volumetric imaging via self-supervised orthogonal learning</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42">
        <w:r>
          <w:rPr>
            <w:color w:val="1155CC"/>
            <w:u w:val="single"/>
          </w:rPr>
          <w:t>10.1126/sciadv.ady9194</w:t>
        </w:r>
      </w:hyperlink>
    </w:p>
    <w:p>
      <w:pPr>
        <w:spacing w:before="0" w:after="120"/>
      </w:pPr>
      <w:r>
        <w:rPr>
          <w:b/>
        </w:rPr>
        <w:t xml:space="preserve">Notes: </w:t>
      </w:r>
      <w:r>
        <w:t>abstract_source=crossref</w:t>
      </w:r>
    </w:p>
    <w:p>
      <w:pPr>
        <w:spacing w:before="0" w:after="80" w:lineRule="auto" w:line="276"/>
      </w:pPr>
      <w:r>
        <w:rPr>
          <w:b/>
        </w:rPr>
        <w:t xml:space="preserve">摘要（ZH）: </w:t>
      </w:r>
      <w:r>
        <w:t>光学体积成像面临着由光子预算限制、光散射和空间带宽产品瓶颈引起的固有噪声问题，这些问题会降低结构保真度，并且比平面成像更为明显。虽然深度学习在去噪方面具有潜力，但监督方法受到配对数据集不切实际的限制，而现有的自监督方法未能充分利用光学成像固有的体积结构冗余。在此，我们提出了一种自监督的体积生物医学成像去噪器（VALID），通过自监督正交学习框架利用固有的三维空间相干性实现高效的体积去噪。VALID展示了强大的去噪能力。</w:t>
      </w:r>
    </w:p>
    <w:p>
      <w:pPr>
        <w:spacing w:before="0" w:after="200" w:lineRule="auto" w:line="276"/>
      </w:pPr>
      <w:r>
        <w:rPr>
          <w:b/>
        </w:rPr>
        <w:t xml:space="preserve">Abstract (EN): </w:t>
      </w:r>
      <w:r>
        <w:t>Optical volumetric imaging grapples with inherent noise problems arising from photon budget constraints, light scattering, and space-bandwidth product bottlenecks, all of which degrade structural fidelity and become even more pronounced than in planar imaging. While deep learning presents potential for denoising, supervised methods are hindered by the impracticality of paired datasets, and existing self-supervised approaches fail to fully exploit the intrinsic volumetric structural redundancy inherent to optical imaging. Here, we present a self-supervised volumetric biomedical imaging denoiser (VALID) that leverages intrinsic three-dimensional spatial coherence for highly efficient volumetric denoising through a self-supervised orthogonal learning framework. VALID demonstrates robust denoising performance across diverse imaging modalities, including two- and three-photon microscopy, light-field microscopy, and optical coherence tomography, substantially enhancing structural fidelity in deep-tissue, multimodal, and dynamic imaging scenarios. By combining computational efficiency with zero-shot adaptability, VALID establishes a transformative approach to volumetric image enhancement with structure-aware precision.</w:t>
      </w:r>
    </w:p>
    <w:p>
      <w:pPr>
        <w:spacing w:before="120" w:after="120"/>
      </w:pPr>
      <w:r>
        <w:rPr>
          <w:sz w:val="18"/>
        </w:rPr>
        <w:t>——————————————————————————————————————————————————————————————————————</w:t>
      </w:r>
    </w:p>
    <w:p>
      <w:pPr>
        <w:spacing w:before="160" w:after="40" w:line="240" w:lineRule="auto"/>
      </w:pPr>
      <w:r>
        <w:rPr>
          <w:b/>
        </w:rPr>
        <w:t xml:space="preserve">[348] </w:t>
      </w:r>
      <w:hyperlink r:id="rId843">
        <w:r>
          <w:rPr>
            <w:color w:val="1155CC"/>
            <w:u w:val="single"/>
          </w:rPr>
          <w:t>自佐剂α螺旋多肽同时递送新抗原mRNA并激活树突状细胞以根除肿瘤</w:t>
        </w:r>
      </w:hyperlink>
    </w:p>
    <w:p>
      <w:pPr>
        <w:spacing w:before="0" w:after="80"/>
      </w:pPr>
      <w:r>
        <w:rPr>
          <w:i/>
          <w:sz w:val="20"/>
        </w:rPr>
        <w:t>EN: Self-adjuvanting α-helical polypeptide simultaneously delivers neoantigen mRNAs and activates dendritic cells to eradicate tumors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44">
        <w:r>
          <w:rPr>
            <w:color w:val="1155CC"/>
            <w:u w:val="single"/>
          </w:rPr>
          <w:t>10.1073/pnas.2504976123</w:t>
        </w:r>
      </w:hyperlink>
    </w:p>
    <w:p>
      <w:pPr>
        <w:spacing w:before="0" w:after="120"/>
      </w:pPr>
      <w:r>
        <w:rPr>
          <w:b/>
        </w:rPr>
        <w:t xml:space="preserve">Notes: </w:t>
      </w:r>
      <w:r>
        <w:t>abstract_source=crossref</w:t>
      </w:r>
    </w:p>
    <w:p>
      <w:pPr>
        <w:spacing w:before="0" w:after="80" w:lineRule="auto" w:line="276"/>
      </w:pPr>
      <w:r>
        <w:rPr>
          <w:b/>
        </w:rPr>
        <w:t xml:space="preserve">摘要（ZH）: </w:t>
      </w:r>
      <w:r>
        <w:t>mRNA疫苗在COVID-19时代取得了巨大成功，但其在治疗癌症，尤其是免疫原性差的实体瘤方面的治疗潜力仍未充分发挥。在此，我们报告了一类自佐剂化的α-螺旋多肽，可以显著提高肿瘤新抗原编码mRNA的抗肿瘤效力。α-螺旋多肽可以促进mRNA在树突状细胞（DCs）中的胞内递送，同时通过调节NF-κB和IRF通路激活DCs，并提高树突状细胞处理和呈递mRNA编码新抗原的能力。分子对接和模拟结果也证实了mRNA与α-螺旋多肽之间的稳定复合。设计的多聚体在皮下给药后。</w:t>
      </w:r>
    </w:p>
    <w:p>
      <w:pPr>
        <w:spacing w:before="0" w:after="200" w:lineRule="auto" w:line="276"/>
      </w:pPr>
      <w:r>
        <w:rPr>
          <w:b/>
        </w:rPr>
        <w:t xml:space="preserve">Abstract (EN): </w:t>
      </w:r>
      <w:r>
        <w:t>mRNA-based vaccines have demonstrated tremendous success during the era of COVID-19, but its therapeutic potential for treating cancer, especially poorly immunogenic solid tumors, remains largely underachieved. Herein, we report a class of self-adjuvanting α-helical polypeptides that can dramatically improve the antitumor efficacy of tumor neoantigen-encoding mRNAs. The α-helical polypeptides can facilitate the intracellular delivery of mRNAs into dendritic cells (DCs), simultaneously activate DCs by regulating NF-κB and IRF pathways, and improve the ability of dendritic cells to process and present mRNA-encoded neoantigens. Molecular docking and simulation results also confirm the stable complexation between mRNA and α-helical polypeptides. The conceived polyplex, upon subcutaneous administration, can migrate to the draining lymph nodes and transfect and activate DCs in the lymph nodes, resulting in superior neoantigen-specific cytotoxic T lymphocyte response in vivo. Compared to conventional lipoplexes or SM102 lipid nanoparticle-based mRNA vaccines that yield 0% tumor-free survival, the polyplex yields 83.3% and 33.3% tumor-free survival against E.G7-OVA lymphoma and 4T1 triple negative breast cancer, respectively, among the best antitumor efficacy reported to date for mRNA cancer vaccines. The polyplex also reprograms the immunosuppressive tumor microenvironment, by stimulating and enriching DCs, M1-phenotype CD86</w:t>
      </w:r>
      <w:r>
        <w:t xml:space="preserve"> </w:t>
      </w:r>
      <w:r>
        <w:t>+</w:t>
      </w:r>
      <w:r>
        <w:t xml:space="preserve"> </w:t>
      </w:r>
      <w:r>
        <w:t>macrophages, and CD8</w:t>
      </w:r>
      <w:r>
        <w:t xml:space="preserve"> </w:t>
      </w:r>
      <w:r>
        <w:t>+</w:t>
      </w:r>
      <w:r>
        <w:t xml:space="preserve"> </w:t>
      </w:r>
      <w:r>
        <w:t>T cells in the tumors. We also observed the upregulated expression of Programmed Death-1 (PD-1) by intratumoral CD8</w:t>
      </w:r>
      <w:r>
        <w:t xml:space="preserve"> </w:t>
      </w:r>
      <w:r>
        <w:t>+</w:t>
      </w:r>
      <w:r>
        <w:t xml:space="preserve"> </w:t>
      </w:r>
      <w:r>
        <w:t>T cells and PD-L1 by 4T1 tumor cells after polyplex treatment and further demonstrated the synergistic effect between polyplex vaccine and anti-PD-1 therapy. Our polyplex system provides a facile and generalizable approach to developing robust mRNA-based cancer vaccines.</w:t>
      </w:r>
    </w:p>
    <w:p>
      <w:pPr>
        <w:spacing w:before="120" w:after="120"/>
      </w:pPr>
      <w:r>
        <w:rPr>
          <w:sz w:val="18"/>
        </w:rPr>
        <w:t>——————————————————————————————————————————————————————————————————————</w:t>
      </w:r>
    </w:p>
    <w:p>
      <w:pPr>
        <w:spacing w:before="160" w:after="40" w:line="240" w:lineRule="auto"/>
      </w:pPr>
      <w:r>
        <w:rPr>
          <w:b/>
        </w:rPr>
        <w:t xml:space="preserve">[349] </w:t>
      </w:r>
      <w:hyperlink r:id="rId845">
        <w:r>
          <w:rPr>
            <w:color w:val="1155CC"/>
            <w:u w:val="single"/>
          </w:rPr>
          <w:t>携带OPA1突变的恒河猴表现出常染色体显性视神经萎缩的特征</w:t>
        </w:r>
      </w:hyperlink>
    </w:p>
    <w:p>
      <w:pPr>
        <w:spacing w:before="0" w:after="80"/>
      </w:pPr>
      <w:r>
        <w:rPr>
          <w:i/>
          <w:sz w:val="20"/>
        </w:rPr>
        <w:t>EN: Rhesus macaques with an OPA1 mutation demonstrate features of autosomal dominant optic atrophy</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46">
        <w:r>
          <w:rPr>
            <w:color w:val="1155CC"/>
            <w:u w:val="single"/>
          </w:rPr>
          <w:t>10.1073/pnas.2509165123</w:t>
        </w:r>
      </w:hyperlink>
    </w:p>
    <w:p>
      <w:pPr>
        <w:spacing w:before="0" w:after="120"/>
      </w:pPr>
      <w:r>
        <w:rPr>
          <w:b/>
        </w:rPr>
        <w:t xml:space="preserve">Notes: </w:t>
      </w:r>
      <w:r>
        <w:t>abstract_source=crossref</w:t>
      </w:r>
    </w:p>
    <w:p>
      <w:pPr>
        <w:spacing w:before="0" w:after="80" w:lineRule="auto" w:line="276"/>
      </w:pPr>
      <w:r>
        <w:rPr>
          <w:b/>
        </w:rPr>
        <w:t xml:space="preserve">摘要（ZH）: </w:t>
      </w:r>
      <w:r>
        <w:t>常染色体显性视神经萎缩（ADOA）是一种主要由OPA1突变引起的遗传性视神经病变。我们使用携带错义突变（OPA1 A8S）的恒河猴鉴定并定义了一种自发的非人灵长类动物（NHP）ADOA模型。通过眼科检查、眼科成像、视网膜电图、组织病理学、免疫组织化学和透射电子显微镜（TEM），我们记录了受影响猴子的视网膜神经纤维层（RNFL）变薄、视网膜神经节细胞（RGC）丢失和功能障碍、OPA1错误定位以及轴突线粒体密度降低。我们的研究揭示了受影响猴子之间显著的表型变异性，揭示了病理机制。</w:t>
      </w:r>
    </w:p>
    <w:p>
      <w:pPr>
        <w:spacing w:before="0" w:after="200" w:lineRule="auto" w:line="276"/>
      </w:pPr>
      <w:r>
        <w:rPr>
          <w:b/>
        </w:rPr>
        <w:t xml:space="preserve">Abstract (EN): </w:t>
      </w:r>
      <w:r>
        <w:t>Autosomal dominant optic atrophy (ADOA) is an inherited optic neuropathy primarily caused by mutations in</w:t>
      </w:r>
      <w:r>
        <w:t xml:space="preserve"> </w:t>
      </w:r>
      <w:r>
        <w:t>OPA1</w:t>
      </w:r>
      <w:r>
        <w:t xml:space="preserve"> </w:t>
      </w:r>
      <w:r>
        <w:t>. We identified and defined a spontaneous nonhuman primate (NHP) model of ADOA using rhesus macaques heterozygous for a missense mutation (</w:t>
      </w:r>
      <w:r>
        <w:t xml:space="preserve"> </w:t>
      </w:r>
      <w:r>
        <w:t>OPA1</w:t>
      </w:r>
      <w:r>
        <w:t xml:space="preserve"> </w:t>
      </w:r>
      <w:r>
        <w:t>A8S). With ocular examinations, ophthalmic imaging, electroretinography, histopathology, immunohistochemistry, and transmission electron microscopy (TEM), we documented retinal nerve fiber layer (RNFL) thinning, retinal ganglion cell (RGC) loss and dysfunction, OPA1 mislocalization, and reduced axonal mitochondrial density in affected macaques. Our investigation revealed substantial phenotypic variability among affected macaques, shedding light on the pathogenesis of ADOA. The retinas were evaluated using techniques such as spectral-domain optical coherence tomography and fundus photography facilitating observation of structural changes in the retina and optic nerve. Thinning of the RNFL and optic nerve head degeneration, hallmark features of ADOA, were observed in affected macaques. Decreased RGC function in the</w:t>
      </w:r>
      <w:r>
        <w:t xml:space="preserve"> </w:t>
      </w:r>
      <w:r>
        <w:t>OPA1</w:t>
      </w:r>
      <w:r>
        <w:t xml:space="preserve"> </w:t>
      </w:r>
      <w:r>
        <w:t>heterozygotes was demonstrated with pattern electroretinography. Histopathological analysis and immunohistochemical staining of postmortem retinal tissue suggested RGC loss in the papillomacular bundle, with reduced OPA1 and mitochondria in the RGC axons, indicating dysfunctional mitochondrial dynamics and reduced function consistent with ADOA. Ultrastructural changes were evident with TEM including dysmorphic mitochondria, axonal loss, myelin disruption, and hypertrophic astrocytic processes. The observed similar pattern of RGC loss and dysfunction coupled with phenotypic heterogeneity in our NHP model reflects the clinical variability observed in human ADOA patients indicating that therapeutic interventions in this foveate model will likely translate to the human condition.</w:t>
      </w:r>
    </w:p>
    <w:p>
      <w:pPr>
        <w:spacing w:before="120" w:after="120"/>
      </w:pPr>
      <w:r>
        <w:rPr>
          <w:sz w:val="18"/>
        </w:rPr>
        <w:t>——————————————————————————————————————————————————————————————————————</w:t>
      </w:r>
    </w:p>
    <w:p>
      <w:pPr>
        <w:spacing w:before="160" w:after="40" w:line="240" w:lineRule="auto"/>
      </w:pPr>
      <w:r>
        <w:rPr>
          <w:b/>
        </w:rPr>
        <w:t xml:space="preserve">[350] </w:t>
      </w:r>
      <w:hyperlink r:id="rId847">
        <w:r>
          <w:rPr>
            <w:color w:val="1155CC"/>
            <w:u w:val="single"/>
          </w:rPr>
          <w:t>Rubisco在全酶水平的动力学驯化</w:t>
        </w:r>
      </w:hyperlink>
    </w:p>
    <w:p>
      <w:pPr>
        <w:spacing w:before="0" w:after="80"/>
      </w:pPr>
      <w:r>
        <w:rPr>
          <w:i/>
          <w:sz w:val="20"/>
        </w:rPr>
        <w:t>EN: Rubisco kinetic acclimation at the holoenzyme level</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48">
        <w:r>
          <w:rPr>
            <w:color w:val="1155CC"/>
            <w:u w:val="single"/>
          </w:rPr>
          <w:t>10.1073/pnas.2519914123</w:t>
        </w:r>
      </w:hyperlink>
    </w:p>
    <w:p>
      <w:pPr>
        <w:spacing w:before="0" w:after="120"/>
      </w:pPr>
      <w:r>
        <w:rPr>
          <w:b/>
        </w:rPr>
        <w:t xml:space="preserve">Notes: </w:t>
      </w:r>
      <w:r>
        <w:t>abstract_source=crossref</w:t>
      </w:r>
    </w:p>
    <w:p>
      <w:pPr>
        <w:spacing w:before="0" w:after="80" w:lineRule="auto" w:line="276"/>
      </w:pPr>
      <w:r>
        <w:rPr>
          <w:b/>
        </w:rPr>
        <w:t xml:space="preserve">摘要（ZH）: </w:t>
      </w:r>
      <w:r>
        <w:t>在植物中，CO2固定酶Rubisco是十六聚体，每个成熟的全酶包含八个小亚基（SSus）。许多植物表达多个SSus，并根据环境线索调整其表达。先前的研究表明，这可能允许在可变环境中微调Rubisco的性能（即，动力学适应）。尽管SSu库是异质且动态的，但几乎没有证据表明全酶水平的异质性。在这里，我们表征了Rubisco的结构和动力学可塑性。我们首先确定了在拟南芥中存在SSu异质的Rubisco，并量化了异质性的普遍性。我们发现SSu异质的Rubisco占据</w:t>
      </w:r>
    </w:p>
    <w:p>
      <w:pPr>
        <w:spacing w:before="0" w:after="200" w:lineRule="auto" w:line="276"/>
      </w:pPr>
      <w:r>
        <w:rPr>
          <w:b/>
        </w:rPr>
        <w:t xml:space="preserve">Abstract (EN): </w:t>
      </w:r>
      <w:r>
        <w:t>In plants, the CO</w:t>
      </w:r>
      <w:r>
        <w:rPr>
          <w:vertAlign w:val="subscript"/>
        </w:rPr>
        <w:t>2</w:t>
      </w:r>
      <w:r>
        <w:t>-fixing enzyme Rubisco is hexadecameric, with each mature holoenzyme containing eight small subunits (SSus). Many plants express multiple SSus and vary their expression in response to environmental cues. Previous work indicates that this may allow fine-tuning of Rubisco’s performance in a variable environment (i.e., kinetic acclimation). Despite SSu pools being heterogeneous and dynamic, nearly no evidence exists for holoenzyme-level heterogeneity. Here, we characterized the structural and kinetic plasticity of Rubisco. We first established that SSu-heterogeneous Rubisco exists in</w:t>
      </w:r>
      <w:r>
        <w:t xml:space="preserve"> </w:t>
      </w:r>
      <w:r>
        <w:t>Arabidopsis thaliana</w:t>
      </w:r>
      <w:r>
        <w:t xml:space="preserve"> </w:t>
      </w:r>
      <w:r>
        <w:t>and quantified the prevalence of heterogeneity. We found SSu-heterogeneous Rubisco to make up over half of the Rubisco pool when heterologously expressed. This Rubisco contained at least four unique SSu ratios, indicating a variety of holoenzyme arrangements are possible. We then tested the kinetic effect of different SSus and found heterogeneity to have an antagonistic effect on substrate and inhibitor affinity. Kinetic differences between the SSus correlated with changes in local flexibility, and cryo-EM analysis illustrated a structural mechanism through which SSus may influence catalysis. Our kinetic and structural findings align with the hypothesized role of SSus in kinetic acclimation, as we observed the warm temperature-expressed SSu of</w:t>
      </w:r>
      <w:r>
        <w:t xml:space="preserve"> </w:t>
      </w:r>
      <w:r>
        <w:t>A. thaliana</w:t>
      </w:r>
      <w:r>
        <w:t xml:space="preserve"> </w:t>
      </w:r>
      <w:r>
        <w:t>to confer a stabilizing effect to the active site relative to the cool temperature-expressed SSu. This increase in stability manifested as a reduction in flexibility and increase in substrate affinity, indicating that fine-tuning of local stability may underlie Rubisco kinetic acclimation.</w:t>
      </w:r>
    </w:p>
    <w:p>
      <w:pPr>
        <w:spacing w:before="120" w:after="120"/>
      </w:pPr>
      <w:r>
        <w:rPr>
          <w:sz w:val="18"/>
        </w:rPr>
        <w:t>——————————————————————————————————————————————————————————————————————</w:t>
      </w:r>
    </w:p>
    <w:p>
      <w:pPr>
        <w:spacing w:before="160" w:after="40" w:line="240" w:lineRule="auto"/>
      </w:pPr>
      <w:r>
        <w:rPr>
          <w:b/>
        </w:rPr>
        <w:t xml:space="preserve">[351] </w:t>
      </w:r>
      <w:hyperlink r:id="rId849">
        <w:r>
          <w:rPr>
            <w:color w:val="1155CC"/>
            <w:u w:val="single"/>
          </w:rPr>
          <w:t>小亚基同工型多样性是本地植物Rubisco结构异质性的基础</w:t>
        </w:r>
      </w:hyperlink>
    </w:p>
    <w:p>
      <w:pPr>
        <w:spacing w:before="0" w:after="80"/>
      </w:pPr>
      <w:r>
        <w:rPr>
          <w:i/>
          <w:sz w:val="20"/>
        </w:rPr>
        <w:t>EN: Small subunit isoform diversity underlies structural heterogeneity in native plant Rubisco</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50">
        <w:r>
          <w:rPr>
            <w:color w:val="1155CC"/>
            <w:u w:val="single"/>
          </w:rPr>
          <w:t>10.1073/pnas.2519949123</w:t>
        </w:r>
      </w:hyperlink>
    </w:p>
    <w:p>
      <w:pPr>
        <w:spacing w:before="0" w:after="120"/>
      </w:pPr>
      <w:r>
        <w:rPr>
          <w:b/>
        </w:rPr>
        <w:t xml:space="preserve">Notes: </w:t>
      </w:r>
      <w:r>
        <w:t>abstract_source=crossref</w:t>
      </w:r>
    </w:p>
    <w:p>
      <w:pPr>
        <w:spacing w:before="0" w:after="80" w:lineRule="auto" w:line="276"/>
      </w:pPr>
      <w:r>
        <w:rPr>
          <w:b/>
        </w:rPr>
        <w:t xml:space="preserve">摘要（ZH）: </w:t>
      </w:r>
      <w:r>
        <w:t>核酮糖-1,5-二磷酸羧化酶/加氧酶（Rubisco）是地球上最丰富的蛋白质，催化光合作用中的CO2固定。在陆生植物中，Rubisco组装为一个十六聚体复合物（L8S8），由八个大亚基（LSu）和八个小亚基（SSu）组成。虽然LSu由单个叶绿体基因编码，但核多基因家族导致多样的SSu蛋白同工型，但目前缺乏Rubisco全酶SSu异质性的结构证据。在本研究中，利用从拟南芥中纯化的天然Rubisco，我们采用高分辨率质谱和冷冻电镜</w:t>
      </w:r>
    </w:p>
    <w:p>
      <w:pPr>
        <w:spacing w:before="0" w:after="200" w:lineRule="auto" w:line="276"/>
      </w:pPr>
      <w:r>
        <w:rPr>
          <w:b/>
        </w:rPr>
        <w:t xml:space="preserve">Abstract (EN): </w:t>
      </w:r>
      <w:r>
        <w:t>Ribulose-1,5-bisphosphate carboxylase/oxygenase (Rubisco), the most abundant protein on Earth, catalyzes the fixation of CO</w:t>
      </w:r>
      <w:r>
        <w:rPr>
          <w:vertAlign w:val="subscript"/>
        </w:rPr>
        <w:t>2</w:t>
      </w:r>
      <w:r>
        <w:t>in photosynthesis. In terrestrial plants, Rubisco assembles as a hexadecameric complex (L</w:t>
      </w:r>
      <w:r>
        <w:rPr>
          <w:vertAlign w:val="subscript"/>
        </w:rPr>
        <w:t>8</w:t>
      </w:r>
      <w:r>
        <w:t>S</w:t>
      </w:r>
      <w:r>
        <w:rPr>
          <w:vertAlign w:val="subscript"/>
        </w:rPr>
        <w:t>8</w:t>
      </w:r>
      <w:r>
        <w:t>), comprising eight large subunits (LSu) and eight small subunits (SSu). While LSu is encoded by a single chloroplastic gene, a nuclear multigene family results in diverse SSu protein isoforms, but structural evidence is currently lacking for Rubisco holoenzyme SSu heterogeneity. In this study, utilizing native Rubisco purified from</w:t>
      </w:r>
      <w:r>
        <w:t xml:space="preserve"> </w:t>
      </w:r>
      <w:r>
        <w:t>Arabidopsis thaliana</w:t>
      </w:r>
      <w:r>
        <w:t xml:space="preserve"> </w:t>
      </w:r>
      <w:r>
        <w:t>, we employed high-resolution mass spectrometry and cryo–electron microscopy to demonstrate that multiple SSu isoforms can co-assemble within individual Rubisco complexes. We unambiguously identify the composition of these mixed-isoform complexes and elucidate isoform-specific structural interactions at near-atomic resolution. The structural heterogeneity in plant Rubisco established here will underpin future research to establish the impact of SSu diversity on kinetic and functional plasticity of Rubisco activity under diverse environmental conditions.</w:t>
      </w:r>
    </w:p>
    <w:p>
      <w:pPr>
        <w:spacing w:before="120" w:after="120"/>
      </w:pPr>
      <w:r>
        <w:rPr>
          <w:sz w:val="18"/>
        </w:rPr>
        <w:t>——————————————————————————————————————————————————————————————————————</w:t>
      </w:r>
    </w:p>
    <w:p>
      <w:pPr>
        <w:spacing w:before="160" w:after="40" w:line="240" w:lineRule="auto"/>
      </w:pPr>
      <w:r>
        <w:rPr>
          <w:b/>
        </w:rPr>
        <w:t xml:space="preserve">[352] </w:t>
      </w:r>
      <w:hyperlink r:id="rId851">
        <w:r>
          <w:rPr>
            <w:color w:val="1155CC"/>
            <w:u w:val="single"/>
          </w:rPr>
          <w:t>FABP7在人体皮质发育过程中控制放射状胶质支架的稳定性</w:t>
        </w:r>
      </w:hyperlink>
    </w:p>
    <w:p>
      <w:pPr>
        <w:spacing w:before="0" w:after="80"/>
      </w:pPr>
      <w:r>
        <w:rPr>
          <w:i/>
          <w:sz w:val="20"/>
        </w:rPr>
        <w:t>EN: FABP7 controls radial glial scaffold stability during human cortical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52">
        <w:r>
          <w:rPr>
            <w:color w:val="1155CC"/>
            <w:u w:val="single"/>
          </w:rPr>
          <w:t>10.1073/pnas.2523130123</w:t>
        </w:r>
      </w:hyperlink>
    </w:p>
    <w:p>
      <w:pPr>
        <w:spacing w:before="0" w:after="120"/>
      </w:pPr>
      <w:r>
        <w:rPr>
          <w:b/>
        </w:rPr>
        <w:t xml:space="preserve">Notes: </w:t>
      </w:r>
      <w:r>
        <w:t>abstract_source=crossref</w:t>
      </w:r>
    </w:p>
    <w:p>
      <w:pPr>
        <w:spacing w:before="0" w:after="80" w:lineRule="auto" w:line="276"/>
      </w:pPr>
      <w:r>
        <w:rPr>
          <w:b/>
        </w:rPr>
        <w:t xml:space="preserve">摘要（ZH）: </w:t>
      </w:r>
      <w:r>
        <w:t>放射状胶质（RG）细胞在皮层发育过程中既作为神经祖细胞又作为神经元迁移的结构支架。尽管FABP7长期以来被认为是RG细胞的标志，但其调节功能仍未明确。使用人类胎脑切片、胚胎小鼠模型、大脑类器官和组装体，我们证明FABP7对于维持RG支架结构和协调神经元定位至关重要。单细胞分析显示FABP7缺失会导致转录失调，特别影响细胞骨架组织、神经命运规格和应激反应。此外，FABP7中的转录组特征</w:t>
      </w:r>
    </w:p>
    <w:p>
      <w:pPr>
        <w:spacing w:before="0" w:after="200" w:lineRule="auto" w:line="276"/>
      </w:pPr>
      <w:r>
        <w:rPr>
          <w:b/>
        </w:rPr>
        <w:t xml:space="preserve">Abstract (EN): </w:t>
      </w:r>
      <w:r>
        <w:t>Radial glial (RG) cells serve as both neural progenitors and structural scaffolds for neuronal migration during cortical development. Although FABP7 has long been recognized as a marker of RG cells, its regulatory function has remained poorly defined. Using human fetal brain slices, embryonic mouse model, cerebral organoids, and assembloids, we demonstrate that</w:t>
      </w:r>
      <w:r>
        <w:t xml:space="preserve"> </w:t>
      </w:r>
      <w:r>
        <w:t>FABP7</w:t>
      </w:r>
      <w:r>
        <w:t xml:space="preserve"> </w:t>
      </w:r>
      <w:r>
        <w:t>is essential for maintaining RG scaffold architecture and coordinating neuronal positioning. Single-cell analysis revealed that</w:t>
      </w:r>
      <w:r>
        <w:t xml:space="preserve"> </w:t>
      </w:r>
      <w:r>
        <w:t>FABP7</w:t>
      </w:r>
      <w:r>
        <w:t xml:space="preserve"> </w:t>
      </w:r>
      <w:r>
        <w:t>deficiency induces transcriptional dysregulation, particularly affecting cytoskeletal organization, neural fate specification, and stress responses. Furthermore, transcriptomic features in</w:t>
      </w:r>
      <w:r>
        <w:t xml:space="preserve"> </w:t>
      </w:r>
      <w:r>
        <w:t>FABP7</w:t>
      </w:r>
      <w:r>
        <w:t xml:space="preserve"> </w:t>
      </w:r>
      <w:r>
        <w:t>knockdown organoids exhibit convergence with neurodevelopmental disorders such as autism, alongside recapitulation of scaffold defects observed in idiopathic autism organoids. Mechanistically,</w:t>
      </w:r>
      <w:r>
        <w:t xml:space="preserve"> </w:t>
      </w:r>
      <w:r>
        <w:t>FABP7</w:t>
      </w:r>
      <w:r>
        <w:t xml:space="preserve"> </w:t>
      </w:r>
      <w:r>
        <w:t>loss suppresses the mevalonate (MVA) pathway, resulting in impaired GTPase-mediated cytoskeletal organization and disruption of radial scaffold integrity. These findings identify</w:t>
      </w:r>
      <w:r>
        <w:t xml:space="preserve"> </w:t>
      </w:r>
      <w:r>
        <w:t>FABP7</w:t>
      </w:r>
      <w:r>
        <w:t xml:space="preserve"> </w:t>
      </w:r>
      <w:r>
        <w:t>as a key regulator of cortical development and disease-relevant molecular programs, linking metabolic signaling to neurodevelopmental vulnerability.</w:t>
      </w:r>
    </w:p>
    <w:p>
      <w:pPr>
        <w:spacing w:before="120" w:after="120"/>
      </w:pPr>
      <w:r>
        <w:rPr>
          <w:sz w:val="18"/>
        </w:rPr>
        <w:t>——————————————————————————————————————————————————————————————————————</w:t>
      </w:r>
    </w:p>
    <w:p>
      <w:pPr>
        <w:spacing w:before="160" w:after="40" w:line="240" w:lineRule="auto"/>
      </w:pPr>
      <w:r>
        <w:rPr>
          <w:b/>
        </w:rPr>
        <w:t xml:space="preserve">[353] </w:t>
      </w:r>
      <w:hyperlink r:id="rId853">
        <w:r>
          <w:rPr>
            <w:color w:val="1155CC"/>
            <w:u w:val="single"/>
          </w:rPr>
          <w:t>由活性聚合引起的相分离使原细胞对环境变化具有鲁棒性</w:t>
        </w:r>
      </w:hyperlink>
    </w:p>
    <w:p>
      <w:pPr>
        <w:spacing w:before="0" w:after="80"/>
      </w:pPr>
      <w:r>
        <w:rPr>
          <w:i/>
          <w:sz w:val="20"/>
        </w:rPr>
        <w:t>EN: Phase separation induced by active polymerization makes protocells robust against environmental changes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54">
        <w:r>
          <w:rPr>
            <w:color w:val="1155CC"/>
            <w:u w:val="single"/>
          </w:rPr>
          <w:t>10.1073/pnas.2524346123</w:t>
        </w:r>
      </w:hyperlink>
    </w:p>
    <w:p>
      <w:pPr>
        <w:spacing w:before="0" w:after="120"/>
      </w:pPr>
      <w:r>
        <w:rPr>
          <w:b/>
        </w:rPr>
        <w:t xml:space="preserve">Notes: </w:t>
      </w:r>
      <w:r>
        <w:t>abstract_source=crossref</w:t>
      </w:r>
    </w:p>
    <w:p>
      <w:pPr>
        <w:spacing w:before="0" w:after="80" w:lineRule="auto" w:line="276"/>
      </w:pPr>
      <w:r>
        <w:rPr>
          <w:b/>
        </w:rPr>
        <w:t xml:space="preserve">摘要（ZH）: </w:t>
      </w:r>
      <w:r>
        <w:t>生命的起源仍然是一个科学谜题，特别是原始细胞的出现。一种假说提出，原始细胞是通过聚合物的液-液相分离形成的液滴产生的。关于这一假说的研究尚未解决原始细胞如何在波动或循环环境中生存的问题。我们考虑了一个模型系统，该系统结合了自发聚合和液滴促进的燃料驱动聚合。我们展示了生成的液滴在可用燃料方面表现出稳定的滞后现象。即使在燃料驱动的聚合反应显著减少后，液滴仍能保持稳定，这表明了一种潜在的原始细胞形成机制及其对环境波动的抵抗力。这种稳健性将使原始细胞能够在早期</w:t>
      </w:r>
    </w:p>
    <w:p>
      <w:pPr>
        <w:spacing w:before="0" w:after="200" w:lineRule="auto" w:line="276"/>
      </w:pPr>
      <w:r>
        <w:rPr>
          <w:b/>
        </w:rPr>
        <w:t xml:space="preserve">Abstract (EN): </w:t>
      </w:r>
      <w:r>
        <w:t>The origin of life remains a scientific mystery, particularly the emergence of protocells. One hypothesis proposes that protocells arose as droplets formed via liquid–liquid phase separation of polymers. The work on this hypothesis leaves open how protocells survived in fluctuating or cyclic environments. We consider a model system incorporating both spontaneous polymerization and droplet-facilitated fuel-driven polymerization. We show that the resulting droplets display a stationary hysteresis with respect to available fuel. Droplets can remain stable even after the fuel-driven polymerization reactions significantly diminish, suggesting a potential mechanism for protocell formation and resilience to environmental fluctuations. This robustness would have enabled protocells to endure early environmental challenges, such as energy shortages in a famine.</w:t>
      </w:r>
    </w:p>
    <w:p>
      <w:pPr>
        <w:spacing w:before="120" w:after="120"/>
      </w:pPr>
      <w:r>
        <w:rPr>
          <w:sz w:val="18"/>
        </w:rPr>
        <w:t>——————————————————————————————————————————————————————————————————————</w:t>
      </w:r>
    </w:p>
    <w:p>
      <w:pPr>
        <w:spacing w:before="160" w:after="40" w:line="240" w:lineRule="auto"/>
      </w:pPr>
      <w:r>
        <w:rPr>
          <w:b/>
        </w:rPr>
        <w:t xml:space="preserve">[354] </w:t>
      </w:r>
      <w:hyperlink r:id="rId855">
        <w:r>
          <w:rPr>
            <w:color w:val="1155CC"/>
            <w:u w:val="single"/>
          </w:rPr>
          <w:t>使用纳米孔探针对单个活细胞内活动进行原位和实时监测</w:t>
        </w:r>
      </w:hyperlink>
    </w:p>
    <w:p>
      <w:pPr>
        <w:spacing w:before="0" w:after="80"/>
      </w:pPr>
      <w:r>
        <w:rPr>
          <w:i/>
          <w:sz w:val="20"/>
        </w:rPr>
        <w:t>EN: In situ and real-time monitoring of intracellular activities in single live cells using a nanopore probe</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56">
        <w:r>
          <w:rPr>
            <w:color w:val="1155CC"/>
            <w:u w:val="single"/>
          </w:rPr>
          <w:t>10.1073/pnas.2529161123</w:t>
        </w:r>
      </w:hyperlink>
    </w:p>
    <w:p>
      <w:pPr>
        <w:spacing w:before="0" w:after="120"/>
      </w:pPr>
      <w:r>
        <w:rPr>
          <w:b/>
        </w:rPr>
        <w:t xml:space="preserve">Notes: </w:t>
      </w:r>
      <w:r>
        <w:t>abstract_source=crossref</w:t>
      </w:r>
    </w:p>
    <w:p>
      <w:pPr>
        <w:spacing w:before="0" w:after="80" w:lineRule="auto" w:line="276"/>
      </w:pPr>
      <w:r>
        <w:rPr>
          <w:b/>
        </w:rPr>
        <w:t xml:space="preserve">摘要（ZH）: </w:t>
      </w:r>
      <w:r>
        <w:t>监测单个活细胞内的分子活动对于理解细胞分化、衰老、异质性和疾病进展至关重要。然而，传统的单细胞分析通常依赖于显微操作或提取后进行下游测量，无法捕捉原位实时动态。荧光标记和电化学方法提供了时间分辨率，但在标记、底物范围和多重检测方面存在局限性。在此，我们提出了一种纳米孔探针，可以实时、多重监测单个活细胞内的细胞内活动。该装置集成了用于分子提取的氧化铝纳米吸管膜和用于单通道电检测的玻璃纳米孔膜。使用海马神经元模型</w:t>
      </w:r>
    </w:p>
    <w:p>
      <w:pPr>
        <w:spacing w:before="0" w:after="200" w:lineRule="auto" w:line="276"/>
      </w:pPr>
      <w:r>
        <w:rPr>
          <w:b/>
        </w:rPr>
        <w:t xml:space="preserve">Abstract (EN): </w:t>
      </w:r>
      <w:r>
        <w:t>Monitoring molecular activities within single live cells is vital for understanding cellular differentiation, senescence, heterogeneity, and disease progression. However, conventional single-cell analyses often rely on micromanipulation or extraction followed by downstream measurements, which cannot capture in situ real-time dynamics. Fluorescent labeling and electrochemical methods provide temporal resolution but face limitations in labeling, substrate scope, and multiplexing. Here, we present a nanopore probe that enables real-time, multiplexed monitoring of intracellular activities in single live cells. The device integrates an aluminum oxide nanostraw membrane for molecular extraction and a glass nanopore membrane for single-channel electrical detection. Using a hippocampal neuron model of ischemia-hypoxia, we simultaneously tracked dynamic changes in intracellular glutamate, ascorbic acid, and adenosine triphosphate—three key molecules involved in oxygen-glucose deprivation-induced neuronal edema. Our findings establish this nanopore probe as a powerful platform for real-time, label-free molecular profiling at the single-cell level, opening opportunities for studying disease mechanisms and therapeutic responses.</w:t>
      </w:r>
    </w:p>
    <w:p>
      <w:pPr>
        <w:spacing w:before="120" w:after="120"/>
      </w:pPr>
      <w:r>
        <w:rPr>
          <w:sz w:val="18"/>
        </w:rPr>
        <w:t>——————————————————————————————————————————————————————————————————————</w:t>
      </w:r>
    </w:p>
    <w:p>
      <w:pPr>
        <w:spacing w:before="160" w:after="40" w:line="240" w:lineRule="auto"/>
      </w:pPr>
      <w:r>
        <w:rPr>
          <w:b/>
        </w:rPr>
        <w:t xml:space="preserve">[355] </w:t>
      </w:r>
      <w:hyperlink r:id="rId857">
        <w:r>
          <w:rPr>
            <w:color w:val="1155CC"/>
            <w:u w:val="single"/>
          </w:rPr>
          <w:t>基于进化的ABA受体重塑揭示了激素感知和调控的结构基础</w:t>
        </w:r>
      </w:hyperlink>
    </w:p>
    <w:p>
      <w:pPr>
        <w:spacing w:before="0" w:after="80"/>
      </w:pPr>
      <w:r>
        <w:rPr>
          <w:i/>
          <w:sz w:val="20"/>
        </w:rPr>
        <w:t>EN: Evolutionary-based remodeling of ABA receptors reveals the structural basis of hormone perception and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58">
        <w:r>
          <w:rPr>
            <w:color w:val="1155CC"/>
            <w:u w:val="single"/>
          </w:rPr>
          <w:t>10.1073/pnas.2534140123</w:t>
        </w:r>
      </w:hyperlink>
    </w:p>
    <w:p>
      <w:pPr>
        <w:spacing w:before="0" w:after="120"/>
      </w:pPr>
      <w:r>
        <w:rPr>
          <w:b/>
        </w:rPr>
        <w:t xml:space="preserve">Notes: </w:t>
      </w:r>
      <w:r>
        <w:t>abstract_source=crossref</w:t>
      </w:r>
    </w:p>
    <w:p>
      <w:pPr>
        <w:spacing w:before="0" w:after="80" w:lineRule="auto" w:line="276"/>
      </w:pPr>
      <w:r>
        <w:rPr>
          <w:b/>
        </w:rPr>
        <w:t xml:space="preserve">摘要（ZH）: </w:t>
      </w:r>
      <w:r>
        <w:t>干旱限制了作物生产力，有效的缓解措施需要对脱落酸（ABA）感知如何将激素水平转化为生理反应的机械理解。在种子植物中，ABA由PYR/PYL/RCAR（PYR/PYL）受体感知，这些受体抑制2C蛋白磷酸酶（PP2Cs），从而释放Snf1相关蛋白激酶，驱动气孔关闭和应激响应转录。然而，受体结构如何进化以调节ABA依赖性和动态范围仍不清楚。在此，我们结合结构生物学、生物化学、进化分析和在植物中的实验，跨越藻类、苔藓植物和被子植物受体，揭示了控制ABA敏感性和寡聚状态的最小分子代码。我们识别出一个五残基特征：三个亮氨酸在</w:t>
      </w:r>
    </w:p>
    <w:p>
      <w:pPr>
        <w:spacing w:before="0" w:after="200" w:lineRule="auto" w:line="276"/>
      </w:pPr>
      <w:r>
        <w:rPr>
          <w:b/>
        </w:rPr>
        <w:t xml:space="preserve">Abstract (EN): </w:t>
      </w:r>
      <w:r>
        <w:t>Drought limits crop productivity, and effective mitigation requires a mechanistic understanding of how abscisic acid (ABA) perception translates hormone levels into physiological responses. In seed plants, ABA is sensed by PYR/PYL/RCAR (PYR/PYL) receptors, which inhibit 2C protein phosphatases (PP2Cs), thereby releasing Snf1-related protein kinases and driving stomatal closure and stress-responsive transcription. Yet how receptor architecture evolved to tune ABA dependence and dynamic range remains unclear. Here, we combine structural biology, biochemistry, evolutionary analysis, and in planta assays across algal, bryophyte, and angiosperm receptors to uncover a minimal molecular code that governs ABA sensitivity and oligomeric state. We identify a five-residue signature: Three leucines in the ligand pocket stabilize the gate in a closed conformation, conferring ligand-independent PP2C inhibition (ancestral trait), while two interface residues toggle dimerization (Leu/Lys) versus monomerization (Cys/Ser), thereby setting ABA affinity. Structure-guided swaps reciprocally convert behaviors: Introducing the three leucines plus interface substitutions renders the ABA-dependent dimeric</w:t>
      </w:r>
      <w:r>
        <w:t xml:space="preserve"> </w:t>
      </w:r>
      <w:r>
        <w:t>Citrus sinensis</w:t>
      </w:r>
      <w:r>
        <w:t xml:space="preserve"> </w:t>
      </w:r>
      <w:r>
        <w:t>CsPYL1 into a monomer-like with ABA-independent activity, whereas the converse changes in monomeric</w:t>
      </w:r>
      <w:r>
        <w:t xml:space="preserve"> </w:t>
      </w:r>
      <w:r>
        <w:t>Marchantia polymorpha</w:t>
      </w:r>
      <w:r>
        <w:t xml:space="preserve"> </w:t>
      </w:r>
      <w:r>
        <w:t>MpPYL1 enforce dimerization and lower ABA affinity. In planta, reporter assays and mutant analyses reveal complementary operating ranges: Monomeric, high-affinity receptors decode low ABA under mild stress, while dimeric, reduced-affinity receptors sustain signaling at high ABA during acute drought, expanding the system’s overall dynamic range and robustness. These results resolve the apparent paradox of low-affinity dimers as an evolutionary innovation rather than a loss of sensitivity, link receptor architecture to ABA-mediated response, and provide actionable design principles for engineering ABA signaling to enhance crop drought resilience.</w:t>
      </w:r>
    </w:p>
    <w:p>
      <w:pPr>
        <w:spacing w:before="120" w:after="120"/>
      </w:pPr>
      <w:r>
        <w:rPr>
          <w:sz w:val="18"/>
        </w:rPr>
        <w:t>——————————————————————————————————————————————————————————————————————</w:t>
      </w:r>
    </w:p>
    <w:p>
      <w:pPr>
        <w:spacing w:before="160" w:after="40" w:line="240" w:lineRule="auto"/>
      </w:pPr>
      <w:r>
        <w:rPr>
          <w:b/>
        </w:rPr>
        <w:t xml:space="preserve">[356] </w:t>
      </w:r>
      <w:hyperlink r:id="rId859">
        <w:r>
          <w:rPr>
            <w:color w:val="1155CC"/>
            <w:u w:val="single"/>
          </w:rPr>
          <w:t>Brodsky和Farge的更正，地震如何组织应力</w:t>
        </w:r>
      </w:hyperlink>
    </w:p>
    <w:p>
      <w:pPr>
        <w:spacing w:before="0" w:after="80"/>
      </w:pPr>
      <w:r>
        <w:rPr>
          <w:i/>
          <w:sz w:val="20"/>
        </w:rPr>
        <w:t>EN: Correction for Brodsky and Farge, How earthquakes organize stress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60">
        <w:r>
          <w:rPr>
            <w:color w:val="1155CC"/>
            <w:u w:val="single"/>
          </w:rPr>
          <w:t>10.1073/pnas.2610805123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861">
        <w:r>
          <w:rPr>
            <w:color w:val="1155CC"/>
            <w:u w:val="single"/>
          </w:rPr>
          <w:t>姐妹染色单体分离通过同源染色体排列决定全基因组复制后的增殖特性</w:t>
        </w:r>
      </w:hyperlink>
    </w:p>
    <w:p>
      <w:pPr>
        <w:spacing w:before="0" w:after="80"/>
      </w:pPr>
      <w:r>
        <w:rPr>
          <w:i/>
          <w:sz w:val="20"/>
        </w:rPr>
        <w:t>EN: Sister chromatid separation determines the proliferative properties upon whole-genome duplication via homologous chromosome arrangement</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62">
        <w:r>
          <w:rPr>
            <w:color w:val="1155CC"/>
            <w:u w:val="single"/>
          </w:rPr>
          <w:t>10.1073/pnas.2524135123</w:t>
        </w:r>
      </w:hyperlink>
    </w:p>
    <w:p>
      <w:pPr>
        <w:spacing w:before="0" w:after="120"/>
      </w:pPr>
      <w:r>
        <w:rPr>
          <w:b/>
        </w:rPr>
        <w:t xml:space="preserve">Notes: </w:t>
      </w:r>
      <w:r>
        <w:t>abstract_source=crossref</w:t>
      </w:r>
    </w:p>
    <w:p>
      <w:pPr>
        <w:spacing w:before="0" w:after="80" w:lineRule="auto" w:line="276"/>
      </w:pPr>
      <w:r>
        <w:rPr>
          <w:b/>
        </w:rPr>
        <w:t xml:space="preserve">摘要（ZH）: </w:t>
      </w:r>
      <w:r>
        <w:t>二倍体细胞的全基因组复制（WGD）会引发各种细胞命运，如细胞死亡、细胞周期停滞和伴随染色体不稳定的增殖，影响广泛的生物过程，包括分化、肿瘤发生或衰老。然而，决定WGD后细胞命运的因素仍然大多未知。在这项研究中，我们发现细胞分裂失败（CF）和有丝分裂滑移（MS），两种主要的WGD诱导途径，差异性地影响了人类细胞中WGD后的生存能力和增殖。定量活体成像显示，在MS后的第一次有丝分裂中，多极染色体分离导致细胞生存能力较差。染色体特异性标记显示，MS后姐妹染色单体分离效率低下导致同源染色体更偏斜</w:t>
      </w:r>
    </w:p>
    <w:p>
      <w:pPr>
        <w:spacing w:before="0" w:after="200" w:lineRule="auto" w:line="276"/>
      </w:pPr>
      <w:r>
        <w:rPr>
          <w:b/>
        </w:rPr>
        <w:t xml:space="preserve">Abstract (EN): </w:t>
      </w:r>
      <w:r>
        <w:t>Whole-genome duplication (WGD) of diploid cells triggers various cell fates, such as cell death, cell cycle arrest, and proliferation with chromosome instability, contributing to broad bioprocesses, including differentiation, tumorigenesis, or aging. However, factors determining the post-WGD cell fates remain largely unknown. In this study, we found that cytokinesis failure (CF) and mitotic slippage (MS), two major routes of WGD induction, differentially affected post-WGD viability and proliferation in human cells. Quantitative live imaging revealed poorer survivability of cells upon multipolar chromosome segregation at the first mitosis after MS than CF. Chromosome-specific labeling showed that the inefficient sister chromatid separation upon MS caused more skewed homologous chromosome distribution than CF. The skewed homologue distribution frequently led to physical isolation (&amp;gt;10 μm) of the centrosomes from all homologous centromeres, hindering these centrosomes from capturing any of these homologues. The difference in the frequency of this nullisomic chromosome segregation between MS and CF at least partially explained their difference in the viability of the subsequent daughter cells. Moreover, artificial separation of sister chromatids upon MS improved the evenness of homologue distribution, suppressed nullisomic homologue segregation in the following mitosis, and significantly restored the viability of their daughter cells. These results demonstrate the geometric arrangement of homologous chromosomes, defined by the presence or absence of sufficient sister chromatid separation upon WGD, as a key factor determining the proliferative characteristics of subsequent progenies. Our findings would provide a clue to understanding the route-dependent outcomes of WGD in cell fate determination in different bioprocesses.</w:t>
      </w:r>
    </w:p>
    <w:p>
      <w:pPr>
        <w:spacing w:before="120" w:after="120"/>
      </w:pPr>
      <w:r>
        <w:rPr>
          <w:sz w:val="18"/>
        </w:rPr>
        <w:t>——————————————————————————————————————————————————————————————————————</w:t>
      </w:r>
    </w:p>
    <w:p>
      <w:pPr>
        <w:spacing w:before="160" w:after="40" w:line="240" w:lineRule="auto"/>
      </w:pPr>
      <w:r>
        <w:rPr>
          <w:b/>
        </w:rPr>
        <w:t xml:space="preserve">[358] </w:t>
      </w:r>
      <w:hyperlink r:id="rId863">
        <w:r>
          <w:rPr>
            <w:color w:val="1155CC"/>
            <w:u w:val="single"/>
          </w:rPr>
          <w:t>Herpe等人的更正，当替代变得必不可少：线粒体甘油-3-磷酸脱氢酶的作用</w:t>
        </w:r>
      </w:hyperlink>
    </w:p>
    <w:p>
      <w:pPr>
        <w:spacing w:before="0" w:after="80"/>
      </w:pPr>
      <w:r>
        <w:rPr>
          <w:i/>
          <w:sz w:val="20"/>
        </w:rPr>
        <w:t>EN: Correction for Herpe et al., When alternative becomes essential: The role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64">
        <w:r>
          <w:rPr>
            <w:color w:val="1155CC"/>
            <w:u w:val="single"/>
          </w:rPr>
          <w:t>10.1073/pnas.2610649123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[359] </w:t>
      </w:r>
      <w:hyperlink r:id="rId865">
        <w:r>
          <w:rPr>
            <w:color w:val="1155CC"/>
            <w:u w:val="single"/>
          </w:rPr>
          <w:t>小鼠和大鼠衰老的多组织、多时间点转录组图谱</w:t>
        </w:r>
      </w:hyperlink>
    </w:p>
    <w:p>
      <w:pPr>
        <w:spacing w:before="0" w:after="80"/>
      </w:pPr>
      <w:r>
        <w:rPr>
          <w:i/>
          <w:sz w:val="20"/>
        </w:rPr>
        <w:t>EN: Multitissue, multi–time point transcriptomic atlas of aging in mice and rats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66">
        <w:r>
          <w:rPr>
            <w:color w:val="1155CC"/>
            <w:u w:val="single"/>
          </w:rPr>
          <w:t>10.1126/sciadv.ady8401</w:t>
        </w:r>
      </w:hyperlink>
    </w:p>
    <w:p>
      <w:pPr>
        <w:spacing w:before="0" w:after="120"/>
      </w:pPr>
      <w:r>
        <w:rPr>
          <w:b/>
        </w:rPr>
        <w:t xml:space="preserve">Notes: </w:t>
      </w:r>
      <w:r>
        <w:t>abstract_source=crossref</w:t>
      </w:r>
    </w:p>
    <w:p>
      <w:pPr>
        <w:spacing w:before="0" w:after="80" w:lineRule="auto" w:line="276"/>
      </w:pPr>
      <w:r>
        <w:rPr>
          <w:b/>
        </w:rPr>
        <w:t xml:space="preserve">摘要（ZH）: </w:t>
      </w:r>
      <w:r>
        <w:t>为了确定在啮齿动物生命周期中一致上调或下调的基因和通路，我们通过在多个时间点对雄性和雌性C57BL/6J小鼠的28种组织和雄性Sprague Dawley大鼠的32种组织（&gt;5000个样本）进行分析，生成了一个高N年龄相关基因表达图谱。我们识别出在生命早期、中期、晚期或在动物生命周期中线性变化的年龄相关基因和通路。线性基因在许多但不是所有组织中占主导地位，某些组织相对不受年龄相关变化的影响。我们探讨了组织、性别和物种之间衰老的共同和不同特征。鉴于我们转录组数据集的广度，我们相信这项研究将作为一个有用的资源</w:t>
      </w:r>
    </w:p>
    <w:p>
      <w:pPr>
        <w:spacing w:before="0" w:after="200" w:lineRule="auto" w:line="276"/>
      </w:pPr>
      <w:r>
        <w:rPr>
          <w:b/>
        </w:rPr>
        <w:t xml:space="preserve">Abstract (EN): </w:t>
      </w:r>
      <w:r>
        <w:t>To determine the genes and pathways that are up- or down-regulated in a consistent manner throughout the rodent lifespan, we generated a high N age-related gene expression atlas in mice and rats, by profiling 28 tissues in male and female C57BL/6J mice and 32 tissues in male Sprague Dawley rats (&amp;gt;5000 samples) over multiple time points. We identified age-related genes and pathways that change either early in life, at mid-age, late in life, or linearly throughout the animals’ lifespan. Linear genes dominated many but not all tissues, and certain tissues were relatively spared from age-related changes. We explored common and different features of aging between tissues, sexes, and species. Given the expanse of our transcriptomic dataset, we believe that this study will serve as a useful resource for understanding the timing, tissue specificity, sex-specificity, and species specificity of age-related gene and pathway changes in mice and rats.</w:t>
      </w:r>
    </w:p>
    <w:p>
      <w:pPr>
        <w:spacing w:before="120" w:after="120"/>
      </w:pPr>
      <w:r>
        <w:rPr>
          <w:sz w:val="18"/>
        </w:rPr>
        <w:t>——————————————————————————————————————————————————————————————————————</w:t>
      </w:r>
    </w:p>
    <w:p>
      <w:pPr>
        <w:spacing w:before="160" w:after="40" w:line="240" w:lineRule="auto"/>
      </w:pPr>
      <w:r>
        <w:rPr>
          <w:b/>
        </w:rPr>
        <w:t xml:space="preserve">[360] </w:t>
      </w:r>
      <w:hyperlink r:id="rId867">
        <w:r>
          <w:rPr>
            <w:color w:val="1155CC"/>
            <w:u w:val="single"/>
          </w:rPr>
          <w:t>Zhu等人的更正，SETD2介导的H3K14三甲基化促进ATR激活和应对DNA复制压力的停滞复制叉重启</w:t>
        </w:r>
      </w:hyperlink>
    </w:p>
    <w:p>
      <w:pPr>
        <w:spacing w:before="0" w:after="80"/>
      </w:pPr>
      <w:r>
        <w:rPr>
          <w:i/>
          <w:sz w:val="20"/>
        </w:rPr>
        <w:t>EN: Correction for Zhu et al., SETD2-mediated H3K14 trimethylation promotes ATR activation and stalled replication fork restart in response to DNA replication stress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68">
        <w:r>
          <w:rPr>
            <w:color w:val="1155CC"/>
            <w:u w:val="single"/>
          </w:rPr>
          <w:t>10.1073/pnas.2610804123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[361] </w:t>
      </w:r>
      <w:hyperlink r:id="rId869">
        <w:r>
          <w:rPr>
            <w:color w:val="1155CC"/>
            <w:u w:val="single"/>
          </w:rPr>
          <w:t>裸鼹鼠产热的比较分析及其在应对寒冷时维持恒温的潜力</w:t>
        </w:r>
      </w:hyperlink>
    </w:p>
    <w:p>
      <w:pPr>
        <w:spacing w:before="0" w:after="80"/>
      </w:pPr>
      <w:r>
        <w:rPr>
          <w:i/>
          <w:sz w:val="20"/>
        </w:rPr>
        <w:t>EN: Comparative analysis of naked mole-rat thermogenesis and its potential to maintain euthermia in response to cold</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70">
        <w:r>
          <w:rPr>
            <w:color w:val="1155CC"/>
            <w:u w:val="single"/>
          </w:rPr>
          <w:t>10.1073/pnas.2600755123</w:t>
        </w:r>
      </w:hyperlink>
    </w:p>
    <w:p>
      <w:pPr>
        <w:spacing w:before="0" w:after="120"/>
      </w:pPr>
      <w:r>
        <w:rPr>
          <w:b/>
        </w:rPr>
        <w:t xml:space="preserve">Notes: </w:t>
      </w:r>
      <w:r>
        <w:t>abstract_source=crossref</w:t>
      </w:r>
    </w:p>
    <w:p>
      <w:pPr>
        <w:spacing w:before="0" w:after="80" w:lineRule="auto" w:line="276"/>
      </w:pPr>
      <w:r>
        <w:rPr>
          <w:b/>
        </w:rPr>
        <w:t xml:space="preserve">摘要（ZH）: </w:t>
      </w:r>
      <w:r>
        <w:t>裸鼹鼠（NMR）是一种地下啮齿动物，以其独特的热生物学、卓越的长寿性以及对癌症和缺氧的抵抗力而闻名。然而，其热生物学仍然存在争议，不同的报告将NMR描述为变温动物、异温动物、中温动物或部分恒温动物。在此，我们研究了NMR棕色脂肪组织及其UCP1的产热潜力是否与小鼠不同，以及缺乏热绝缘是否导致NMR在寒冷暴露时体温发生极端变化。通过纵向分子、热、代谢和行为测量，我们发现NMR启动了非颤抖产热并提高了体温，但由于过度的热量损失无法维持。我们的结果表明，NMR代表了一种</w:t>
      </w:r>
    </w:p>
    <w:p>
      <w:pPr>
        <w:spacing w:before="0" w:after="200" w:lineRule="auto" w:line="276"/>
      </w:pPr>
      <w:r>
        <w:rPr>
          <w:b/>
        </w:rPr>
        <w:t xml:space="preserve">Abstract (EN): </w:t>
      </w:r>
      <w:r>
        <w:t>The naked mole-rat (NMR) is a subterranean rodent known for its unique thermal biology, exceptional longevity, and resistance to cancer and hypoxia. However, its thermal biology remains controversial, with various reports describing NMRs as poikilotherms, heterotherms, mesotherms, or partial homeotherms. Here, we investigated whether the thermogenic potential of NMR brown adipose tissue and its UCP1 differ from those in mice and whether the lack of thermal insulation causes extreme changes in NMR body temperature upon cold exposure. Through longitudinal molecular, thermal, metabolic, and behavioral measurements, we found that NMRs initiated nonshivering thermogenesis and elevated body temperature but could not sustain it due to excessive heat loss. Our results suggest that NMRs represent a unique thermoregulatory category that does not fit neatly into traditional classifications. In vitro and in vivo experiments showed that the NMR UCP1 is functional and can be activated and inhibited as expected for most other mammals. We further demonstrated that artificial insulation can partially restore thermoregulatory capabilities in NMRs. This study employs an advanced methodology to characterize the thermal biology of NMRs and helps resolve a long-standing controversy in the field.</w:t>
      </w:r>
    </w:p>
    <w:p>
      <w:pPr>
        <w:spacing w:before="120" w:after="120"/>
      </w:pPr>
      <w:r>
        <w:rPr>
          <w:sz w:val="18"/>
        </w:rPr>
        <w:t>——————————————————————————————————————————————————————————————————————</w:t>
      </w:r>
    </w:p>
    <w:p>
      <w:pPr>
        <w:spacing w:before="160" w:after="40" w:line="240" w:lineRule="auto"/>
      </w:pPr>
      <w:r>
        <w:rPr>
          <w:b/>
        </w:rPr>
        <w:t xml:space="preserve">[362] </w:t>
      </w:r>
      <w:hyperlink r:id="rId871">
        <w:r>
          <w:rPr>
            <w:color w:val="1155CC"/>
            <w:u w:val="single"/>
          </w:rPr>
          <w:t>WWOX维持表皮特性并抑制EMT以防止侵袭性皮肤鳞状细胞癌</w:t>
        </w:r>
      </w:hyperlink>
    </w:p>
    <w:p>
      <w:pPr>
        <w:spacing w:before="0" w:after="80"/>
      </w:pPr>
      <w:r>
        <w:rPr>
          <w:i/>
          <w:sz w:val="20"/>
        </w:rPr>
        <w:t>EN: WWOX maintains epidermal identity and suppresses EMT to prevent aggressive cutaneous squamous cell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72">
        <w:r>
          <w:rPr>
            <w:color w:val="1155CC"/>
            <w:u w:val="single"/>
          </w:rPr>
          <w:t>10.1073/pnas.2534844123</w:t>
        </w:r>
      </w:hyperlink>
    </w:p>
    <w:p>
      <w:pPr>
        <w:spacing w:before="0" w:after="120"/>
      </w:pPr>
      <w:r>
        <w:rPr>
          <w:b/>
        </w:rPr>
        <w:t xml:space="preserve">Notes: </w:t>
      </w:r>
      <w:r>
        <w:t>abstract_source=crossref</w:t>
      </w:r>
    </w:p>
    <w:p>
      <w:pPr>
        <w:spacing w:before="0" w:after="80" w:lineRule="auto" w:line="276"/>
      </w:pPr>
      <w:r>
        <w:rPr>
          <w:b/>
        </w:rPr>
        <w:t xml:space="preserve">摘要（ZH）: </w:t>
      </w:r>
      <w:r>
        <w:t>皮肤鳞状细胞癌（cSCC）是第二常见的皮肤癌，仍然是全球主要的健康负担。含WW结构域的氧化还原酶（WWOX）在癌症中经常发生改变；然而，其在表皮生物学和皮肤癌发生中的作用仍未定义。在此，我们揭示了WWOX在保护上皮身份和抑制cSCC进展中的重要功能。使用条件性敲除小鼠，我们证明了WWOX缺失加速了p53驱动的cSCC，导致早期、高渗透性和分化不良的肿瘤。转录组分析显示，WWOX缺失驱动了上皮-间质转化（EMT）和转录可塑性，这是侵袭性疾病的标志。机制上，结合生化的邻近连接分析</w:t>
      </w:r>
    </w:p>
    <w:p>
      <w:pPr>
        <w:spacing w:before="0" w:after="200" w:lineRule="auto" w:line="276"/>
      </w:pPr>
      <w:r>
        <w:rPr>
          <w:b/>
        </w:rPr>
        <w:t xml:space="preserve">Abstract (EN): </w:t>
      </w:r>
      <w:r>
        <w:t>Cutaneous squamous cell carcinoma (cSCC), the second most common skin cancer, remains a major health burden worldwide. The WW domain–containing oxidoreductase (WWOX) is frequently altered in cancer; however, its role in epidermal biology and skin carcinogenesis remains undefined. Here, we uncover an essential function for WWOX in safeguarding epithelial identity and restraining cSCC progression. Using conditional knockout mice, we demonstrate that WWOX loss accelerates p53-driven cSCC, resulting in early, highly penetrant, and poorly differentiated tumors. Transcriptomic profiling revealed that WWOX deficiency drives epithelial-to-mesenchymal transition (EMT) and transcriptional plasticity, hallmarks of aggressive disease. Mechanistically, proximity ligation assays together with biochemical and cellular analyses support a close association between WWOX and p63 and imply that WWOX contributes to p63 stabilization; loss of WWOX reduces p63 protein levels and diminishes its binding to epithelial target genes, thereby disrupting epidermal transcriptional programs. Human tissue microarrays confirmed a concordant reduction of WWOX and p63 in advanced cSCC, correlating with poor differentiation. Functional assays in human keratinocytes and cSCC cells further showed that WWOX depletion enhances EMT plasticity, invasiveness, and metastatic colonization. Together, these findings identify WWOX as a critical regulator of epidermal integrity and reveal a previously unrecognized WWOX–p63 axis that constrains EMT and tumor progression in cSCC.</w:t>
      </w:r>
    </w:p>
    <w:p>
      <w:pPr>
        <w:spacing w:before="120" w:after="120"/>
      </w:pPr>
      <w:r>
        <w:rPr>
          <w:sz w:val="18"/>
        </w:rPr>
        <w:t>——————————————————————————————————————————————————————————————————————</w:t>
      </w:r>
    </w:p>
    <w:p>
      <w:pPr>
        <w:spacing w:before="160" w:after="40" w:line="240" w:lineRule="auto"/>
      </w:pPr>
      <w:r>
        <w:rPr>
          <w:b/>
        </w:rPr>
        <w:t xml:space="preserve">[363] </w:t>
      </w:r>
      <w:hyperlink r:id="rId873">
        <w:r>
          <w:rPr>
            <w:color w:val="1155CC"/>
            <w:u w:val="single"/>
          </w:rPr>
          <w:t>受限的进化漏斗塑造病毒免疫逃逸</w:t>
        </w:r>
      </w:hyperlink>
    </w:p>
    <w:p>
      <w:pPr>
        <w:spacing w:before="0" w:after="80"/>
      </w:pPr>
      <w:r>
        <w:rPr>
          <w:i/>
          <w:sz w:val="20"/>
        </w:rPr>
        <w:t>EN: Constrained evolutionary funnels shape viral immune escape</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74">
        <w:r>
          <w:rPr>
            <w:color w:val="1155CC"/>
            <w:u w:val="single"/>
          </w:rPr>
          <w:t>10.1073/pnas.2536956123</w:t>
        </w:r>
      </w:hyperlink>
    </w:p>
    <w:p>
      <w:pPr>
        <w:spacing w:before="0" w:after="120"/>
      </w:pPr>
      <w:r>
        <w:rPr>
          <w:b/>
        </w:rPr>
        <w:t xml:space="preserve">Notes: </w:t>
      </w:r>
      <w:r>
        <w:t>abstract_source=crossref</w:t>
      </w:r>
    </w:p>
    <w:p>
      <w:pPr>
        <w:spacing w:before="0" w:after="80" w:lineRule="auto" w:line="276"/>
      </w:pPr>
      <w:r>
        <w:rPr>
          <w:b/>
        </w:rPr>
        <w:t xml:space="preserve">摘要（ZH）: </w:t>
      </w:r>
      <w:r>
        <w:t>理解病毒蛋白在免疫压力下如何适应同时保持活力，对于预测抗体耐药变体至关重要。我们提出了一个概率框架，预测病毒逃逸轨迹，并显示免疫逃逸被引导到广泛突变空间中的一小部分可行的“逃逸漏斗”。这些逃逸漏斗源于蛋白质活力和抗体逃逸的综合约束，使用在同源序列和深度突变扫描数据上训练的生成模型进行建模。我们推导出进化路径集合的平均场近似，使我们能够量化逃逸路径的适应性和熵。应用于SARS-CoV-2受体结合域，我们的框架揭示了趋同进化模式，预测突变</w:t>
      </w:r>
    </w:p>
    <w:p>
      <w:pPr>
        <w:spacing w:before="0" w:after="200" w:lineRule="auto" w:line="276"/>
      </w:pPr>
      <w:r>
        <w:rPr>
          <w:b/>
        </w:rPr>
        <w:t xml:space="preserve">Abstract (EN): </w:t>
      </w:r>
      <w:r>
        <w:t>Understanding how viral proteins adapt under immune pressure while preserving viability is crucial for anticipating antibody-resistant variants. We present a probabilistic framework that predicts viral escape trajectories and shows that immune evasion is channeled into a small set of viable “escape funnels” within the vast mutational space. These escape funnels arise from the combined constraints of protein viability and antibody escape, modeled using a generative model trained on homologous sequences and deep mutational scanning data. We derive a mean-field approximation of evolutionary path ensembles, enabling us to quantify both the fitness and entropy of escape routes. Applied to SARS-CoV-2 receptor binding domain, our framework reveals convergent evolution patterns, predicts mutation sites in variants of concern, and explains differences in antibody-cocktail effectiveness. In particular, cocktails with decorrelated escape profiles slow viral adaptation by forcing longer, higher-cost escape paths.</w:t>
      </w:r>
    </w:p>
    <w:p>
      <w:pPr>
        <w:spacing w:before="120" w:after="120"/>
      </w:pPr>
      <w:r>
        <w:rPr>
          <w:sz w:val="18"/>
        </w:rPr>
        <w:t>——————————————————————————————————————————————————————————————————————</w:t>
      </w:r>
    </w:p>
    <w:p>
      <w:pPr>
        <w:spacing w:before="160" w:after="40" w:line="240" w:lineRule="auto"/>
      </w:pPr>
      <w:r>
        <w:rPr>
          <w:b/>
        </w:rPr>
        <w:t xml:space="preserve">[364] </w:t>
      </w:r>
      <w:hyperlink r:id="rId875">
        <w:r>
          <w:rPr>
            <w:color w:val="1155CC"/>
            <w:u w:val="single"/>
          </w:rPr>
          <w:t>Hi-C中的通用聚合物特征解析粘连蛋白环密度并支持单体挤出</w:t>
        </w:r>
      </w:hyperlink>
    </w:p>
    <w:p>
      <w:pPr>
        <w:spacing w:before="0" w:after="80"/>
      </w:pPr>
      <w:r>
        <w:rPr>
          <w:i/>
          <w:sz w:val="20"/>
        </w:rPr>
        <w:t>EN: A universal polymer signature in Hi-C resolves cohesin loop density and supports monomeric extrusion</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76">
        <w:r>
          <w:rPr>
            <w:color w:val="1155CC"/>
            <w:u w:val="single"/>
          </w:rPr>
          <w:t>10.1073/pnas.2534385123</w:t>
        </w:r>
      </w:hyperlink>
    </w:p>
    <w:p>
      <w:pPr>
        <w:spacing w:before="0" w:after="120"/>
      </w:pPr>
      <w:r>
        <w:rPr>
          <w:b/>
        </w:rPr>
        <w:t xml:space="preserve">Notes: </w:t>
      </w:r>
      <w:r>
        <w:t>abstract_source=crossref</w:t>
      </w:r>
    </w:p>
    <w:p>
      <w:pPr>
        <w:spacing w:before="0" w:after="80" w:lineRule="auto" w:line="276"/>
      </w:pPr>
      <w:r>
        <w:rPr>
          <w:b/>
        </w:rPr>
        <w:t xml:space="preserve">摘要（ZH）: </w:t>
      </w:r>
      <w:r>
        <w:t>基因组由分子马达折叠，但生成单个染色质环所需的马达数量仍然未知。在脊椎动物中，cohesin在间期染色体上挤出环，但这些环的线性密度——因此挤出的化学计量——在活细胞中尚无法直接测量。一个基本挑战是Hi-C接触图，作为基因组组织的主要实验探针，不仅受染色质折叠的影响，还受接触检测本身的物理和生化影响。在此，我们开发了一种短尺度染色体折叠的解析聚合物理论，该理论明确结合了Hi-C检测协议的步骤。该理论预测接触概率的对数导数中存在一个特征性下降，ar</w:t>
      </w:r>
    </w:p>
    <w:p>
      <w:pPr>
        <w:spacing w:before="0" w:after="200" w:lineRule="auto" w:line="276"/>
      </w:pPr>
      <w:r>
        <w:rPr>
          <w:b/>
        </w:rPr>
        <w:t xml:space="preserve">Abstract (EN): </w:t>
      </w:r>
      <w:r>
        <w:t>The genome is folded by molecular motors, yet how many motors are required to generate a single chromatin loop has remained unknown. In vertebrates, cohesin extrudes loops along interphase chromosomes, but the linear density of these loops—and therefore the stoichiometry of extrusion—has not been directly measurable in living cells. A fundamental challenge is that Hi-C contact maps, the primary experimental probe of genome organization, are shaped not only by chromatin folding but also by the physics and biochemistry of contact detection itself. Here, we develop an analytical polymer theory of short-scale chromosome folding that explicitly incorporates the steps of Hi-C detection protocol. The theory predicts a characteristic dip in the logarithmic derivative of the contact probability, arising from the interplay between cohesin-mediated looping and contact capture. This dip is a universal feature of Hi-C data and provides a direct, protocol-aware readout of loop density. Applying the theory to human and mouse datasets reveals a conserved density of approximately six loops per megabase. Independent measurements of chromatin-bound cohesin quantitatively match this value, providing strong evidence that loop extrusion in vivo is predominantly mediated by single cohesin motors.</w:t>
      </w:r>
    </w:p>
    <w:p>
      <w:pPr>
        <w:spacing w:before="120" w:after="120"/>
      </w:pPr>
      <w:r>
        <w:rPr>
          <w:sz w:val="18"/>
        </w:rPr>
        <w:t>——————————————————————————————————————————————————————————————————————</w:t>
      </w:r>
    </w:p>
    <w:p>
      <w:pPr>
        <w:spacing w:before="160" w:after="40" w:line="240" w:lineRule="auto"/>
      </w:pPr>
      <w:r>
        <w:rPr>
          <w:b/>
        </w:rPr>
        <w:t xml:space="preserve">[365] </w:t>
      </w:r>
      <w:hyperlink r:id="rId877">
        <w:r>
          <w:rPr>
            <w:color w:val="1155CC"/>
            <w:u w:val="single"/>
          </w:rPr>
          <w:t>用于猕猴虚拟现实导航的皮层内脑机接口</w:t>
        </w:r>
      </w:hyperlink>
    </w:p>
    <w:p>
      <w:pPr>
        <w:spacing w:before="0" w:after="80"/>
      </w:pPr>
      <w:r>
        <w:rPr>
          <w:i/>
          <w:sz w:val="20"/>
        </w:rPr>
        <w:t>EN: Intracortical brain-computer interface for navigation in virtual reality in macaque monkeys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78">
        <w:r>
          <w:rPr>
            <w:color w:val="1155CC"/>
            <w:u w:val="single"/>
          </w:rPr>
          <w:t>10.1126/sciadv.adw3876</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种创新的皮层内脑机接口（BCI），以弥合实验室环境与现实应用之间的差距。这种BCI方法引入了三个关键进展。首先，我们使用来自三只猕猴大脑区域——初级运动皮层、背侧和腹侧前运动皮层的神经信号，实现了实时三维（3D）球体/化身速度的精确和灵活解码。其次，我们开发了一个逼真、沉浸式的3D虚拟现实设置，具有动态摄像机跟踪，允许连续导航和障碍物规避，紧密模拟现实场景。最后，我们的BCI方法非常适合瘫痪患者使用，具有简短的被动固定，无需明显运动，并且无需重新训练解码器的闭环操作</w:t>
      </w:r>
    </w:p>
    <w:p>
      <w:pPr>
        <w:spacing w:before="0" w:after="200" w:lineRule="auto" w:line="276"/>
      </w:pPr>
      <w:r>
        <w:rPr>
          <w:b/>
        </w:rPr>
        <w:t xml:space="preserve">Abstract (EN): </w:t>
      </w:r>
      <w:r>
        <w:t>We present an innovative intracortical brain-computer interface (BCI) to bridge the gap between laboratory settings and real-world applications. This BCI approach introduces three key advancements. First, we used neural signals from three macaque brain regions—primary motor, dorsal, and ventral premotor cortex—enabling precise and flexible decoding of real-time three-dimensional (3D) sphere/avatar velocities. Second, we developed a realistic, immersive 3D virtual reality setup with dynamic camera tracking, allowing continuous navigation and obstacle avoidance that closely mimic real-world scenarios. Last, our BCI approach is very well suited for use by paralyzed patients, featuring a brief passive fixation without overt movements and closed-loop operation without retraining of the decoder during online decoding, relying on the user’s neural plasticity and the decoder’s robust generalization across tasks. Our BCI adapted to different environments, targets, and obstacles, illustrating its potential to substantially enhance the quality of life for paralyzed patients by enabling natural, reliable, and flexible control in complex settings.</w:t>
      </w:r>
    </w:p>
    <w:p>
      <w:pPr>
        <w:spacing w:before="120" w:after="120"/>
      </w:pPr>
      <w:r>
        <w:rPr>
          <w:sz w:val="18"/>
        </w:rPr>
        <w:t>——————————————————————————————————————————————————————————————————————</w:t>
      </w:r>
    </w:p>
    <w:p>
      <w:pPr>
        <w:spacing w:before="160" w:after="40" w:line="240" w:lineRule="auto"/>
      </w:pPr>
      <w:r>
        <w:rPr>
          <w:b/>
        </w:rPr>
        <w:t xml:space="preserve">[366] </w:t>
      </w:r>
      <w:hyperlink r:id="rId879">
        <w:r>
          <w:rPr>
            <w:color w:val="1155CC"/>
            <w:u w:val="single"/>
          </w:rPr>
          <w:t>PPP1R3G–RIPK1–ZBP1轴激活早期凋亡和晚期坏死性凋亡以促进阿霉素诱导的心脏毒性</w:t>
        </w:r>
      </w:hyperlink>
    </w:p>
    <w:p>
      <w:pPr>
        <w:spacing w:before="0" w:after="80"/>
      </w:pPr>
      <w:r>
        <w:rPr>
          <w:i/>
          <w:sz w:val="20"/>
        </w:rPr>
        <w:t>EN: PPP1R3G–RIPK1–ZBP1 axis activates early-stage apoptosis and late-stage necroptosis to promote doxorubicin-induced cardiotoxicity</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80">
        <w:r>
          <w:rPr>
            <w:color w:val="1155CC"/>
            <w:u w:val="single"/>
          </w:rPr>
          <w:t>10.1073/pnas.2603301123</w:t>
        </w:r>
      </w:hyperlink>
    </w:p>
    <w:p>
      <w:pPr>
        <w:spacing w:before="0" w:after="120"/>
      </w:pPr>
      <w:r>
        <w:rPr>
          <w:b/>
        </w:rPr>
        <w:t xml:space="preserve">Notes: </w:t>
      </w:r>
      <w:r>
        <w:t>abstract_source=crossref</w:t>
      </w:r>
    </w:p>
    <w:p>
      <w:pPr>
        <w:spacing w:before="0" w:after="80" w:lineRule="auto" w:line="276"/>
      </w:pPr>
      <w:r>
        <w:rPr>
          <w:b/>
        </w:rPr>
        <w:t xml:space="preserve">摘要（ZH）: </w:t>
      </w:r>
      <w:r>
        <w:t>心脏毒性是阿霉素（DOX）化疗的剂量限制性并发症，但从急性应激到终末期心力衰竭的转变的分子机制仍未完全定义。在此，我们确定蛋白磷酸酶1调节亚基3G（PPP1R3G）作为驱动DOX诱导心脏毒性的RIPK1–ZBP1信号轴的中心调节因子。我们证明DOX启动了一个双相死亡程序。最初，DOX触发p38介导的RIPK1抑制性磷酸化，作为对抗细胞死亡的瞬时分子“刹车”。然而，持续的应激招募PPP1R3G去磷酸化RIPK1，“释放”其活性并触发早期凋亡。活化的RIPK1随后促进线粒体DNA（mtDNA）的胞质释放，</w:t>
      </w:r>
    </w:p>
    <w:p>
      <w:pPr>
        <w:spacing w:before="0" w:after="200" w:lineRule="auto" w:line="276"/>
      </w:pPr>
      <w:r>
        <w:rPr>
          <w:b/>
        </w:rPr>
        <w:t xml:space="preserve">Abstract (EN): </w:t>
      </w:r>
      <w:r>
        <w:t>Cardiotoxicity is a dose-limiting complication of doxorubicin (DOX) chemotherapy, yet the molecular mechanisms governing the transition from acute stress to terminal heart failure remain incompletely defined. Here, we identify Protein Phosphatase 1 Regulatory Subunit 3G (PPP1R3G) as a central regulator of a RIPK1–ZBP1 signaling axis that drives DOX-induced cardiotoxicity. We demonstrate that DOX initiates a biphasic death program. Initially, DOX triggers p38-mediated inhibitory phosphorylation of RIPK1, which functions as a transient molecular “brake” against cell death. However, sustained stress recruits PPP1R3G to dephosphorylate RIPK1, “unleashing” its activity and triggering early-stage apoptosis. Activated RIPK1 subsequently promotes the cytosolic release of mitochondrial DNA (mtDNA), which induces Z-DNA-binding protein 1 (ZBP1) expression via an IFN-β signaling circuit. This establishes a lethal feed-forward loop where ZBP1 senses mtDNA to amplify late-stage necroptosis. Genetic ablation of</w:t>
      </w:r>
      <w:r>
        <w:t xml:space="preserve"> </w:t>
      </w:r>
      <w:r>
        <w:t>Ppp1r3g</w:t>
      </w:r>
      <w:r>
        <w:t xml:space="preserve"> </w:t>
      </w:r>
      <w:r>
        <w:t>in mice significantly suppresses both apoptosis and necroptosis, attenuates systemic inflammatory cytokine production (TNFα, IFN-β, and IFN-γ), and provides robust protection against DOX-induced cardiac dysfunction and mortality. Our findings delineate the PPP1R3G–RIPK1–ZBP1 axis as the central relay converting a protective phosphorylation checkpoint into a sustained death program. These results identify PPP1R3G as a critical gatekeeper of cardiac viability and a promising therapeutic target for mitigating chemotherapy-induced cardiotoxicity.</w:t>
      </w:r>
    </w:p>
    <w:p>
      <w:pPr>
        <w:spacing w:before="120" w:after="120"/>
      </w:pPr>
      <w:r>
        <w:rPr>
          <w:sz w:val="18"/>
        </w:rPr>
        <w:t>——————————————————————————————————————————————————————————————————————</w:t>
      </w:r>
    </w:p>
    <w:p>
      <w:pPr>
        <w:spacing w:before="160" w:after="40" w:line="240" w:lineRule="auto"/>
      </w:pPr>
      <w:r>
        <w:rPr>
          <w:b/>
        </w:rPr>
        <w:t xml:space="preserve">[367] </w:t>
      </w:r>
      <w:hyperlink r:id="rId881">
        <w:r>
          <w:rPr>
            <w:color w:val="1155CC"/>
            <w:u w:val="single"/>
          </w:rPr>
          <w:t>如何彻底销毁“永久化学品”</w:t>
        </w:r>
      </w:hyperlink>
    </w:p>
    <w:p>
      <w:pPr>
        <w:spacing w:before="0" w:after="80"/>
      </w:pPr>
      <w:r>
        <w:rPr>
          <w:i/>
          <w:sz w:val="20"/>
        </w:rPr>
        <w:t>EN: How to destroy “forever chemicals” for good</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82">
        <w:r>
          <w:rPr>
            <w:color w:val="1155CC"/>
            <w:u w:val="single"/>
          </w:rPr>
          <w:t>10.1073/pnas.2610430123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883">
        <w:r>
          <w:rPr>
            <w:color w:val="1155CC"/>
            <w:u w:val="single"/>
          </w:rPr>
          <w:t>组成记忆对早期分子系统的重要性</w:t>
        </w:r>
      </w:hyperlink>
    </w:p>
    <w:p>
      <w:pPr>
        <w:spacing w:before="0" w:after="80"/>
      </w:pPr>
      <w:r>
        <w:rPr>
          <w:i/>
          <w:sz w:val="20"/>
        </w:rPr>
        <w:t>EN: Compositional memory matters for early molecular systems</w:t>
      </w:r>
    </w:p>
    <w:p>
      <w:pPr>
        <w:spacing w:before="0" w:after="120"/>
      </w:pPr>
      <w:r>
        <w:rPr>
          <w:b/>
        </w:rPr>
        <w:t xml:space="preserve">Source: </w:t>
      </w:r>
      <w:r>
        <w:t>Proceedings of the National Academy of Sciences: Keyword search for query</w:t>
      </w:r>
      <w:r>
        <w:t xml:space="preserve">    </w:t>
      </w:r>
      <w:r>
        <w:rPr>
          <w:b/>
        </w:rPr>
        <w:t xml:space="preserve">Pub date: </w:t>
      </w:r>
      <w:r>
        <w:t>2026-04-15 07:00:00+00:00</w:t>
      </w:r>
      <w:r>
        <w:t xml:space="preserve">    </w:t>
      </w:r>
      <w:r>
        <w:rPr>
          <w:b/>
        </w:rPr>
        <w:t xml:space="preserve">DOI: </w:t>
      </w:r>
      <w:hyperlink r:id="rId884">
        <w:r>
          <w:rPr>
            <w:color w:val="1155CC"/>
            <w:u w:val="single"/>
          </w:rPr>
          <w:t>10.1073/pnas.2537522123</w:t>
        </w:r>
      </w:hyperlink>
    </w:p>
    <w:p>
      <w:pPr>
        <w:spacing w:before="0" w:after="120"/>
      </w:pPr>
      <w:r>
        <w:rPr>
          <w:b/>
        </w:rPr>
        <w:t xml:space="preserve">Notes: </w:t>
      </w:r>
      <w:r>
        <w:t>abstract_source=crossref</w:t>
      </w:r>
    </w:p>
    <w:p>
      <w:pPr>
        <w:spacing w:before="0" w:after="80" w:lineRule="auto" w:line="276"/>
      </w:pPr>
      <w:r>
        <w:rPr>
          <w:b/>
        </w:rPr>
        <w:t xml:space="preserve">摘要（ZH）: </w:t>
      </w:r>
      <w:r>
        <w:t>错误灾难是指在分子复制精度低的条件下，非功能性分子的增殖，这可能与生命起源时的条件相对应。由于瞬时隔离可以避免这种错误灾难，前提是隔离区足够紧密以防止分子泄漏。通常，瞬时隔离模型假设隔离区的内容物会定期完全混合，导致隔离区的组成记忆完全丧失。此外，先前包含分子寄生物和复制体在隔离区内生态相互作用可能性的模型通常不研究瞬时隔离的影响</w:t>
      </w:r>
    </w:p>
    <w:p>
      <w:pPr>
        <w:spacing w:before="0" w:after="200" w:lineRule="auto" w:line="276"/>
      </w:pPr>
      <w:r>
        <w:rPr>
          <w:b/>
        </w:rPr>
        <w:t xml:space="preserve">Abstract (EN): </w:t>
      </w:r>
      <w:r>
        <w:t>The error catastrophe refers to the proliferation of nonfunctional molecules in conditions where molecular replication has low accuracy, which is likely to correspond to conditions present at the Origin of Life. This error catastrophe can be avoided thanks to transient compartmentalization, provided that the compartments are sufficiently tight to prevent molecular leakage. Typically, transient compartmentalization models assume that the content of the compartments is completely pooled periodically, resulting in the complete loss of the compositional memory of the compartment. Furthermore, previous models that include the possibility of ecological interactions between molecular parasites and replicators within compartments generally do not study the effect of transient compartmentalization on their coevolution. To address both issues, we develop a framework that accounts for the coevolution of molecular replicators and parasites, along with specific compartmentalization dynamics that are transient yet partial, allowing compositional memory to accumulate from one round of compartmentalization to the next. We benchmark our model with a serial dilution experiment that displays complex oscillatory dynamics among four well-characterized RNA replicators. We also perform experiments to quantify the level of mixing in compartments when stronger stirring tends to homogenize their composition. We then model stirring-induced mixing and show how stirring alters the dynamics of compartmentalized replicators. We conclude that compositional memory arising from transient compartmentalization plays a major role in the dynamics of early molecular systems.</w:t>
      </w:r>
    </w:p>
    <w:p>
      <w:pPr>
        <w:spacing w:before="120" w:after="120"/>
      </w:pPr>
      <w:r>
        <w:rPr>
          <w:sz w:val="18"/>
        </w:rPr>
        <w:t>——————————————————————————————————————————————————————————————————————</w:t>
      </w:r>
    </w:p>
    <w:p>
      <w:pPr>
        <w:spacing w:before="160" w:after="40" w:line="240" w:lineRule="auto"/>
      </w:pPr>
      <w:r>
        <w:rPr>
          <w:b/>
        </w:rPr>
        <w:t xml:space="preserve">[369] </w:t>
      </w:r>
      <w:hyperlink r:id="rId885">
        <w:r>
          <w:rPr>
            <w:color w:val="1155CC"/>
            <w:u w:val="single"/>
          </w:rPr>
          <w:t>通过双铱活性位点突破酸性氧气演化反应中的活性-稳定性极限</w:t>
        </w:r>
      </w:hyperlink>
    </w:p>
    <w:p>
      <w:pPr>
        <w:spacing w:before="0" w:after="80"/>
      </w:pPr>
      <w:r>
        <w:rPr>
          <w:i/>
          <w:sz w:val="20"/>
        </w:rPr>
        <w:t>EN: Breaking the activity-stability limit in acidic oxygen evolution reaction with dual-iridium active sites</w:t>
      </w:r>
    </w:p>
    <w:p>
      <w:pPr>
        <w:spacing w:before="0" w:after="120"/>
      </w:pPr>
      <w:r>
        <w:rPr>
          <w:b/>
        </w:rPr>
        <w:t xml:space="preserve">Source: </w:t>
      </w:r>
      <w:r>
        <w:t>AAAS: Science Advances: Table of Contents</w:t>
      </w:r>
      <w:r>
        <w:t xml:space="preserve">    </w:t>
      </w:r>
      <w:r>
        <w:rPr>
          <w:b/>
        </w:rPr>
        <w:t xml:space="preserve">Pub date: </w:t>
      </w:r>
      <w:r>
        <w:t>2026-04-15 07:00:00+00:00</w:t>
      </w:r>
      <w:r>
        <w:t xml:space="preserve">    </w:t>
      </w:r>
      <w:r>
        <w:rPr>
          <w:b/>
        </w:rPr>
        <w:t xml:space="preserve">DOI: </w:t>
      </w:r>
      <w:hyperlink r:id="rId886">
        <w:r>
          <w:rPr>
            <w:color w:val="1155CC"/>
            <w:u w:val="single"/>
          </w:rPr>
          <w:t>10.1126/sciadv.aee7510</w:t>
        </w:r>
      </w:hyperlink>
    </w:p>
    <w:p>
      <w:pPr>
        <w:spacing w:before="0" w:after="120"/>
      </w:pPr>
      <w:r>
        <w:rPr>
          <w:b/>
        </w:rPr>
        <w:t xml:space="preserve">Notes: </w:t>
      </w:r>
      <w:r>
        <w:t>abstract_source=crossref</w:t>
      </w:r>
    </w:p>
    <w:p>
      <w:pPr>
        <w:spacing w:before="0" w:after="80" w:lineRule="auto" w:line="276"/>
      </w:pPr>
      <w:r>
        <w:rPr>
          <w:b/>
        </w:rPr>
        <w:t xml:space="preserve">摘要（ZH）: </w:t>
      </w:r>
      <w:r>
        <w:t>满足太瓦级全球能源需求需要克服铱基催化剂的活性-稳定性权衡，这是酸性水氧化的唯一工业可行选择。在此，我们报告了一种晶格限制策略，创建了完全暴露的铱原子斑块，同时增强了酸性介质中的氧气演化反应（OER）活性和稳定性。原位振动和质谱识别了桥接相邻铱原子的过氧中间体，支持基于直接O─O自由基偶联的OER机制。密度泛函理论揭示了相邻铱原子之间的协同作用，使得O</w:t>
      </w:r>
      <w:r>
        <w:rPr>
          <w:vertAlign w:val="subscript"/>
        </w:rPr>
        <w:t>2</w:t>
      </w:r>
      <w:r>
        <w:t>演化通过低能量路径实现。这些丰富的双活性位点实现了超低过电位</w:t>
      </w:r>
    </w:p>
    <w:p>
      <w:pPr>
        <w:spacing w:before="0" w:after="200" w:lineRule="auto" w:line="276"/>
      </w:pPr>
      <w:r>
        <w:rPr>
          <w:b/>
        </w:rPr>
        <w:t xml:space="preserve">Abstract (EN): </w:t>
      </w:r>
      <w:r>
        <w:t>Meeting terawatt-scale global energy demands requires overcoming the activity-stability trade-off of iridium-based catalysts, the only industrially viable option for acidic water oxidation. Herein, we report a lattice-confinement strategy that creates patches of fully exposed Ir atoms, simultaneously enhancing oxygen evolution reaction (OER) activity and stability in acidic media. In situ vibrational and mass spectroscopy identify peroxo intermediates bridging adjacent Ir atoms, supporting an OER mechanism based on direct O─O radical coupling. Density functional theory reveals synergistic interactions between neighboring Ir atoms that enable O</w:t>
      </w:r>
      <w:r>
        <w:rPr>
          <w:vertAlign w:val="subscript"/>
        </w:rPr>
        <w:t>2</w:t>
      </w:r>
      <w:r>
        <w:t>evolution through a low-energy pathway. These abundant dual active sites achieve an ultralow overpotential of 198 millivolts at 10 milliamperes per square centimeter and a two-order-of-magnitude higher mass activity than commercial IrO</w:t>
      </w:r>
      <w:r>
        <w:rPr>
          <w:vertAlign w:val="subscript"/>
        </w:rPr>
        <w:t>2</w:t>
      </w:r>
      <w:r>
        <w:t>. Stability calculations further show that lattice confinement suppresses Ir dissolution, enabling durable operation beyond 2 months in acid. This work establishes lattice confinement as an effective route to high-performance catalysts for practical water electrolysis.</w:t>
      </w:r>
    </w:p>
    <w:p>
      <w:pPr>
        <w:spacing w:before="120" w:after="120"/>
      </w:pPr>
      <w:r>
        <w:rPr>
          <w:sz w:val="18"/>
        </w:rPr>
        <w:t>——————————————————————————————————————————————————————————————————————</w:t>
      </w:r>
    </w:p>
    <w:p>
      <w:pPr>
        <w:spacing w:before="160" w:after="40" w:line="240" w:lineRule="auto"/>
      </w:pPr>
      <w:r>
        <w:rPr>
          <w:b/>
        </w:rPr>
        <w:t xml:space="preserve">[370] </w:t>
      </w:r>
      <w:hyperlink r:id="rId887">
        <w:r>
          <w:rPr>
            <w:color w:val="1155CC"/>
            <w:u w:val="single"/>
          </w:rPr>
          <w:t>[ASAP] 用于光诱导蛋白连接、成像和在扩展波长下细胞内标记的设计师芳香阳离子</w:t>
        </w:r>
      </w:hyperlink>
    </w:p>
    <w:p>
      <w:pPr>
        <w:spacing w:before="0" w:after="80"/>
      </w:pPr>
      <w:r>
        <w:rPr>
          <w:i/>
          <w:sz w:val="20"/>
        </w:rPr>
        <w:t>EN: [ASAP] Designer Aromatic Cations for Photoinduced Protein Ligation, Imaging, and Intracellular Labeling at Extended Wavelengths</w:t>
      </w:r>
    </w:p>
    <w:p>
      <w:pPr>
        <w:spacing w:before="0" w:after="120"/>
      </w:pPr>
      <w:r>
        <w:rPr>
          <w:b/>
        </w:rPr>
        <w:t xml:space="preserve">Source: </w:t>
      </w:r>
      <w:r>
        <w:t>Journal of the American Chemical Society: Latest Articles (ACS Publications)</w:t>
      </w:r>
      <w:r>
        <w:t xml:space="preserve">    </w:t>
      </w:r>
      <w:r>
        <w:rPr>
          <w:b/>
        </w:rPr>
        <w:t xml:space="preserve">Pub date: </w:t>
      </w:r>
      <w:r>
        <w:t>2026-04-15 08:22:41+00:00</w:t>
      </w:r>
      <w:r>
        <w:t xml:space="preserve">    </w:t>
      </w:r>
      <w:r>
        <w:rPr>
          <w:b/>
        </w:rPr>
        <w:t xml:space="preserve">DOI: </w:t>
      </w:r>
      <w:hyperlink r:id="rId888">
        <w:r>
          <w:rPr>
            <w:color w:val="1155CC"/>
            <w:u w:val="single"/>
          </w:rPr>
          <w:t>10.1021/jacs.6c05079</w:t>
        </w:r>
      </w:hyperlink>
    </w:p>
    <w:p>
      <w:pPr>
        <w:spacing w:before="0" w:after="120"/>
      </w:pPr>
      <w:r>
        <w:rPr>
          <w:b/>
        </w:rPr>
        <w:t xml:space="preserve">Notes: </w:t>
      </w:r>
      <w:r>
        <w:t>abstract_source=pubmed</w:t>
      </w:r>
    </w:p>
    <w:p>
      <w:pPr>
        <w:spacing w:before="0" w:after="80" w:lineRule="auto" w:line="276"/>
      </w:pPr>
      <w:r>
        <w:rPr>
          <w:b/>
        </w:rPr>
        <w:t xml:space="preserve">摘要（ZH）: </w:t>
      </w:r>
      <w:r>
        <w:t>光诱导蛋白标记策略已成为化学生物学中的基本工具，但大多数策略需要高能波长的光作为输入以驱动反应性。最近，我们报道了一种使用联芳基吡啶盐进行光诱导电子转移以驱动蛋白标记的生物相容性方法，在此，我们报告了一系列芳香阳离子盐的设计，这些盐使用更长波长的光触发这一过程，同时保持空间上最小的特征。我们通过系统研究各种供体-受体吡啶盐的结构-反应性关系实现了这一目标，这些研究揭示了探针的供体和受体取代基之间需要受限的反式苯乙烯关系</w:t>
      </w:r>
    </w:p>
    <w:p>
      <w:pPr>
        <w:spacing w:before="0" w:after="200" w:lineRule="auto" w:line="276"/>
      </w:pPr>
      <w:r>
        <w:rPr>
          <w:b/>
        </w:rPr>
        <w:t xml:space="preserve">Abstract (EN): </w:t>
      </w:r>
      <w:r>
        <w:t>Photoinduced protein labeling strategies have become essential tools in chemical biology, but most strategies require high-energy wavelengths of light as input to drive reactivity. Recently, we reported a biocompatible method for engaging photoinduced electron transfer to drive protein labeling using biarylpyridinium salts, and here, we report the design of a series of aromatic cation salts that trigger this process using longer wavelengths of light while maintaining a sterically minimal profile. We achieved this through the systematic study of structure-reactivity relationships of various donor-acceptor pyridinium salts possessing extended conjugation, and these studies revealed the need of a constrained trans-stilbene relationship between the probe's donor and acceptor substituents in order to achieve protein labeling. Probes with chromene-based donor groups in particular showed either robust protein labeling, significant fluorescence quantum yields, or state-dependent photophysical properties, in turn enabling the same probes to be used for both photoinduced protein labeling and wash-free, live cell imaging. These qualities were then harnessed for live cell labeling using green light photoactivation with two different aromatic cation probes that show complementary photophysical properties and microenvironment responsiveness. Mass spectrometry-based analysis of labeled proteins revealed that each probe enriched highly distinct (&lt;10% protein enrichment overlap) proteomic subsections from primarily mitochondria and the endoplasmic reticulum. This series of experiments not only demonstrates the ability of this latest generation of probes to engage in photoinduced labeling using lower-energy light in complex proteomes but also reveals new capabilities for photophysical state-dependent reactivity and measurements.</w:t>
      </w:r>
    </w:p>
    <w:p>
      <w:pPr>
        <w:spacing w:before="120" w:after="120"/>
      </w:pPr>
      <w:r>
        <w:rPr>
          <w:sz w:val="18"/>
        </w:rPr>
        <w:t>——————————————————————————————————————————————————————————————————————</w:t>
      </w:r>
    </w:p>
    <w:p>
      <w:pPr>
        <w:spacing w:before="160" w:after="40" w:line="240" w:lineRule="auto"/>
      </w:pPr>
      <w:r>
        <w:rPr>
          <w:b/>
        </w:rPr>
        <w:t xml:space="preserve">[371] </w:t>
      </w:r>
      <w:hyperlink r:id="rId889">
        <w:r>
          <w:rPr>
            <w:color w:val="1155CC"/>
            <w:u w:val="single"/>
          </w:rPr>
          <w:t>[ASAP] 通过控制自由基依赖的降解途径增强PFAS去氟化</w:t>
        </w:r>
      </w:hyperlink>
    </w:p>
    <w:p>
      <w:pPr>
        <w:spacing w:before="0" w:after="80"/>
      </w:pPr>
      <w:r>
        <w:rPr>
          <w:i/>
          <w:sz w:val="20"/>
        </w:rPr>
        <w:t>EN: [ASAP] Enhanced PFAS Defluorination through Control of Radical-Dependent Degradation Pathways</w:t>
      </w:r>
    </w:p>
    <w:p>
      <w:pPr>
        <w:spacing w:before="0" w:after="120"/>
      </w:pPr>
      <w:r>
        <w:rPr>
          <w:b/>
        </w:rPr>
        <w:t xml:space="preserve">Source: </w:t>
      </w:r>
      <w:r>
        <w:t>ACS Energy Letters: Latest Articles (ACS Publications)</w:t>
      </w:r>
      <w:r>
        <w:t xml:space="preserve">    </w:t>
      </w:r>
      <w:r>
        <w:rPr>
          <w:b/>
        </w:rPr>
        <w:t xml:space="preserve">Pub date: </w:t>
      </w:r>
      <w:r>
        <w:t>2026-04-15 08:38:16+00:00</w:t>
      </w:r>
      <w:r>
        <w:t xml:space="preserve">    </w:t>
      </w:r>
      <w:r>
        <w:rPr>
          <w:b/>
        </w:rPr>
        <w:t xml:space="preserve">DOI: </w:t>
      </w:r>
      <w:hyperlink r:id="rId890">
        <w:r>
          <w:rPr>
            <w:color w:val="1155CC"/>
            <w:u w:val="single"/>
          </w:rPr>
          <w:t>10.1021/acsenergylett.6c00597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891">
        <w:r>
          <w:rPr>
            <w:color w:val="1155CC"/>
            <w:u w:val="single"/>
          </w:rPr>
          <w:t>[ASAP] 一种级联响应的AND逻辑激活纳米探针用于结直肠癌术中荧光成像</w:t>
        </w:r>
      </w:hyperlink>
    </w:p>
    <w:p>
      <w:pPr>
        <w:spacing w:before="0" w:after="80"/>
      </w:pPr>
      <w:r>
        <w:rPr>
          <w:i/>
          <w:sz w:val="20"/>
        </w:rPr>
        <w:t>EN: [ASAP] A Cascade-Responsive AND-Logic-Activatable Nanoprobe for Intraoperative Fluorescence Imaging of Colorectal Cancer</w:t>
      </w:r>
    </w:p>
    <w:p>
      <w:pPr>
        <w:spacing w:before="0" w:after="120"/>
      </w:pPr>
      <w:r>
        <w:rPr>
          <w:b/>
        </w:rPr>
        <w:t xml:space="preserve">Source: </w:t>
      </w:r>
      <w:r>
        <w:t>Journal of the American Chemical Society: Latest Articles (ACS Publications)</w:t>
      </w:r>
      <w:r>
        <w:t xml:space="preserve">    </w:t>
      </w:r>
      <w:r>
        <w:rPr>
          <w:b/>
        </w:rPr>
        <w:t xml:space="preserve">Pub date: </w:t>
      </w:r>
      <w:r>
        <w:t>2026-04-15 08:50:42+00:00</w:t>
      </w:r>
      <w:r>
        <w:t xml:space="preserve">    </w:t>
      </w:r>
      <w:r>
        <w:rPr>
          <w:b/>
        </w:rPr>
        <w:t xml:space="preserve">DOI: </w:t>
      </w:r>
      <w:hyperlink r:id="rId892">
        <w:r>
          <w:rPr>
            <w:color w:val="1155CC"/>
            <w:u w:val="single"/>
          </w:rPr>
          <w:t>10.1021/jacs.6c04349</w:t>
        </w:r>
      </w:hyperlink>
    </w:p>
    <w:p>
      <w:pPr>
        <w:spacing w:before="0" w:after="120"/>
      </w:pPr>
      <w:r>
        <w:rPr>
          <w:b/>
        </w:rPr>
        <w:t xml:space="preserve">Notes: </w:t>
      </w:r>
      <w:r>
        <w:t>abstract_source=pubmed</w:t>
      </w:r>
    </w:p>
    <w:p>
      <w:pPr>
        <w:spacing w:before="0" w:after="80" w:lineRule="auto" w:line="276"/>
      </w:pPr>
      <w:r>
        <w:rPr>
          <w:b/>
        </w:rPr>
        <w:t xml:space="preserve">摘要（ZH）: </w:t>
      </w:r>
      <w:r>
        <w:t>精确的术中荧光（FL）成像对于改善癌症手术结果至关重要。然而，目前批准的FL探针始终是“始终开启”的荧光，且常常非特异性积累，导致次优的肿瘤与背景比（TBR），妨碍了准确的边缘评估。我们提出了duNP-DA，这是一种级联响应的AND逻辑可激活近红外（NIR）FL纳米探针，旨在精确术中成像结直肠癌（CRC）。duNP-DA利用酸性肿瘤微环境（TME）触发电荷反转，并利用由内源性硫化氢（H2S）和溶酶体pH介导的独特AND逻辑激活机制，导致显著的肿瘤摄取和在800 nm处显著的NIR FL增强（&gt;100倍）。值得注意的是，</w:t>
      </w:r>
    </w:p>
    <w:p>
      <w:pPr>
        <w:spacing w:before="0" w:after="200" w:lineRule="auto" w:line="276"/>
      </w:pPr>
      <w:r>
        <w:rPr>
          <w:b/>
        </w:rPr>
        <w:t xml:space="preserve">Abstract (EN): </w:t>
      </w:r>
      <w:r>
        <w:t>Precise intraoperative fluorescence (FL) imaging is crucial for improving cancer surgical outcomes. However, currently approved FL probes are consistently "always-on" fluorescent and often accumulate nonspecifically, which leads to suboptimal tumor-to-background ratios (TBR) and hampers an accurate margin assessment. We present duNP-DA, a cascade-responsive AND-logic activatable near-infrared (NIR) FL nanoprobe designed for precise intraoperative imaging of colorectal cancer (CRC). duNP-DA leverages the acidic tumor microenvironment (TME) to trigger a charge inversion and utilizes a unique AND-logic activation mechanism mediated by endogenous hydrogen sulfide (H2S) and lysosomal pH, resulting in significant tumoral uptake and a remarkable NIR FL enhancement at 800 nm (&gt;100-fold). Notably, duNP-DA holds fast secondary reaction kinetics (k2 = 6050 ± 43 M-1 s-1) toward H2S following preincubation at lysosomal pH, enabling rapid and specific activation within CRC cells. Postintravenous injection, duNP-DA effectively minimizes background signals, accumulating predominantly in primary and peritoneal metastatic colorectal tumors and achieving a TBR of up to 8.2. Noninvasive NIR FL imaging delineates lesions as small as 2 mm, aiding in the surgical resection of deep-seated peritoneal metastases that are otherwise undetectable through direct visual inspection. In clinical evaluations, duNP-DA effectively delineates primary, occult lymph node metastases and omental metastatic lesions. Furthermore, duNP-DA demonstrates 100% diagnostic sensitivity and specificity in distinguishing tumors from normal tissues, with FL intensity showing strong correlation with artificial intelligent-quantified tumor cellularity (Pearson's r = 0.9103). Our work establishes duNP-DA as a promising translational platform for NIR FL-guided CRC surgery and intraoperative margin assessment.</w:t>
      </w:r>
    </w:p>
    <w:p>
      <w:pPr>
        <w:spacing w:before="120" w:after="120"/>
      </w:pPr>
      <w:r>
        <w:rPr>
          <w:sz w:val="18"/>
        </w:rPr>
        <w:t>——————————————————————————————————————————————————————————————————————</w:t>
      </w:r>
    </w:p>
    <w:p>
      <w:pPr>
        <w:spacing w:before="160" w:after="40" w:line="240" w:lineRule="auto"/>
      </w:pPr>
      <w:r>
        <w:rPr>
          <w:b/>
        </w:rPr>
        <w:t xml:space="preserve">[373] </w:t>
      </w:r>
      <w:hyperlink r:id="rId893">
        <w:r>
          <w:rPr>
            <w:color w:val="1155CC"/>
            <w:u w:val="single"/>
          </w:rPr>
          <w:t>[ASAP] 同系共价有机框架家族中的全维分化和途径广泛转化</w:t>
        </w:r>
      </w:hyperlink>
    </w:p>
    <w:p>
      <w:pPr>
        <w:spacing w:before="0" w:after="80"/>
      </w:pPr>
      <w:r>
        <w:rPr>
          <w:i/>
          <w:sz w:val="20"/>
        </w:rPr>
        <w:t>EN: [ASAP] Full-Dimensional Differentiation and Pathway-Wide Transformation in a Homologous Covalent Organic Framework Family</w:t>
      </w:r>
    </w:p>
    <w:p>
      <w:pPr>
        <w:spacing w:before="0" w:after="120"/>
      </w:pPr>
      <w:r>
        <w:rPr>
          <w:b/>
        </w:rPr>
        <w:t xml:space="preserve">Source: </w:t>
      </w:r>
      <w:r>
        <w:t>Journal of the American Chemical Society: Latest Articles (ACS Publications)</w:t>
      </w:r>
      <w:r>
        <w:t xml:space="preserve">    </w:t>
      </w:r>
      <w:r>
        <w:rPr>
          <w:b/>
        </w:rPr>
        <w:t xml:space="preserve">Pub date: </w:t>
      </w:r>
      <w:r>
        <w:t>2026-04-15 09:13:29+00:00</w:t>
      </w:r>
      <w:r>
        <w:t xml:space="preserve">    </w:t>
      </w:r>
      <w:r>
        <w:rPr>
          <w:b/>
        </w:rPr>
        <w:t xml:space="preserve">DOI: </w:t>
      </w:r>
      <w:hyperlink r:id="rId894">
        <w:r>
          <w:rPr>
            <w:color w:val="1155CC"/>
            <w:u w:val="single"/>
          </w:rPr>
          <w:t>10.1021/jacs.6c02577</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s）的精确尺寸控制在网状化学中具有基础性意义，但在全尺寸尺度（一维（1D）、二维（2D）和三维（3D））上构建和转化同源结构仍然是一个未解决的挑战。在此，我们首次展示了三种高度晶体化的同源COFs的构建，具有前所未有的全尺寸差异化和路径广泛的转化。这些事实是通过仔细选择具有访问全尺寸拓扑能力的分子构建块的组合，以及通过调节合成方案导航到不同的陷阱状态来实现的。进一步的转化实验和理论</w:t>
      </w:r>
    </w:p>
    <w:p>
      <w:pPr>
        <w:spacing w:before="0" w:after="200" w:lineRule="auto" w:line="276"/>
      </w:pPr>
      <w:r>
        <w:rPr>
          <w:b/>
        </w:rPr>
        <w:t xml:space="preserve">Abstract (EN): </w:t>
      </w:r>
      <w:r>
        <w:t>Precise dimensional control in covalent organic frameworks (COFs) represents fundamental interest in reticular chemistry, but the construction and transformation of homologous structures across the full-dimensional scale (one-dimensional (1D), two-dimensional (2D), and three-dimensional (3D)) remain an unmet challenge. Herein, we for the first time demonstrated the construction of three highly crystalline homologous COFs with unprecedented full-dimensional differentiation and pathway-wide transformation. These facts were achieved through carefully selecting the combination of molecular building blocks with the ability to access the full-dimensional topologies, as well as navigating to distinct trapped states by regulating the synthetic protocols. Further transformation experiments and theoretical calculations elucidated the relative potential energy landscape of the homologous COF family with the dimensional energy gradient of 2D &gt; 1D &gt; 3D and thereby realized all thermodynamically permissible transformation pathways. Impressively, 2D-to-1D transformation involved the cleavage of bridging units and reassembly, while 2D-to-3D and 1D-to-3D transformations both underwent extensive bond breakage and repolymerization. Moreover, benefiting from efficient triplet exciton formation and minimized energy loss due to its 1D structure, the 1D COF exhibited the longest exciton lifetime and the most efficient photocatalytic uranium reduction capability among the full-dimensional homologous COFs. This work not only presents a landmark demonstration of the first-ever construction of full-dimensional homologous COFs and their interdimensional transformations but also provides strategic insights for the structural design of COF-based high-performance photocatalysts.</w:t>
      </w:r>
    </w:p>
    <w:p>
      <w:pPr>
        <w:spacing w:before="120" w:after="120"/>
      </w:pPr>
      <w:r>
        <w:rPr>
          <w:sz w:val="18"/>
        </w:rPr>
        <w:t>——————————————————————————————————————————————————————————————————————</w:t>
      </w:r>
    </w:p>
    <w:p>
      <w:pPr>
        <w:spacing w:before="160" w:after="40" w:line="240" w:lineRule="auto"/>
      </w:pPr>
      <w:r>
        <w:rPr>
          <w:b/>
        </w:rPr>
        <w:t xml:space="preserve">[374] </w:t>
      </w:r>
      <w:hyperlink r:id="rId895">
        <w:r>
          <w:rPr>
            <w:color w:val="1155CC"/>
            <w:u w:val="single"/>
          </w:rPr>
          <w:t>具有‘分子门’的稳健金属有机框架用于乙烷与乙烯的高效分离</w:t>
        </w:r>
      </w:hyperlink>
    </w:p>
    <w:p>
      <w:pPr>
        <w:spacing w:before="0" w:after="80"/>
      </w:pPr>
      <w:r>
        <w:rPr>
          <w:i/>
          <w:sz w:val="20"/>
        </w:rPr>
        <w:t>EN: A Robust Metal‐Organic Framework With ‘Molecular Gates’ for Efficient Separation of Ethane From Ethylene</w:t>
      </w:r>
    </w:p>
    <w:p>
      <w:pPr>
        <w:spacing w:before="0" w:after="120"/>
      </w:pPr>
      <w:r>
        <w:rPr>
          <w:b/>
        </w:rPr>
        <w:t xml:space="preserve">Source: </w:t>
      </w:r>
      <w:r>
        <w:t>Wiley: Angewandte Chemie International Edition: Table of Contents</w:t>
      </w:r>
      <w:r>
        <w:t xml:space="preserve">    </w:t>
      </w:r>
      <w:r>
        <w:rPr>
          <w:b/>
        </w:rPr>
        <w:t xml:space="preserve">Pub date: </w:t>
      </w:r>
      <w:r>
        <w:t>2026-04-15 09:17:11+00:00</w:t>
      </w:r>
      <w:r>
        <w:t xml:space="preserve">    </w:t>
      </w:r>
      <w:r>
        <w:rPr>
          <w:b/>
        </w:rPr>
        <w:t xml:space="preserve">DOI: </w:t>
      </w:r>
      <w:hyperlink r:id="rId896">
        <w:r>
          <w:rPr>
            <w:color w:val="1155CC"/>
            <w:u w:val="single"/>
          </w:rPr>
          <w:t>10.1002/anie.6088623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乙烷选择性吸附剂可以实现乙烯的单步纯化，但迄今仍难以实现。我们报告了一种基于锌的金属有机框架（ZAI-3N），其装饰有氨基“分子门”，表现出对C2H6相对于C2H4的高度选择性吸附。激活后，ZAI-3N（锌-腺嘌呤-3-氨基异烟酸）特征在于Zn─N键和孔径的收缩（从2.009到1.914 Å和从4.88 × 3.40到3.47 × 2.75 Å2，分别）。在313</w:t>
      </w:r>
    </w:p>
    <w:p>
      <w:pPr>
        <w:spacing w:before="0" w:after="200" w:lineRule="auto" w:line="276"/>
      </w:pPr>
      <w:r>
        <w:rPr>
          <w:b/>
        </w:rPr>
        <w:t xml:space="preserve">Abstract (EN): </w:t>
      </w:r>
      <w:r>
        <w:t>Ethane‐selective sorbents can enable single‐step purification of ethylene but remain elusive to date. We report a Zn‐based metal‐organic framework (</w:t>
      </w:r>
      <w:r>
        <w:t xml:space="preserve"> </w:t>
      </w:r>
      <w:r>
        <w:t>ZAI‐3N</w:t>
      </w:r>
      <w:r>
        <w:t xml:space="preserve"> </w:t>
      </w:r>
      <w:r>
        <w:t>) decorated with amino‐based ‘molecular gates’ that exhibit highly selective adsorption of C</w:t>
      </w:r>
      <w:r>
        <w:rPr>
          <w:vertAlign w:val="subscript"/>
        </w:rPr>
        <w:t>2</w:t>
      </w:r>
      <w:r>
        <w:t>H</w:t>
      </w:r>
      <w:r>
        <w:rPr>
          <w:vertAlign w:val="subscript"/>
        </w:rPr>
        <w:t>6</w:t>
      </w:r>
      <w:r>
        <w:t>over C</w:t>
      </w:r>
      <w:r>
        <w:rPr>
          <w:vertAlign w:val="subscript"/>
        </w:rPr>
        <w:t>2</w:t>
      </w:r>
      <w:r>
        <w:t>H</w:t>
      </w:r>
      <w:r>
        <w:rPr>
          <w:vertAlign w:val="subscript"/>
        </w:rPr>
        <w:t>4</w:t>
      </w:r>
      <w:r>
        <w:t>. Upon activation,</w:t>
      </w:r>
      <w:r>
        <w:t xml:space="preserve"> </w:t>
      </w:r>
      <w:r>
        <w:t>ZAI‐3N</w:t>
      </w:r>
      <w:r>
        <w:t xml:space="preserve"> </w:t>
      </w:r>
      <w:r>
        <w:t>(zinc‐adenine‐3‐aminoisonicotinic acid) features contractions of both Zn─N bonds and pores (from 2.009 to 1.914 Å and from 4.88 × 3.40 to 3.47 × 2.75 Å</w:t>
      </w:r>
      <w:r>
        <w:rPr>
          <w:vertAlign w:val="subscript"/>
        </w:rPr>
        <w:t>2</w:t>
      </w:r>
      <w:r>
        <w:t>, respectively). At 313 K and 1 bar,</w:t>
      </w:r>
      <w:r>
        <w:t xml:space="preserve"> </w:t>
      </w:r>
      <w:r>
        <w:t>ZAI‐3N</w:t>
      </w:r>
      <w:r>
        <w:t xml:space="preserve"> </w:t>
      </w:r>
      <w:r>
        <w:t>exhibits an exceptional ratio of 10.6 for C</w:t>
      </w:r>
      <w:r>
        <w:rPr>
          <w:vertAlign w:val="subscript"/>
        </w:rPr>
        <w:t>2</w:t>
      </w:r>
      <w:r>
        <w:t>H</w:t>
      </w:r>
      <w:r>
        <w:rPr>
          <w:vertAlign w:val="subscript"/>
        </w:rPr>
        <w:t>6</w:t>
      </w:r>
      <w:r>
        <w:t>/C</w:t>
      </w:r>
      <w:r>
        <w:rPr>
          <w:vertAlign w:val="subscript"/>
        </w:rPr>
        <w:t>2</w:t>
      </w:r>
      <w:r>
        <w:t>H</w:t>
      </w:r>
      <w:r>
        <w:rPr>
          <w:vertAlign w:val="subscript"/>
        </w:rPr>
        <w:t>4</w:t>
      </w:r>
      <w:r>
        <w:t>uptakes and a benchmark selectivity of 11.7, outperforming state‐of‐the‐art porous solids. Synchrotron X‐ray powder diffraction and modelling reveal that the methyl group in C</w:t>
      </w:r>
      <w:r>
        <w:rPr>
          <w:vertAlign w:val="subscript"/>
        </w:rPr>
        <w:t>2</w:t>
      </w:r>
      <w:r>
        <w:t>H</w:t>
      </w:r>
      <w:r>
        <w:rPr>
          <w:vertAlign w:val="subscript"/>
        </w:rPr>
        <w:t>6</w:t>
      </w:r>
      <w:r>
        <w:t>can trigger amino rotation and facilitate gate opening, while π‐electrons of C</w:t>
      </w:r>
      <w:r>
        <w:rPr>
          <w:vertAlign w:val="subscript"/>
        </w:rPr>
        <w:t>2</w:t>
      </w:r>
      <w:r>
        <w:t>H</w:t>
      </w:r>
      <w:r>
        <w:rPr>
          <w:vertAlign w:val="subscript"/>
        </w:rPr>
        <w:t>4</w:t>
      </w:r>
      <w:r>
        <w:t>hinder such a process with a notably increased barrier (～5 and 11 kJ mol</w:t>
      </w:r>
      <w:r>
        <w:t xml:space="preserve"> </w:t>
      </w:r>
      <w:r>
        <w:t>−1</w:t>
      </w:r>
      <w:r>
        <w:t xml:space="preserve"> </w:t>
      </w:r>
      <w:r>
        <w:t>, respectively). Dynamic breakthrough experiments confirm the efficient separation of C</w:t>
      </w:r>
      <w:r>
        <w:rPr>
          <w:vertAlign w:val="subscript"/>
        </w:rPr>
        <w:t>2</w:t>
      </w:r>
      <w:r>
        <w:t>H</w:t>
      </w:r>
      <w:r>
        <w:rPr>
          <w:vertAlign w:val="subscript"/>
        </w:rPr>
        <w:t>6</w:t>
      </w:r>
      <w:r>
        <w:t>/C</w:t>
      </w:r>
      <w:r>
        <w:rPr>
          <w:vertAlign w:val="subscript"/>
        </w:rPr>
        <w:t>2</w:t>
      </w:r>
      <w:r>
        <w:t>H</w:t>
      </w:r>
      <w:r>
        <w:rPr>
          <w:vertAlign w:val="subscript"/>
        </w:rPr>
        <w:t>4</w:t>
      </w:r>
      <w:r>
        <w:t>(v/v = 5/5 and 1/9), affording C</w:t>
      </w:r>
      <w:r>
        <w:rPr>
          <w:vertAlign w:val="subscript"/>
        </w:rPr>
        <w:t>2</w:t>
      </w:r>
      <w:r>
        <w:t>H</w:t>
      </w:r>
      <w:r>
        <w:rPr>
          <w:vertAlign w:val="subscript"/>
        </w:rPr>
        <w:t>4</w:t>
      </w:r>
      <w:r>
        <w:t>with a high purity of 99.4% in single step with excellent recyclability and an C</w:t>
      </w:r>
      <w:r>
        <w:rPr>
          <w:vertAlign w:val="subscript"/>
        </w:rPr>
        <w:t>2</w:t>
      </w:r>
      <w:r>
        <w:t>H</w:t>
      </w:r>
      <w:r>
        <w:rPr>
          <w:vertAlign w:val="subscript"/>
        </w:rPr>
        <w:t>4</w:t>
      </w:r>
      <w:r>
        <w:t>productivity of 10.3 mL g</w:t>
      </w:r>
      <w:r>
        <w:t xml:space="preserve"> </w:t>
      </w:r>
      <w:r>
        <w:t>−1</w:t>
      </w:r>
      <w:r>
        <w:t xml:space="preserve"> </w:t>
      </w:r>
      <w:r>
        <w:t>. This work demonstrates the judicious choice of ‘molecular gate’ as a promising protocol for challenging industrial gas separations.</w:t>
      </w:r>
    </w:p>
    <w:p>
      <w:pPr>
        <w:spacing w:before="120" w:after="120"/>
      </w:pPr>
      <w:r>
        <w:rPr>
          <w:sz w:val="18"/>
        </w:rPr>
        <w:t>——————————————————————————————————————————————————————————————————————</w:t>
      </w:r>
    </w:p>
    <w:p>
      <w:pPr>
        <w:spacing w:before="160" w:after="40" w:line="240" w:lineRule="auto"/>
      </w:pPr>
      <w:r>
        <w:rPr>
          <w:b/>
        </w:rPr>
        <w:t xml:space="preserve">[375] </w:t>
      </w:r>
      <w:hyperlink r:id="rId897">
        <w:r>
          <w:rPr>
            <w:color w:val="1155CC"/>
            <w:u w:val="single"/>
          </w:rPr>
          <w:t>用于自适应神经形态注意的人工多巴胺离子级联突触</w:t>
        </w:r>
      </w:hyperlink>
    </w:p>
    <w:p>
      <w:pPr>
        <w:spacing w:before="0" w:after="80"/>
      </w:pPr>
      <w:r>
        <w:rPr>
          <w:i/>
          <w:sz w:val="20"/>
        </w:rPr>
        <w:t>EN: An Artificial Dopamine‐Ionic Cascade Synapse for Adaptive Neuromorphic Attention</w:t>
      </w:r>
    </w:p>
    <w:p>
      <w:pPr>
        <w:spacing w:before="0" w:after="120"/>
      </w:pPr>
      <w:r>
        <w:rPr>
          <w:b/>
        </w:rPr>
        <w:t xml:space="preserve">Source: </w:t>
      </w:r>
      <w:r>
        <w:t>Wiley: Advanced Materials: Table of Contents</w:t>
      </w:r>
      <w:r>
        <w:t xml:space="preserve">    </w:t>
      </w:r>
      <w:r>
        <w:rPr>
          <w:b/>
        </w:rPr>
        <w:t xml:space="preserve">Pub date: </w:t>
      </w:r>
      <w:r>
        <w:t>2026-04-15 09:18:22+00:00</w:t>
      </w:r>
      <w:r>
        <w:t xml:space="preserve">    </w:t>
      </w:r>
      <w:r>
        <w:rPr>
          <w:b/>
        </w:rPr>
        <w:t xml:space="preserve">DOI: </w:t>
      </w:r>
      <w:hyperlink r:id="rId898">
        <w:r>
          <w:rPr>
            <w:color w:val="1155CC"/>
            <w:u w:val="single"/>
          </w:rPr>
          <w:t>10.1002/adma.202521464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智能通过化学离子信号处理运作，其中神经递质以时空化学梯度编码信息，调节神经突触间的离子动态。鉴于化学神经递质和离子种类的多样性，开发一种能够将生化信号转化为可调节突触权重的人工化学离子级联突触，对于脑启发计算和脑机接口具有重要意义。在此，我们通过将敏感的多巴胺（DA）传感器与基于离子弹性体的神经形态设备集成，展示了一种人工DA离子级联突触。DA的氧化产生局部电场，静电调制离子在离子弹性体设备中的迁移。</w:t>
      </w:r>
    </w:p>
    <w:p>
      <w:pPr>
        <w:spacing w:before="0" w:after="200" w:lineRule="auto" w:line="276"/>
      </w:pPr>
      <w:r>
        <w:rPr>
          <w:b/>
        </w:rPr>
        <w:t xml:space="preserve">Abstract (EN): </w:t>
      </w:r>
      <w:r>
        <w:t>Biological intelligence operates through chemo‐ionic signal processing, where neurotransmitters encode information as spatiotemporal chemical gradients that regulate ionic dynamics across neural synapses. Given the diversity of chemical neurotransmitters and ion species, developing an artificial chemo‐ionic cascade synapse that can translate biochemical signals into tunable synaptic weights will be of great significance for brain‐inspired computing and brain‐computer interfaces. Here, we present an artificial dopamine (DA)‐ionic cascade synapse by integrating a sensitive DA sensor with an ionic elastomer‐based neuromorphic device. The oxidation of DA generates localized electric fields that electrostatically modulate ion migration within the ionic elastomer device, enabling chemical‐to‐ionic signal transduction and dynamic plasticity control. Consequently, biochemical cues like DA concentration can be directly reflected in tunable ionic synaptic weights, which can then be used to control a robotic platform for recognition tasks. This artificial synapse exhibits biochemical signal‐driven behavioral selectivity in an object‐grasping task, completing a perception‐decision‐execution loop. This work establishes a framework for processing biochemical information via native ionic dynamics, paving the way for chemically neuromorphic systems and embodied human‐machine interaction.</w:t>
      </w:r>
    </w:p>
    <w:p>
      <w:pPr>
        <w:spacing w:before="120" w:after="120"/>
      </w:pPr>
      <w:r>
        <w:rPr>
          <w:sz w:val="18"/>
        </w:rPr>
        <w:t>——————————————————————————————————————————————————————————————————————</w:t>
      </w:r>
    </w:p>
    <w:p>
      <w:pPr>
        <w:spacing w:before="160" w:after="40" w:line="240" w:lineRule="auto"/>
      </w:pPr>
      <w:r>
        <w:rPr>
          <w:b/>
        </w:rPr>
        <w:t xml:space="preserve">[376] </w:t>
      </w:r>
      <w:hyperlink r:id="rId899">
        <w:r>
          <w:rPr>
            <w:color w:val="1155CC"/>
            <w:u w:val="single"/>
          </w:rPr>
          <w:t>用于组织再生的柔性介电声学谐振器贴片</w:t>
        </w:r>
      </w:hyperlink>
    </w:p>
    <w:p>
      <w:pPr>
        <w:spacing w:before="0" w:after="80"/>
      </w:pPr>
      <w:r>
        <w:rPr>
          <w:i/>
          <w:sz w:val="20"/>
        </w:rPr>
        <w:t>EN: Flexible Dielectric Acoustic Resonator Patch for Tissue Regeneration</w:t>
      </w:r>
    </w:p>
    <w:p>
      <w:pPr>
        <w:spacing w:before="0" w:after="120"/>
      </w:pPr>
      <w:r>
        <w:rPr>
          <w:b/>
        </w:rPr>
        <w:t xml:space="preserve">Source: </w:t>
      </w:r>
      <w:r>
        <w:t>Wiley: Advanced Materials: Table of Contents</w:t>
      </w:r>
      <w:r>
        <w:t xml:space="preserve">    </w:t>
      </w:r>
      <w:r>
        <w:rPr>
          <w:b/>
        </w:rPr>
        <w:t xml:space="preserve">Pub date: </w:t>
      </w:r>
      <w:r>
        <w:t>2026-04-15 09:22:29+00:00</w:t>
      </w:r>
      <w:r>
        <w:t xml:space="preserve">    </w:t>
      </w:r>
      <w:r>
        <w:rPr>
          <w:b/>
        </w:rPr>
        <w:t xml:space="preserve">DOI: </w:t>
      </w:r>
      <w:hyperlink r:id="rId900">
        <w:r>
          <w:rPr>
            <w:color w:val="1155CC"/>
            <w:u w:val="single"/>
          </w:rPr>
          <w:t>10.1002/adma.202516491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超声波 (US) 疗法提供了一种非侵入性的方法来刺激细胞活动，促进组织再生和伤口愈合。然而，目前基于压电陶瓷的 US 换能器是刚性的，与软组织在机械上不兼容，因此不适合可穿戴应用。为了克服这些限制，我们开发了介电贴片，通过叉指电极与柔性聚合物基底之间的静电共振产生高频声波。我们通过分析放置在设备表面上的液滴的流动运动，同时扫描施加电压的频率，确定了共振频率。我们制造了一种介电声共振器贴片 (DARP)，在 20 MHz 时表现出声共振</w:t>
      </w:r>
    </w:p>
    <w:p>
      <w:pPr>
        <w:spacing w:before="0" w:after="200" w:lineRule="auto" w:line="276"/>
      </w:pPr>
      <w:r>
        <w:rPr>
          <w:b/>
        </w:rPr>
        <w:t xml:space="preserve">Abstract (EN): </w:t>
      </w:r>
      <w:r>
        <w:t>Ultrasound (US) therapy offers a non‐invasive means of stimulating cellular activity, promoting tissue regeneration, and wound healing. However, current US transducers based on piezoelectric ceramics are rigid, mechanically incompatible with soft tissues, and thus unsuitable for wearable applications. To overcome these limitations, we developed dielectric patches that generate high‐frequency acoustic waves using electrostatic resonance between interdigitated electrodes and a flexible polymer substrate. We identified the resonance frequency by analyzing the streaming motion of a droplet placed on the device surface while sweeping the frequency of the applied voltage. We fabricated a dielectric acoustic resonator patch (DARP) exhibiting acoustic resonance at 20 MHz by regulating IDE spacing and substrate thickness. The developed DARP maintained &amp;gt;95% of its acoustic output in the bending tests with 300 cycles regardless of the bending direction. The polyimide‐based device exhibited ∼50% optical transmittance, which is beneficial for in situ imaging. Wound healing assays revealed that the migration speed of fibroblasts increased by 1.5‐fold after 5 min of DARP stimulation. We also demonstrated that DARP was able to deliver acoustic energy into tissue‐mimicking hydrogels with curved and planar surfaces. DARP can be applied to develop a platform for ultrasound‐mediated wearable medical devices and regenerative therapies.</w:t>
      </w:r>
    </w:p>
    <w:p>
      <w:pPr>
        <w:spacing w:before="120" w:after="120"/>
      </w:pPr>
      <w:r>
        <w:rPr>
          <w:sz w:val="18"/>
        </w:rPr>
        <w:t>——————————————————————————————————————————————————————————————————————</w:t>
      </w:r>
    </w:p>
    <w:p>
      <w:pPr>
        <w:spacing w:before="160" w:after="40" w:line="240" w:lineRule="auto"/>
      </w:pPr>
      <w:r>
        <w:rPr>
          <w:b/>
        </w:rPr>
        <w:t xml:space="preserve">[377] </w:t>
      </w:r>
      <w:hyperlink r:id="rId901">
        <w:r>
          <w:rPr>
            <w:color w:val="1155CC"/>
            <w:u w:val="single"/>
          </w:rPr>
          <w:t>离子特异性冻结诱导的NIR磷光：界面协同作用实现“隐形冰”的成像</w:t>
        </w:r>
      </w:hyperlink>
    </w:p>
    <w:p>
      <w:pPr>
        <w:spacing w:before="0" w:after="80"/>
      </w:pPr>
      <w:r>
        <w:rPr>
          <w:i/>
          <w:sz w:val="20"/>
        </w:rPr>
        <w:t>EN: Ion‐Specific Freezing‐Induced NIR Phosphorescence: Interfacial Synergy Enables Imaging of “Invisible Ice”</w:t>
      </w:r>
    </w:p>
    <w:p>
      <w:pPr>
        <w:spacing w:before="0" w:after="120"/>
      </w:pPr>
      <w:r>
        <w:rPr>
          <w:b/>
        </w:rPr>
        <w:t xml:space="preserve">Source: </w:t>
      </w:r>
      <w:r>
        <w:t>Wiley: Angewandte Chemie International Edition: Table of Contents</w:t>
      </w:r>
      <w:r>
        <w:t xml:space="preserve">    </w:t>
      </w:r>
      <w:r>
        <w:rPr>
          <w:b/>
        </w:rPr>
        <w:t xml:space="preserve">Pub date: </w:t>
      </w:r>
      <w:r>
        <w:t>2026-04-15 09:23:57+00:00</w:t>
      </w:r>
      <w:r>
        <w:t xml:space="preserve">    </w:t>
      </w:r>
      <w:r>
        <w:rPr>
          <w:b/>
        </w:rPr>
        <w:t xml:space="preserve">DOI: </w:t>
      </w:r>
      <w:hyperlink r:id="rId902">
        <w:r>
          <w:rPr>
            <w:color w:val="1155CC"/>
            <w:u w:val="single"/>
          </w:rPr>
          <w:t>10.1002/anie.7443864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结冰威胁着航空、电力传输和风能系统的安全，但隐藏或透明的冰仍然难以检测。我们在此报告了一种基于芳基取代吡咯[3,2-b]吡咯探针 PP4P-X (X = F−, Br−, I−, NO3−, 和 SCN−) 的冻结诱导近红外 (NIR) 磷光成像策略。在 PP4P-X 系列中，冻结普遍放大了稳态发射，而 750 nm 的 NIR 磷光带则实现了深度穿透、低背景成像</w:t>
      </w:r>
    </w:p>
    <w:p>
      <w:pPr>
        <w:spacing w:before="0" w:after="200" w:lineRule="auto" w:line="276"/>
      </w:pPr>
      <w:r>
        <w:rPr>
          <w:b/>
        </w:rPr>
        <w:t xml:space="preserve">Abstract (EN): </w:t>
      </w:r>
      <w:r>
        <w:t>Icing threatens the safety of aviation, power‐transmission and wind‐energy systems, yet concealed or transparent ice remains difficult to detect. Here we report a freezing‐induced near‐infrared (NIR) phosphorescence (FIP) imaging strategy based on aryl‐substituted pyrrolo[3,2‐b]pyrrole probes PP4P‐X (X = F</w:t>
      </w:r>
      <w:r>
        <w:t xml:space="preserve"> </w:t>
      </w:r>
      <w:r>
        <w:t>−</w:t>
      </w:r>
      <w:r>
        <w:t>, Br</w:t>
      </w:r>
      <w:r>
        <w:t xml:space="preserve"> </w:t>
      </w:r>
      <w:r>
        <w:t>−</w:t>
      </w:r>
      <w:r>
        <w:t>, I</w:t>
      </w:r>
      <w:r>
        <w:t xml:space="preserve"> </w:t>
      </w:r>
      <w:r>
        <w:t>−</w:t>
      </w:r>
      <w:r>
        <w:t>, NO</w:t>
      </w:r>
      <w:r>
        <w:rPr>
          <w:vertAlign w:val="subscript"/>
        </w:rPr>
        <w:t>3</w:t>
      </w:r>
      <w:r>
        <w:t>−</w:t>
      </w:r>
      <w:r>
        <w:t>, and SCN</w:t>
      </w:r>
      <w:r>
        <w:t xml:space="preserve"> </w:t>
      </w:r>
      <w:r>
        <w:t>−</w:t>
      </w:r>
      <w:r>
        <w:t>). Across the PP4P‐X series, freezing broadly amplifies the steady‐state emission, whereas a NIR phosphorescence band at 750 nm enables deep‐penetration, low‐background imaging with pronounced counterion dependence. The FIP turn‐on is strongest for PP4P‐F, followed by PP4P‐Br, switching from undetectable emission to intense phosphorescence. Mechanistic investigations reveal that specific adsorption of F</w:t>
      </w:r>
      <w:r>
        <w:t xml:space="preserve"> </w:t>
      </w:r>
      <w:r>
        <w:t>−</w:t>
      </w:r>
      <w:r>
        <w:t>/Br</w:t>
      </w:r>
      <w:r>
        <w:t xml:space="preserve"> </w:t>
      </w:r>
      <w:r>
        <w:t>−</w:t>
      </w:r>
      <w:r>
        <w:t>at the ice‐water interface induces dense aggregation at the freezing front, strengthening molecular interactions to promote intersystem crossing and suppress triplet non‐radiative decay. Leveraging this interfacial regulation, PP4P‐F enables high‐contrast, centimeter‐scale ice imaging in diverse frozen media, with a 152‐fold increase in signal‐to‐background ratio (SBR). In wind‐tunnel aircraft icing tests, FIP imaging accurately maps the onset, thickness evolution, and downstream propagation of ice along the wing leading edge and correlates with laser‐measured ice thickness. Overall, this work establishes a noncontact, in situ, and quantitative approach for “invisible ice” detection and provides a framework for NIR phosphorescent probes in frozen‐phase monitoring.</w:t>
      </w:r>
    </w:p>
    <w:p>
      <w:pPr>
        <w:spacing w:before="120" w:after="120"/>
      </w:pPr>
      <w:r>
        <w:rPr>
          <w:sz w:val="18"/>
        </w:rPr>
        <w:t>——————————————————————————————————————————————————————————————————————</w:t>
      </w:r>
    </w:p>
    <w:p>
      <w:pPr>
        <w:spacing w:before="160" w:after="40" w:line="240" w:lineRule="auto"/>
      </w:pPr>
      <w:r>
        <w:rPr>
          <w:b/>
        </w:rPr>
        <w:t xml:space="preserve">[378] </w:t>
      </w:r>
      <w:hyperlink r:id="rId903">
        <w:r>
          <w:rPr>
            <w:color w:val="1155CC"/>
            <w:u w:val="single"/>
          </w:rPr>
          <w:t>来自软离子电子学中分层不对称的巨大压电离子效应</w:t>
        </w:r>
      </w:hyperlink>
    </w:p>
    <w:p>
      <w:pPr>
        <w:spacing w:before="0" w:after="80"/>
      </w:pPr>
      <w:r>
        <w:rPr>
          <w:i/>
          <w:sz w:val="20"/>
        </w:rPr>
        <w:t>EN: Colossal Piezoionic Effect from Hierarchical Asymmetries in Soft Ionotronics</w:t>
      </w:r>
    </w:p>
    <w:p>
      <w:pPr>
        <w:spacing w:before="0" w:after="120"/>
      </w:pPr>
      <w:r>
        <w:rPr>
          <w:b/>
        </w:rPr>
        <w:t xml:space="preserve">Source: </w:t>
      </w:r>
      <w:r>
        <w:t>Wiley: Advanced Materials: Table of Contents</w:t>
      </w:r>
      <w:r>
        <w:t xml:space="preserve">    </w:t>
      </w:r>
      <w:r>
        <w:rPr>
          <w:b/>
        </w:rPr>
        <w:t xml:space="preserve">Pub date: </w:t>
      </w:r>
      <w:r>
        <w:t>2026-04-15 09:25:43+00:00</w:t>
      </w:r>
      <w:r>
        <w:t xml:space="preserve">    </w:t>
      </w:r>
      <w:r>
        <w:rPr>
          <w:b/>
        </w:rPr>
        <w:t xml:space="preserve">DOI: </w:t>
      </w:r>
      <w:hyperlink r:id="rId904">
        <w:r>
          <w:rPr>
            <w:color w:val="1155CC"/>
            <w:u w:val="single"/>
          </w:rPr>
          <w:t>10.1002/adma.73067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匹配生物组织固有顺应性的软能量收集器对于实现不可察觉的电子设备至关重要。虽然软电解质网络中的压电离子传感提供了理想的生物整合，但由于限制电荷分离和传输的热力学约束，其产生的电压输出远低于刚性压电材料。在此，我们通过一种多尺度协同策略来解决这些挑战，该策略共同优化宏观、微观结构和分子不对称性。具体而言，具有不同功函数的不对称电极建立了一个内建场，主动偏置界面离子电荷分离。协同作用下，软微锥阵列</w:t>
      </w:r>
    </w:p>
    <w:p>
      <w:pPr>
        <w:spacing w:before="0" w:after="200" w:lineRule="auto" w:line="276"/>
      </w:pPr>
      <w:r>
        <w:rPr>
          <w:b/>
        </w:rPr>
        <w:t xml:space="preserve">Abstract (EN): </w:t>
      </w:r>
      <w:r>
        <w:t>Soft energy harvesters capable of matching the intrinsic compliance of biological tissues are essential for the realization of imperceptible electronics. While piezoionic transduction in soft electrolyte networks offers ideal bio‐integration, it produces voltage outputs that are much lower than those of rigid piezoelectrics due to thermodynamic constraints that limit charge separation and transport. Here, we address these challenges through a multiscale synergistic strategy that co‐optimizes macroscopic, microstructural, and molecular asymmetries. Specifically, asymmetric electrodes with dissimilar work functions establish a built‐in field that actively biases interfacial ionic charge separation. Acting in concert, a microcone array of soft ionic conductors concentrates mechanical stress to drive stress‐induced ion dissociation and directional migration, while cation–π interactions within the polymer network function as a molecular kinetic trap to favor anion‐dominated transport. This hierarchical coupling in soft ionotronic materials unlocks a colossal four‐order‐of‐magnitude enhancement in voltage sensitivity (&amp;gt;10</w:t>
      </w:r>
      <w:r>
        <w:rPr>
          <w:vertAlign w:val="subscript"/>
        </w:rPr>
        <w:t>4</w:t>
      </w:r>
      <w:r>
        <w:t>mV kPa</w:t>
      </w:r>
      <w:r>
        <w:t xml:space="preserve"> </w:t>
      </w:r>
      <w:r>
        <w:t>−1</w:t>
      </w:r>
      <w:r>
        <w:t xml:space="preserve"> </w:t>
      </w:r>
      <w:r>
        <w:t>, 0.03–0.07 kPa) and delivers a peak power density of 135.1 µW cm</w:t>
      </w:r>
      <w:r>
        <w:t xml:space="preserve"> </w:t>
      </w:r>
      <w:r>
        <w:t>−2</w:t>
      </w:r>
      <w:r>
        <w:t xml:space="preserve"> </w:t>
      </w:r>
      <w:r>
        <w:t>. The strategy proves universal as it operates in both ionogels and hydrogels to offer complementary advantages in stability and ionic conductivity. Demonstrations including breathing‐driven LED illumination, confirm the scalability. These results establish a generalizable materials framework for high‐performance piezoionic energy harvesting and autonomous bio‐interfaces.</w:t>
      </w:r>
    </w:p>
    <w:p>
      <w:pPr>
        <w:spacing w:before="120" w:after="120"/>
      </w:pPr>
      <w:r>
        <w:rPr>
          <w:sz w:val="18"/>
        </w:rPr>
        <w:t>——————————————————————————————————————————————————————————————————————</w:t>
      </w:r>
    </w:p>
    <w:p>
      <w:pPr>
        <w:spacing w:before="160" w:after="40" w:line="240" w:lineRule="auto"/>
      </w:pPr>
      <w:r>
        <w:rPr>
          <w:b/>
        </w:rPr>
        <w:t xml:space="preserve">[379] </w:t>
      </w:r>
      <w:hyperlink r:id="rId905">
        <w:r>
          <w:rPr>
            <w:color w:val="1155CC"/>
            <w:u w:val="single"/>
          </w:rPr>
          <w:t>电化学驱动的酶促氧化去对称化用于硅立体中心的对映选择性构建</w:t>
        </w:r>
      </w:hyperlink>
    </w:p>
    <w:p>
      <w:pPr>
        <w:spacing w:before="0" w:after="80"/>
      </w:pPr>
      <w:r>
        <w:rPr>
          <w:i/>
          <w:sz w:val="20"/>
        </w:rPr>
        <w:t>EN: Electrochemically Driven Enzymatic Oxidative Desymmetrization for the Enantioselective Construction of Silicon Stereocenter</w:t>
      </w:r>
    </w:p>
    <w:p>
      <w:pPr>
        <w:spacing w:before="0" w:after="120"/>
      </w:pPr>
      <w:r>
        <w:rPr>
          <w:b/>
        </w:rPr>
        <w:t xml:space="preserve">Source: </w:t>
      </w:r>
      <w:r>
        <w:t>Wiley: Angewandte Chemie International Edition: Table of Contents</w:t>
      </w:r>
      <w:r>
        <w:t xml:space="preserve">    </w:t>
      </w:r>
      <w:r>
        <w:rPr>
          <w:b/>
        </w:rPr>
        <w:t xml:space="preserve">Pub date: </w:t>
      </w:r>
      <w:r>
        <w:t>2026-04-15 09:28:49+00:00</w:t>
      </w:r>
      <w:r>
        <w:t xml:space="preserve">    </w:t>
      </w:r>
      <w:r>
        <w:rPr>
          <w:b/>
        </w:rPr>
        <w:t xml:space="preserve">DOI: </w:t>
      </w:r>
      <w:hyperlink r:id="rId906">
        <w:r>
          <w:rPr>
            <w:color w:val="1155CC"/>
            <w:u w:val="single"/>
          </w:rPr>
          <w:t>10.1002/anie.3445735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硅立体有机硅烷在药物科学和生物医学材料中应用越来越广泛。然而，硅手性中心的酶促构建仍然不够成熟。在此，我们报告了硫胺素二磷酸（ThDP）依赖的自由基生物催化与介导的电化学氧化的整合，以解锁非天然酶促氧化去对称化，从而实现高对映选择性硅立体中心的合成。使用对称硅烷二醛作为底物，来自</w:t>
      </w:r>
      <w:r>
        <w:t xml:space="preserve"> </w:t>
      </w:r>
      <w:r>
        <w:t>Pseudomonas fluorescens</w:t>
      </w:r>
      <w:r>
        <w:t xml:space="preserve"> </w:t>
      </w:r>
      <w:r>
        <w:t>（</w:t>
      </w:r>
      <w:r>
        <w:t xml:space="preserve"> </w:t>
      </w:r>
      <w:r>
        <w:t>Pf</w:t>
      </w:r>
      <w:r>
        <w:t xml:space="preserve"> </w:t>
      </w:r>
      <w:r>
        <w:t>BAL）的苯甲醛裂解酶变体与铁氧化物甲醇（FcMeOH）作为氧化还原介质</w:t>
      </w:r>
    </w:p>
    <w:p>
      <w:pPr>
        <w:spacing w:before="0" w:after="200" w:lineRule="auto" w:line="276"/>
      </w:pPr>
      <w:r>
        <w:rPr>
          <w:b/>
        </w:rPr>
        <w:t xml:space="preserve">Abstract (EN): </w:t>
      </w:r>
      <w:r>
        <w:t>Chiral silicon‐stereogenic organosilanes are finding increasingly widespread applications in pharmaceutical science and biomedical materials. However, the enzymatic construction of silicon chiral centers remains underdeveloped. Here, we report the integration of thiamine diphosphate (ThDP)‐dependent radical biocatalysis and mediated electrochemical oxidation to unlock non‐natural enzymatic oxidative desymmetrization, enabling the highly enantioselective synthesis of silicon stereocenters. Using symmetric silane dialdehydes as substrates, variants of benzaldehyde lyase from</w:t>
      </w:r>
      <w:r>
        <w:t xml:space="preserve"> </w:t>
      </w:r>
      <w:r>
        <w:t>Pseudomonas fluorescens</w:t>
      </w:r>
      <w:r>
        <w:t xml:space="preserve"> </w:t>
      </w:r>
      <w:r>
        <w:t>(</w:t>
      </w:r>
      <w:r>
        <w:t xml:space="preserve"> </w:t>
      </w:r>
      <w:r>
        <w:t>Pf</w:t>
      </w:r>
      <w:r>
        <w:t xml:space="preserve"> </w:t>
      </w:r>
      <w:r>
        <w:t>BAL) together with ferrocene methanol (FcMeOH) as a redox mediator facilitate selective oxidation. This method features a broad substrate scope, producing a range of enantioenriched silicon‐containing carboxylic acids with excellent enantioselectivity (22 examples, up to &amp;gt;99.5% ee). Mechanistic investigations confirm substrate binding, explain the origin of enantioselectivity, and validate the mediated electron transfer pathway. This study expands the enzyme reactivity repertoire by merging electrochemical synthesis with biocatalysis, establishing an effective biocatalytic strategy for constructing silicon chirality.</w:t>
      </w:r>
    </w:p>
    <w:p>
      <w:pPr>
        <w:spacing w:before="120" w:after="120"/>
      </w:pPr>
      <w:r>
        <w:rPr>
          <w:sz w:val="18"/>
        </w:rPr>
        <w:t>——————————————————————————————————————————————————————————————————————</w:t>
      </w:r>
    </w:p>
    <w:p>
      <w:pPr>
        <w:spacing w:before="160" w:after="40" w:line="240" w:lineRule="auto"/>
      </w:pPr>
      <w:r>
        <w:rPr>
          <w:b/>
        </w:rPr>
        <w:t xml:space="preserve">[380] </w:t>
      </w:r>
      <w:hyperlink r:id="rId907">
        <w:r>
          <w:rPr>
            <w:color w:val="1155CC"/>
            <w:u w:val="single"/>
          </w:rPr>
          <w:t>通过锆有机框架的晶体到晶体转化适应于PFAS链长的高容量吸附和热破坏</w:t>
        </w:r>
      </w:hyperlink>
    </w:p>
    <w:p>
      <w:pPr>
        <w:spacing w:before="0" w:after="80"/>
      </w:pPr>
      <w:r>
        <w:rPr>
          <w:i/>
          <w:sz w:val="20"/>
        </w:rPr>
        <w:t>EN: High‐Capacity Adsorption and Thermal Destruction Adaptable to PFAS Chain Length via Crystal‐to‐Crystal Transformation of Zirconium–Organic Framework</w:t>
      </w:r>
    </w:p>
    <w:p>
      <w:pPr>
        <w:spacing w:before="0" w:after="120"/>
      </w:pPr>
      <w:r>
        <w:rPr>
          <w:b/>
        </w:rPr>
        <w:t xml:space="preserve">Source: </w:t>
      </w:r>
      <w:r>
        <w:t>Wiley: Angewandte Chemie International Edition: Table of Contents</w:t>
      </w:r>
      <w:r>
        <w:t xml:space="preserve">    </w:t>
      </w:r>
      <w:r>
        <w:rPr>
          <w:b/>
        </w:rPr>
        <w:t xml:space="preserve">Pub date: </w:t>
      </w:r>
      <w:r>
        <w:t>2026-04-15 09:31:27+00:00</w:t>
      </w:r>
      <w:r>
        <w:t xml:space="preserve">    </w:t>
      </w:r>
      <w:r>
        <w:rPr>
          <w:b/>
        </w:rPr>
        <w:t xml:space="preserve">DOI: </w:t>
      </w:r>
      <w:hyperlink r:id="rId908">
        <w:r>
          <w:rPr>
            <w:color w:val="1155CC"/>
            <w:u w:val="single"/>
          </w:rPr>
          <w:t>10.1002/anie.1567631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潜在的毒性和生物累积潜力，全氟和多氟烷基物质（PFAS）面临有史以来最严格的饮用水质量标准。它们从水中去除通常通过吸附实现，但对于短链PFAS通常无效，对于具有不同物理化学性质的其他同系物也不可靠。在此，我们提出了一种基于锆金属有机框架（MOFs）的多功能平台，通过晶体到晶体转变去除具有不同链长的PFAS。MOF [Zr</w:t>
      </w:r>
      <w:r>
        <w:rPr>
          <w:vertAlign w:val="subscript"/>
        </w:rPr>
        <w:t>6</w:t>
      </w:r>
      <w:r>
        <w:t>(μ</w:t>
      </w:r>
      <w:r>
        <w:rPr>
          <w:vertAlign w:val="subscript"/>
        </w:rPr>
        <w:t>3</w:t>
      </w:r>
      <w:r>
        <w:t>‐O)</w:t>
      </w:r>
      <w:r>
        <w:rPr>
          <w:vertAlign w:val="subscript"/>
        </w:rPr>
        <w:t>4</w:t>
      </w:r>
      <w:r>
        <w:t>(μ</w:t>
      </w:r>
      <w:r>
        <w:rPr>
          <w:vertAlign w:val="subscript"/>
        </w:rPr>
        <w:t>3</w:t>
      </w:r>
      <w:r>
        <w:t>‐OH)</w:t>
      </w:r>
    </w:p>
    <w:p>
      <w:pPr>
        <w:spacing w:before="0" w:after="200" w:lineRule="auto" w:line="276"/>
      </w:pPr>
      <w:r>
        <w:rPr>
          <w:b/>
        </w:rPr>
        <w:t xml:space="preserve">Abstract (EN): </w:t>
      </w:r>
      <w:r>
        <w:t>Per‐ and polyfluoroalkyl substances (PFAS) face the most stringent drinking water quality standards ever due to their potential toxicity and bioaccumulation potential. Their removal from water is commonly accomplished by adsorption, which is generally ineffective for short‐chain PFAS and unreliable for other homologues with diverse physicochemical properties. Here, we present a versatile platform based on zirconium‐based metal–organic frameworks (MOFs) to remove PFAS with different chain lengths via crystal‐to‐crystal transformation. The MOF [Zr</w:t>
      </w:r>
      <w:r>
        <w:rPr>
          <w:vertAlign w:val="subscript"/>
        </w:rPr>
        <w:t>6</w:t>
      </w:r>
      <w:r>
        <w:t>(μ</w:t>
      </w:r>
      <w:r>
        <w:rPr>
          <w:vertAlign w:val="subscript"/>
        </w:rPr>
        <w:t>3</w:t>
      </w:r>
      <w:r>
        <w:t>‐O)</w:t>
      </w:r>
      <w:r>
        <w:rPr>
          <w:vertAlign w:val="subscript"/>
        </w:rPr>
        <w:t>4</w:t>
      </w:r>
      <w:r>
        <w:t>(μ</w:t>
      </w:r>
      <w:r>
        <w:rPr>
          <w:vertAlign w:val="subscript"/>
        </w:rPr>
        <w:t>3</w:t>
      </w:r>
      <w:r>
        <w:t>‐OH)</w:t>
      </w:r>
      <w:r>
        <w:rPr>
          <w:vertAlign w:val="subscript"/>
        </w:rPr>
        <w:t>4</w:t>
      </w:r>
      <w:r>
        <w:t>PTA</w:t>
      </w:r>
      <w:r>
        <w:rPr>
          <w:vertAlign w:val="subscript"/>
        </w:rPr>
        <w:t>3</w:t>
      </w:r>
      <w:r>
        <w:t>(H</w:t>
      </w:r>
      <w:r>
        <w:rPr>
          <w:vertAlign w:val="subscript"/>
        </w:rPr>
        <w:t>2</w:t>
      </w:r>
      <w:r>
        <w:t>O)</w:t>
      </w:r>
      <w:r>
        <w:rPr>
          <w:vertAlign w:val="subscript"/>
        </w:rPr>
        <w:t>4</w:t>
      </w:r>
      <w:r>
        <w:t>]</w:t>
      </w:r>
      <w:r>
        <w:t xml:space="preserve"> </w:t>
      </w:r>
      <w:r>
        <w:t>n</w:t>
      </w:r>
      <w:r>
        <w:t xml:space="preserve"> </w:t>
      </w:r>
      <w:r>
        <w:t>(</w:t>
      </w:r>
      <w:r>
        <w:t xml:space="preserve"> </w:t>
      </w:r>
      <w:r>
        <w:t>Zr‐PTA1</w:t>
      </w:r>
      <w:r>
        <w:t xml:space="preserve"> </w:t>
      </w:r>
      <w:r>
        <w:t>, PTA = 4,4′,4″,4′″‐(4,4′‐(1,4‐phenylene) bis (pyridine‐6,4,2‐triyl))tetrabenzoic acid) exhibits exceptional adsorption capacity for C8 PFAS (2945 ± 173 mg/g for perfluorooctanoic acid (PFOA) and 2322 ± 28 mg/g for perfluorooctane sulfonate (PFOS)), while its crystal‐to‐crystal transformation product [Zr</w:t>
      </w:r>
      <w:r>
        <w:rPr>
          <w:vertAlign w:val="subscript"/>
        </w:rPr>
        <w:t>6</w:t>
      </w:r>
      <w:r>
        <w:t>(μ</w:t>
      </w:r>
      <w:r>
        <w:rPr>
          <w:vertAlign w:val="subscript"/>
        </w:rPr>
        <w:t>3</w:t>
      </w:r>
      <w:r>
        <w:t>‐O)</w:t>
      </w:r>
      <w:r>
        <w:rPr>
          <w:vertAlign w:val="subscript"/>
        </w:rPr>
        <w:t>4</w:t>
      </w:r>
      <w:r>
        <w:t>(μ</w:t>
      </w:r>
      <w:r>
        <w:rPr>
          <w:vertAlign w:val="subscript"/>
        </w:rPr>
        <w:t>3</w:t>
      </w:r>
      <w:r>
        <w:t>‐OH)</w:t>
      </w:r>
      <w:r>
        <w:rPr>
          <w:vertAlign w:val="subscript"/>
        </w:rPr>
        <w:t>4</w:t>
      </w:r>
      <w:r>
        <w:t>PTA</w:t>
      </w:r>
      <w:r>
        <w:rPr>
          <w:vertAlign w:val="subscript"/>
        </w:rPr>
        <w:t>2</w:t>
      </w:r>
      <w:r>
        <w:t>(CH</w:t>
      </w:r>
      <w:r>
        <w:rPr>
          <w:vertAlign w:val="subscript"/>
        </w:rPr>
        <w:t>3</w:t>
      </w:r>
      <w:r>
        <w:t>COO)</w:t>
      </w:r>
      <w:r>
        <w:rPr>
          <w:vertAlign w:val="subscript"/>
        </w:rPr>
        <w:t>4</w:t>
      </w:r>
      <w:r>
        <w:t>]</w:t>
      </w:r>
      <w:r>
        <w:t xml:space="preserve"> </w:t>
      </w:r>
      <w:r>
        <w:t>n</w:t>
      </w:r>
      <w:r>
        <w:t xml:space="preserve"> </w:t>
      </w:r>
      <w:r>
        <w:t>(</w:t>
      </w:r>
      <w:r>
        <w:t xml:space="preserve"> </w:t>
      </w:r>
      <w:r>
        <w:t>Zr‐PTA2</w:t>
      </w:r>
      <w:r>
        <w:t xml:space="preserve"> </w:t>
      </w:r>
      <w:r>
        <w:t>) with abundant open metal sites (OMS) targets shorter‐chain C4 PFAS (375 ± 9 mg/g for perfluorobutanoic acid and 414 ± 41 mg/g for perfluorobutanesulfonic acid), surpassing all previously reported MOFs. Flow‐through column tests demonstrate rapid PFAS removal below 4 ng/L. This exceptional performance is due to distinct structural motifs—steric host–guest fit of</w:t>
      </w:r>
      <w:r>
        <w:t xml:space="preserve"> </w:t>
      </w:r>
      <w:r>
        <w:t>Zr‐PTA1</w:t>
      </w:r>
      <w:r>
        <w:t xml:space="preserve"> </w:t>
      </w:r>
      <w:r>
        <w:t>for long‐chain PFAS versus OMS‐driven chemisorption of short‐chain PFAS by</w:t>
      </w:r>
      <w:r>
        <w:t xml:space="preserve"> </w:t>
      </w:r>
      <w:r>
        <w:t>Zr‐PTA2</w:t>
      </w:r>
      <w:r>
        <w:t xml:space="preserve"> </w:t>
      </w:r>
      <w:r>
        <w:t>. Importantly, the framework facilitates subsequent thermal‐catalytic PFAS destruction, achieving 97 ± 5% PFOA degradation efficiency with 79 ± 0.3% fluoride recovery.</w:t>
      </w:r>
    </w:p>
    <w:p>
      <w:pPr>
        <w:spacing w:before="120" w:after="120"/>
      </w:pPr>
      <w:r>
        <w:rPr>
          <w:sz w:val="18"/>
        </w:rPr>
        <w:t>——————————————————————————————————————————————————————————————————————</w:t>
      </w:r>
    </w:p>
    <w:p>
      <w:pPr>
        <w:spacing w:before="160" w:after="40" w:line="240" w:lineRule="auto"/>
      </w:pPr>
      <w:r>
        <w:rPr>
          <w:b/>
        </w:rPr>
        <w:t xml:space="preserve">[381] </w:t>
      </w:r>
      <w:hyperlink r:id="rId909">
        <w:r>
          <w:rPr>
            <w:color w:val="1155CC"/>
            <w:u w:val="single"/>
          </w:rPr>
          <w:t>深度学习增强的DNA酶驱动滚环扩增编码用于多细菌检测</w:t>
        </w:r>
      </w:hyperlink>
    </w:p>
    <w:p>
      <w:pPr>
        <w:spacing w:before="0" w:after="80"/>
      </w:pPr>
      <w:r>
        <w:rPr>
          <w:i/>
          <w:sz w:val="20"/>
        </w:rPr>
        <w:t>EN: Deep Learning‐Enhanced DNAzyme‐Driven Rolling‐Circle Amplification Encoding for Multibacterial Detection</w:t>
      </w:r>
    </w:p>
    <w:p>
      <w:pPr>
        <w:spacing w:before="0" w:after="120"/>
      </w:pPr>
      <w:r>
        <w:rPr>
          <w:b/>
        </w:rPr>
        <w:t xml:space="preserve">Source: </w:t>
      </w:r>
      <w:r>
        <w:t>Wiley: Angewandte Chemie International Edition: Table of Contents</w:t>
      </w:r>
      <w:r>
        <w:t xml:space="preserve">    </w:t>
      </w:r>
      <w:r>
        <w:rPr>
          <w:b/>
        </w:rPr>
        <w:t xml:space="preserve">Pub date: </w:t>
      </w:r>
      <w:r>
        <w:t>2026-04-15 09:35:55+00:00</w:t>
      </w:r>
      <w:r>
        <w:t xml:space="preserve">    </w:t>
      </w:r>
      <w:r>
        <w:rPr>
          <w:b/>
        </w:rPr>
        <w:t xml:space="preserve">DOI: </w:t>
      </w:r>
      <w:hyperlink r:id="rId910">
        <w:r>
          <w:rPr>
            <w:color w:val="1155CC"/>
            <w:u w:val="single"/>
          </w:rPr>
          <w:t>10.1002/anie.4446117</w:t>
        </w:r>
      </w:hyperlink>
    </w:p>
    <w:p>
      <w:pPr>
        <w:spacing w:before="0" w:after="120"/>
      </w:pPr>
      <w:r>
        <w:rPr>
          <w:b/>
        </w:rPr>
        <w:t xml:space="preserve">Notes: </w:t>
      </w:r>
      <w:r>
        <w:t>abstract_source=crossref</w:t>
      </w:r>
    </w:p>
    <w:p>
      <w:pPr>
        <w:spacing w:before="0" w:after="80" w:lineRule="auto" w:line="276"/>
      </w:pPr>
      <w:r>
        <w:rPr>
          <w:b/>
        </w:rPr>
        <w:t xml:space="preserve">摘要（ZH）: </w:t>
      </w:r>
      <w:r>
        <w:t>摘要\n\n食源性爆发通常由多种活体病原体引起，传统方法无法同时处理。我们报告了一种DNAzyme驱动的滚环扩增/分子信标编码系统（DRM-ES），结合基于智能手机的卷积神经网络（CNN），能够同时识别和量化来自32个真实样本的三种活体细菌。细菌分泌的蛋白质切割珠子固定的DNAzyme，释放引物启动RCA并生成长的串联体；每个打开一个光谱不同的分子信标，产生蓝色、绿色或红色荧光，在一个智能手机图像中捕获，并由训练有2800张图像的CNN解码。DRM-ES实现了10\n1\n–10\n</w:t>
      </w:r>
    </w:p>
    <w:p>
      <w:pPr>
        <w:spacing w:before="0" w:after="200" w:lineRule="auto" w:line="276"/>
      </w:pPr>
      <w:r>
        <w:rPr>
          <w:b/>
        </w:rPr>
        <w:t xml:space="preserve">Abstract (EN): </w:t>
      </w:r>
      <w:r>
        <w:t>Food‐borne outbreaks are frequently caused by multiple live pathogens that conventional methods cannot process simultaneously. We report a DNAzyme‐driven rolling‐circle amplification/molecular‐beacon encoding system (DRM‐ES) coupled with a smartphone‐based convolutional neural network (CNN) that simultaneously identifies and quantifies three live bacteria from 32 real‐world samples. Bacteria‐secreted proteins cleave bead‐immobilized DNAzymes, releasing primers that initiate RCA and generate long concatemers; each opens a spectrally distinct molecular beacon, producing blue, green, or red fluorescence captured in one smartphone image and decoded by a CNN trained on 2800 images. DRM‐ES achieves 10</w:t>
      </w:r>
      <w:r>
        <w:rPr>
          <w:vertAlign w:val="subscript"/>
        </w:rPr>
        <w:t>1</w:t>
      </w:r>
      <w:r>
        <w:t>–10</w:t>
      </w:r>
      <w:r>
        <w:rPr>
          <w:vertAlign w:val="subscript"/>
        </w:rPr>
        <w:t>2</w:t>
      </w:r>
      <w:r>
        <w:t>CFU/mL sensitivity for</w:t>
      </w:r>
      <w:r>
        <w:t xml:space="preserve"> </w:t>
      </w:r>
      <w:r>
        <w:t>S. aureus</w:t>
      </w:r>
      <w:r>
        <w:t xml:space="preserve"> </w:t>
      </w:r>
      <w:r>
        <w:t>,</w:t>
      </w:r>
      <w:r>
        <w:t xml:space="preserve"> </w:t>
      </w:r>
      <w:r>
        <w:t>B. cocovenenans</w:t>
      </w:r>
      <w:r>
        <w:t xml:space="preserve"> </w:t>
      </w:r>
      <w:r>
        <w:t>, and</w:t>
      </w:r>
      <w:r>
        <w:t xml:space="preserve"> </w:t>
      </w:r>
      <w:r>
        <w:t>E. coli</w:t>
      </w:r>
      <w:r>
        <w:t xml:space="preserve"> </w:t>
      </w:r>
      <w:r>
        <w:t>in food, clinical, and environmental samples; shows 100% positive and ≥95.2% negative agreement with culture; and correctly identifies 29/32 samples naturally contaminated with these three bacteria in a 32‐tube array. The platform offers culture‐comparable sensitivity and live‐cell specificity, providing a generalizable blueprint for large‐scale multiplex pathogen screening.</w:t>
      </w:r>
    </w:p>
    <w:p>
      <w:pPr>
        <w:spacing w:before="120" w:after="120"/>
      </w:pPr>
      <w:r>
        <w:rPr>
          <w:sz w:val="18"/>
        </w:rPr>
        <w:t>——————————————————————————————————————————————————————————————————————</w:t>
      </w:r>
    </w:p>
    <w:p>
      <w:pPr>
        <w:spacing w:before="160" w:after="40" w:line="240" w:lineRule="auto"/>
      </w:pPr>
      <w:r>
        <w:rPr>
          <w:b/>
        </w:rPr>
        <w:t xml:space="preserve">[382] </w:t>
      </w:r>
      <w:hyperlink r:id="rId911">
        <w:r>
          <w:rPr>
            <w:color w:val="1155CC"/>
            <w:u w:val="single"/>
          </w:rPr>
          <w:t>[ASAP] 含有六个Azulene单元和NIR-II吸收的C66多环芳烃：迈向基于Azulene的碳同素异形体</w:t>
        </w:r>
      </w:hyperlink>
    </w:p>
    <w:p>
      <w:pPr>
        <w:spacing w:before="0" w:after="80"/>
      </w:pPr>
      <w:r>
        <w:rPr>
          <w:i/>
          <w:sz w:val="20"/>
        </w:rPr>
        <w:t>EN: [ASAP] A C66 Polycyclic Aromatic Hydrocarbon with Six Azulene Units and NIR-II Absorption: Toward Azulene-Based Carbon Allotropes</w:t>
      </w:r>
    </w:p>
    <w:p>
      <w:pPr>
        <w:spacing w:before="0" w:after="120"/>
      </w:pPr>
      <w:r>
        <w:rPr>
          <w:b/>
        </w:rPr>
        <w:t xml:space="preserve">Source: </w:t>
      </w:r>
      <w:r>
        <w:t>Journal of the American Chemical Society: Latest Articles (ACS Publications)</w:t>
      </w:r>
      <w:r>
        <w:t xml:space="preserve">    </w:t>
      </w:r>
      <w:r>
        <w:rPr>
          <w:b/>
        </w:rPr>
        <w:t xml:space="preserve">Pub date: </w:t>
      </w:r>
      <w:r>
        <w:t>2026-04-15 09:37:51+00:00</w:t>
      </w:r>
      <w:r>
        <w:t xml:space="preserve">    </w:t>
      </w:r>
      <w:r>
        <w:rPr>
          <w:b/>
        </w:rPr>
        <w:t xml:space="preserve">DOI: </w:t>
      </w:r>
      <w:hyperlink r:id="rId912">
        <w:r>
          <w:rPr>
            <w:color w:val="1155CC"/>
            <w:u w:val="single"/>
          </w:rPr>
          <w:t>10.1021/jacs.6c04336</w:t>
        </w:r>
      </w:hyperlink>
    </w:p>
    <w:p>
      <w:pPr>
        <w:spacing w:before="0" w:after="120"/>
      </w:pPr>
      <w:r>
        <w:rPr>
          <w:b/>
        </w:rPr>
        <w:t xml:space="preserve">Notes: </w:t>
      </w:r>
      <w:r>
        <w:t>abstract_source=pubmed</w:t>
      </w:r>
    </w:p>
    <w:p>
      <w:pPr>
        <w:spacing w:before="0" w:after="80" w:lineRule="auto" w:line="276"/>
      </w:pPr>
      <w:r>
        <w:rPr>
          <w:b/>
        </w:rPr>
        <w:t xml:space="preserve">摘要（ZH）: </w:t>
      </w:r>
      <w:r>
        <w:t>开发具有强吸收和可调谐吸收的近红外II（NIR-II，1000-1700 nm）窗口的小分子染料仍然是光电和生物医学应用的核心挑战，激励了对非常规π-共轭框架的探索。在此背景下，非交替多环芳烃（PAHs）作为有前途的候选者出现，其中嵌入蓝烯的结构提供了获得小电子间隙的途径。然而，缺乏有效的合成策略在很大程度上限制了此类系统的使用，减少了系统的结构-性质关系，并限制了它们作为功能性NIR活性材料的使用。在此，我们报告了2-diMes的合成，这是一种C66 PAH，代表了第一个包含六个蓝烯亚单元的非交替PAH</w:t>
      </w:r>
    </w:p>
    <w:p>
      <w:pPr>
        <w:spacing w:before="0" w:after="200" w:lineRule="auto" w:line="276"/>
      </w:pPr>
      <w:r>
        <w:rPr>
          <w:b/>
        </w:rPr>
        <w:t xml:space="preserve">Abstract (EN): </w:t>
      </w:r>
      <w:r>
        <w:t>The development of small-molecule dyes with strong and tunable absorption in the near-infrared II (NIR-II, 1000-1700 nm) window remains a central challenge for optoelectronic and biomedical applications, motivating the exploration of unconventional π-conjugated frameworks. In this context, nonalternant polycyclic aromatic hydrocarbons (PAHs) have emerged as promising candidates, with azulene-embedded architectures offering access to small electronic gaps. However, the lack of efficient synthetic strategies has largely restricted the use of such systems, reducing systematic structure-property relationships and limiting their use as functional NIR-active materials. Here, we report the synthesis of 2-diMes, a C66 PAH that represents the first nonalternant PAH incorporating six azulene subunits within a fully conjugated framework. This purely hydrocarbon, closed-shell analogue of hexabenzoperylene (HBP) exhibits an exceptionally small HOMO-LUMO gap, among the smallest reported for neutral closed-shell π-conjugated hydrocarbons. The nonalternant topology of 2-diMes gives rise to intense near-infrared absorption with an onset extending to 1450 nm (0.85 eV) and a small electrochemical gap of 1.13 V. Notably, 2-diMes functions as a highly photostable NIR-II photoacoustic dye, combining a strong photoacoustic response with excellent solubility in common organic solvents. Spectroelectrochemical and titration studies revealed further red-shifted absorption upon oxidation, with the radical cation [2-diMes]•+ absorbing beyond 3200 nm (0.39 eV) and the dication [2-diMes]2+ absorbing up to 2600 nm (0.48 eV). These results highlight nonalternant azulene-rich PAHs as a powerful and underexplored platform for the rational design of next-generation NIR-II dyes and functional organic materials.</w:t>
      </w:r>
    </w:p>
    <w:p>
      <w:pPr>
        <w:spacing w:before="120" w:after="120"/>
      </w:pPr>
      <w:r>
        <w:rPr>
          <w:sz w:val="18"/>
        </w:rPr>
        <w:t>——————————————————————————————————————————————————————————————————————</w:t>
      </w:r>
    </w:p>
    <w:p>
      <w:pPr>
        <w:spacing w:before="160" w:after="40" w:line="240" w:lineRule="auto"/>
      </w:pPr>
      <w:r>
        <w:rPr>
          <w:b/>
        </w:rPr>
        <w:t xml:space="preserve">[383] </w:t>
      </w:r>
      <w:hyperlink r:id="rId913">
        <w:r>
          <w:rPr>
            <w:color w:val="1155CC"/>
            <w:u w:val="single"/>
          </w:rPr>
          <w:t>[ASAP] 解锁Ru价态作为酸性氧气演化中活性和稳定性的关键决定因素</w:t>
        </w:r>
      </w:hyperlink>
    </w:p>
    <w:p>
      <w:pPr>
        <w:spacing w:before="0" w:after="80"/>
      </w:pPr>
      <w:r>
        <w:rPr>
          <w:i/>
          <w:sz w:val="20"/>
        </w:rPr>
        <w:t>EN: [ASAP] Unlocking the Ru Valence State as a Key Determinant of Activity and Stability in Acidic Oxygen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2026-04-15 10:32:36+00:00</w:t>
      </w:r>
      <w:r>
        <w:t xml:space="preserve">    </w:t>
      </w:r>
      <w:r>
        <w:rPr>
          <w:b/>
        </w:rPr>
        <w:t xml:space="preserve">DOI: </w:t>
      </w:r>
      <w:hyperlink r:id="rId914">
        <w:r>
          <w:rPr>
            <w:color w:val="1155CC"/>
            <w:u w:val="single"/>
          </w:rPr>
          <w:t>10.1021/jacs.6c00664</w:t>
        </w:r>
      </w:hyperlink>
    </w:p>
    <w:p>
      <w:pPr>
        <w:spacing w:before="0" w:after="120"/>
      </w:pPr>
      <w:r>
        <w:rPr>
          <w:b/>
        </w:rPr>
        <w:t xml:space="preserve">Notes: </w:t>
      </w:r>
      <w:r>
        <w:t>abstract_source=pubmed</w:t>
      </w:r>
    </w:p>
    <w:p>
      <w:pPr>
        <w:spacing w:before="0" w:after="80" w:lineRule="auto" w:line="276"/>
      </w:pPr>
      <w:r>
        <w:rPr>
          <w:b/>
        </w:rPr>
        <w:t xml:space="preserve">摘要（ZH）: </w:t>
      </w:r>
      <w:r>
        <w:t>高价态的Ru不仅增强了RuO2的氧析出反应（OER）活性，还加速了Ru的溶解。尽管La掺杂缓解了这一问题，但其潜在机制仍不清楚。在此，使用扫描电化学显微镜（SECM）分析了OER期间的RuO2和La-RuO2。表面询问模式能够测量活性Ru价态、位点密度和催化动力学，而生成-收集模式允许同时监测催化活性和溶解动力学。这些发现突出了Ru价态在平衡活性和稳定性中的关键作用，为设计高性能Ru基催化剂提供了见解。</w:t>
      </w:r>
    </w:p>
    <w:p>
      <w:pPr>
        <w:spacing w:before="0" w:after="200" w:lineRule="auto" w:line="276"/>
      </w:pPr>
      <w:r>
        <w:rPr>
          <w:b/>
        </w:rPr>
        <w:t xml:space="preserve">Abstract (EN): </w:t>
      </w:r>
      <w:r>
        <w:t>The high-valent state of Ru not only enhances the oxygen evolution reaction (OER) activity of RuO2 but also accelerates the dissolution of Ru. Although La doping alleviates this issue, the underlying mechanism remains unclear. Here, scanning electrochemical microscopy (SECM) was used to analyze RuO2 and La-RuO2 during the OER. The surface interrogation mode enables measurement of the active Ru valence state, site density, and catalytic kinetics, while the generation-collection mode allows simultaneous monitoring of both catalytic activity and dissolution kinetics. These findings highlight the critical role of the Ru valence state in balancing activity and stability, offering insights for the design of high-performance Ru-based catalysts.</w:t>
      </w:r>
    </w:p>
    <w:p>
      <w:pPr>
        <w:spacing w:before="120" w:after="120"/>
      </w:pPr>
      <w:r>
        <w:rPr>
          <w:sz w:val="18"/>
        </w:rPr>
        <w:t>——————————————————————————————————————————————————————————————————————</w:t>
      </w:r>
    </w:p>
    <w:p>
      <w:pPr>
        <w:spacing w:before="160" w:after="40" w:line="240" w:lineRule="auto"/>
      </w:pPr>
      <w:r>
        <w:rPr>
          <w:b/>
        </w:rPr>
        <w:t xml:space="preserve">[384] </w:t>
      </w:r>
      <w:hyperlink r:id="rId915">
        <w:r>
          <w:rPr>
            <w:color w:val="1155CC"/>
            <w:u w:val="single"/>
          </w:rPr>
          <w:t>[ASAP] 盐析效应实现醛类到腈类的高选择性电化学氨氧化</w:t>
        </w:r>
      </w:hyperlink>
    </w:p>
    <w:p>
      <w:pPr>
        <w:spacing w:before="0" w:after="80"/>
      </w:pPr>
      <w:r>
        <w:rPr>
          <w:i/>
          <w:sz w:val="20"/>
        </w:rPr>
        <w:t>EN: [ASAP] The Salting-Out Effect Enables Highly Selective Electrochemical Ammoxidation of Aldehydes to Nitriles</w:t>
      </w:r>
    </w:p>
    <w:p>
      <w:pPr>
        <w:spacing w:before="0" w:after="120"/>
      </w:pPr>
      <w:r>
        <w:rPr>
          <w:b/>
        </w:rPr>
        <w:t xml:space="preserve">Source: </w:t>
      </w:r>
      <w:r>
        <w:t>Journal of the American Chemical Society: Latest Articles (ACS Publications)</w:t>
      </w:r>
      <w:r>
        <w:t xml:space="preserve">    </w:t>
      </w:r>
      <w:r>
        <w:rPr>
          <w:b/>
        </w:rPr>
        <w:t xml:space="preserve">Pub date: </w:t>
      </w:r>
      <w:r>
        <w:t>2026-04-15 11:33:53+00:00</w:t>
      </w:r>
      <w:r>
        <w:t xml:space="preserve">    </w:t>
      </w:r>
      <w:r>
        <w:rPr>
          <w:b/>
        </w:rPr>
        <w:t xml:space="preserve">DOI: </w:t>
      </w:r>
      <w:hyperlink r:id="rId916">
        <w:r>
          <w:rPr>
            <w:color w:val="1155CC"/>
            <w:u w:val="single"/>
          </w:rPr>
          <w:t>10.1021/jacs.6c01267</w:t>
        </w:r>
      </w:hyperlink>
    </w:p>
    <w:p>
      <w:pPr>
        <w:spacing w:before="0" w:after="120"/>
      </w:pPr>
      <w:r>
        <w:rPr>
          <w:b/>
        </w:rPr>
        <w:t xml:space="preserve">Notes: </w:t>
      </w:r>
      <w:r>
        <w:t>abstract_source=pubmed</w:t>
      </w:r>
    </w:p>
    <w:p>
      <w:pPr>
        <w:spacing w:before="0" w:after="80" w:lineRule="auto" w:line="276"/>
      </w:pPr>
      <w:r>
        <w:rPr>
          <w:b/>
        </w:rPr>
        <w:t xml:space="preserve">摘要（ZH）: </w:t>
      </w:r>
      <w:r>
        <w:t>醛在水性电解质中的电化学氨氧化提供了一种可持续且有前景的腈合成方法。不幸的是，反应效率，特别是腈选择性，受到直接醛氧化的竞争反应的根本限制，这种反应是由醛自身不可避免但不可控的水合反应引发的。在此，我们提出了一种由浓缩钾阳离子（K+）在大体积电解质中引发的盐析效应，可以实现高效的腈合成。分子动力学模拟和光谱研究揭示，高K+浓度使H2O结构重新定向，以控制更强的K+-H2O离子-偶极相互作用。这种溶剂微环境调节，反过来</w:t>
      </w:r>
    </w:p>
    <w:p>
      <w:pPr>
        <w:spacing w:before="0" w:after="200" w:lineRule="auto" w:line="276"/>
      </w:pPr>
      <w:r>
        <w:rPr>
          <w:b/>
        </w:rPr>
        <w:t xml:space="preserve">Abstract (EN): </w:t>
      </w:r>
      <w:r>
        <w:t>Electrochemical ammoxidation of aldehyde in an aqueous electrolyte offers a sustainable and promising way toward nitrile synthesis. Unfortunately, the reaction efficiency, especially for nitrile selectivity, is fundamentally restricted by the competitive reaction of direct aldehyde oxidation, which is initialized from the inevitable but uncontrollable hydration of aldehyde itself. Here, we present a salting-out effect, induced by the concentrated potassium cation (K+) in a bulk electrolyte, which can achieve highly efficient nitrile synthesis. Molecular dynamics simulations and spectroscopic investigations unveil that the high K+ concentration renders the reorientation of the H2O structure to govern the stronger K+-H2O ion-dipole interaction. Such solvent microenvironment regulation, in turn, weakens the H2O affinity to aldehyde, thereby suppressing the aldehyde hydration. As a result, the condensation of aldehyde and ammonia is favored to facilitate the nitrile production. Using benzaldehyde as the proof-of-concept substrate, the production of benzonitrile is significantly boosted in a concentrated 3.0 M K2CO3 electrolyte, affording a high selectivity up to 97.3% and a considerable yield rate of 177.4 μmol cm-2 h-1 when feeding 10 and 100 mM benzaldehyde, respectively. Such salting-out-induced selectivity improvement also exhibits good reaction durability and aldehyde universality, underscoring the great merit for sustainable chemical manufacturing.</w:t>
      </w:r>
    </w:p>
    <w:p>
      <w:pPr>
        <w:spacing w:before="120" w:after="120"/>
      </w:pPr>
      <w:r>
        <w:rPr>
          <w:sz w:val="18"/>
        </w:rPr>
        <w:t>——————————————————————————————————————————————————————————————————————</w:t>
      </w:r>
    </w:p>
    <w:p>
      <w:pPr>
        <w:spacing w:before="160" w:after="40" w:line="240" w:lineRule="auto"/>
      </w:pPr>
      <w:r>
        <w:rPr>
          <w:b/>
        </w:rPr>
        <w:t xml:space="preserve">[385] </w:t>
      </w:r>
      <w:hyperlink r:id="rId917">
        <w:r>
          <w:rPr>
            <w:color w:val="1155CC"/>
            <w:u w:val="single"/>
          </w:rPr>
          <w:t>[ASAP] 桥接杂环介导的氢键促进极性大环的渗透性</w:t>
        </w:r>
      </w:hyperlink>
    </w:p>
    <w:p>
      <w:pPr>
        <w:spacing w:before="0" w:after="80"/>
      </w:pPr>
      <w:r>
        <w:rPr>
          <w:i/>
          <w:sz w:val="20"/>
        </w:rPr>
        <w:t>EN: [ASAP] Bridging Heterocycle-Mediated Hydrogen Bonding Facilitates Permeability of Polar Macrobicycles</w:t>
      </w:r>
    </w:p>
    <w:p>
      <w:pPr>
        <w:spacing w:before="0" w:after="120"/>
      </w:pPr>
      <w:r>
        <w:rPr>
          <w:b/>
        </w:rPr>
        <w:t xml:space="preserve">Source: </w:t>
      </w:r>
      <w:r>
        <w:t>Journal of the American Chemical Society: Latest Articles (ACS Publications)</w:t>
      </w:r>
      <w:r>
        <w:t xml:space="preserve">    </w:t>
      </w:r>
      <w:r>
        <w:rPr>
          <w:b/>
        </w:rPr>
        <w:t xml:space="preserve">Pub date: </w:t>
      </w:r>
      <w:r>
        <w:t>2026-04-15 11:34:57+00:00</w:t>
      </w:r>
      <w:r>
        <w:t xml:space="preserve">    </w:t>
      </w:r>
      <w:r>
        <w:rPr>
          <w:b/>
        </w:rPr>
        <w:t xml:space="preserve">DOI: </w:t>
      </w:r>
      <w:hyperlink r:id="rId918">
        <w:r>
          <w:rPr>
            <w:color w:val="1155CC"/>
            <w:u w:val="single"/>
          </w:rPr>
          <w:t>10.1021/jacs.6c01490</w:t>
        </w:r>
      </w:hyperlink>
    </w:p>
    <w:p>
      <w:pPr>
        <w:spacing w:before="0" w:after="120"/>
      </w:pPr>
      <w:r>
        <w:rPr>
          <w:b/>
        </w:rPr>
        <w:t xml:space="preserve">Notes: </w:t>
      </w:r>
      <w:r>
        <w:t>abstract_source=pubmed</w:t>
      </w:r>
    </w:p>
    <w:p>
      <w:pPr>
        <w:spacing w:before="0" w:after="80" w:lineRule="auto" w:line="276"/>
      </w:pPr>
      <w:r>
        <w:rPr>
          <w:b/>
        </w:rPr>
        <w:t xml:space="preserve">摘要（ZH）: </w:t>
      </w:r>
      <w:r>
        <w:t>八氟环戊烯参与线性、未保护的肽在相对速率控制的多取代级联反应中。在室温下的一个烧瓶中，反应生成稳定的、氟冠状的大环双环结构，显示出双环表面。这些分子中的一部分被发现具有异常高的膜渗透性，通过PAMPA测量。具有桥接咪唑单元的结构在这一组中被过度代表。为了探究这一发现，合成了一组更大的化合物，其中外围功能和桥接残基被逐步变化。晶体学数据、NMR研究和MD模拟表明，咪唑桥接结构采用由内部氢键稳定的构象。杂环进一步用于遮蔽腔体水和</w:t>
      </w:r>
    </w:p>
    <w:p>
      <w:pPr>
        <w:spacing w:before="0" w:after="200" w:lineRule="auto" w:line="276"/>
      </w:pPr>
      <w:r>
        <w:rPr>
          <w:b/>
        </w:rPr>
        <w:t xml:space="preserve">Abstract (EN): </w:t>
      </w:r>
      <w:r>
        <w:t>Octafluorocyclopentene engages linear, unprotected peptides in relative-rate-controlled polysubstitution cascades. In one flask at ambient temperature, the reactions generate stable, fluoro-crowned macrobicyclic structures that display dual-loop surfaces. A subset of these molecules was found to have unusually high membrane permeability, as measured by PAMPA. Structures with a bridging imidazole unit were overrepresented in this group. To probe this finding, a larger set of compounds was synthesized wherein peripheral functionality and the bridging residue were incrementally varied. Crystallographic data, NMR studies, and MD simulations indicate the imidazole-bridged structures adopt conformations stabilized by internal H-bonding. The heterocycle further serves to occlude cavity water and allows macrobicycles harboring polar residues, such as serine and aspartate, to retain passive permeability. Calculations reveal a quantity termed 'desolvation cost efficiency' that is predictive of PAMPA performance. This parameter may be leveraged for the de novo design of polar peptidomimetics that can enter cells passively.</w:t>
      </w:r>
    </w:p>
    <w:p>
      <w:pPr>
        <w:spacing w:before="120" w:after="120"/>
      </w:pPr>
      <w:r>
        <w:rPr>
          <w:sz w:val="18"/>
        </w:rPr>
        <w:t>——————————————————————————————————————————————————————————————————————</w:t>
      </w:r>
    </w:p>
    <w:p>
      <w:pPr>
        <w:spacing w:before="160" w:after="40" w:line="240" w:lineRule="auto"/>
      </w:pPr>
      <w:r>
        <w:rPr>
          <w:b/>
        </w:rPr>
        <w:t xml:space="preserve">[386] </w:t>
      </w:r>
      <w:hyperlink r:id="rId919">
        <w:r>
          <w:rPr>
            <w:color w:val="1155CC"/>
            <w:u w:val="single"/>
          </w:rPr>
          <w:t>[ASAP] 内置电子场和共面共价三嗪框架协同提升的有效CO2光还原</w:t>
        </w:r>
      </w:hyperlink>
    </w:p>
    <w:p>
      <w:pPr>
        <w:spacing w:before="0" w:after="80"/>
      </w:pPr>
      <w:r>
        <w:rPr>
          <w:i/>
          <w:sz w:val="20"/>
        </w:rPr>
        <w:t>EN: [ASAP] Effective CO2 Photoreduction Synergistically Boosted by Built-In Electronic Field and Coplanar Covalent Triazine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2026-04-15 11:52:54+00:00</w:t>
      </w:r>
      <w:r>
        <w:t xml:space="preserve">    </w:t>
      </w:r>
      <w:r>
        <w:rPr>
          <w:b/>
        </w:rPr>
        <w:t xml:space="preserve">DOI: </w:t>
      </w:r>
      <w:hyperlink r:id="rId920">
        <w:r>
          <w:rPr>
            <w:color w:val="1155CC"/>
            <w:u w:val="single"/>
          </w:rPr>
          <w:t>10.1021/jacs.6c01282</w:t>
        </w:r>
      </w:hyperlink>
    </w:p>
    <w:p>
      <w:pPr>
        <w:spacing w:before="0" w:after="120"/>
      </w:pPr>
      <w:r>
        <w:rPr>
          <w:b/>
        </w:rPr>
        <w:t xml:space="preserve">Notes: </w:t>
      </w:r>
      <w:r>
        <w:t>abstract_source=pubmed</w:t>
      </w:r>
    </w:p>
    <w:p>
      <w:pPr>
        <w:spacing w:before="0" w:after="80" w:lineRule="auto" w:line="276"/>
      </w:pPr>
      <w:r>
        <w:rPr>
          <w:b/>
        </w:rPr>
        <w:t xml:space="preserve">摘要（ZH）: </w:t>
      </w:r>
      <w:r>
        <w:t>光催化CO2还原的催化效率受到电荷分离驱动力不足和载流子传输受限的影响，构建具有高平面性和大内建电场（IEF）的共价金属有机框架（CMOFs）是解决这些问题的有效方法。然而，实现这样的结构仍然是一个巨大的挑战。在此，通过引入固有共面三嗪环作为连接体和三角形醛基化吡唑铜簇（Cu3）作为单体，合成了具有出色共面性的Cu基共价三嗪框架（CTF-Z）。CTF-Z框架中的吡唑-三嗪-苯环形成供体-受体-供体（D-A-D）配置，构建了几乎平面的几何结构，二面角为0.001°和</w:t>
      </w:r>
    </w:p>
    <w:p>
      <w:pPr>
        <w:spacing w:before="0" w:after="200" w:lineRule="auto" w:line="276"/>
      </w:pPr>
      <w:r>
        <w:rPr>
          <w:b/>
        </w:rPr>
        <w:t xml:space="preserve">Abstract (EN): </w:t>
      </w:r>
      <w:r>
        <w:t>The catalytic efficiency in photocatalytic CO2 reduction is affected by insufficient charge separation drive and limited carrier transport, and constructing covalent metal-organic frameworks (CMOFs) with high planarity and a large built-in electric field (IEF) is an effective method to address these issues. Nevertheless, achieving such structures remains a great challenge. Herein, Cu-based covalent triazine frameworks (CTF-Z) with outstanding coplanarity were synthesized by introducing inherently coplanar triazine rings as linkers and triangular aldehyde-functionalized pyrazole copper clusters (Cu3) as monomers. The pyrazole-triazine-benzene rings in CTF-Z frameworks form a donor-acceptor-donor (D-A-D) configuration, constructing a nearly planar geometry with a dihedral angle of 0.001° and the local IEF, indicating a strong driving force for intramolecular charge separation. Therefore, CTF-Z can effectively photocatalyze CO2 reduction into CO with a production rate of 73.65 μmol g-1 h-1 without sacrificial agents and photosensitizers. The photocatalytic activity of CTF-Z is 4.5 times higher than that of FDM-71 with a larger dihedral angle. Experimental and theoretical investigations revealed that the triazine ring exhibits higher electronegativity and electron-accepting capability in the D-A-D structure, which promotes more electrons to participate in the redox reaction on the surface and effectively reduces the energy barrier of the rate-determining step. It is beneficial to form *COOH intermediates and effectively improve the photocatalytic performance. This work presents a facile and efficient molecular-level strategy for constructing CMOFs with enhanced separation and migration efficiency of photogenerated charge carriers.</w:t>
      </w:r>
    </w:p>
    <w:p>
      <w:pPr>
        <w:spacing w:before="120" w:after="120"/>
      </w:pPr>
      <w:r>
        <w:rPr>
          <w:sz w:val="18"/>
        </w:rPr>
        <w:t>——————————————————————————————————————————————————————————————————————</w:t>
      </w:r>
    </w:p>
    <w:p>
      <w:pPr>
        <w:spacing w:before="160" w:after="40" w:line="240" w:lineRule="auto"/>
      </w:pPr>
      <w:r>
        <w:rPr>
          <w:b/>
        </w:rPr>
        <w:t xml:space="preserve">[387] </w:t>
      </w:r>
      <w:hyperlink r:id="rId921">
        <w:r>
          <w:rPr>
            <w:color w:val="1155CC"/>
            <w:u w:val="single"/>
          </w:rPr>
          <w:t>[ASAP] Ag–Cu双金属合金的逆向设计：调节CO2电还原过程中的C1+选择性</w:t>
        </w:r>
      </w:hyperlink>
    </w:p>
    <w:p>
      <w:pPr>
        <w:spacing w:before="0" w:after="80"/>
      </w:pPr>
      <w:r>
        <w:rPr>
          <w:i/>
          <w:sz w:val="20"/>
        </w:rPr>
        <w:t>EN: [ASAP] Inverse Design of Ag–Cu Bimetallic Alloys: Tuning C1+ Selectivity during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2026-04-15 11:53:28+00:00</w:t>
      </w:r>
      <w:r>
        <w:t xml:space="preserve">    </w:t>
      </w:r>
      <w:r>
        <w:rPr>
          <w:b/>
        </w:rPr>
        <w:t xml:space="preserve">DOI: </w:t>
      </w:r>
      <w:hyperlink r:id="rId922">
        <w:r>
          <w:rPr>
            <w:color w:val="1155CC"/>
            <w:u w:val="single"/>
          </w:rPr>
          <w:t>10.1021/jacs.6c01296</w:t>
        </w:r>
      </w:hyperlink>
    </w:p>
    <w:p>
      <w:pPr>
        <w:spacing w:before="0" w:after="120"/>
      </w:pPr>
      <w:r>
        <w:rPr>
          <w:b/>
        </w:rPr>
        <w:t xml:space="preserve">Notes: </w:t>
      </w:r>
      <w:r>
        <w:t>abstract_source=pubmed</w:t>
      </w:r>
    </w:p>
    <w:p>
      <w:pPr>
        <w:spacing w:before="0" w:after="80" w:lineRule="auto" w:line="276"/>
      </w:pPr>
      <w:r>
        <w:rPr>
          <w:b/>
        </w:rPr>
        <w:t xml:space="preserve">摘要（ZH）: </w:t>
      </w:r>
      <w:r>
        <w:t>电化学CO2还原（CO2RR）提供了一种经济可行且环境可持续的途径，将大气中的二氧化碳转化为增值燃料和化学品。铜是一种可以催化这一过程的金属，但存在产品多样性、高过电位要求和稳定性差的问题。Cu-Ag双金属合金由于两种成分之间的协同作用，提供了改进的稳定性选择性性能。在本研究中，我们通过绘制CuAg表面金属位点的组成和配位与其优选产品谱之间的关系来阐明这种功能。我们参数化了一个模型，该模型预测双金属纳米颗粒中金属原子的能量是其局部组成和配位的函数。</w:t>
      </w:r>
    </w:p>
    <w:p>
      <w:pPr>
        <w:spacing w:before="0" w:after="200" w:lineRule="auto" w:line="276"/>
      </w:pPr>
      <w:r>
        <w:rPr>
          <w:b/>
        </w:rPr>
        <w:t xml:space="preserve">Abstract (EN): </w:t>
      </w:r>
      <w:r>
        <w:t>Electrochemical CO2 reduction (CO2RR) provides an economically feasible and environmentally sustainable pathway to transform atmospheric carbon dioxide into value-added fuels and chemicals. Copper is one metal that can catalyze this process but suffers from issues related to product diversity, high overpotential requirements, and poor stability. Cu-Ag bimetallic alloys offer an improved stability selectivity performance owing to a synergy between both components. In this study, we elucidate this functionality by mapping the relationship between the composition and coordination of metal sites on a CuAg surface with their preferred product profile. We parametrize a model that predicts the energy of metal atoms within a bimetallic nanoparticle as a function of their local composition and coordination environment. We choose CO and OH binding energies as descriptors for CO2RR and demonstrate their correlation with the site metal binding energies. We further construct plots forecasting the thermodynamic preference for CO2RR products as a function of descriptor energies and overlay predicted CO/OH binding energies on those plots. Through these comparisons, we infer the appropriate site compositions and design principles for electrocatalysts optimal for driving the process toward desirable multicarbon products.</w:t>
      </w:r>
    </w:p>
    <w:p>
      <w:pPr>
        <w:spacing w:before="120" w:after="120"/>
      </w:pPr>
      <w:r>
        <w:rPr>
          <w:sz w:val="18"/>
        </w:rPr>
        <w:t>——————————————————————————————————————————————————————————————————————</w:t>
      </w:r>
    </w:p>
    <w:p>
      <w:pPr>
        <w:spacing w:before="160" w:after="40" w:line="240" w:lineRule="auto"/>
      </w:pPr>
      <w:r>
        <w:rPr>
          <w:b/>
        </w:rPr>
        <w:t xml:space="preserve">[388] </w:t>
      </w:r>
      <w:hyperlink r:id="rId923">
        <w:r>
          <w:rPr>
            <w:color w:val="1155CC"/>
            <w:u w:val="single"/>
          </w:rPr>
          <w:t>[ASAP] 在等离子体-催化剂-液体界面上直接部分氧化甲烷</w:t>
        </w:r>
      </w:hyperlink>
    </w:p>
    <w:p>
      <w:pPr>
        <w:spacing w:before="0" w:after="80"/>
      </w:pPr>
      <w:r>
        <w:rPr>
          <w:i/>
          <w:sz w:val="20"/>
        </w:rPr>
        <w:t>EN: [ASAP] Direct Partial Oxidation of Methane at Plasma-Catalyst-Liquid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2026-04-15 12:00:05+00:00</w:t>
      </w:r>
      <w:r>
        <w:t xml:space="preserve">    </w:t>
      </w:r>
      <w:r>
        <w:rPr>
          <w:b/>
        </w:rPr>
        <w:t xml:space="preserve">DOI: </w:t>
      </w:r>
      <w:hyperlink r:id="rId924">
        <w:r>
          <w:rPr>
            <w:color w:val="1155CC"/>
            <w:u w:val="single"/>
          </w:rPr>
          <w:t>10.1021/jacs.6c04425</w:t>
        </w:r>
      </w:hyperlink>
    </w:p>
    <w:p>
      <w:pPr>
        <w:spacing w:before="0" w:after="120"/>
      </w:pPr>
      <w:r>
        <w:rPr>
          <w:b/>
        </w:rPr>
        <w:t xml:space="preserve">Notes: </w:t>
      </w:r>
      <w:r>
        <w:t>abstract_source=pubmed</w:t>
      </w:r>
    </w:p>
    <w:p>
      <w:pPr>
        <w:spacing w:before="0" w:after="80" w:lineRule="auto" w:line="276"/>
      </w:pPr>
      <w:r>
        <w:rPr>
          <w:b/>
        </w:rPr>
        <w:t xml:space="preserve">摘要（ZH）: </w:t>
      </w:r>
      <w:r>
        <w:t>甲烷直接和部分氧化为增值化学燃料，如甲醇，仍然是催化化学中的一个主要但有利可图的挑战。在此，我们介绍了工程化的等离子体-催化剂-液体界面（PCLIs），它们能够实现甲烷氧化为甲醇和更高阶烃的一步、常压、电气化途径。通过在水界面上集成CuO注入的多孔玻璃滤片与非热甲烷等离子体，我们展示了等离子体活化物质向催化剂表面的传质在控制氧化选择性中的重要性。经过系统的反应条件实验，我们报告了一种优化的液相甲醇选择性为96.8 ± 0.6%（最高总选择性=57.9 ± 5.5%），同时实现了p</w:t>
      </w:r>
    </w:p>
    <w:p>
      <w:pPr>
        <w:spacing w:before="0" w:after="200" w:lineRule="auto" w:line="276"/>
      </w:pPr>
      <w:r>
        <w:rPr>
          <w:b/>
        </w:rPr>
        <w:t xml:space="preserve">Abstract (EN): </w:t>
      </w:r>
      <w:r>
        <w:t>The direct and partial oxidation of methane to value-added chemical fuels, such as methanol, remains a major yet lucrative challenge in catalytic chemistry. Herein, we introduce engineered plasma-catalyst-liquid interfaces (PCLIs) that enable a one-step, ambient-pressure, electrified pathway for methane oxidation to methanol and higher-order hydrocarbons. By integrating a CuO-infused porous glass frit coupled with a nonthermal methane plasma at an aqueous interface, we demonstrate the importance of mass transfer of plasma-activated species to the catalyst surface in controlling oxidative selectivity. Following systematic experiments of reaction conditions, we report an optimized liquid-phase methanol selectivity of 96.8 ± 0.6% (highest total selectivity = 57.9 ± 5.5%) with a simultaneous production rate of 51.8 ± 1.5 mmolMeOH gCuO-1 hr-1. Additional gas-phase production of H2 and C2+ hydrocarbons (e.g., ethane, ethylene, propane, propylene) was measured with a notable absence of overoxidized products (i.e., CO2) under optimized reaction conditions. A specific electricity consumption of 46.7 kWh/kgMeOH indicates competitive efficiency for electrified methane upgrading. Plasma diagnostics, including charge-voltage Lissajous analysis, optical emission spectroscopy, and plasma modeling, reveal a complex mechanistic picture where CuO-stabilized biradical coupling, gas-phase radical recombination, and vibrationally "hot" methane compete for overall reaction selectivity as a function of the pulsed plasma discharge. This study demonstrates the importance of modulating plasma chemistry and transport between plasma, catalyst, and liquid to improve reaction outcomes under complex multiphase environments.</w:t>
      </w:r>
    </w:p>
    <w:p>
      <w:pPr>
        <w:spacing w:before="120" w:after="120"/>
      </w:pPr>
      <w:r>
        <w:rPr>
          <w:sz w:val="18"/>
        </w:rPr>
        <w:t>——————————————————————————————————————————————————————————————————————</w:t>
      </w:r>
    </w:p>
    <w:p>
      <w:pPr>
        <w:spacing w:before="160" w:after="40" w:line="240" w:lineRule="auto"/>
      </w:pPr>
      <w:r>
        <w:rPr>
          <w:b/>
        </w:rPr>
        <w:t xml:space="preserve">[389] </w:t>
      </w:r>
      <w:hyperlink r:id="rId925">
        <w:r>
          <w:rPr>
            <w:color w:val="1155CC"/>
            <w:u w:val="single"/>
          </w:rPr>
          <w:t>[ASAP] 操控配位不饱和氢键以实现高效电化学氢同位素分离</w:t>
        </w:r>
      </w:hyperlink>
    </w:p>
    <w:p>
      <w:pPr>
        <w:spacing w:before="0" w:after="80"/>
      </w:pPr>
      <w:r>
        <w:rPr>
          <w:i/>
          <w:sz w:val="20"/>
        </w:rPr>
        <w:t>EN: [ASAP] Manipulating Coordination-Unsaturated H-Bond toward Efficient Electrochemical Hydrogen Isotope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2026-04-15 13:54:08+00:00</w:t>
      </w:r>
      <w:r>
        <w:t xml:space="preserve">    </w:t>
      </w:r>
      <w:r>
        <w:rPr>
          <w:b/>
        </w:rPr>
        <w:t xml:space="preserve">DOI: </w:t>
      </w:r>
      <w:hyperlink r:id="rId926">
        <w:r>
          <w:rPr>
            <w:color w:val="1155CC"/>
            <w:u w:val="single"/>
          </w:rPr>
          <w:t>10.1021/jacs.5c16093</w:t>
        </w:r>
      </w:hyperlink>
    </w:p>
    <w:p>
      <w:pPr>
        <w:spacing w:before="0" w:after="120"/>
      </w:pPr>
      <w:r>
        <w:rPr>
          <w:b/>
        </w:rPr>
        <w:t xml:space="preserve">Notes: </w:t>
      </w:r>
      <w:r>
        <w:t>abstract_source=pubmed</w:t>
      </w:r>
    </w:p>
    <w:p>
      <w:pPr>
        <w:spacing w:before="0" w:after="80" w:lineRule="auto" w:line="276"/>
      </w:pPr>
      <w:r>
        <w:rPr>
          <w:b/>
        </w:rPr>
        <w:t xml:space="preserve">摘要（ZH）: </w:t>
      </w:r>
      <w:r>
        <w:t>鉴于重水（D2O）在核反应堆和同位素示踪中的不可或缺的作用，迫切需要一种通过水电解的先进分离方法来降低能耗。然而，由于O-H和O-D共价键的键解离能（BDEs）相似，导致O-H和O-D键的断裂几乎同时发生，导致H/D分离效率差。在此，通过引入一系列具有不同Gutmann供体数的有机添加剂来调节氢键网络，从而进一步促进H/D同位素分离系数，放大了O-H和O-D键的BDEs差异。具体而言，O-H和O-D键的BDEs差异被放大了6倍以上（从0.95到6.24 meV），这归因于适度的H</w:t>
      </w:r>
    </w:p>
    <w:p>
      <w:pPr>
        <w:spacing w:before="0" w:after="200" w:lineRule="auto" w:line="276"/>
      </w:pPr>
      <w:r>
        <w:rPr>
          <w:b/>
        </w:rPr>
        <w:t xml:space="preserve">Abstract (EN): </w:t>
      </w:r>
      <w:r>
        <w:t>Given the indispensable role of heavy water (D2O) in nuclear reactors and isotopic tracing, a promising advanced separation method by water electrolysis is urgently required to lower energy consumption. Nevertheless, the cleavage of the O-H and the O-D covalent bonds occurs almost simultaneously due to the similar bond dissociation energies (BDEs), resulting in poor H/D separation efficiency. Herein, the discrepancy in BDEs of the O-H and O-D bonds is magnified by introducing a series of organic additives with different Gutmann donor numbers to tune the H-bond network and further promote the H/D isotope separation coefficient. Specifically, the difference in BDEs between the O-H and the O-D bonds is amplified by more than 6 times (from 0.95 to 6.24 meV), which is attributed to a moderate H/D-bond network induced by an increased proportion and spectral red-shift of the dominant coordination-unsaturated H/D-bond in the sulfolane (SUL) additive system. Consequently, the system achieves excellent H/D isotope separation performance, with gas-liquid separation coefficients reaching 17.28. The D atomic fraction is enriched to 8.8% with a feeding of 5.0% D after 4 h of electrolysis at room temperature. This modulation strategy of the H/D-bond network establishes an effective pathway for electrochemical H/D separation.</w:t>
      </w:r>
    </w:p>
    <w:p>
      <w:pPr>
        <w:spacing w:before="120" w:after="120"/>
      </w:pPr>
      <w:r>
        <w:rPr>
          <w:sz w:val="18"/>
        </w:rPr>
        <w:t>——————————————————————————————————————————————————————————————————————</w:t>
      </w:r>
    </w:p>
    <w:p>
      <w:pPr>
        <w:spacing w:before="160" w:after="40" w:line="240" w:lineRule="auto"/>
      </w:pPr>
      <w:r>
        <w:rPr>
          <w:b/>
        </w:rPr>
        <w:t xml:space="preserve">[390] </w:t>
      </w:r>
      <w:hyperlink r:id="rId927">
        <w:r>
          <w:rPr>
            <w:color w:val="1155CC"/>
            <w:u w:val="single"/>
          </w:rPr>
          <w:t>[ASAP] 手性选择性钯催化烯烃的分子间四组分酰基羰基化：合成手性γ-酮酯的模块化方法</w:t>
        </w:r>
      </w:hyperlink>
    </w:p>
    <w:p>
      <w:pPr>
        <w:spacing w:before="0" w:after="80"/>
      </w:pPr>
      <w:r>
        <w:rPr>
          <w:i/>
          <w:sz w:val="20"/>
        </w:rPr>
        <w:t>EN: [ASAP] Enantioselective Palladium-Catalyzed Intermolecular Four-Component Acylcarbonylation of Alkenes: A Modular Approach to Chiral γ-Keto Esters</w:t>
      </w:r>
    </w:p>
    <w:p>
      <w:pPr>
        <w:spacing w:before="0" w:after="120"/>
      </w:pPr>
      <w:r>
        <w:rPr>
          <w:b/>
        </w:rPr>
        <w:t xml:space="preserve">Source: </w:t>
      </w:r>
      <w:r>
        <w:t>Journal of the American Chemical Society: Latest Articles (ACS Publications)</w:t>
      </w:r>
      <w:r>
        <w:t xml:space="preserve">    </w:t>
      </w:r>
      <w:r>
        <w:rPr>
          <w:b/>
        </w:rPr>
        <w:t xml:space="preserve">Pub date: </w:t>
      </w:r>
      <w:r>
        <w:t>2026-04-15 13:54:49+00:00</w:t>
      </w:r>
      <w:r>
        <w:t xml:space="preserve">    </w:t>
      </w:r>
      <w:r>
        <w:rPr>
          <w:b/>
        </w:rPr>
        <w:t xml:space="preserve">DOI: </w:t>
      </w:r>
      <w:hyperlink r:id="rId928">
        <w:r>
          <w:rPr>
            <w:color w:val="1155CC"/>
            <w:u w:val="single"/>
          </w:rPr>
          <w:t>10.1021/jacs.6c04152</w:t>
        </w:r>
      </w:hyperlink>
    </w:p>
    <w:p>
      <w:pPr>
        <w:spacing w:before="0" w:after="120"/>
      </w:pPr>
      <w:r>
        <w:rPr>
          <w:b/>
        </w:rPr>
        <w:t xml:space="preserve">Notes: </w:t>
      </w:r>
      <w:r>
        <w:t>abstract_source=openalex</w:t>
      </w:r>
    </w:p>
    <w:p>
      <w:pPr>
        <w:spacing w:before="0" w:after="80" w:lineRule="auto" w:line="276"/>
      </w:pPr>
      <w:r>
        <w:rPr>
          <w:b/>
        </w:rPr>
        <w:t xml:space="preserve">摘要（ZH）: </w:t>
      </w:r>
      <w:r>
        <w:t>钯催化的不对称酰基羰基化反应是一种制备光学活性γ-酮酯的简便策略。由于酰基-Pd(II)物种对烯烃的反应性较低，已有的方法主要集中于分子内三组分反应。在此，我们报道了在温和条件下，由电子丰富的吡啶-恶唑啉（Pyox）配体促进的钯催化不对称分子间四组分酰基羰基化反应。该方法适用于脂肪族烯烃和苯乙烯，能够以良好的产率和对映选择性获得手性γ-酮酯。Pyox配体的设计对化学选择性和对映选择性均有重要影响。此外，所得产物可作为合成增值中间体的宝贵中间体。</w:t>
      </w:r>
    </w:p>
    <w:p>
      <w:pPr>
        <w:spacing w:before="0" w:after="200" w:lineRule="auto" w:line="276"/>
      </w:pPr>
      <w:r>
        <w:rPr>
          <w:b/>
        </w:rPr>
        <w:t xml:space="preserve">Abstract (EN): </w:t>
      </w:r>
      <w:r>
        <w:t>Palladium-catalyzed asymmetric acylcarbonylation of alkenes is a straightforward strategy for preparing optically active γ-keto esters. Owing to the low reactivity of acyl-Pd(II) species toward alkenes, documented methodologies have focused on intramolecular three-component reactions. Herein, we communicate the palladium-catalyzed asymmetric intermolecular four-component acylcarbonylation of alkenes under mild conditions, enabled by electron-rich pyridine-oxazoline (Pyox) ligands. This method conforms to aliphatic alkenes and styrenes, affording chiral γ-keto esters in good yields and enantioselectivity. The design of the Pyox ligand crucially influences both the chemo- and enantioselectivity. Furthermore, the resulting products serve as valuable intermediates for synthesizing value-added fine chemicals.</w:t>
      </w:r>
    </w:p>
    <w:p>
      <w:pPr>
        <w:spacing w:before="120" w:after="120"/>
      </w:pPr>
      <w:r>
        <w:rPr>
          <w:sz w:val="18"/>
        </w:rPr>
        <w:t>——————————————————————————————————————————————————————————————————————</w:t>
      </w:r>
    </w:p>
    <w:p>
      <w:pPr>
        <w:spacing w:before="160" w:after="40" w:line="240" w:lineRule="auto"/>
      </w:pPr>
      <w:r>
        <w:rPr>
          <w:b/>
        </w:rPr>
        <w:t xml:space="preserve">[391] </w:t>
      </w:r>
      <w:hyperlink r:id="rId929">
        <w:r>
          <w:rPr>
            <w:color w:val="1155CC"/>
            <w:u w:val="single"/>
          </w:rPr>
          <w:t>[ASAP] 从头算分子动力学模拟对有机化学家的意义─是时候了！</w:t>
        </w:r>
      </w:hyperlink>
    </w:p>
    <w:p>
      <w:pPr>
        <w:spacing w:before="0" w:after="80"/>
      </w:pPr>
      <w:r>
        <w:rPr>
          <w:i/>
          <w:sz w:val="20"/>
        </w:rPr>
        <w:t>EN: [ASAP] Ab Initio Molecular Dynamics Simulations for Organic Chemists─It is About Time!</w:t>
      </w:r>
    </w:p>
    <w:p>
      <w:pPr>
        <w:spacing w:before="0" w:after="120"/>
      </w:pPr>
      <w:r>
        <w:rPr>
          <w:b/>
        </w:rPr>
        <w:t xml:space="preserve">Source: </w:t>
      </w:r>
      <w:r>
        <w:t>Journal of the American Chemical Society: Latest Articles (ACS Publications)</w:t>
      </w:r>
      <w:r>
        <w:t xml:space="preserve">    </w:t>
      </w:r>
      <w:r>
        <w:rPr>
          <w:b/>
        </w:rPr>
        <w:t xml:space="preserve">Pub date: </w:t>
      </w:r>
      <w:r>
        <w:t>2026-04-15 14:40:34+00:00</w:t>
      </w:r>
      <w:r>
        <w:t xml:space="preserve">    </w:t>
      </w:r>
      <w:r>
        <w:rPr>
          <w:b/>
        </w:rPr>
        <w:t xml:space="preserve">DOI: </w:t>
      </w:r>
      <w:hyperlink r:id="rId930">
        <w:r>
          <w:rPr>
            <w:color w:val="1155CC"/>
            <w:u w:val="single"/>
          </w:rPr>
          <w:t>10.1021/jacs.5c20878</w:t>
        </w:r>
      </w:hyperlink>
    </w:p>
    <w:p>
      <w:pPr>
        <w:spacing w:before="0" w:after="120"/>
      </w:pPr>
      <w:r>
        <w:rPr>
          <w:b/>
        </w:rPr>
        <w:t xml:space="preserve">Notes: </w:t>
      </w:r>
      <w:r>
        <w:t>abstract_source=openalex</w:t>
      </w:r>
    </w:p>
    <w:p>
      <w:pPr>
        <w:spacing w:before="0" w:after="80" w:lineRule="auto" w:line="276"/>
      </w:pPr>
      <w:r>
        <w:rPr>
          <w:b/>
        </w:rPr>
        <w:t xml:space="preserve">摘要（ZH）: </w:t>
      </w:r>
      <w:r>
        <w:t>分子动力学模拟将化学反应建模为分子结构随时间的连续变化，而不是静态的极小值和过渡态。这种观点认为，时间依赖的结构变化是一个关键但常常被忽视的机制特征，因为许多反应根本不遵循单一的、平衡的最低能量路径。我们强调了一些传统过渡态理论失败的例子，通常涉及短命中间体、非平衡溶剂化、动量控制的选择性、过渡态后的分叉以及“隐藏”的动态中间体，并展示了分子动力学如何揭示决定反应结果的实际结构变化序列。我们还讨论了基于机器学习的新兴分子动力学方法。</w:t>
      </w:r>
    </w:p>
    <w:p>
      <w:pPr>
        <w:spacing w:before="0" w:after="200" w:lineRule="auto" w:line="276"/>
      </w:pPr>
      <w:r>
        <w:rPr>
          <w:b/>
        </w:rPr>
        <w:t xml:space="preserve">Abstract (EN): </w:t>
      </w:r>
      <w:r>
        <w:t>Molecular dynamics simulations model chemical reactions as continuous changes in molecular structure over time instead of static minima and transition states. This perspective argues that time-dependent structural change is a crucial, but often overlooked, mechanistic feature as many reactions simply do not follow a single, equilibrated minimum-energy path. We highlight examples where traditional transition state theory fails, typically cases involving short-lived intermediates, nonequilibrium solvation, momentum-controlled selectivity, post-transition state bifurcations, and "hidden" dynamic intermediates and show how molecular dynamics can reveal the actual sequence of structural change which governs a reaction outcome. We also discuss emerging machine learning-based molecular dynamics which have found applications in photochemistry and solvent modeling. While molecular dynamics will not replace methods based on transition state theory, it offers organic chemists a time-resolved view of molecular structure which can be crucial to understanding a given reaction. However, a central barrier for organic chemists is to understand when and why to apply an advanced computational technique such as molecular dynamics simulations. In this perspective, we aim to introduce the methodology in sufficient detail to enable organic chemists to make this assessment and gain an appreciation for the importance of time in reaction mechanisms.</w:t>
      </w:r>
    </w:p>
    <w:p>
      <w:pPr>
        <w:spacing w:before="120" w:after="120"/>
      </w:pPr>
      <w:r>
        <w:rPr>
          <w:sz w:val="18"/>
        </w:rPr>
        <w:t>——————————————————————————————————————————————————————————————————————</w:t>
      </w:r>
    </w:p>
    <w:p>
      <w:pPr>
        <w:spacing w:before="160" w:after="40" w:line="240" w:lineRule="auto"/>
      </w:pPr>
      <w:r>
        <w:rPr>
          <w:b/>
        </w:rPr>
        <w:t xml:space="preserve">[392] </w:t>
      </w:r>
      <w:hyperlink r:id="rId931">
        <w:r>
          <w:rPr>
            <w:color w:val="1155CC"/>
            <w:u w:val="single"/>
          </w:rPr>
          <w:t>[ASAP] Cr3+掺杂氧化物中不寻常的窄带近红外发射的起源</w:t>
        </w:r>
      </w:hyperlink>
    </w:p>
    <w:p>
      <w:pPr>
        <w:spacing w:before="0" w:after="80"/>
      </w:pPr>
      <w:r>
        <w:rPr>
          <w:i/>
          <w:sz w:val="20"/>
        </w:rPr>
        <w:t>EN: [ASAP] Origin of the Unusual Narrowband Near-Infrared Emission from Cr3+-Doped Oxides</w:t>
      </w:r>
    </w:p>
    <w:p>
      <w:pPr>
        <w:spacing w:before="0" w:after="120"/>
      </w:pPr>
      <w:r>
        <w:rPr>
          <w:b/>
        </w:rPr>
        <w:t xml:space="preserve">Source: </w:t>
      </w:r>
      <w:r>
        <w:t>Journal of the American Chemical Society: Latest Articles (ACS Publications)</w:t>
      </w:r>
      <w:r>
        <w:t xml:space="preserve">    </w:t>
      </w:r>
      <w:r>
        <w:rPr>
          <w:b/>
        </w:rPr>
        <w:t xml:space="preserve">Pub date: </w:t>
      </w:r>
      <w:r>
        <w:t>2026-04-15 15:00:24+00:00</w:t>
      </w:r>
      <w:r>
        <w:t xml:space="preserve">    </w:t>
      </w:r>
      <w:r>
        <w:rPr>
          <w:b/>
        </w:rPr>
        <w:t xml:space="preserve">DOI: </w:t>
      </w:r>
      <w:hyperlink r:id="rId932">
        <w:r>
          <w:rPr>
            <w:color w:val="1155CC"/>
            <w:u w:val="single"/>
          </w:rPr>
          <w:t>10.1021/jacs.6c00117</w:t>
        </w:r>
      </w:hyperlink>
    </w:p>
    <w:p>
      <w:pPr>
        <w:spacing w:before="0" w:after="120"/>
      </w:pPr>
      <w:r>
        <w:rPr>
          <w:b/>
        </w:rPr>
        <w:t xml:space="preserve">Notes: </w:t>
      </w:r>
      <w:r>
        <w:t>abstract_source=openalex</w:t>
      </w:r>
    </w:p>
    <w:p>
      <w:pPr>
        <w:spacing w:before="0" w:after="80" w:lineRule="auto" w:line="276"/>
      </w:pPr>
      <w:r>
        <w:rPr>
          <w:b/>
        </w:rPr>
        <w:t xml:space="preserve">摘要（ZH）: </w:t>
      </w:r>
      <w:r>
        <w:t>近红外（NIR）光是许多光学和光子应用的基础。三价铬离子（Cr&lt;sup&gt;3+&lt;/sup&gt;）是优秀的NIR发射体，可以通过宽带蓝光高效激发。尽管通过晶场工程可以大幅调节&lt;sup&gt;4&lt;/sup&gt;T&lt;sub&gt;2&lt;/sub&gt; → &lt;sup&gt;4&lt;/sup&gt;A&lt;sub&gt;2&lt;/sub&gt;跃迁的宽带NIR发射，但&lt;sup&gt;2&lt;/sup&gt;E → &lt;sup&gt;4&lt;/sup&gt;A&lt;sub&gt;2&lt;/sub&gt;跃迁的窄带（R线）发射通常仅限于接近690 nm的远红区，且研究较少。在此，我们揭示了Cr&lt;sup&gt;3+&lt;/sup&gt;掺杂的Sr&lt;i&gt;M&lt;/i&gt;&lt;sub&gt;12&lt;/sub&gt;O&lt;sub&gt;19&lt;/sub&gt;（M = Al和Ga）磁铅矿中异常的NIR R线发射（&gt;750 nm），此前被归因于交换耦合的Cr&lt;sup&gt;3+&lt;/sup&gt;-Cr&lt;sup&gt;3+&lt;/sup&gt;对。</w:t>
      </w:r>
    </w:p>
    <w:p>
      <w:pPr>
        <w:spacing w:before="0" w:after="200" w:lineRule="auto" w:line="276"/>
      </w:pPr>
      <w:r>
        <w:rPr>
          <w:b/>
        </w:rPr>
        <w:t xml:space="preserve">Abstract (EN): </w:t>
      </w:r>
      <w:r>
        <w:t>Near-infrared (NIR) light is the basis of many optical and photonic applications. Trivalent chromium ions (Cr&lt;sup&gt;3+&lt;/sup&gt;) are excellent NIR emitters that can be efficiently excited by broadband blue light. Although the broadband NIR emission of the &lt;sup&gt;4&lt;/sup&gt;T&lt;sub&gt;2&lt;/sub&gt; → &lt;sup&gt;4&lt;/sup&gt;A&lt;sub&gt;2&lt;/sub&gt; transition can be largely regulated via crystal field engineering, the narrowband (R-line) emission of the &lt;sup&gt;2&lt;/sup&gt;E → &lt;sup&gt;4&lt;/sup&gt;A&lt;sub&gt;2&lt;/sub&gt; transition is usually limited to the far-red region near 690 nm and remains much less explored. Here, we reveal that the unusual NIR R-line emission (&gt;750 nm) in Cr&lt;sup&gt;3+&lt;/sup&gt;-doped Sr&lt;i&gt;M&lt;/i&gt;&lt;sub&gt;12&lt;/sub&gt;O&lt;sub&gt;19&lt;/sub&gt; (M = Al and Ga) magnetoplumbites, which was previously attributed to the exchange-coupled Cr&lt;sup&gt;3+&lt;/sup&gt;-Cr&lt;sup&gt;3+&lt;/sup&gt; pairs, arises from a unique isolated Cr&lt;sup&gt;3+&lt;/sup&gt; center with exceptionally strong covalency of Cr&lt;sup&gt;3+&lt;/sup&gt;-O&lt;sup&gt;2-&lt;/sup&gt; bonds. Furthermore, the experimental and computational results collectively indicate that the pertinent bond angles, along with the inductive effect of the neighboring cations, play a pivotal role in regulating the Cr&lt;sup&gt;3+&lt;/sup&gt;-O&lt;sup&gt;2-&lt;/sup&gt; covalent interaction and thus the relative energy position of the &lt;sup&gt;2&lt;/sup&gt;E level that determines the radiative pathways of the excited Cr&lt;sup&gt;3+&lt;/sup&gt;. These findings not only provide a new dimension for manipulating the excited-state processes and thus the luminescence properties of Cr&lt;sup&gt;3+&lt;/sup&gt; but also highlight its great potential for use as an activator for broadband visible-light excitable, narrowband NIR-emitting materials.</w:t>
      </w:r>
    </w:p>
    <w:p>
      <w:pPr>
        <w:spacing w:before="120" w:after="120"/>
      </w:pPr>
      <w:r>
        <w:rPr>
          <w:sz w:val="18"/>
        </w:rPr>
        <w:t>——————————————————————————————————————————————————————————————————————</w:t>
      </w:r>
    </w:p>
    <w:p>
      <w:pPr>
        <w:spacing w:before="160" w:after="40" w:line="240" w:lineRule="auto"/>
      </w:pPr>
      <w:r>
        <w:rPr>
          <w:b/>
        </w:rPr>
        <w:t xml:space="preserve">[393] </w:t>
      </w:r>
      <w:hyperlink r:id="rId933">
        <w:r>
          <w:rPr>
            <w:color w:val="1155CC"/>
            <w:u w:val="single"/>
          </w:rPr>
          <w:t>[ASAP] 通过石墨大配体工程在Fe-N-C催化剂中实现自旋选择性水排斥</w:t>
        </w:r>
      </w:hyperlink>
    </w:p>
    <w:p>
      <w:pPr>
        <w:spacing w:before="0" w:after="80"/>
      </w:pPr>
      <w:r>
        <w:rPr>
          <w:i/>
          <w:sz w:val="20"/>
        </w:rPr>
        <w:t>EN: [ASAP] Spin-Selective Water Rejection in Fe-N-C Catalysts via Graphitic Macro-Ligand Engineering</w:t>
      </w:r>
    </w:p>
    <w:p>
      <w:pPr>
        <w:spacing w:before="0" w:after="120"/>
      </w:pPr>
      <w:r>
        <w:rPr>
          <w:b/>
        </w:rPr>
        <w:t xml:space="preserve">Source: </w:t>
      </w:r>
      <w:r>
        <w:t>Journal of the American Chemical Society: Latest Articles (ACS Publications)</w:t>
      </w:r>
      <w:r>
        <w:t xml:space="preserve">    </w:t>
      </w:r>
      <w:r>
        <w:rPr>
          <w:b/>
        </w:rPr>
        <w:t xml:space="preserve">Pub date: </w:t>
      </w:r>
      <w:r>
        <w:t>2026-04-15 15:40:22+00:00</w:t>
      </w:r>
      <w:r>
        <w:t xml:space="preserve">    </w:t>
      </w:r>
      <w:r>
        <w:rPr>
          <w:b/>
        </w:rPr>
        <w:t xml:space="preserve">DOI: </w:t>
      </w:r>
      <w:hyperlink r:id="rId934">
        <w:r>
          <w:rPr>
            <w:color w:val="1155CC"/>
            <w:u w:val="single"/>
          </w:rPr>
          <w:t>10.1021/jacs.6c01621</w:t>
        </w:r>
      </w:hyperlink>
    </w:p>
    <w:p>
      <w:pPr>
        <w:spacing w:before="0" w:after="120"/>
      </w:pPr>
      <w:r>
        <w:rPr>
          <w:b/>
        </w:rPr>
        <w:t xml:space="preserve">Notes: </w:t>
      </w:r>
      <w:r>
        <w:t>abstract_source=pubmed</w:t>
      </w:r>
    </w:p>
    <w:p>
      <w:pPr>
        <w:spacing w:before="0" w:after="80" w:lineRule="auto" w:line="276"/>
      </w:pPr>
      <w:r>
        <w:rPr>
          <w:b/>
        </w:rPr>
        <w:t xml:space="preserve">摘要（ZH）: </w:t>
      </w:r>
      <w:r>
        <w:t>克服Fe-N-C阴极的缓慢内在动力学和质量传输阻力对于缩小与质子交换膜燃料电池（PEMFCs）中铂基基准的性能差距至关重要。虽然这种差距常常归因于次优的氧结合能量学，但我们揭示了一个被低估的关键原因是未能控制催化剂/水界面化学，导致活性位点中毒和孔隙淹没。在此，我们设计了一种高度石墨化的主体作为大配体来重构Fe-N4位点的电子结构。这种自下而上的工程触发了决定性的低自旋到中间自旋（S = 0 → S = 1）转变，促进了轴向dz2轨道的单电子占据。作为自旋门，这一电子特征</w:t>
      </w:r>
    </w:p>
    <w:p>
      <w:pPr>
        <w:spacing w:before="0" w:after="200" w:lineRule="auto" w:line="276"/>
      </w:pPr>
      <w:r>
        <w:rPr>
          <w:b/>
        </w:rPr>
        <w:t xml:space="preserve">Abstract (EN): </w:t>
      </w:r>
      <w:r>
        <w:t>Overcoming the sluggish intrinsic kinetics and mass-transport resistances of Fe-N-C cathodes is critical to bridging the performance gap with platinum-based benchmarks in proton exchange membrane fuel cells (PEMFCs). While this gap is frequently attributed to suboptimal oxygen-binding energetics, we reveal that a key, underestimated cause is the failure to control the catalyst/water interfacial chemistry, resulting in active-site poisoning and pore flooding. Herein, we design a highly graphitized host as a macro-ligand to reconstruct the electronic structure of Fe-N4 sites. This bottom-up engineering triggers a decisive low-spin to intermediate-spin (S = 0 → S = 1) transition, which promotes single-electron occupancy in the axial dz2 orbital. Acting as a spin gate, this electronic feature selectively suppresses water adsorption via Pauli repulsion and enhances O2 activation. Meanwhile, operando magnetic field imaging suggests better water rejection behavior in the catalyst layer, as evidenced by a more homogeneous in-plane current distribution. Leveraging these synergistic effects, the developed catalyst delivers a record 1.02 W cm-2 peak power density and 402 mA cm-2 at 0.80 ViR-free under H2-air conditions, surpassing all reported M-N-C catalysts.</w:t>
      </w:r>
    </w:p>
    <w:p>
      <w:pPr>
        <w:spacing w:before="120" w:after="120"/>
      </w:pPr>
      <w:r>
        <w:rPr>
          <w:sz w:val="18"/>
        </w:rPr>
        <w:t>——————————————————————————————————————————————————————————————————————</w:t>
      </w:r>
    </w:p>
    <w:p>
      <w:pPr>
        <w:spacing w:before="160" w:after="40" w:line="240" w:lineRule="auto"/>
      </w:pPr>
      <w:r>
        <w:rPr>
          <w:b/>
        </w:rPr>
        <w:t xml:space="preserve">[394] </w:t>
      </w:r>
      <w:hyperlink r:id="rId935">
        <w:r>
          <w:rPr>
            <w:color w:val="1155CC"/>
            <w:u w:val="single"/>
          </w:rPr>
          <w:t>[ASAP] 用可见光进行整体水分解的晶体聚（肼基亚胺）光催化剂</w:t>
        </w:r>
      </w:hyperlink>
    </w:p>
    <w:p>
      <w:pPr>
        <w:spacing w:before="0" w:after="80"/>
      </w:pPr>
      <w:r>
        <w:rPr>
          <w:i/>
          <w:sz w:val="20"/>
        </w:rPr>
        <w:t>EN: [ASAP] Crystalline Poly(Heptazine Imide) Photocatalysts for Overall Water Splitting with Visible Light</w:t>
      </w:r>
    </w:p>
    <w:p>
      <w:pPr>
        <w:spacing w:before="0" w:after="120"/>
      </w:pPr>
      <w:r>
        <w:rPr>
          <w:b/>
        </w:rPr>
        <w:t xml:space="preserve">Source: </w:t>
      </w:r>
      <w:r>
        <w:t>Journal of the American Chemical Society: Latest Articles (ACS Publications)</w:t>
      </w:r>
      <w:r>
        <w:t xml:space="preserve">    </w:t>
      </w:r>
      <w:r>
        <w:rPr>
          <w:b/>
        </w:rPr>
        <w:t xml:space="preserve">Pub date: </w:t>
      </w:r>
      <w:r>
        <w:t>2026-04-15 16:28:28+00:00</w:t>
      </w:r>
      <w:r>
        <w:t xml:space="preserve">    </w:t>
      </w:r>
      <w:r>
        <w:rPr>
          <w:b/>
        </w:rPr>
        <w:t xml:space="preserve">DOI: </w:t>
      </w:r>
      <w:hyperlink r:id="rId936">
        <w:r>
          <w:rPr>
            <w:color w:val="1155CC"/>
            <w:u w:val="single"/>
          </w:rPr>
          <w:t>10.1021/jacs.6c02423</w:t>
        </w:r>
      </w:hyperlink>
    </w:p>
    <w:p>
      <w:pPr>
        <w:spacing w:before="0" w:after="120"/>
      </w:pPr>
      <w:r>
        <w:rPr>
          <w:b/>
        </w:rPr>
        <w:t xml:space="preserve">Notes: </w:t>
      </w:r>
      <w:r>
        <w:t>abstract_source=pubmed</w:t>
      </w:r>
    </w:p>
    <w:p>
      <w:pPr>
        <w:spacing w:before="0" w:after="80" w:lineRule="auto" w:line="276"/>
      </w:pPr>
      <w:r>
        <w:rPr>
          <w:b/>
        </w:rPr>
        <w:t xml:space="preserve">摘要（ZH）: </w:t>
      </w:r>
      <w:r>
        <w:t>聚(三嗪酰亚胺) (PHI)，一种半结晶形式的聚合物碳氮化物，是光催化整体水分解 (OWS) 的一种有前途的光催化剂。然而，由于电荷分离不足和电荷传输有限，原始 PHI 通常仅表现出边际活性。在此，我们证明在 NaCl 存在下对低缩合 PHI 进行退火显著提高了其结晶度，同时改善了平面内堆积和层间堆叠顺序。这种结构有序性实现了高效的电荷分离，从而显著加速了电荷迁移。因此，结晶 PHI 表现出卓越的可见光驱动 OWS 性能，H2 和 O2 的演化速率分别为 1100 和 559 μmol h-1，表观量子产率</w:t>
      </w:r>
    </w:p>
    <w:p>
      <w:pPr>
        <w:spacing w:before="0" w:after="200" w:lineRule="auto" w:line="276"/>
      </w:pPr>
      <w:r>
        <w:rPr>
          <w:b/>
        </w:rPr>
        <w:t xml:space="preserve">Abstract (EN): </w:t>
      </w:r>
      <w:r>
        <w:t>Poly(heptazine imide) (PHI), a semicrystalline form of polymeric carbon nitride, is a promising photocatalyst for photocatalytic overall water splitting (OWS). However, pristine PHI typically exhibits only marginal activity due to insufficient charge separation and limited charge transport. Herein, we demonstrate that annealing of low-condensed PHI in the presence of NaCl markedly increases its crystallinity by simultaneously improving in-plane packing and interlayer stacking order. This structural ordering enables efficient charge separation, leading to substantially accelerated charge migration. Consequently, the crystalline PHI exhibits outstanding visible-light-driven OWS performance, with H2 and O2 evolution rates of 1100 and 559 μmol h-1, respectively, and an apparent quantum yields of 10.3% at 405 nm and 4.5% at 420 nm. This performance surpasses that of melon by orders of magnitude and represents a record for PHI-based photocatalysts. The results establish crystallinity engineering as an effective strategy for modulating charge-transfer dynamics in polymeric photocatalysts.</w:t>
      </w:r>
    </w:p>
    <w:p>
      <w:pPr>
        <w:spacing w:before="120" w:after="120"/>
      </w:pPr>
      <w:r>
        <w:rPr>
          <w:sz w:val="18"/>
        </w:rPr>
        <w:t>——————————————————————————————————————————————————————————————————————</w:t>
      </w:r>
    </w:p>
    <w:p>
      <w:pPr>
        <w:spacing w:before="160" w:after="40" w:line="240" w:lineRule="auto"/>
      </w:pPr>
      <w:r>
        <w:rPr>
          <w:b/>
        </w:rPr>
        <w:t xml:space="preserve">[395] </w:t>
      </w:r>
      <w:hyperlink r:id="rId937">
        <w:r>
          <w:rPr>
            <w:color w:val="1155CC"/>
            <w:u w:val="single"/>
          </w:rPr>
          <w:t>[ASAP] 催化对映选择性环丁醇的消除反应</w:t>
        </w:r>
      </w:hyperlink>
    </w:p>
    <w:p>
      <w:pPr>
        <w:spacing w:before="0" w:after="80"/>
      </w:pPr>
      <w:r>
        <w:rPr>
          <w:i/>
          <w:sz w:val="20"/>
        </w:rPr>
        <w:t>EN: [ASAP] Catalytic Enantioselective Elimination of Cyclobutanols</w:t>
      </w:r>
    </w:p>
    <w:p>
      <w:pPr>
        <w:spacing w:before="0" w:after="120"/>
      </w:pPr>
      <w:r>
        <w:rPr>
          <w:b/>
        </w:rPr>
        <w:t xml:space="preserve">Source: </w:t>
      </w:r>
      <w:r>
        <w:t>Journal of the American Chemical Society: Latest Articles (ACS Publications)</w:t>
      </w:r>
      <w:r>
        <w:t xml:space="preserve">    </w:t>
      </w:r>
      <w:r>
        <w:rPr>
          <w:b/>
        </w:rPr>
        <w:t xml:space="preserve">Pub date: </w:t>
      </w:r>
      <w:r>
        <w:t>2026-04-15 16:44:59+00:00</w:t>
      </w:r>
      <w:r>
        <w:t xml:space="preserve">    </w:t>
      </w:r>
      <w:r>
        <w:rPr>
          <w:b/>
        </w:rPr>
        <w:t xml:space="preserve">DOI: </w:t>
      </w:r>
      <w:hyperlink r:id="rId938">
        <w:r>
          <w:rPr>
            <w:color w:val="1155CC"/>
            <w:u w:val="single"/>
          </w:rPr>
          <w:t>10.1021/jacs.5c22741</w:t>
        </w:r>
      </w:hyperlink>
    </w:p>
    <w:p>
      <w:pPr>
        <w:spacing w:before="0" w:after="120"/>
      </w:pPr>
      <w:r>
        <w:rPr>
          <w:b/>
        </w:rPr>
        <w:t xml:space="preserve">Notes: </w:t>
      </w:r>
      <w:r>
        <w:t>abstract_source=pubmed</w:t>
      </w:r>
    </w:p>
    <w:p>
      <w:pPr>
        <w:spacing w:before="0" w:after="80" w:lineRule="auto" w:line="276"/>
      </w:pPr>
      <w:r>
        <w:rPr>
          <w:b/>
        </w:rPr>
        <w:t xml:space="preserve">摘要（ZH）: </w:t>
      </w:r>
      <w:r>
        <w:t>Brønsted 酸介导的醇消除是有机化学中的基本转化，但其在对映选择性催化中的应用仍然很少探索。在此，我们报告了一种催化的、对映选择性的环丁醇及其三氯乙酰亚胺衍生物的消除反应，生成具有全碳季碳立体中心的环丁烯。机制研究表明，手性 Brønsted 酸催化剂介导了环丁醇的协同、对映选择性消除，而其三氯乙酰亚胺则通过催化剂-底物共价中间体进行逐步消除。这项研究为进一步研究对映选择性消除反应奠定了基础。</w:t>
      </w:r>
    </w:p>
    <w:p>
      <w:pPr>
        <w:spacing w:before="0" w:after="200" w:lineRule="auto" w:line="276"/>
      </w:pPr>
      <w:r>
        <w:rPr>
          <w:b/>
        </w:rPr>
        <w:t xml:space="preserve">Abstract (EN): </w:t>
      </w:r>
      <w:r>
        <w:t>Brønsted acid-mediated elimination of alcohols is a fundamental transformation in organic chemistry, yet its application in enantioselective catalysis remains largely unexplored. Here, we report a catalytic, enantioselective elimination of cyclobutanols and their trichloroacetimidate derivatives that afford cyclobutenes bearing all-carbon quaternary stereocenters. Mechanistic studies revealed that a chiral Brønsted acid catalyst mediates concerted, enantioselective elimination of cyclobutanols, whereas their trichloroacetimidates undergo stepwise elimination via a catalyst-substrate covalent intermediate. This research lays the foundation for further investigations of enantioselective elimination reactions.</w:t>
      </w:r>
    </w:p>
    <w:p>
      <w:pPr>
        <w:spacing w:before="120" w:after="120"/>
      </w:pPr>
      <w:r>
        <w:rPr>
          <w:sz w:val="18"/>
        </w:rPr>
        <w:t>——————————————————————————————————————————————————————————————————————</w:t>
      </w:r>
    </w:p>
    <w:p>
      <w:pPr>
        <w:spacing w:before="160" w:after="40" w:line="240" w:lineRule="auto"/>
      </w:pPr>
      <w:r>
        <w:rPr>
          <w:b/>
        </w:rPr>
        <w:t xml:space="preserve">[396] </w:t>
      </w:r>
      <w:hyperlink r:id="rId939">
        <w:r>
          <w:rPr>
            <w:color w:val="1155CC"/>
            <w:u w:val="single"/>
          </w:rPr>
          <w:t>[ASAP] C60缓冲质子-电子转移在钯吸附原子上的催化纯水H2O2溶液的直接合成</w:t>
        </w:r>
      </w:hyperlink>
    </w:p>
    <w:p>
      <w:pPr>
        <w:spacing w:before="0" w:after="80"/>
      </w:pPr>
      <w:r>
        <w:rPr>
          <w:i/>
          <w:sz w:val="20"/>
        </w:rPr>
        <w:t>EN: [ASAP] Direct Synthesis of Pure Aqueous H2O2 Solutions Catalyzed by C60-Buffered Proton–Electron Transfer on Palladium Adatoms</w:t>
      </w:r>
    </w:p>
    <w:p>
      <w:pPr>
        <w:spacing w:before="0" w:after="120"/>
      </w:pPr>
      <w:r>
        <w:rPr>
          <w:b/>
        </w:rPr>
        <w:t xml:space="preserve">Source: </w:t>
      </w:r>
      <w:r>
        <w:t>Journal of the American Chemical Society: Latest Articles (ACS Publications)</w:t>
      </w:r>
      <w:r>
        <w:t xml:space="preserve">    </w:t>
      </w:r>
      <w:r>
        <w:rPr>
          <w:b/>
        </w:rPr>
        <w:t xml:space="preserve">Pub date: </w:t>
      </w:r>
      <w:r>
        <w:t>2026-04-15 17:30:20+00:00</w:t>
      </w:r>
      <w:r>
        <w:t xml:space="preserve">    </w:t>
      </w:r>
      <w:r>
        <w:rPr>
          <w:b/>
        </w:rPr>
        <w:t xml:space="preserve">DOI: </w:t>
      </w:r>
      <w:hyperlink r:id="rId940">
        <w:r>
          <w:rPr>
            <w:color w:val="1155CC"/>
            <w:u w:val="single"/>
          </w:rPr>
          <w:t>10.1021/jacs.6c04486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941">
        <w:r>
          <w:rPr>
            <w:color w:val="1155CC"/>
            <w:u w:val="single"/>
          </w:rPr>
          <w:t>[ASAP] 用于可充电钠-氯电池的极化金属有机框架纳米反应器</w:t>
        </w:r>
      </w:hyperlink>
    </w:p>
    <w:p>
      <w:pPr>
        <w:spacing w:before="0" w:after="80"/>
      </w:pPr>
      <w:r>
        <w:rPr>
          <w:i/>
          <w:sz w:val="20"/>
        </w:rPr>
        <w:t>EN: [ASAP] Polarized Metal Organic Framework Nanoreactors for Rechargeable Sodium–Chlorine Batteries</w:t>
      </w:r>
    </w:p>
    <w:p>
      <w:pPr>
        <w:spacing w:before="0" w:after="120"/>
      </w:pPr>
      <w:r>
        <w:rPr>
          <w:b/>
        </w:rPr>
        <w:t xml:space="preserve">Source: </w:t>
      </w:r>
      <w:r>
        <w:t>ACS Energy Letters: Latest Articles (ACS Publications)</w:t>
      </w:r>
      <w:r>
        <w:t xml:space="preserve">    </w:t>
      </w:r>
      <w:r>
        <w:rPr>
          <w:b/>
        </w:rPr>
        <w:t xml:space="preserve">Pub date: </w:t>
      </w:r>
      <w:r>
        <w:t>2026-04-15 18:08:53+00:00</w:t>
      </w:r>
      <w:r>
        <w:t xml:space="preserve">    </w:t>
      </w:r>
      <w:r>
        <w:rPr>
          <w:b/>
        </w:rPr>
        <w:t xml:space="preserve">DOI: </w:t>
      </w:r>
      <w:hyperlink r:id="rId942">
        <w:r>
          <w:rPr>
            <w:color w:val="1155CC"/>
            <w:u w:val="single"/>
          </w:rPr>
          <w:t>10.1021/acsenergylett.6c00458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943">
        <w:r>
          <w:rPr>
            <w:color w:val="1155CC"/>
            <w:u w:val="single"/>
          </w:rPr>
          <w:t>[ASAP] 用于合成高质量过渡金属二硫属化物单层的固相硫属化</w:t>
        </w:r>
      </w:hyperlink>
    </w:p>
    <w:p>
      <w:pPr>
        <w:spacing w:before="0" w:after="80"/>
      </w:pPr>
      <w:r>
        <w:rPr>
          <w:i/>
          <w:sz w:val="20"/>
        </w:rPr>
        <w:t>EN: [ASAP] Solid-phase Chalcogenization for the Synthesis of High-Quality Transition-Metal Dichalcogenide Monolayers</w:t>
      </w:r>
    </w:p>
    <w:p>
      <w:pPr>
        <w:spacing w:before="0" w:after="120"/>
      </w:pPr>
      <w:r>
        <w:rPr>
          <w:b/>
        </w:rPr>
        <w:t xml:space="preserve">Source: </w:t>
      </w:r>
      <w:r>
        <w:t>Journal of the American Chemical Society: Latest Articles (ACS Publications)</w:t>
      </w:r>
      <w:r>
        <w:t xml:space="preserve">    </w:t>
      </w:r>
      <w:r>
        <w:rPr>
          <w:b/>
        </w:rPr>
        <w:t xml:space="preserve">Pub date: </w:t>
      </w:r>
      <w:r>
        <w:t>2026-04-15 18:27:20+00:00</w:t>
      </w:r>
      <w:r>
        <w:t xml:space="preserve">    </w:t>
      </w:r>
      <w:r>
        <w:rPr>
          <w:b/>
        </w:rPr>
        <w:t xml:space="preserve">DOI: </w:t>
      </w:r>
      <w:hyperlink r:id="rId944">
        <w:r>
          <w:rPr>
            <w:color w:val="1155CC"/>
            <w:u w:val="single"/>
          </w:rPr>
          <w:t>10.1021/jacs.6c02187</w:t>
        </w:r>
      </w:hyperlink>
    </w:p>
    <w:p>
      <w:pPr>
        <w:spacing w:before="0" w:after="120"/>
      </w:pPr>
      <w:r>
        <w:rPr>
          <w:b/>
        </w:rPr>
        <w:t xml:space="preserve">Notes: </w:t>
      </w:r>
      <w:r>
        <w:t>abstract_source=pubmed</w:t>
      </w:r>
    </w:p>
    <w:p>
      <w:pPr>
        <w:spacing w:before="0" w:after="80" w:lineRule="auto" w:line="276"/>
      </w:pPr>
      <w:r>
        <w:rPr>
          <w:b/>
        </w:rPr>
        <w:t xml:space="preserve">摘要（ZH）: </w:t>
      </w:r>
      <w:r>
        <w:t>过渡金属二硫属化物 (TMD) 单层表现出独特的电子、光子和量子现象，但其材料质量仍受化学气相沉积过程中缺陷和厚度不均匀性的限制。在此，我们识别出常见金属三氧化物前体的局限性：高挥发性导致随机气相成核和多层生长，以及释放的氧物种介导的化学蚀刻剂会破坏晶格完整性。我们证明了一种酸介导的一步改性，将三氧化物溶解在盐酸中，从根本上重定向前体化学反应，转向非挥发性和基底锚定的二氧化物相。这强制执行空间限制的固相硫属化合物化 (SPC)，最大限度地减少气相物种和</w:t>
      </w:r>
    </w:p>
    <w:p>
      <w:pPr>
        <w:spacing w:before="0" w:after="200" w:lineRule="auto" w:line="276"/>
      </w:pPr>
      <w:r>
        <w:rPr>
          <w:b/>
        </w:rPr>
        <w:t xml:space="preserve">Abstract (EN): </w:t>
      </w:r>
      <w:r>
        <w:t>Transition-metal dichalcogenide (TMD) monolayers exhibit unique electronic, photonic, and quantum phenomena, yet their material quality remains constrained by defects and thickness inhomogeneity during chemical vapor deposition. Here, we identify the limitations of the common metal trioxide precursors: high volatility that induces stochastic vapor-phase nucleation and multilayer growth, and liberated oxygen-species-mediated chemical etchants that degrade lattice integrity. We demonstrate that an acid-mediated one-step modification, dissolving trioxides in hydrochloric acid, fundamentally redirects the precursor chemistry toward nonvolatile and substrate-anchored dioxide phase. This enforces a spatially confined solid-phase chalcogenization (SPC), minimizing the vapor-phase species and thereby suppressing dechalcogenization and vertical growth. The resulting uniform monolayers, synthesized as isolated triangular flakes or continuous films, achieve state-of-the-art low defect densities: 1.87 × 1012 cm-2 for MoS2 and 1.26 × 1012 cm-2 for WSe2. Our work establishes SPC as a simple and unified mechanistic framework to drive TMD synthesis toward the intrinsic structural limits.</w:t>
      </w:r>
    </w:p>
    <w:p>
      <w:pPr>
        <w:spacing w:before="120" w:after="120"/>
      </w:pPr>
      <w:r>
        <w:rPr>
          <w:sz w:val="18"/>
        </w:rPr>
        <w:t>——————————————————————————————————————————————————————————————————————</w:t>
      </w:r>
    </w:p>
    <w:p>
      <w:pPr>
        <w:spacing w:before="160" w:after="40" w:line="240" w:lineRule="auto"/>
      </w:pPr>
      <w:r>
        <w:rPr>
          <w:b/>
        </w:rPr>
        <w:t xml:space="preserve">[399] </w:t>
      </w:r>
      <w:hyperlink r:id="rId945">
        <w:r>
          <w:rPr>
            <w:color w:val="1155CC"/>
            <w:u w:val="single"/>
          </w:rPr>
          <w:t>[ASAP] 单还原Rh2(II,II)中间体激发态特性对光催化活性的作用</w:t>
        </w:r>
      </w:hyperlink>
    </w:p>
    <w:p>
      <w:pPr>
        <w:spacing w:before="0" w:after="80"/>
      </w:pPr>
      <w:r>
        <w:rPr>
          <w:i/>
          <w:sz w:val="20"/>
        </w:rPr>
        <w:t>EN: [ASAP] Role of the Character of the Excited State of Singly Reduced Rh2(II,II) Intermediates on Photocatalytic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2026-04-15 19:00:00+00:00</w:t>
      </w:r>
      <w:r>
        <w:t xml:space="preserve">    </w:t>
      </w:r>
      <w:r>
        <w:rPr>
          <w:b/>
        </w:rPr>
        <w:t xml:space="preserve">DOI: </w:t>
      </w:r>
      <w:hyperlink r:id="rId946">
        <w:r>
          <w:rPr>
            <w:color w:val="1155CC"/>
            <w:u w:val="single"/>
          </w:rPr>
          <w:t>10.1021/jacs.6c02339</w:t>
        </w:r>
      </w:hyperlink>
    </w:p>
    <w:p>
      <w:pPr>
        <w:spacing w:before="0" w:after="120"/>
      </w:pPr>
      <w:r>
        <w:rPr>
          <w:b/>
        </w:rPr>
        <w:t xml:space="preserve">Notes: </w:t>
      </w:r>
      <w:r>
        <w:t>abstract_source=openalex</w:t>
      </w:r>
    </w:p>
    <w:p>
      <w:pPr>
        <w:spacing w:before="0" w:after="80" w:lineRule="auto" w:line="276"/>
      </w:pPr>
      <w:r>
        <w:rPr>
          <w:b/>
        </w:rPr>
        <w:t xml:space="preserve">摘要（ZH）: </w:t>
      </w:r>
      <w:r>
        <w:t>单电子还原中间体最近被认为是在许多重要反应中作为光活性中间体；然而，它们的光物理性质仍然知之甚少。制备了一系列二铑(II,II)配合物，&lt;i&gt;cis-&lt;/i&gt;[Rh&lt;sub&gt;2&lt;/sub&gt;(&lt;i&gt;p-&lt;/i&gt;R-Form)&lt;sub&gt;2&lt;/sub&gt;(bncn)&lt;sub&gt;2&lt;/sub&gt;]&lt;sup&gt;2+&lt;/sup&gt; (bncn = 苯并[&lt;i&gt;c&lt;/i&gt;]桂皮啉; &lt;i&gt;p-&lt;/i&gt;R-Form = &lt;i&gt;N,N&lt;/i&gt;'&lt;i&gt;-&lt;/i&gt;二-&lt;i&gt;p&lt;/i&gt;-R-苯甲酰胺酸盐)，其中 R = -OCH&lt;sub&gt;3&lt;/sub&gt; (&lt;b&gt;1&lt;/b&gt;), -CH&lt;sub&gt;3&lt;/sub&gt; (&lt;b&gt;2&lt;/b&gt;), -H (&lt;b&gt;3&lt;/b&gt;), -F (&lt;b&gt;4&lt;/b&gt;), - Cl (&lt;b&gt;5&lt;/b&gt;), 和 -CF&lt;sub&gt;3&lt;/sub&gt; (&lt;b&gt;6&lt;/b&gt;)，并制备了它们各自的自由基阴离子，研究了它们的激发态性质。配合物&lt;b&gt;3&lt;/b&gt;作为单分子光催化剂在红光下产生H&lt;sub&gt;2&lt;/sub&gt;。在fo上的取代</w:t>
      </w:r>
    </w:p>
    <w:p>
      <w:pPr>
        <w:spacing w:before="0" w:after="200" w:lineRule="auto" w:line="276"/>
      </w:pPr>
      <w:r>
        <w:rPr>
          <w:b/>
        </w:rPr>
        <w:t xml:space="preserve">Abstract (EN): </w:t>
      </w:r>
      <w:r>
        <w:t>Singly reduced intermediates have recently been implicated as photoactive intermediates in a number of important reactions; however, their photophysical properties remain poorly understood. A series of dirhodium(II,II) complexes, &lt;i&gt;cis-&lt;/i&gt;[Rh&lt;sub&gt;2&lt;/sub&gt;(&lt;i&gt;p-&lt;/i&gt;R-Form)&lt;sub&gt;2&lt;/sub&gt;(bncn)&lt;sub&gt;2&lt;/sub&gt;]&lt;sup&gt;2+&lt;/sup&gt; (bncn = benzo[&lt;i&gt;c&lt;/i&gt;]cinnoline; &lt;i&gt;p-&lt;/i&gt;R-Form = &lt;i&gt;N,N&lt;/i&gt;'&lt;i&gt;-&lt;/i&gt;di-&lt;i&gt;p&lt;/i&gt;-R-phenylformamidinate), where R = -OCH&lt;sub&gt;3&lt;/sub&gt; (&lt;b&gt;1&lt;/b&gt;), -CH&lt;sub&gt;3&lt;/sub&gt; (&lt;b&gt;2&lt;/b&gt;), -H (&lt;b&gt;3&lt;/b&gt;), -F (&lt;b&gt;4&lt;/b&gt;), - Cl (&lt;b&gt;5&lt;/b&gt;), and -CF&lt;sub&gt;3&lt;/sub&gt; (&lt;b&gt;6&lt;/b&gt;), and their respective radical anions were prepared and their excited state properties were investigated. Complex &lt;b&gt;3&lt;/b&gt; acted as a single-molecule photocatalyst for H&lt;sub&gt;2&lt;/sub&gt; production with red light. Substitution on the formamidinate ligands in &lt;b&gt;1&lt;/b&gt;-&lt;b&gt;6&lt;/b&gt; affected the energy of the Rh&lt;sub&gt;2&lt;/sub&gt;(δ*)/Form(π,nb) highest occupied molecular orbital (HOMO), consistent with the metal/ligand-to-ligand charge transfer (&lt;sup&gt;1&lt;/sup&gt;ML-LCT) absorption maxima and the &lt;sup&gt;3&lt;/sup&gt;ML-LCT excited state lifetime, ranging from 1.6 ns in &lt;b&gt;1&lt;/b&gt; to 54 ns in &lt;b&gt;6&lt;/b&gt; in CH&lt;sub&gt;3&lt;/sub&gt;CN. The highest turnover number for photocatalytic H&lt;sub&gt;2&lt;/sub&gt; evolution was observed for &lt;b&gt;3&lt;/b&gt;, and the lowest values were for &lt;b&gt;1&lt;/b&gt; and &lt;b&gt;6&lt;/b&gt;. The radical anion, [Rh&lt;sub&gt;2&lt;/sub&gt;]&lt;sup&gt;-&lt;/sup&gt;, formed during photocatalysis, was shown to absorb a photon and undergo a second reduction. The lifetimes of the doublet excited states of [&lt;b&gt;3&lt;/b&gt;]&lt;sup&gt;-&lt;/sup&gt; and [&lt;b&gt;6&lt;/b&gt;]&lt;sup&gt;-&lt;/sup&gt; were 0.49 and 0.24 ns, respectively. Calculations showed that the lowest energy excited state in [&lt;b&gt;3&lt;/b&gt;]&lt;sup&gt;-&lt;/sup&gt; was &lt;sup&gt;2&lt;/sup&gt;ML-LCT, whereas that in [&lt;b&gt;6&lt;/b&gt;]&lt;sup&gt;-&lt;/sup&gt; was a bncn&lt;sup&gt;-&lt;/sup&gt; → Rh&lt;sub&gt;2&lt;/sub&gt;(σ*) ligand-to-metal charge transfer (&lt;sup&gt;2&lt;/sup&gt;LMCT) state. The &lt;sup&gt;2&lt;/sup&gt;LMCT state stabilized across the series from [&lt;b&gt;1&lt;/b&gt;]&lt;sup&gt;-&lt;/sup&gt; to [&lt;b&gt;6&lt;/b&gt;]&lt;sup&gt;-&lt;/sup&gt;, pointing at its role in modulating the photophysical properties. This work highlights the importance of the reductive quenching of [Rh&lt;sub&gt;2&lt;/sub&gt;]&lt;sup&gt;-&lt;/sup&gt; and the generation of the doubly reduced species to effectively catalyze hydrogen evolution.</w:t>
      </w:r>
    </w:p>
    <w:p>
      <w:pPr>
        <w:spacing w:before="120" w:after="120"/>
      </w:pPr>
      <w:r>
        <w:rPr>
          <w:sz w:val="18"/>
        </w:rPr>
        <w:t>——————————————————————————————————————————————————————————————————————</w:t>
      </w:r>
    </w:p>
    <w:p>
      <w:pPr>
        <w:spacing w:before="160" w:after="40" w:line="240" w:lineRule="auto"/>
      </w:pPr>
      <w:r>
        <w:rPr>
          <w:b/>
        </w:rPr>
        <w:t xml:space="preserve">[400] </w:t>
      </w:r>
      <w:hyperlink r:id="rId947">
        <w:r>
          <w:rPr>
            <w:color w:val="1155CC"/>
            <w:u w:val="single"/>
          </w:rPr>
          <w:t>[ASAP] 刚性Eu(III)螺旋体表现出显著的圆偏振发光活性和对替扎尼定的肉眼识别</w:t>
        </w:r>
      </w:hyperlink>
    </w:p>
    <w:p>
      <w:pPr>
        <w:spacing w:before="0" w:after="80"/>
      </w:pPr>
      <w:r>
        <w:rPr>
          <w:i/>
          <w:sz w:val="20"/>
        </w:rPr>
        <w:t>EN: [ASAP] Rigid Eu(III) Helicates Exhibit Remarkable Circularly Polarized Luminescence Activity and Naked-Eye Recognition toward Tizanidine</w:t>
      </w:r>
    </w:p>
    <w:p>
      <w:pPr>
        <w:spacing w:before="0" w:after="120"/>
      </w:pPr>
      <w:r>
        <w:rPr>
          <w:b/>
        </w:rPr>
        <w:t xml:space="preserve">Source: </w:t>
      </w:r>
      <w:r>
        <w:t>Journal of the American Chemical Society: Latest Articles (ACS Publications)</w:t>
      </w:r>
      <w:r>
        <w:t xml:space="preserve">    </w:t>
      </w:r>
      <w:r>
        <w:rPr>
          <w:b/>
        </w:rPr>
        <w:t xml:space="preserve">Pub date: </w:t>
      </w:r>
      <w:r>
        <w:t>2026-04-15 19:03:20+00:00</w:t>
      </w:r>
      <w:r>
        <w:t xml:space="preserve">    </w:t>
      </w:r>
      <w:r>
        <w:rPr>
          <w:b/>
        </w:rPr>
        <w:t xml:space="preserve">DOI: </w:t>
      </w:r>
      <w:hyperlink r:id="rId948">
        <w:r>
          <w:rPr>
            <w:color w:val="1155CC"/>
            <w:u w:val="single"/>
          </w:rPr>
          <w:t>10.1021/jacs.6c00900</w:t>
        </w:r>
      </w:hyperlink>
    </w:p>
    <w:p>
      <w:pPr>
        <w:spacing w:before="0" w:after="120"/>
      </w:pPr>
      <w:r>
        <w:rPr>
          <w:b/>
        </w:rPr>
        <w:t xml:space="preserve">Notes: </w:t>
      </w:r>
      <w:r>
        <w:t>abstract_source=pubmed</w:t>
      </w:r>
    </w:p>
    <w:p>
      <w:pPr>
        <w:spacing w:before="0" w:after="80" w:lineRule="auto" w:line="276"/>
      </w:pPr>
      <w:r>
        <w:rPr>
          <w:b/>
        </w:rPr>
        <w:t xml:space="preserve">摘要（ZH）: </w:t>
      </w:r>
      <w:r>
        <w:t>开发具有接近理论极限2的发光不对称因子(|glum|)的圆偏振发光(CPL)发射体仍然是手性光子学中的一个核心挑战。在此，螺旋体(NMe4)2[Eu2(R/S-L1-4)4] (ΔΔ/ΛΛ-1-4)中实现了相当大的glum值(1.48-1.65)，这些螺旋体具有不同的结构刚性，以及冠醚修饰的(NMe4)2[Eu2(R/S-L5)4] (ΔΔ/ΛΛ-5)，其表现出可调节的配位几何对称性。值得注意的是，在ΔΔ/ΛΛ-2的内腔中封装体积更大的[NEt4]+而不是[NMe4]+反离子，进一步将|glum|提升到前所未有的1.71，这是任何手性分子发射体的最高值。而NMe4-ΔΔ/ΛΛ-3实现了超高的CPL亮度(BCPL = 3625 M-1 cm-1)，这得益于其大的glum值</w:t>
      </w:r>
    </w:p>
    <w:p>
      <w:pPr>
        <w:spacing w:before="0" w:after="200" w:lineRule="auto" w:line="276"/>
      </w:pPr>
      <w:r>
        <w:rPr>
          <w:b/>
        </w:rPr>
        <w:t xml:space="preserve">Abstract (EN): </w:t>
      </w:r>
      <w:r>
        <w:t>The development of circularly polarized luminescence (CPL) emitters with a luminescence dissymmetry factor (|glum|) approaching the theoretical limit of 2 remains a central challenge in chiral photonics. Herein, considerable glum values (1.48-1.65) were achieved in helicates (NMe4)2[Eu2(R/S-L1-4)4] (ΔΔ/ΛΛ-1-4) with different structural rigidity, as well as in crown ether-modified (NMe4)2[Eu2(R/S-L5)4] (ΔΔ/ΛΛ-5) that exhibits adjustable coordination geometry symmetry. Notably, encapsulating bulkier [NEt4]+ instead of a [NMe4]+ counterion within the inner cavity of ΔΔ/ΛΛ-2 further elevates |glum| to an unprecedented 1.71, the highest value for any chiral molecular emitter. While the NMe4-ΔΔ/ΛΛ-3 achieves an ultrahigh CPL brightness (BCPL = 3625 M-1 cm-1), resulting from its large glum value (1.63) and high quantum yield (ΦPL = 32%). Structural and spectroscopic analyses demonstrate that the high CPL activity originates from a conformationally rigidified square antiprismatic (SAP) geometry around the Eu(III) center. This structure and property relationship is vividly demonstrated by the crown-ether-functionalized ΔΔ-5, where gradual binding of Cs+ ions triggers a pronounced glum fluctuation (1.48 → 0.62 → 1.41) through a perturbation and subsequent restoration of the SAP environment. Furthermore, the multicrown-ether binding sites in ΔΔ-5 enable cooperative guest binding, facilitating the first naked-eye CPL recognition of the antispasmodic drug tizanidine. This work establishes rigidifying SAP configuration as a general design principle for maximizing the CPL activity of lanthanide complexes and opening avenues for advanced CPL applications.</w:t>
      </w:r>
    </w:p>
    <w:p>
      <w:pPr>
        <w:spacing w:before="120" w:after="120"/>
      </w:pPr>
      <w:r>
        <w:rPr>
          <w:sz w:val="18"/>
        </w:rPr>
        <w:t>——————————————————————————————————————————————————————————————————————</w:t>
      </w:r>
    </w:p>
    <w:p>
      <w:pPr>
        <w:spacing w:before="160" w:after="40" w:line="240" w:lineRule="auto"/>
      </w:pPr>
      <w:r>
        <w:rPr>
          <w:b/>
        </w:rPr>
        <w:t xml:space="preserve">[401] </w:t>
      </w:r>
      <w:hyperlink r:id="rId949">
        <w:r>
          <w:rPr>
            <w:color w:val="1155CC"/>
            <w:u w:val="single"/>
          </w:rPr>
          <w:t>[ASAP] 插层导向的纳米力学和中尺度拓扑编程</w:t>
        </w:r>
      </w:hyperlink>
    </w:p>
    <w:p>
      <w:pPr>
        <w:spacing w:before="0" w:after="80"/>
      </w:pPr>
      <w:r>
        <w:rPr>
          <w:i/>
          <w:sz w:val="20"/>
        </w:rPr>
        <w:t>EN: [ASAP] Intercalation-Directed Programming of Nanomechanics and Mesoscale Topology</w:t>
      </w:r>
    </w:p>
    <w:p>
      <w:pPr>
        <w:spacing w:before="0" w:after="120"/>
      </w:pPr>
      <w:r>
        <w:rPr>
          <w:b/>
        </w:rPr>
        <w:t xml:space="preserve">Source: </w:t>
      </w:r>
      <w:r>
        <w:t>Journal of the American Chemical Society: Latest Articles (ACS Publications)</w:t>
      </w:r>
      <w:r>
        <w:t xml:space="preserve">    </w:t>
      </w:r>
      <w:r>
        <w:rPr>
          <w:b/>
        </w:rPr>
        <w:t xml:space="preserve">Pub date: </w:t>
      </w:r>
      <w:r>
        <w:t>2026-04-15 19:03:52+00:00</w:t>
      </w:r>
      <w:r>
        <w:t xml:space="preserve">    </w:t>
      </w:r>
      <w:r>
        <w:rPr>
          <w:b/>
        </w:rPr>
        <w:t xml:space="preserve">DOI: </w:t>
      </w:r>
      <w:hyperlink r:id="rId950">
        <w:r>
          <w:rPr>
            <w:color w:val="1155CC"/>
            <w:u w:val="single"/>
          </w:rPr>
          <w:t>10.1021/jacs.6c01800</w:t>
        </w:r>
      </w:hyperlink>
    </w:p>
    <w:p>
      <w:pPr>
        <w:spacing w:before="0" w:after="120"/>
      </w:pPr>
      <w:r>
        <w:rPr>
          <w:b/>
        </w:rPr>
        <w:t xml:space="preserve">Notes: </w:t>
      </w:r>
      <w:r>
        <w:t>abstract_source=pubmed</w:t>
      </w:r>
    </w:p>
    <w:p>
      <w:pPr>
        <w:spacing w:before="0" w:after="80" w:lineRule="auto" w:line="276"/>
      </w:pPr>
      <w:r>
        <w:rPr>
          <w:b/>
        </w:rPr>
        <w:t xml:space="preserve">摘要（ZH）: </w:t>
      </w:r>
      <w:r>
        <w:t>在分子尺度之外创造拓扑复杂结构仍然是化学和材料科学中的一个长期挑战。在此，我们引入了一种使用雪花形分子构建块的自组装策略，结合分子插层方法，精细调节组装体内的纤维-纤维相互作用。这种双重策略能够同时控制拓扑结构、机械刚度和手性光学响应。值得注意的是，组装体的弹性模量可以跨越2个数量级以上进行调节─从几吉帕斯卡到几十兆帕斯卡─允许结构在几何约束下折叠和扭曲成多种拓扑结构，包括有棱角和圆形的环状、八字形和超螺旋结构。这些拓扑</w:t>
      </w:r>
    </w:p>
    <w:p>
      <w:pPr>
        <w:spacing w:before="0" w:after="200" w:lineRule="auto" w:line="276"/>
      </w:pPr>
      <w:r>
        <w:rPr>
          <w:b/>
        </w:rPr>
        <w:t xml:space="preserve">Abstract (EN): </w:t>
      </w:r>
      <w:r>
        <w:t>Creating topologically complex structures beyond the molecular scale remains a long-standing challenge in chemistry and materials science. Here, we introduce a self-assembly strategy using snowflake-shaped molecular building blocks, coupled with a molecular intercalation approach that finely tunes fibril-fibril interactions within the assemblies. This dual strategy enables concurrent control over topology, mechanical stiffness, and chiroptical response. Remarkably, the elastic modulus of the assemblies can be modulated across more than 2 orders of magnitude─from a few gigapascals to tens of megapascals─allowing the structures to fold and writhe under geometric confinement into diverse topologies, including faceted and rounded toroids, figure-eight, and supercoiled architectures. These topological transformations are accompanied by distinct excitonic coupling among the snowflake chromophores, leading to continuous tuning of chiroptical properties and even chirality inversion. Extending beyond molecular systems, this strategy offers a universal pathway to design topologically intricate architectures in hybrid and inorganic materials.</w:t>
      </w:r>
    </w:p>
    <w:p>
      <w:pPr>
        <w:spacing w:before="120" w:after="120"/>
      </w:pPr>
      <w:r>
        <w:rPr>
          <w:sz w:val="18"/>
        </w:rPr>
        <w:t>——————————————————————————————————————————————————————————————————————</w:t>
      </w:r>
    </w:p>
    <w:p>
      <w:pPr>
        <w:spacing w:before="160" w:after="40" w:line="240" w:lineRule="auto"/>
      </w:pPr>
      <w:r>
        <w:rPr>
          <w:b/>
        </w:rPr>
        <w:t xml:space="preserve">[402] </w:t>
      </w:r>
      <w:hyperlink r:id="rId951">
        <w:r>
          <w:rPr>
            <w:color w:val="1155CC"/>
            <w:u w:val="single"/>
          </w:rPr>
          <w:t>用于气体储存和分离的共价有机框架</w:t>
        </w:r>
      </w:hyperlink>
    </w:p>
    <w:p>
      <w:pPr>
        <w:spacing w:before="0" w:after="80"/>
      </w:pPr>
      <w:r>
        <w:rPr>
          <w:i/>
          <w:sz w:val="20"/>
        </w:rPr>
        <w:t>EN: Covalent organic frameworks for gas storage and separation</w:t>
      </w:r>
    </w:p>
    <w:p>
      <w:pPr>
        <w:spacing w:before="0" w:after="120"/>
      </w:pPr>
      <w:r>
        <w:rPr>
          <w:b/>
        </w:rPr>
        <w:t xml:space="preserve">Source: </w:t>
      </w:r>
      <w:r>
        <w:t>RSC - Chem. Soc. Rev. latest articles</w:t>
      </w:r>
      <w:r>
        <w:t xml:space="preserve">    </w:t>
      </w:r>
      <w:r>
        <w:rPr>
          <w:b/>
        </w:rPr>
        <w:t xml:space="preserve">Pub date: </w:t>
      </w:r>
      <w:r>
        <w:t>2026-04-15 23:00:00+00:00</w:t>
      </w:r>
    </w:p>
    <w:p>
      <w:pPr>
        <w:spacing w:before="0" w:after="120"/>
      </w:pPr>
      <w:r>
        <w:rPr>
          <w:b/>
        </w:rPr>
        <w:t xml:space="preserve">Notes: </w:t>
      </w:r>
      <w:r>
        <w:t>abstract_source=rsc_html</w:t>
      </w:r>
    </w:p>
    <w:p>
      <w:pPr>
        <w:spacing w:before="0" w:after="80" w:lineRule="auto" w:line="276"/>
      </w:pPr>
      <w:r>
        <w:rPr>
          <w:b/>
        </w:rPr>
        <w:t xml:space="preserve">摘要（ZH）: </w:t>
      </w:r>
      <w:r>
        <w:t>气体储存和分离对于工业、环境和能源的可持续性至关重要，但传统方法如低温蒸馏和压缩存在高能耗、成本和基础设施复杂性的问题。使用多孔材料进行物理吸附，由于无需气相转变，成为一种有前途的替代方案，因其低能耗和操作简便。共价有机框架（COFs）是一类通过共价键合成的新型结晶多孔材料，由于其结构规则性、优良的稳定性、高比表面积、低密度和可调节的孔隙特性，包括孔径、形状和环境，显示出作为吸附剂的显著潜力。这些属性促进了高效的气体</w:t>
      </w:r>
    </w:p>
    <w:p>
      <w:pPr>
        <w:spacing w:before="0" w:after="200" w:lineRule="auto" w:line="276"/>
      </w:pPr>
      <w:r>
        <w:rPr>
          <w:b/>
        </w:rPr>
        <w:t xml:space="preserve">Abstract (EN): </w:t>
      </w:r>
      <w:r>
        <w:t>Gas storage and separation are critical for industrial, environmental, and energy sustainability, yet conventional methods like cryogenic distillation and compression suffer from high energy consumption, cost, and infrastructural complexity. Physical adsorption using porous materials, operating without gas-phase transitions, presents a promising alternative due to its low energy requirements and ease of operation. Covalent organic frameworks (COFs), a new class of crystalline porous materials synthesized through covalent bonding, have demonstrated significant potential as adsorbents due to their structural regularity, excellent stability, high surface areas, low density, and tunable pore properties, including the pore size, shape, and environment. These attributes facilitate efficient gas storage and separation. This comprehensive review summarizes the latest advancements in gas storage and separation using COF materials. Adsorption-based methods will be emphasized, with supplementary coverage of membrane-based technology. Based on the properties of gases, the main part will be divided into the following parts: hydrogen storage, methane storage, hydrocarbon separation, CO2 capture, SO2 capture, SF6 capture, H2/D2 separation, NH3 separation, and CH4/N2 and O2/N2 separations. In addition, the underlying mechanisms of separation, the innovation in COF structural design, and the strategies (e.g., bottom-up synthesis, post-synthetic modification, and interpenetration regulation) employed to enhance storage or separation performance will be analyzed. Finally, this work will outline the key challenges in translating COF materials from laboratory research to industrial applications, while highlighting the prospects of future developments in COF materials for gas storage and separation.</w:t>
      </w:r>
    </w:p>
    <w:p>
      <w:pPr>
        <w:spacing w:before="120" w:after="120"/>
      </w:pPr>
      <w:r>
        <w:rPr>
          <w:sz w:val="18"/>
        </w:rPr>
        <w:t>——————————————————————————————————————————————————————————————————————</w:t>
      </w:r>
    </w:p>
    <w:p>
      <w:pPr>
        <w:spacing w:before="160" w:after="40" w:line="240" w:lineRule="auto"/>
      </w:pPr>
      <w:r>
        <w:rPr>
          <w:b/>
        </w:rPr>
        <w:t xml:space="preserve">[403] </w:t>
      </w:r>
      <w:hyperlink r:id="rId952">
        <w:r>
          <w:rPr>
            <w:color w:val="1155CC"/>
            <w:u w:val="single"/>
          </w:rPr>
          <w:t>室温埋入分子工程提升宽带隙和全钙钛矿串联电池的光伏性能</w:t>
        </w:r>
      </w:hyperlink>
    </w:p>
    <w:p>
      <w:pPr>
        <w:spacing w:before="0" w:after="80"/>
      </w:pPr>
      <w:r>
        <w:rPr>
          <w:i/>
          <w:sz w:val="20"/>
        </w:rPr>
        <w:t>EN: Room temperature buried molecular engineering boosts the photovoltaic performance of wide-bandgap and all-perovskite tandems</w:t>
      </w:r>
    </w:p>
    <w:p>
      <w:pPr>
        <w:spacing w:before="0" w:after="120"/>
      </w:pPr>
      <w:r>
        <w:rPr>
          <w:b/>
        </w:rPr>
        <w:t xml:space="preserve">Source: </w:t>
      </w:r>
      <w:r>
        <w:t>RSC - Energy Environ. Sci. latest articles</w:t>
      </w:r>
      <w:r>
        <w:t xml:space="preserve">    </w:t>
      </w:r>
      <w:r>
        <w:rPr>
          <w:b/>
        </w:rPr>
        <w:t xml:space="preserve">Pub date: </w:t>
      </w:r>
      <w:r>
        <w:t>2026-04-15 23:00:00+00:00</w:t>
      </w:r>
    </w:p>
    <w:p>
      <w:pPr>
        <w:spacing w:before="0" w:after="120"/>
      </w:pPr>
      <w:r>
        <w:rPr>
          <w:b/>
        </w:rPr>
        <w:t xml:space="preserve">Notes: </w:t>
      </w:r>
      <w:r>
        <w:t>abstract_source=rsc_html</w:t>
      </w:r>
    </w:p>
    <w:p>
      <w:pPr>
        <w:spacing w:before="0" w:after="80" w:lineRule="auto" w:line="276"/>
      </w:pPr>
      <w:r>
        <w:rPr>
          <w:b/>
        </w:rPr>
        <w:t xml:space="preserve">摘要（ZH）: </w:t>
      </w:r>
      <w:r>
        <w:t>作为钙钛矿集成串联光伏结构中的关键光捕获组件，宽带隙（WBG）钙钛矿吸收体引起了相当大的研究兴趣。然而，WBG钙钛矿太阳能电池（PSCs）通常表现出较差的填充因子（FF）和显著的开路电压（VOC）损失，主要是由于明显的非辐射复合以及次优的电荷传输动力学。在这项工作中，我们将4-胍基苯甲酸甲磺酸盐（GBAM）插入到钙钛矿与空穴传输自组装单分子层之间的界面。在室温下于氮气环境中干燥后，GBAM薄膜和随后沉积的钙钛矿薄膜一起经过退火过程，以实现埋藏界面的改进</w:t>
      </w:r>
    </w:p>
    <w:p>
      <w:pPr>
        <w:spacing w:before="0" w:after="200" w:lineRule="auto" w:line="276"/>
      </w:pPr>
      <w:r>
        <w:rPr>
          <w:b/>
        </w:rPr>
        <w:t xml:space="preserve">Abstract (EN): </w:t>
      </w:r>
      <w:r>
        <w:t>As a critical light-harvesting component in perovskite-integrated tandem photovoltaic architectures, wide-bandgap (WBG) perovskite absorbers have attracted considerable research interest. However, WBG perovskite solar cells (PSCs) often exhibit poor fill factor (FF) and substantial open-circuit voltage (VOC) loss, primarily owing to pronounced non-radiative recombination, together with suboptimal charge transport dynamics. In this work, we inserted 4-guanidinobenzoic acid methanesulfonate (GBAM) into the interface between perovskites and hole transporting self-assembled monolayers. After being dried in a nitrogen atmosphere at room temperature, the GBAM film and the subsequently deposited perovskite film underwent an annealing process together to achieve buried interface improvement of the WBG perovskite. The results show that GBAM not only improves the band alignment of the perovskite interface and enhances the extraction of interface carriers, but also elevates the quality of the perovskite film and reduces interface losses. Eventually, 1.78 eV WBG and 1.53 eV normal PSCs based on GBAM achieved enhanced VOC and FF, as well as a PCE of 20.9% and 26.16%, respectively. Furthermore, a two-terminal perovskite-perovskite tandem solar cell, formed by combining a narrow-bandgap tin–lead perovskite cell with a WBG perovskite cell, demonstrates an efficiency exceeding 29%. Our work provides a feasible approach for boosting the photovoltaic performance of WBG and all-perovskite tandems.</w:t>
      </w:r>
    </w:p>
    <w:p>
      <w:pPr>
        <w:spacing w:before="120" w:after="120"/>
      </w:pPr>
      <w:r>
        <w:rPr>
          <w:sz w:val="18"/>
        </w:rPr>
        <w:t>——————————————————————————————————————————————————————————————————————</w:t>
      </w:r>
    </w:p>
    <w:p>
      <w:pPr>
        <w:spacing w:before="160" w:after="40" w:line="240" w:lineRule="auto"/>
      </w:pPr>
      <w:r>
        <w:rPr>
          <w:b/>
        </w:rPr>
        <w:t xml:space="preserve">[404] </w:t>
      </w:r>
      <w:hyperlink r:id="rId953">
        <w:r>
          <w:rPr>
            <w:color w:val="1155CC"/>
            <w:u w:val="single"/>
          </w:rPr>
          <w:t>凝聚物冠状–纳米颗粒复合物在细胞间转移功能性生物分子</w:t>
        </w:r>
      </w:hyperlink>
    </w:p>
    <w:p>
      <w:pPr>
        <w:spacing w:before="0" w:after="80"/>
      </w:pPr>
      <w:r>
        <w:rPr>
          <w:i/>
          <w:sz w:val="20"/>
        </w:rPr>
        <w:t>EN: Condensate corona–nanoparticle complexes transfer functional biomolecules between cells</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54">
        <w:r>
          <w:rPr>
            <w:color w:val="1155CC"/>
            <w:u w:val="single"/>
          </w:rPr>
          <w:t>10.1038/s41563-026-02534-5</w:t>
        </w:r>
      </w:hyperlink>
    </w:p>
    <w:p>
      <w:pPr>
        <w:spacing w:before="0" w:after="120"/>
      </w:pPr>
      <w:r>
        <w:rPr>
          <w:b/>
        </w:rPr>
        <w:t xml:space="preserve">Notes: </w:t>
      </w:r>
      <w:r>
        <w:t>abstract_source=nature_html</w:t>
      </w:r>
    </w:p>
    <w:p>
      <w:pPr>
        <w:spacing w:before="0" w:after="80" w:lineRule="auto" w:line="276"/>
      </w:pPr>
      <w:r>
        <w:rPr>
          <w:b/>
        </w:rPr>
        <w:t xml:space="preserve">摘要（ZH）: </w:t>
      </w:r>
      <w:r>
        <w:t>生物纳米级组装体在细胞和细胞隔室之间转移蛋白质和RNA。然而，目前尚不清楚外源性和合成纳米结构是否会影响这些分子组装和过程。在此，我们报告了由合成纳米颗粒在被细胞内化后形成的纳米结构-生物杂合复合物。这些纳米颗粒在罕见事件中获得了覆盖的细胞衍生生物分子凝聚体冠，随后被输出到细胞外空间以被其他细胞内化。凝聚体冠在成分上与细胞外囊泡不同，包含完整的蛋白质、mRNA和长RNA。凝聚体冠在细胞外条件下机械上非常稳固，在内体中变得流动，在那里它与</w:t>
      </w:r>
    </w:p>
    <w:p>
      <w:pPr>
        <w:spacing w:before="0" w:after="200" w:lineRule="auto" w:line="276"/>
      </w:pPr>
      <w:r>
        <w:rPr>
          <w:b/>
        </w:rPr>
        <w:t xml:space="preserve">Abstract (EN): </w:t>
      </w:r>
      <w:r>
        <w:t>Biological nanoscale assemblies transfer proteins and RNAs between cells and cellular compartments. Nonetheless, it is unclear if exogenous and synthetic nanostructures affect these molecular assemblies and processes. Here we report nanostructure–biological hybrid complexes that are formed by synthetic nanoparticles after being internalized by cells. These nanoparticles, in rare events, acquire an overlaid cell-derived biomolecular condensate corona, afterwards being exported to the extracellular space to be internalized by other cells. The condensate corona is compositionally distinct from extracellular vesicles, containing intact proteins, mRNAs and long RNAs. The condensate corona is mechanically robust in extracellular conditions, becoming fluid within endosomes, where it detaches from the particle core and escapes the endo-lysosomal pathway, redistributing its protein and RNA components to cytosolic and nuclear compartments. Grafting short peptides onto the surface of purified corona–nanoparticle complexes prevents detachment and endo-lysosomal escape, suggesting that recognition interactions at the condensate–endosome lumen interface control intracellular access. Overall, these findings reveal a natural, condensate-mediated route for the transfer of biomolecular machinery including RNA between cells, which could inspire design principles for future delivery systems.</w:t>
      </w:r>
    </w:p>
    <w:p>
      <w:pPr>
        <w:spacing w:before="120" w:after="120"/>
      </w:pPr>
      <w:r>
        <w:rPr>
          <w:sz w:val="18"/>
        </w:rPr>
        <w:t>——————————————————————————————————————————————————————————————————————</w:t>
      </w:r>
    </w:p>
    <w:p>
      <w:pPr>
        <w:spacing w:before="160" w:after="40" w:line="240" w:lineRule="auto"/>
      </w:pPr>
      <w:r>
        <w:rPr>
          <w:b/>
        </w:rPr>
        <w:t xml:space="preserve">[405] </w:t>
      </w:r>
      <w:hyperlink r:id="rId955">
        <w:r>
          <w:rPr>
            <w:color w:val="1155CC"/>
            <w:u w:val="single"/>
          </w:rPr>
          <w:t>各向异性晶格畸变使超强马氏体钢具有延展性</w:t>
        </w:r>
      </w:hyperlink>
    </w:p>
    <w:p>
      <w:pPr>
        <w:spacing w:before="0" w:after="80"/>
      </w:pPr>
      <w:r>
        <w:rPr>
          <w:i/>
          <w:sz w:val="20"/>
        </w:rPr>
        <w:t>EN: Anisotropic lattice distortion makes ultrastrong martensitic steel ductile</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56">
        <w:r>
          <w:rPr>
            <w:color w:val="1155CC"/>
            <w:u w:val="single"/>
          </w:rPr>
          <w:t>10.1038/s41563-026-02588-5</w:t>
        </w:r>
      </w:hyperlink>
    </w:p>
    <w:p>
      <w:pPr>
        <w:spacing w:before="0" w:after="120"/>
      </w:pPr>
      <w:r>
        <w:rPr>
          <w:b/>
        </w:rPr>
        <w:t xml:space="preserve">Notes: </w:t>
      </w:r>
      <w:r>
        <w:t>abstract_source=nature_html</w:t>
      </w:r>
    </w:p>
    <w:p>
      <w:pPr>
        <w:spacing w:before="0" w:after="80" w:lineRule="auto" w:line="276"/>
      </w:pPr>
      <w:r>
        <w:rPr>
          <w:b/>
        </w:rPr>
        <w:t xml:space="preserve">摘要（ZH）: </w:t>
      </w:r>
      <w:r>
        <w:t>使超高强度淬火碳马氏体钢具有延展性仍然是结构应用中的一个关键挑战。碳在体心立方马氏体中间隙位点的有序占据引起各向异性晶格畸变，形成脆性的体心四方马氏体，抑制位错活动。传统的回火消除了这种畸变以提高延展性。在此，我们提出了一种反直觉的策略，通过利用马氏体的各向异性晶格畸变来解锁2.4-GPa淬火碳马氏体钢的延展性。其严重的晶格畸变，即其高四方性，是由高浓度的置换溶质和碳驱动的。故意引入的高四方性激活了变形</w:t>
      </w:r>
    </w:p>
    <w:p>
      <w:pPr>
        <w:spacing w:before="0" w:after="200" w:lineRule="auto" w:line="276"/>
      </w:pPr>
      <w:r>
        <w:rPr>
          <w:b/>
        </w:rPr>
        <w:t xml:space="preserve">Abstract (EN): </w:t>
      </w:r>
      <w:r>
        <w:t>Making ultrahigh-strength as-quenched carbon martensitic steels ductile remains a critical challenge for structural applications. The ordered occupancy of carbon at interstitial sites in body-centred cubic martensite induces anisotropic lattice distortion, forming brittle body-centred tetragonal martensite with suppressed dislocation activity. Conventional tempering eliminates this distortion to improve ductility. Here we propose a counterintuitive strategy to unlock the ductility of a 2.4-GPa as-quenched carbon martensitic steel by utilizing the anisotropic lattice distortion of martensite. Its severe lattice distortion, that is, its high tetragonality, is driven by large-concentration substitutional solutes and carbon. The deliberately introduced high tetragonality activates deformation twins as a plastic carrier, effectively overcoming the brittleness of quenched carbon martensitic steel. This strategy of using solid-solution-induced anisotropic lattice distortion challenges the conventional view of tetragonal martensite’s inherent brittleness, establishing a framework for alloy design that yields strong and ductile metallic materials.</w:t>
      </w:r>
    </w:p>
    <w:p>
      <w:pPr>
        <w:spacing w:before="120" w:after="120"/>
      </w:pPr>
      <w:r>
        <w:rPr>
          <w:sz w:val="18"/>
        </w:rPr>
        <w:t>——————————————————————————————————————————————————————————————————————</w:t>
      </w:r>
    </w:p>
    <w:p>
      <w:pPr>
        <w:spacing w:before="160" w:after="40" w:line="240" w:lineRule="auto"/>
      </w:pPr>
      <w:r>
        <w:rPr>
          <w:b/>
        </w:rPr>
        <w:t xml:space="preserve">[406] </w:t>
      </w:r>
      <w:hyperlink r:id="rId957">
        <w:r>
          <w:rPr>
            <w:color w:val="1155CC"/>
            <w:u w:val="single"/>
          </w:rPr>
          <w:t>在腔量子电路-反铁磁平台中观察到强三方耦合</w:t>
        </w:r>
      </w:hyperlink>
    </w:p>
    <w:p>
      <w:pPr>
        <w:spacing w:before="0" w:after="80"/>
      </w:pPr>
      <w:r>
        <w:rPr>
          <w:i/>
          <w:sz w:val="20"/>
        </w:rPr>
        <w:t>EN: Observation of strong tripartite coupling in a cavity-quantum circuit-antiferromagnet platform</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58">
        <w:r>
          <w:rPr>
            <w:color w:val="1155CC"/>
            <w:u w:val="single"/>
          </w:rPr>
          <w:t>10.1038/s41563-026-02585-8</w:t>
        </w:r>
      </w:hyperlink>
    </w:p>
    <w:p>
      <w:pPr>
        <w:spacing w:before="0" w:after="120"/>
      </w:pPr>
      <w:r>
        <w:rPr>
          <w:b/>
        </w:rPr>
        <w:t xml:space="preserve">Notes: </w:t>
      </w:r>
      <w:r>
        <w:t>abstract_source=nature_html</w:t>
      </w:r>
    </w:p>
    <w:p>
      <w:pPr>
        <w:spacing w:before="0" w:after="80" w:lineRule="auto" w:line="276"/>
      </w:pPr>
      <w:r>
        <w:rPr>
          <w:b/>
        </w:rPr>
        <w:t xml:space="preserve">摘要（ZH）: </w:t>
      </w:r>
      <w:r>
        <w:t>材料中具有非常不同性质的量子态的杂化是量子技术的关键资源。一个主要的例子是光-物质相互作用，这是许多量子计算架构的基石。在某些情况下，协调接口超过两个量子系统是至关重要的，例如在频率转换中所需的。这种多方量子块在磁子学领域中早已被设想1,2，但迄今为止，观察到超过两个系统之间的相干相互作用仍然难以捉摸。在这里，通过结合反铁磁晶体、磁场耐受的超导电路和微波腔，我们在微波腔中展示了强烈杂化的光子-超导电路-磁子态。非谐性</w:t>
      </w:r>
    </w:p>
    <w:p>
      <w:pPr>
        <w:spacing w:before="0" w:after="200" w:lineRule="auto" w:line="276"/>
      </w:pPr>
      <w:r>
        <w:rPr>
          <w:b/>
        </w:rPr>
        <w:t xml:space="preserve">Abstract (EN): </w:t>
      </w:r>
      <w:r>
        <w:t>The hybridization of quantum states hosted in materials with very different natures is a key resource for quantum technologies. A main example is light–matter interactions, a cornerstone of many quantum computing architectures. In some instances, coherently interfacing more than two quantum systems is crucial, as required, for example, in frequency conversion. Such multipartite quantum blocks have long been envisioned in the field of magnonics1,2, but the observation of coherent interactions between more than two systems has remained elusive so far. Here, by combining an antiferromagnetic crystal, a magnetic-field-resilient superconducting circuit and a microwave cavity, we demonstrate strongly hybridized photon-superconducting circuit–magnon states in a microwave cavity. The anharmonicity of the superconducting circuit enables efficient nonlinear interactions between the three modes, which have very different frequencies. As antiferromagnets are naturally suited for coupling to terahertz signals, our work provides a path towards realizing quantum interfaces between microwave and terahertz radiation3,4.</w:t>
      </w:r>
    </w:p>
    <w:p>
      <w:pPr>
        <w:spacing w:before="120" w:after="120"/>
      </w:pPr>
      <w:r>
        <w:rPr>
          <w:sz w:val="18"/>
        </w:rPr>
        <w:t>——————————————————————————————————————————————————————————————————————</w:t>
      </w:r>
    </w:p>
    <w:p>
      <w:pPr>
        <w:spacing w:before="160" w:after="40" w:line="240" w:lineRule="auto"/>
      </w:pPr>
      <w:r>
        <w:rPr>
          <w:b/>
        </w:rPr>
        <w:t xml:space="preserve">[407] </w:t>
      </w:r>
      <w:hyperlink r:id="rId959">
        <w:r>
          <w:rPr>
            <w:color w:val="1155CC"/>
            <w:u w:val="single"/>
          </w:rPr>
          <w:t>通过电场诱导相变实现的氮化物基非易失性存储器</w:t>
        </w:r>
      </w:hyperlink>
    </w:p>
    <w:p>
      <w:pPr>
        <w:spacing w:before="0" w:after="80"/>
      </w:pPr>
      <w:r>
        <w:rPr>
          <w:i/>
          <w:sz w:val="20"/>
        </w:rPr>
        <w:t>EN: A nitride-based non-volatile memory enabled by electric-field-induced phase transition</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60">
        <w:r>
          <w:rPr>
            <w:color w:val="1155CC"/>
            <w:u w:val="single"/>
          </w:rPr>
          <w:t>10.1038/s41563-026-02565-y</w:t>
        </w:r>
      </w:hyperlink>
    </w:p>
    <w:p>
      <w:pPr>
        <w:spacing w:before="0" w:after="120"/>
      </w:pPr>
      <w:r>
        <w:rPr>
          <w:b/>
        </w:rPr>
        <w:t xml:space="preserve">Notes: </w:t>
      </w:r>
      <w:r>
        <w:t>abstract_source=nature_html</w:t>
      </w:r>
    </w:p>
    <w:p>
      <w:pPr>
        <w:spacing w:before="0" w:after="80" w:lineRule="auto" w:line="276"/>
      </w:pPr>
      <w:r>
        <w:rPr>
          <w:b/>
        </w:rPr>
        <w:t xml:space="preserve">摘要（ZH）: </w:t>
      </w:r>
      <w:r>
        <w:t>非易失性存储技术在数据存储和近存储或内存计算方面具有巨大潜力。然而，仍然存在显著的挑战，包括编程延迟、能耗、存储介质的稳定性和耐久性。在此，我们报告了一种基于Al0.7Sc0.3N的非易失性存储器件，表现出卓越的性能，包括超低切换电压（−1）。特别是，该器件表现出卓越的稳定性和可靠性，在583 K下实现了超过108次循环的写入耐久性，且循环间和器件间的变化最小。原位扫描透射电子显微镜分析表明，电阻切换是由电场诱导的相变驱动的，从纤锌矿（高电阻）到岩盐（低电阻）</w:t>
      </w:r>
    </w:p>
    <w:p>
      <w:pPr>
        <w:spacing w:before="0" w:after="200" w:lineRule="auto" w:line="276"/>
      </w:pPr>
      <w:r>
        <w:rPr>
          <w:b/>
        </w:rPr>
        <w:t xml:space="preserve">Abstract (EN): </w:t>
      </w:r>
      <w:r>
        <w:t>Non-volatile memory technology holds great promise for data storage and near-memory or in-memory computing. However, significant challenges remain, including programming latency, energy consumption, stability and endurance of the storage medium. Here we report an Al0.7Sc0.3N-based non-volatile memory device that exhibits outstanding performance, including ultralow switching voltage (−1). In particular, the device demonstrates exceptional stability and reliability, achieving a write endurance exceeding 108 cycles at 583 K with minimal cycle-to-cycle and device-to-device variations. In situ scanning transmission electron microscopy analysis reveals that resistance switching is driven by an electric-field-induced phase transition between the wurtzite (high-resistance) and rocksalt (low-resistance) phases of Al0.7Sc0.3N. These results underscore the potential of electric-field-induced phase transition memory as a next-generation non-volatile memory solution, offering high speed, low power consumption and exceptional reliability—even under high temperatures—making it well suited for high-density data storage and advanced computing applications.</w:t>
      </w:r>
    </w:p>
    <w:p>
      <w:pPr>
        <w:spacing w:before="120" w:after="120"/>
      </w:pPr>
      <w:r>
        <w:rPr>
          <w:sz w:val="18"/>
        </w:rPr>
        <w:t>——————————————————————————————————————————————————————————————————————</w:t>
      </w:r>
    </w:p>
    <w:p>
      <w:pPr>
        <w:spacing w:before="160" w:after="40" w:line="240" w:lineRule="auto"/>
      </w:pPr>
      <w:r>
        <w:rPr>
          <w:b/>
        </w:rPr>
        <w:t xml:space="preserve">[408] </w:t>
      </w:r>
      <w:hyperlink r:id="rId961">
        <w:r>
          <w:rPr>
            <w:color w:val="1155CC"/>
            <w:u w:val="single"/>
          </w:rPr>
          <w:t>二维硬掩模推动三维图案化</w:t>
        </w:r>
      </w:hyperlink>
    </w:p>
    <w:p>
      <w:pPr>
        <w:spacing w:before="0" w:after="80"/>
      </w:pPr>
      <w:r>
        <w:rPr>
          <w:i/>
          <w:sz w:val="20"/>
        </w:rPr>
        <w:t>EN: Two-dimensional hard masks push three-dimensional patterning</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62">
        <w:r>
          <w:rPr>
            <w:color w:val="1155CC"/>
            <w:u w:val="single"/>
          </w:rPr>
          <w:t>10.1038/s41563-026-02571-0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[409] </w:t>
      </w:r>
      <w:hyperlink r:id="rId963">
        <w:r>
          <w:rPr>
            <w:color w:val="1155CC"/>
            <w:u w:val="single"/>
          </w:rPr>
          <w:t>接触反应触发的选择性掺杂</w:t>
        </w:r>
      </w:hyperlink>
    </w:p>
    <w:p>
      <w:pPr>
        <w:spacing w:before="0" w:after="80"/>
      </w:pPr>
      <w:r>
        <w:rPr>
          <w:i/>
          <w:sz w:val="20"/>
        </w:rPr>
        <w:t>EN: Contact-reaction-triggered selective doping</w:t>
      </w:r>
    </w:p>
    <w:p>
      <w:pPr>
        <w:spacing w:before="0" w:after="120"/>
      </w:pPr>
      <w:r>
        <w:rPr>
          <w:b/>
        </w:rPr>
        <w:t xml:space="preserve">Source: </w:t>
      </w:r>
      <w:r>
        <w:t>Nature Materials</w:t>
      </w:r>
      <w:r>
        <w:t xml:space="preserve">    </w:t>
      </w:r>
      <w:r>
        <w:rPr>
          <w:b/>
        </w:rPr>
        <w:t xml:space="preserve">Pub date: </w:t>
      </w:r>
      <w:r>
        <w:t>2026-04-16 00:00:00+00:00</w:t>
      </w:r>
      <w:r>
        <w:t xml:space="preserve">    </w:t>
      </w:r>
      <w:r>
        <w:rPr>
          <w:b/>
        </w:rPr>
        <w:t xml:space="preserve">DOI: </w:t>
      </w:r>
      <w:hyperlink r:id="rId964">
        <w:r>
          <w:rPr>
            <w:color w:val="1155CC"/>
            <w:u w:val="single"/>
          </w:rPr>
          <w:t>10.1038/s41563-026-02582-x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[410] </w:t>
      </w:r>
      <w:hyperlink r:id="rId965">
        <w:r>
          <w:rPr>
            <w:color w:val="1155CC"/>
            <w:u w:val="single"/>
          </w:rPr>
          <w:t>朝九晚五的博士：仅仅是神话还是可实现的目标？</w:t>
        </w:r>
      </w:hyperlink>
    </w:p>
    <w:p>
      <w:pPr>
        <w:spacing w:before="0" w:after="80"/>
      </w:pPr>
      <w:r>
        <w:rPr>
          <w:i/>
          <w:sz w:val="20"/>
        </w:rPr>
        <w:t>EN: The nine-to-five PhD: mere myth or an achievable goal?</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966">
        <w:r>
          <w:rPr>
            <w:color w:val="1155CC"/>
            <w:u w:val="single"/>
          </w:rPr>
          <w:t>10.1038/d41586-026-00509-9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[411] </w:t>
      </w:r>
      <w:hyperlink r:id="rId967">
        <w:r>
          <w:rPr>
            <w:color w:val="1155CC"/>
            <w:u w:val="single"/>
          </w:rPr>
          <w:t>量子计算机挑战医疗保健：光敏癌症药物赢得200万美元竞赛</w:t>
        </w:r>
      </w:hyperlink>
    </w:p>
    <w:p>
      <w:pPr>
        <w:spacing w:before="0" w:after="80"/>
      </w:pPr>
      <w:r>
        <w:rPr>
          <w:i/>
          <w:sz w:val="20"/>
        </w:rPr>
        <w:t>EN: Quantum computers take on health care: light-sensitive cancer drugs win US$2 million contest</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968">
        <w:r>
          <w:rPr>
            <w:color w:val="1155CC"/>
            <w:u w:val="single"/>
          </w:rPr>
          <w:t>10.1038/d41586-026-01236-x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[412] </w:t>
      </w:r>
      <w:hyperlink r:id="rId969">
        <w:r>
          <w:rPr>
            <w:color w:val="1155CC"/>
            <w:u w:val="single"/>
          </w:rPr>
          <w:t>全球混合海上风能、波浪能和太阳能的技术经济评估</w:t>
        </w:r>
      </w:hyperlink>
    </w:p>
    <w:p>
      <w:pPr>
        <w:spacing w:before="0" w:after="80"/>
      </w:pPr>
      <w:r>
        <w:rPr>
          <w:i/>
          <w:sz w:val="20"/>
        </w:rPr>
        <w:t>EN: Global techno-economic assessment of hybrid offshore wind, wave, and solar power</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970">
        <w:r>
          <w:rPr>
            <w:color w:val="1155CC"/>
            <w:u w:val="single"/>
          </w:rPr>
          <w:t>考虑网络的分布式能源资源个性化优化：多周期离线和在线实施</w:t>
        </w:r>
      </w:hyperlink>
    </w:p>
    <w:p>
      <w:pPr>
        <w:spacing w:before="0" w:after="80"/>
      </w:pPr>
      <w:r>
        <w:rPr>
          <w:i/>
          <w:sz w:val="20"/>
        </w:rPr>
        <w:t>EN: Network-cognizant personalized optimization of distributed energy resources: Multi-period offline and online implementations</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971">
        <w:r>
          <w:rPr>
            <w:color w:val="1155CC"/>
            <w:u w:val="single"/>
          </w:rPr>
          <w:t>基于概率电化学阻抗谱的固体氧化物电解池系统故障诊断在可变操作条件下</w:t>
        </w:r>
      </w:hyperlink>
    </w:p>
    <w:p>
      <w:pPr>
        <w:spacing w:before="0" w:after="80"/>
      </w:pPr>
      <w:r>
        <w:rPr>
          <w:i/>
          <w:sz w:val="20"/>
        </w:rPr>
        <w:t>EN: Probabilistic electrochemical impedance spectroscopy-based fault diagnosis of solid oxide electrolysis cell systems under variable operating conditions</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972">
        <w:r>
          <w:rPr>
            <w:color w:val="1155CC"/>
            <w:u w:val="single"/>
          </w:rPr>
          <w:t>衰老可能使女性易患自身免疫性疾病</w:t>
        </w:r>
      </w:hyperlink>
    </w:p>
    <w:p>
      <w:pPr>
        <w:spacing w:before="0" w:after="80"/>
      </w:pPr>
      <w:r>
        <w:rPr>
          <w:i/>
          <w:sz w:val="20"/>
        </w:rPr>
        <w:t>EN: Ageing could prime women for autoimmune disorders</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973">
        <w:r>
          <w:rPr>
            <w:color w:val="1155CC"/>
            <w:u w:val="single"/>
          </w:rPr>
          <w:t>10.1038/d41586-026-01213-4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[416] </w:t>
      </w:r>
      <w:hyperlink r:id="rId974">
        <w:r>
          <w:rPr>
            <w:color w:val="1155CC"/>
            <w:u w:val="single"/>
          </w:rPr>
          <w:t>通过共价桥接实现的超弹性仿生摩擦电气凝胶</w:t>
        </w:r>
      </w:hyperlink>
    </w:p>
    <w:p>
      <w:pPr>
        <w:spacing w:before="0" w:after="80"/>
      </w:pPr>
      <w:r>
        <w:rPr>
          <w:i/>
          <w:sz w:val="20"/>
        </w:rPr>
        <w:t>EN: Ultraelastic bioinspired triboelectric aerogels enabled by covalent bridging</w:t>
      </w:r>
    </w:p>
    <w:p>
      <w:pPr>
        <w:spacing w:before="0" w:after="120"/>
      </w:pPr>
      <w:r>
        <w:rPr>
          <w:b/>
        </w:rPr>
        <w:t xml:space="preserve">Source: </w:t>
      </w:r>
      <w:r>
        <w:t>Matter</w:t>
      </w:r>
      <w:r>
        <w:t xml:space="preserve">    </w:t>
      </w:r>
      <w:r>
        <w:rPr>
          <w:b/>
        </w:rPr>
        <w:t xml:space="preserve">Pub date: </w:t>
      </w:r>
      <w:r>
        <w:t>2026-04-16 00:00:00+00:00</w:t>
      </w:r>
      <w:r>
        <w:t xml:space="preserve">    </w:t>
      </w:r>
      <w:r>
        <w:rPr>
          <w:b/>
        </w:rPr>
        <w:t xml:space="preserve">DOI: </w:t>
      </w:r>
      <w:hyperlink r:id="rId975">
        <w:r>
          <w:rPr>
            <w:color w:val="1155CC"/>
            <w:u w:val="single"/>
          </w:rPr>
          <w:t>10.1016/j.matt.2026.102770</w:t>
        </w:r>
      </w:hyperlink>
    </w:p>
    <w:p>
      <w:pPr>
        <w:spacing w:before="0" w:after="120"/>
      </w:pPr>
      <w:r>
        <w:rPr>
          <w:b/>
        </w:rPr>
        <w:t xml:space="preserve">Notes: </w:t>
      </w:r>
      <w:r>
        <w:t>abstract_source=rss_cell</w:t>
      </w:r>
    </w:p>
    <w:p>
      <w:pPr>
        <w:spacing w:before="0" w:after="80" w:lineRule="auto" w:line="276"/>
      </w:pPr>
      <w:r>
        <w:rPr>
          <w:b/>
        </w:rPr>
        <w:t xml:space="preserve">摘要（ZH）: </w:t>
      </w:r>
      <w:r>
        <w:t>受跳蚤弹性蛋白垫的定向分层结构启发，提出了一种结合共价桥接和纤维流剪切的策略，以协同增强摩擦电气凝胶在极端应变下的弹性和抗疲劳性。所得的摩擦电裂纹传感器表现出超快响应和稳定的信号输出。这一策略为下一代传感器的高性能气凝胶材料的设计和制造提供了新的见解。</w:t>
      </w:r>
    </w:p>
    <w:p>
      <w:pPr>
        <w:spacing w:before="0" w:after="200" w:lineRule="auto" w:line="276"/>
      </w:pPr>
      <w:r>
        <w:rPr>
          <w:b/>
        </w:rPr>
        <w:t xml:space="preserve">Abstract (EN): </w:t>
      </w:r>
      <w:r>
        <w:t>Inspired by the oriented hierarchical structure of flea resilin pads, a strategy combining covalent bridging and fiber-flow shearing is proposed to synergistically enhance the elasticity and fatigue resistance of triboelectric aerogels under extreme strain. The resulting triboelectric crack sensor exhibits ultrafast response and stable signal output. This strategy provides new insights into the design and fabrication of high-performance aerogel materials for next-generation sensors.</w:t>
      </w:r>
    </w:p>
    <w:p>
      <w:pPr>
        <w:spacing w:before="120" w:after="120"/>
      </w:pPr>
      <w:r>
        <w:rPr>
          <w:sz w:val="18"/>
        </w:rPr>
        <w:t>——————————————————————————————————————————————————————————————————————</w:t>
      </w:r>
    </w:p>
    <w:p>
      <w:pPr>
        <w:spacing w:before="160" w:after="40" w:line="240" w:lineRule="auto"/>
      </w:pPr>
      <w:r>
        <w:rPr>
          <w:b/>
        </w:rPr>
        <w:t xml:space="preserve">[417] </w:t>
      </w:r>
      <w:hyperlink r:id="rId976">
        <w:r>
          <w:rPr>
            <w:color w:val="1155CC"/>
            <w:u w:val="single"/>
          </w:rPr>
          <w:t>路易斯·E·布鲁斯（1943–2026）</w:t>
        </w:r>
      </w:hyperlink>
    </w:p>
    <w:p>
      <w:pPr>
        <w:spacing w:before="0" w:after="80"/>
      </w:pPr>
      <w:r>
        <w:rPr>
          <w:i/>
          <w:sz w:val="20"/>
        </w:rPr>
        <w:t>EN: Louis E. Brus (1943–2026)</w:t>
      </w:r>
    </w:p>
    <w:p>
      <w:pPr>
        <w:spacing w:before="0" w:after="120"/>
      </w:pPr>
      <w:r>
        <w:rPr>
          <w:b/>
        </w:rPr>
        <w:t xml:space="preserve">Source: </w:t>
      </w:r>
      <w:r>
        <w:t>Nature Nanotechnology</w:t>
      </w:r>
      <w:r>
        <w:t xml:space="preserve">    </w:t>
      </w:r>
      <w:r>
        <w:rPr>
          <w:b/>
        </w:rPr>
        <w:t xml:space="preserve">Pub date: </w:t>
      </w:r>
      <w:r>
        <w:t>2026-04-16 00:00:00+00:00</w:t>
      </w:r>
      <w:r>
        <w:t xml:space="preserve">    </w:t>
      </w:r>
      <w:r>
        <w:rPr>
          <w:b/>
        </w:rPr>
        <w:t xml:space="preserve">DOI: </w:t>
      </w:r>
      <w:hyperlink r:id="rId977">
        <w:r>
          <w:rPr>
            <w:color w:val="1155CC"/>
            <w:u w:val="single"/>
          </w:rPr>
          <w:t>10.1038/s41565-026-02157-6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978">
        <w:r>
          <w:rPr>
            <w:color w:val="1155CC"/>
            <w:u w:val="single"/>
          </w:rPr>
          <w:t>‘科学需要捍卫’：创纪录数量的研究人员在美国中期选举中参选</w:t>
        </w:r>
      </w:hyperlink>
    </w:p>
    <w:p>
      <w:pPr>
        <w:spacing w:before="0" w:after="80"/>
      </w:pPr>
      <w:r>
        <w:rPr>
          <w:i/>
          <w:sz w:val="20"/>
        </w:rPr>
        <w:t>EN: ‘Science needs defending’: record number of researchers run for office in US mid-terms</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979">
        <w:r>
          <w:rPr>
            <w:color w:val="1155CC"/>
            <w:u w:val="single"/>
          </w:rPr>
          <w:t>10.1038/d41586-026-01134-2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980">
        <w:r>
          <w:rPr>
            <w:color w:val="1155CC"/>
            <w:u w:val="single"/>
          </w:rPr>
          <w:t>通过生物离子通道启发的膜实现多功能重金属离子分离</w:t>
        </w:r>
      </w:hyperlink>
    </w:p>
    <w:p>
      <w:pPr>
        <w:spacing w:before="0" w:after="80"/>
      </w:pPr>
      <w:r>
        <w:rPr>
          <w:i/>
          <w:sz w:val="20"/>
        </w:rPr>
        <w:t>EN: Versatile heavy metal ion separation via biological ion-channel-inspired membranes</w:t>
      </w:r>
    </w:p>
    <w:p>
      <w:pPr>
        <w:spacing w:before="0" w:after="120"/>
      </w:pPr>
      <w:r>
        <w:rPr>
          <w:b/>
        </w:rPr>
        <w:t xml:space="preserve">Source: </w:t>
      </w:r>
      <w:r>
        <w:t>Nature Nanotechnology</w:t>
      </w:r>
      <w:r>
        <w:t xml:space="preserve">    </w:t>
      </w:r>
      <w:r>
        <w:rPr>
          <w:b/>
        </w:rPr>
        <w:t xml:space="preserve">Pub date: </w:t>
      </w:r>
      <w:r>
        <w:t>2026-04-16 00:00:00+00:00</w:t>
      </w:r>
      <w:r>
        <w:t xml:space="preserve">    </w:t>
      </w:r>
      <w:r>
        <w:rPr>
          <w:b/>
        </w:rPr>
        <w:t xml:space="preserve">DOI: </w:t>
      </w:r>
      <w:hyperlink r:id="rId981">
        <w:r>
          <w:rPr>
            <w:color w:val="1155CC"/>
            <w:u w:val="single"/>
          </w:rPr>
          <w:t>10.1038/s41565-026-02147-8</w:t>
        </w:r>
      </w:hyperlink>
    </w:p>
    <w:p>
      <w:pPr>
        <w:spacing w:before="0" w:after="120"/>
      </w:pPr>
      <w:r>
        <w:rPr>
          <w:b/>
        </w:rPr>
        <w:t xml:space="preserve">Notes: </w:t>
      </w:r>
      <w:r>
        <w:t>abstract_source=nature_html</w:t>
      </w:r>
    </w:p>
    <w:p>
      <w:pPr>
        <w:spacing w:before="0" w:after="80" w:lineRule="auto" w:line="276"/>
      </w:pPr>
      <w:r>
        <w:rPr>
          <w:b/>
        </w:rPr>
        <w:t xml:space="preserve">摘要（ZH）: </w:t>
      </w:r>
      <w:r>
        <w:t>溶剂萃取和吸附方法主要用于通过选择性结合提取重金属离子。然而，这些方法需要过多的化学品使用并导致环境问题。膜分离方法避免了这些问题，但与重金属离子的兼容性较差。在自然界中，生物CaV通道通过利用单列离子之间的排斥相互作用和异常摩尔分数效应，允许选择性结合的离子（Ca2+）快速且选择性地渗透。在此，受这些通道的启发，我们展示了一种通用策略，可以将吸附材料转化为用于重金属离子分离的分离膜。膜由可以单列吸附目标离子的通道组成。使用铀吸附</w:t>
      </w:r>
    </w:p>
    <w:p>
      <w:pPr>
        <w:spacing w:before="0" w:after="200" w:lineRule="auto" w:line="276"/>
      </w:pPr>
      <w:r>
        <w:rPr>
          <w:b/>
        </w:rPr>
        <w:t xml:space="preserve">Abstract (EN): </w:t>
      </w:r>
      <w:r>
        <w:t>Solvent extraction and adsorption methods are predominantly used to extract heavy metal ions by binding them selectively. However, these methods require excessive chemical use and cause environmental problems. The membrane separation method avoids these problems but remains poorly compatible with heavy metal ions. In nature, biological CaV channels allow selectively bound ions (Ca2+) to rapidly and selectively permeate by exploiting the repulsive interactions between single-file ions and the anomalous mole fraction effect. Here, inspired by these channels, we demonstrate a general strategy that can transform adsorptive materials into separation membranes for heavy metal ion separation. The membranes consist of channels that can adsorb target ions in a single file. Using uranium-adsorption channels, uranium separation via the membrane was achieved, demonstrating a uranium/vanadium selectivity of 734 in real seawater and a throughput far exceeding that of previous materials. This strategy is further generalized to the separation of rare earth metals, copper and gold. Moreover, this strategy unifies the adsorption and membrane separation methods, and can also transform separation membranes to adsorbents, showing notably enhanced capacity and selectivity by rejecting the entering of competing ions, reducing the environmental impact of the adsorption method.</w:t>
      </w:r>
    </w:p>
    <w:p>
      <w:pPr>
        <w:spacing w:before="120" w:after="120"/>
      </w:pPr>
      <w:r>
        <w:rPr>
          <w:sz w:val="18"/>
        </w:rPr>
        <w:t>——————————————————————————————————————————————————————————————————————</w:t>
      </w:r>
    </w:p>
    <w:p>
      <w:pPr>
        <w:spacing w:before="160" w:after="40" w:line="240" w:lineRule="auto"/>
      </w:pPr>
      <w:r>
        <w:rPr>
          <w:b/>
        </w:rPr>
        <w:t xml:space="preserve">[420] </w:t>
      </w:r>
      <w:hyperlink r:id="rId982">
        <w:r>
          <w:rPr>
            <w:color w:val="1155CC"/>
            <w:u w:val="single"/>
          </w:rPr>
          <w:t>单分子FRET实现α-突触核蛋白丝氨酸特异性磷酸化的检测</w:t>
        </w:r>
      </w:hyperlink>
    </w:p>
    <w:p>
      <w:pPr>
        <w:spacing w:before="0" w:after="80"/>
      </w:pPr>
      <w:r>
        <w:rPr>
          <w:i/>
          <w:sz w:val="20"/>
        </w:rPr>
        <w:t>EN: Single-molecule FRET enables the detection of site-specific α-synuclein serine phosphorylation</w:t>
      </w:r>
    </w:p>
    <w:p>
      <w:pPr>
        <w:spacing w:before="0" w:after="120"/>
      </w:pPr>
      <w:r>
        <w:rPr>
          <w:b/>
        </w:rPr>
        <w:t xml:space="preserve">Source: </w:t>
      </w:r>
      <w:r>
        <w:t>Chem</w:t>
      </w:r>
      <w:r>
        <w:t xml:space="preserve">    </w:t>
      </w:r>
      <w:r>
        <w:rPr>
          <w:b/>
        </w:rPr>
        <w:t xml:space="preserve">Pub date: </w:t>
      </w:r>
      <w:r>
        <w:t>2026-04-16 00:00:00+00:00</w:t>
      </w:r>
      <w:r>
        <w:t xml:space="preserve">    </w:t>
      </w:r>
      <w:r>
        <w:rPr>
          <w:b/>
        </w:rPr>
        <w:t xml:space="preserve">DOI: </w:t>
      </w:r>
      <w:hyperlink r:id="rId983">
        <w:r>
          <w:rPr>
            <w:color w:val="1155CC"/>
            <w:u w:val="single"/>
          </w:rPr>
          <w:t>10.1016/j.chempr.2026.103030</w:t>
        </w:r>
      </w:hyperlink>
    </w:p>
    <w:p>
      <w:pPr>
        <w:spacing w:before="0" w:after="120"/>
      </w:pPr>
      <w:r>
        <w:rPr>
          <w:b/>
        </w:rPr>
        <w:t xml:space="preserve">Notes: </w:t>
      </w:r>
      <w:r>
        <w:t>abstract_source=rss_cell</w:t>
      </w:r>
    </w:p>
    <w:p>
      <w:pPr>
        <w:spacing w:before="0" w:after="80" w:lineRule="auto" w:line="276"/>
      </w:pPr>
      <w:r>
        <w:rPr>
          <w:b/>
        </w:rPr>
        <w:t xml:space="preserve">摘要（ZH）: </w:t>
      </w:r>
      <w:r>
        <w:t>单分子荧光共振能量转移（smFRET）结合磷酸化选择性标记能够实现蛋白质磷酸化的位点特异性检测。以α-突触核蛋白为模型系统，这种方法以皮摩尔灵敏度解析单个蛋白形式中的磷酸化模式，为分析异质性翻译后修饰提供了平台。</w:t>
      </w:r>
    </w:p>
    <w:p>
      <w:pPr>
        <w:spacing w:before="0" w:after="200" w:lineRule="auto" w:line="276"/>
      </w:pPr>
      <w:r>
        <w:rPr>
          <w:b/>
        </w:rPr>
        <w:t xml:space="preserve">Abstract (EN): </w:t>
      </w:r>
      <w:r>
        <w:t>Single-molecule fluorescence resonance energy transfer (smFRET) combined with phosphorylation-selective labeling enables site-specific detection of protein phosphorylation. Using α-synuclein as a model system, this approach resolves phosphorylation patterns within individual proteoforms with picomolar sensitivity, providing a platform for analyzing heterogeneous posttranslational modifications.</w:t>
      </w:r>
    </w:p>
    <w:p>
      <w:pPr>
        <w:spacing w:before="120" w:after="120"/>
      </w:pPr>
      <w:r>
        <w:rPr>
          <w:sz w:val="18"/>
        </w:rPr>
        <w:t>——————————————————————————————————————————————————————————————————————</w:t>
      </w:r>
    </w:p>
    <w:p>
      <w:pPr>
        <w:spacing w:before="160" w:after="40" w:line="240" w:lineRule="auto"/>
      </w:pPr>
      <w:r>
        <w:rPr>
          <w:b/>
        </w:rPr>
        <w:t xml:space="preserve">[421] </w:t>
      </w:r>
      <w:hyperlink r:id="rId984">
        <w:r>
          <w:rPr>
            <w:color w:val="1155CC"/>
            <w:u w:val="single"/>
          </w:rPr>
          <w:t>扩展金属笼后组装修饰的领域</w:t>
        </w:r>
      </w:hyperlink>
    </w:p>
    <w:p>
      <w:pPr>
        <w:spacing w:before="0" w:after="80"/>
      </w:pPr>
      <w:r>
        <w:rPr>
          <w:i/>
          <w:sz w:val="20"/>
        </w:rPr>
        <w:t>EN: Expanding the territory to post-assembly modification of metallacages</w:t>
      </w:r>
    </w:p>
    <w:p>
      <w:pPr>
        <w:spacing w:before="0" w:after="120"/>
      </w:pPr>
      <w:r>
        <w:rPr>
          <w:b/>
        </w:rPr>
        <w:t xml:space="preserve">Source: </w:t>
      </w:r>
      <w:r>
        <w:t>Chem</w:t>
      </w:r>
      <w:r>
        <w:t xml:space="preserve">    </w:t>
      </w:r>
      <w:r>
        <w:rPr>
          <w:b/>
        </w:rPr>
        <w:t xml:space="preserve">Pub date: </w:t>
      </w:r>
      <w:r>
        <w:t>2026-04-16 00:00:00+00:00</w:t>
      </w:r>
      <w:r>
        <w:t xml:space="preserve">    </w:t>
      </w:r>
      <w:r>
        <w:rPr>
          <w:b/>
        </w:rPr>
        <w:t xml:space="preserve">DOI: </w:t>
      </w:r>
      <w:hyperlink r:id="rId985">
        <w:r>
          <w:rPr>
            <w:color w:val="1155CC"/>
            <w:u w:val="single"/>
          </w:rPr>
          <w:t>10.1016/j.chempr.2026.103061</w:t>
        </w:r>
      </w:hyperlink>
    </w:p>
    <w:p>
      <w:pPr>
        <w:spacing w:before="0" w:after="120"/>
      </w:pPr>
      <w:r>
        <w:rPr>
          <w:b/>
        </w:rPr>
        <w:t xml:space="preserve">Notes: </w:t>
      </w:r>
      <w:r>
        <w:t>abstract_source=rss_cell</w:t>
      </w:r>
    </w:p>
    <w:p>
      <w:pPr>
        <w:spacing w:before="0" w:after="80" w:lineRule="auto" w:line="276"/>
      </w:pPr>
      <w:r>
        <w:rPr>
          <w:b/>
        </w:rPr>
        <w:t xml:space="preserve">摘要（ZH）: </w:t>
      </w:r>
      <w:r>
        <w:t>金属笼的功能化是释放其在生物医学应用中潜力的关键前提。现在，Moreno-Alcántar、Casini及其同事在《Cell Reports Physical Science》上报告了一种全面的策略，使得通过酰胺偶联和点击化学对Pt(II)笼进行高效的后组装修饰（PAM）以用于体内应用。这一策略扩大了基于金属笼的药物递送、成像和超分子放射治疗的范围。</w:t>
      </w:r>
    </w:p>
    <w:p>
      <w:pPr>
        <w:spacing w:before="0" w:after="200" w:lineRule="auto" w:line="276"/>
      </w:pPr>
      <w:r>
        <w:rPr>
          <w:b/>
        </w:rPr>
        <w:t xml:space="preserve">Abstract (EN): </w:t>
      </w:r>
      <w:r>
        <w:t>The functionalization of metallacages represents a pivotal prerequisite for unlocking their potential in biomedical applications. Now, Moreno-Alcántar, Casini, and co-workers report in Cell Reports Physical Science a comprehensive strategy enabling the efficient post-assembly modification (PAM) of Pt(II) cages via amide coupling and click chemistry for in vivo use. This strategy expands the scope of metallacage-based drug delivery, imaging, and supramolecular radiotheranostics.</w:t>
      </w:r>
    </w:p>
    <w:p>
      <w:pPr>
        <w:spacing w:before="120" w:after="120"/>
      </w:pPr>
      <w:r>
        <w:rPr>
          <w:sz w:val="18"/>
        </w:rPr>
        <w:t>——————————————————————————————————————————————————————————————————————</w:t>
      </w:r>
    </w:p>
    <w:p>
      <w:pPr>
        <w:spacing w:before="160" w:after="40" w:line="240" w:lineRule="auto"/>
      </w:pPr>
      <w:r>
        <w:rPr>
          <w:b/>
        </w:rPr>
        <w:t xml:space="preserve">[422] </w:t>
      </w:r>
      <w:hyperlink r:id="rId986">
        <w:r>
          <w:rPr>
            <w:color w:val="1155CC"/>
            <w:u w:val="single"/>
          </w:rPr>
          <w:t>基于例外点的电子传感器的未来</w:t>
        </w:r>
      </w:hyperlink>
    </w:p>
    <w:p>
      <w:pPr>
        <w:spacing w:before="0" w:after="80"/>
      </w:pPr>
      <w:r>
        <w:rPr>
          <w:i/>
          <w:sz w:val="20"/>
        </w:rPr>
        <w:t>EN: The future of electronic sensors based on exceptional points</w:t>
      </w:r>
    </w:p>
    <w:p>
      <w:pPr>
        <w:spacing w:before="0" w:after="120"/>
      </w:pPr>
      <w:r>
        <w:rPr>
          <w:b/>
        </w:rPr>
        <w:t xml:space="preserve">Source: </w:t>
      </w:r>
      <w:r>
        <w:t>Nature Electronics</w:t>
      </w:r>
      <w:r>
        <w:t xml:space="preserve">    </w:t>
      </w:r>
      <w:r>
        <w:rPr>
          <w:b/>
        </w:rPr>
        <w:t xml:space="preserve">Pub date: </w:t>
      </w:r>
      <w:r>
        <w:t>2026-04-16 00:00:00+00:00</w:t>
      </w:r>
      <w:r>
        <w:t xml:space="preserve">    </w:t>
      </w:r>
      <w:r>
        <w:rPr>
          <w:b/>
        </w:rPr>
        <w:t xml:space="preserve">DOI: </w:t>
      </w:r>
      <w:hyperlink r:id="rId987">
        <w:r>
          <w:rPr>
            <w:color w:val="1155CC"/>
            <w:u w:val="single"/>
          </w:rPr>
          <w:t>10.1038/s41928-026-01609-0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988">
        <w:r>
          <w:rPr>
            <w:color w:val="1155CC"/>
            <w:u w:val="single"/>
          </w:rPr>
          <w:t>当公平行事时，LLM代理克服了机器惩罚，但在自私或利他行事时则没有</w:t>
        </w:r>
      </w:hyperlink>
    </w:p>
    <w:p>
      <w:pPr>
        <w:spacing w:before="0" w:after="80"/>
      </w:pPr>
      <w:r>
        <w:rPr>
          <w:i/>
          <w:sz w:val="20"/>
        </w:rPr>
        <w:t>EN: LLM Agents Overcome the Machine Penalty When Acting Fairly but Not When Acting Selfishly or Altruistically</w:t>
      </w:r>
    </w:p>
    <w:p>
      <w:pPr>
        <w:spacing w:before="0" w:after="120"/>
      </w:pPr>
      <w:r>
        <w:rPr>
          <w:b/>
        </w:rPr>
        <w:t xml:space="preserve">Source: </w:t>
      </w:r>
      <w:r>
        <w:t>National Science Review Advance Access</w:t>
      </w:r>
      <w:r>
        <w:t xml:space="preserve">    </w:t>
      </w:r>
      <w:r>
        <w:rPr>
          <w:b/>
        </w:rPr>
        <w:t xml:space="preserve">Pub date: </w:t>
      </w:r>
      <w:r>
        <w:t>2026-04-16 00:00:00+00:00</w:t>
      </w:r>
      <w:r>
        <w:t xml:space="preserve">    </w:t>
      </w:r>
      <w:r>
        <w:rPr>
          <w:b/>
        </w:rPr>
        <w:t xml:space="preserve">DOI: </w:t>
      </w:r>
      <w:hyperlink r:id="rId989">
        <w:r>
          <w:rPr>
            <w:color w:val="1155CC"/>
            <w:u w:val="single"/>
          </w:rPr>
          <w:t>10.1093/nsr/nwag223</w:t>
        </w:r>
      </w:hyperlink>
    </w:p>
    <w:p>
      <w:pPr>
        <w:spacing w:before="0" w:after="120"/>
      </w:pPr>
      <w:r>
        <w:rPr>
          <w:b/>
        </w:rPr>
        <w:t xml:space="preserve">Notes: </w:t>
      </w:r>
      <w:r>
        <w:t>abstract_source=rss_oup</w:t>
      </w:r>
    </w:p>
    <w:p>
      <w:pPr>
        <w:spacing w:before="0" w:after="80" w:lineRule="auto" w:line="276"/>
      </w:pPr>
      <w:r>
        <w:rPr>
          <w:b/>
        </w:rPr>
        <w:t xml:space="preserve">摘要（ZH）: </w:t>
      </w:r>
      <w:r>
        <w:t>尽管技术进步迅速，有效的人机合作仍然是一个重大挑战。人类往往比与其他人类合作更少与机器合作，这种现象被称为机器惩罚。在这里，我们展示了由大型语言模型驱动的人工智能（AI）代理可以在具有沟通的社会困境游戏中克服这种惩罚。在一个预注册的实验中，我们部署了1,152名参与者，展示了三种不同人格的AI代理：自私、合作和公平。然而，只有公平的代理能够以与人类-人类互动相当的速度引发人类合作。分析显示，公平代理与人类参与者相似，偶尔会打破游戏前的合作承诺，但仍然有效地建立合作作为一种社会规范。</w:t>
      </w:r>
    </w:p>
    <w:p>
      <w:pPr>
        <w:spacing w:before="0" w:after="200" w:lineRule="auto" w:line="276"/>
      </w:pPr>
      <w:r>
        <w:rPr>
          <w:b/>
        </w:rPr>
        <w:t xml:space="preserve">Abstract (EN): </w:t>
      </w:r>
      <w:r>
        <w:t>Despite rapid technological progress, effective human-machine cooperation remains a significant challenge. Humans tend to cooperate less with machines than with fellow humans, a phenomenon known as the machine penalty. Here, we show that artificial intelligence (AI) agents powered by large language models can overcome this penalty in social dilemma games with communication. In a pre-registered experiment with 1,152 participants, we deploy AI agents exhibiting three distinct personas: selfish, cooperative, and fair. However, only fair agents elicit human cooperation at rates comparable to human-human interactions. Analysis reveals that fair agents, similar to human participants, occasionally break pre-game cooperation promises, but nonetheless effectively establish cooperation as a social norm. These results challenge the conventional wisdom of machines as altruistic assistants or rational actors. Instead, our study highlights the importance of AI agents reflecting the nuanced complexity of human social behaviors—imperfect yet driven by deeper social cognitive processes.</w:t>
      </w:r>
    </w:p>
    <w:p>
      <w:pPr>
        <w:spacing w:before="120" w:after="120"/>
      </w:pPr>
      <w:r>
        <w:rPr>
          <w:sz w:val="18"/>
        </w:rPr>
        <w:t>——————————————————————————————————————————————————————————————————————</w:t>
      </w:r>
    </w:p>
    <w:p>
      <w:pPr>
        <w:spacing w:before="160" w:after="40" w:line="240" w:lineRule="auto"/>
      </w:pPr>
      <w:r>
        <w:rPr>
          <w:b/>
        </w:rPr>
        <w:t xml:space="preserve">[424] </w:t>
      </w:r>
      <w:hyperlink r:id="rId990">
        <w:r>
          <w:rPr>
            <w:color w:val="1155CC"/>
            <w:u w:val="single"/>
          </w:rPr>
          <w:t>一对聚醚环氧化物水解酶系统实现可塑酶用于连续环化级联反应</w:t>
        </w:r>
      </w:hyperlink>
    </w:p>
    <w:p>
      <w:pPr>
        <w:spacing w:before="0" w:after="80"/>
      </w:pPr>
      <w:r>
        <w:rPr>
          <w:i/>
          <w:sz w:val="20"/>
        </w:rPr>
        <w:t>EN: A system of paired polyether epoxide hydrolases enables a mouldable enzyme for consecutive ring cyclization cascades</w:t>
      </w:r>
    </w:p>
    <w:p>
      <w:pPr>
        <w:spacing w:before="0" w:after="120"/>
      </w:pPr>
      <w:r>
        <w:rPr>
          <w:b/>
        </w:rPr>
        <w:t xml:space="preserve">Source: </w:t>
      </w:r>
      <w:r>
        <w:t>Nature Chemistry</w:t>
      </w:r>
      <w:r>
        <w:t xml:space="preserve">    </w:t>
      </w:r>
      <w:r>
        <w:rPr>
          <w:b/>
        </w:rPr>
        <w:t xml:space="preserve">Pub date: </w:t>
      </w:r>
      <w:r>
        <w:t>2026-04-16 00:00:00+00:00</w:t>
      </w:r>
      <w:r>
        <w:t xml:space="preserve">    </w:t>
      </w:r>
      <w:r>
        <w:rPr>
          <w:b/>
        </w:rPr>
        <w:t xml:space="preserve">DOI: </w:t>
      </w:r>
      <w:hyperlink r:id="rId991">
        <w:r>
          <w:rPr>
            <w:color w:val="1155CC"/>
            <w:u w:val="single"/>
          </w:rPr>
          <w:t>10.1038/s41557-026-02122-9</w:t>
        </w:r>
      </w:hyperlink>
    </w:p>
    <w:p>
      <w:pPr>
        <w:spacing w:before="0" w:after="120"/>
      </w:pPr>
      <w:r>
        <w:rPr>
          <w:b/>
        </w:rPr>
        <w:t xml:space="preserve">Notes: </w:t>
      </w:r>
      <w:r>
        <w:t>abstract_source=nature_html</w:t>
      </w:r>
    </w:p>
    <w:p>
      <w:pPr>
        <w:spacing w:before="0" w:after="80" w:lineRule="auto" w:line="276"/>
      </w:pPr>
      <w:r>
        <w:rPr>
          <w:b/>
        </w:rPr>
        <w:t xml:space="preserve">摘要（ZH）: </w:t>
      </w:r>
      <w:r>
        <w:t>离子载体聚醚是多酮类天然产物的一个主要类别，其分子骨架特征是具有四氢呋喃和四氢吡喃环的排列。然而，其生物合成的精确机制仍不清楚，据信是通过顺序的环氧化物开环和醚环化级联反应生成两个以上的醚环。在此，我们探讨了莫能菌素的生物合成，并揭示了聚醚环氧化物水解酶（MonBI·MonBII）的异二聚体组装的不可或缺性，其中MonBII提供唯一的活性位点。结构分析表明，MonBII具有异常大的腔体，使其能够连续环化含γ-羟基三环氧化物基团的底物。这个腔体是由显著的灵活性形成的。</w:t>
      </w:r>
    </w:p>
    <w:p>
      <w:pPr>
        <w:spacing w:before="0" w:after="200" w:lineRule="auto" w:line="276"/>
      </w:pPr>
      <w:r>
        <w:rPr>
          <w:b/>
        </w:rPr>
        <w:t xml:space="preserve">Abstract (EN): </w:t>
      </w:r>
      <w:r>
        <w:t>Ionophore polyethers, a major class of polyketide-derived natural products, are characterized by molecular skeletons featuring arrays of tetrahydrofuran and tetrahydropyran rings. However, the precise mechanism underlying their biosynthesis, suggested to occur by a sequential epoxide-opening and ether cyclization cascade to generate more than two ether rings, remains elusive. Here we explore the biosynthesis of monensin and reveal the indispensability of a heterodimeric assembly of polyether epoxide hydrolases (MonBI·MonBII), with MonBII providing the sole active site. Structural analysis demonstrated that MonBII harbours an unusually large cavity, enabling the consecutive cyclization of substrates containing γ-hydroxy triepoxide moieties. This cavity is formed by the remarkable flexibility of MonBII, which undergoes a dramatic structural transition from a predominantly disordered state to its active folded conformation exclusively in the presence of MonBI. Given the widespread conservation of MonBI- and MonBII-type enzymes, this study emphasizes a unified pairing mechanism, wherein one protomer functions as a molecular mould, facilitating the folding process and stabilizing the structure of its partner for catalysis.The alt text for this image may have been generated using AI.</w:t>
      </w:r>
    </w:p>
    <w:p>
      <w:pPr>
        <w:spacing w:before="120" w:after="120"/>
      </w:pPr>
      <w:r>
        <w:rPr>
          <w:sz w:val="18"/>
        </w:rPr>
        <w:t>——————————————————————————————————————————————————————————————————————</w:t>
      </w:r>
    </w:p>
    <w:p>
      <w:pPr>
        <w:spacing w:before="160" w:after="40" w:line="240" w:lineRule="auto"/>
      </w:pPr>
      <w:r>
        <w:rPr>
          <w:b/>
        </w:rPr>
        <w:t xml:space="preserve">[425] </w:t>
      </w:r>
      <w:hyperlink r:id="rId992">
        <w:r>
          <w:rPr>
            <w:color w:val="1155CC"/>
            <w:u w:val="single"/>
          </w:rPr>
          <w:t>坟墓揭示了瘟疫的不平等代价</w:t>
        </w:r>
      </w:hyperlink>
    </w:p>
    <w:p>
      <w:pPr>
        <w:spacing w:before="0" w:after="80"/>
      </w:pPr>
      <w:r>
        <w:rPr>
          <w:i/>
          <w:sz w:val="20"/>
        </w:rPr>
        <w:t>EN: Graves reveal plague’s inequitable toll</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993">
        <w:r>
          <w:rPr>
            <w:color w:val="1155CC"/>
            <w:u w:val="single"/>
          </w:rPr>
          <w:t>10.1038/d41586-026-01210-7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994">
        <w:r>
          <w:rPr>
            <w:color w:val="1155CC"/>
            <w:u w:val="single"/>
          </w:rPr>
          <w:t>跨维度整合地球动力学：地球科学的下一个主题</w:t>
        </w:r>
      </w:hyperlink>
    </w:p>
    <w:p>
      <w:pPr>
        <w:spacing w:before="0" w:after="80"/>
      </w:pPr>
      <w:r>
        <w:rPr>
          <w:i/>
          <w:sz w:val="20"/>
        </w:rPr>
        <w:t>EN: Integrating Earth Dynamics Across Dimensions: The Next Main Theme of Earth science</w:t>
      </w:r>
    </w:p>
    <w:p>
      <w:pPr>
        <w:spacing w:before="0" w:after="120"/>
      </w:pPr>
      <w:r>
        <w:rPr>
          <w:b/>
        </w:rPr>
        <w:t xml:space="preserve">Source: </w:t>
      </w:r>
      <w:r>
        <w:t>National Science Review Advance Access</w:t>
      </w:r>
      <w:r>
        <w:t xml:space="preserve">    </w:t>
      </w:r>
      <w:r>
        <w:rPr>
          <w:b/>
        </w:rPr>
        <w:t xml:space="preserve">Pub date: </w:t>
      </w:r>
      <w:r>
        <w:t>2026-04-16 00:00:00+00:00</w:t>
      </w:r>
      <w:r>
        <w:t xml:space="preserve">    </w:t>
      </w:r>
      <w:r>
        <w:rPr>
          <w:b/>
        </w:rPr>
        <w:t xml:space="preserve">DOI: </w:t>
      </w:r>
      <w:hyperlink r:id="rId995">
        <w:r>
          <w:rPr>
            <w:color w:val="1155CC"/>
            <w:u w:val="single"/>
          </w:rPr>
          <w:t>10.1093/nsr/nwag226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996">
        <w:r>
          <w:rPr>
            <w:color w:val="1155CC"/>
            <w:u w:val="single"/>
          </w:rPr>
          <w:t>通过整合胆固醇调节原位增强抗肿瘤纳米疫苗的功效</w:t>
        </w:r>
      </w:hyperlink>
    </w:p>
    <w:p>
      <w:pPr>
        <w:spacing w:before="0" w:after="80"/>
      </w:pPr>
      <w:r>
        <w:rPr>
          <w:i/>
          <w:sz w:val="20"/>
        </w:rPr>
        <w:t>EN: Enhancing antitumour nanovaccine efficacy via integrated cholesterol modulation in situ</w:t>
      </w:r>
    </w:p>
    <w:p>
      <w:pPr>
        <w:spacing w:before="0" w:after="120"/>
      </w:pPr>
      <w:r>
        <w:rPr>
          <w:b/>
        </w:rPr>
        <w:t xml:space="preserve">Source: </w:t>
      </w:r>
      <w:r>
        <w:t>Nature Nanotechnology</w:t>
      </w:r>
      <w:r>
        <w:t xml:space="preserve">    </w:t>
      </w:r>
      <w:r>
        <w:rPr>
          <w:b/>
        </w:rPr>
        <w:t xml:space="preserve">Pub date: </w:t>
      </w:r>
      <w:r>
        <w:t>2026-04-16 00:00:00+00:00</w:t>
      </w:r>
      <w:r>
        <w:t xml:space="preserve">    </w:t>
      </w:r>
      <w:r>
        <w:rPr>
          <w:b/>
        </w:rPr>
        <w:t xml:space="preserve">DOI: </w:t>
      </w:r>
      <w:hyperlink r:id="rId997">
        <w:r>
          <w:rPr>
            <w:color w:val="1155CC"/>
            <w:u w:val="single"/>
          </w:rPr>
          <w:t>10.1038/s41565-026-02153-w</w:t>
        </w:r>
      </w:hyperlink>
    </w:p>
    <w:p>
      <w:pPr>
        <w:spacing w:before="0" w:after="120"/>
      </w:pPr>
      <w:r>
        <w:rPr>
          <w:b/>
        </w:rPr>
        <w:t xml:space="preserve">Notes: </w:t>
      </w:r>
      <w:r>
        <w:t>abstract_source=nature_html</w:t>
      </w:r>
    </w:p>
    <w:p>
      <w:pPr>
        <w:spacing w:before="0" w:after="80" w:lineRule="auto" w:line="276"/>
      </w:pPr>
      <w:r>
        <w:rPr>
          <w:b/>
        </w:rPr>
        <w:t xml:space="preserve">摘要（ZH）: </w:t>
      </w:r>
      <w:r>
        <w:t>抗原呈递是宿主对癌症疫苗免疫反应的核心组成部分；然而，抗原呈递细胞往往未能促进特定T细胞的足够增殖，从而限制了其功效。本研究表明，操控树突状细胞（DC）膜中的胆固醇水平可以增强抗原呈递能力。基于这一发现，我们开发了一种膜胆固醇耗竭纳米疫苗，旨在将抗原递送至DC并同时减少膜胆固醇。直接剥夺膜胆固醇增强了DC与T细胞之间的接触频率，并重塑肿瘤免疫微环境，以抑制多种肿瘤模型中的肿瘤发生和进展。从机制上讲，设计的纳米</w:t>
      </w:r>
    </w:p>
    <w:p>
      <w:pPr>
        <w:spacing w:before="0" w:after="200" w:lineRule="auto" w:line="276"/>
      </w:pPr>
      <w:r>
        <w:rPr>
          <w:b/>
        </w:rPr>
        <w:t xml:space="preserve">Abstract (EN): </w:t>
      </w:r>
      <w:r>
        <w:t>Antigen presentation is a central component of host immune responses to cancer vaccinations; however, antigen-presenting cells often fail to promote sufficient proliferation of specific T cells, thereby restricting their efficacy. This study shows that manipulating the cholesterol levels in dendritic cell (DC) membranes could enhance the antigen-presenting capability. On the basis of this finding, we developed a membrane-cholesterol-depleting nanovaccine designed to deliver antigens to DCs and simultaneously reduce the membrane cholesterol. The direct deprivation of membrane cholesterol enhanced the contact frequency between DCs and T cells and reshaped the tumour immune microenvironment to inhibit tumourigenesis and progression in multiple tumour models. Mechanistically, the designed nanovaccines promoted immune synapse formation with CD8+ T cells and augmented T cell activation and proliferation by remodelling the cholesterol microdomains in the DC membrane and blocking efferocytosis pathways, boosting the antigen presentation capacity. The study proposes an approach to enhance the effects of vaccines by depleting cholesterol levels in antigen-presenting cell membranes.</w:t>
      </w:r>
    </w:p>
    <w:p>
      <w:pPr>
        <w:spacing w:before="120" w:after="120"/>
      </w:pPr>
      <w:r>
        <w:rPr>
          <w:sz w:val="18"/>
        </w:rPr>
        <w:t>——————————————————————————————————————————————————————————————————————</w:t>
      </w:r>
    </w:p>
    <w:p>
      <w:pPr>
        <w:spacing w:before="160" w:after="40" w:line="240" w:lineRule="auto"/>
      </w:pPr>
      <w:r>
        <w:rPr>
          <w:b/>
        </w:rPr>
        <w:t xml:space="preserve">[428] </w:t>
      </w:r>
      <w:hyperlink r:id="rId998">
        <w:r>
          <w:rPr>
            <w:color w:val="1155CC"/>
            <w:u w:val="single"/>
          </w:rPr>
          <w:t>分层淀粉样蛋白-DNA复合物编码多尺度嵌入信息安全</w:t>
        </w:r>
      </w:hyperlink>
    </w:p>
    <w:p>
      <w:pPr>
        <w:spacing w:before="0" w:after="80"/>
      </w:pPr>
      <w:r>
        <w:rPr>
          <w:i/>
          <w:sz w:val="20"/>
        </w:rPr>
        <w:t>EN: Hierarchical amyloid-DNA complex encoding multi-scale embedded information security</w:t>
      </w:r>
    </w:p>
    <w:p>
      <w:pPr>
        <w:spacing w:before="0" w:after="120"/>
      </w:pPr>
      <w:r>
        <w:rPr>
          <w:b/>
        </w:rPr>
        <w:t xml:space="preserve">Source: </w:t>
      </w:r>
      <w:r>
        <w:t>Matter</w:t>
      </w:r>
      <w:r>
        <w:t xml:space="preserve">    </w:t>
      </w:r>
      <w:r>
        <w:rPr>
          <w:b/>
        </w:rPr>
        <w:t xml:space="preserve">Pub date: </w:t>
      </w:r>
      <w:r>
        <w:t>2026-04-16 00:00:00+00:00</w:t>
      </w:r>
      <w:r>
        <w:t xml:space="preserve">    </w:t>
      </w:r>
      <w:r>
        <w:rPr>
          <w:b/>
        </w:rPr>
        <w:t xml:space="preserve">DOI: </w:t>
      </w:r>
      <w:hyperlink r:id="rId999">
        <w:r>
          <w:rPr>
            <w:color w:val="1155CC"/>
            <w:u w:val="single"/>
          </w:rPr>
          <w:t>10.1016/j.matt.2026.102774</w:t>
        </w:r>
      </w:hyperlink>
    </w:p>
    <w:p>
      <w:pPr>
        <w:spacing w:before="0" w:after="120"/>
      </w:pPr>
      <w:r>
        <w:rPr>
          <w:b/>
        </w:rPr>
        <w:t xml:space="preserve">Notes: </w:t>
      </w:r>
      <w:r>
        <w:t>abstract_source=rss_cell</w:t>
      </w:r>
    </w:p>
    <w:p>
      <w:pPr>
        <w:spacing w:before="0" w:after="80" w:lineRule="auto" w:line="276"/>
      </w:pPr>
      <w:r>
        <w:rPr>
          <w:b/>
        </w:rPr>
        <w:t xml:space="preserve">摘要（ZH）: </w:t>
      </w:r>
      <w:r>
        <w:t>传统的防伪材料通常编码易于复制的单尺度信息。为克服这一漏洞，我们引入了HIDE，这是一种透明涂层系统，将工程化的淀粉样蛋白与合成DNA结合，以在四个空间尺度上加密数据——从宏观的QR码到分子DNA序列。通过将可见的表面特征与嵌入的分子数据分离，HIDE需要正交的物理和生化密钥进行完整解密，建立了一个高度安全、通用的平台，用于下一代产品认证。</w:t>
      </w:r>
    </w:p>
    <w:p>
      <w:pPr>
        <w:spacing w:before="0" w:after="200" w:lineRule="auto" w:line="276"/>
      </w:pPr>
      <w:r>
        <w:rPr>
          <w:b/>
        </w:rPr>
        <w:t xml:space="preserve">Abstract (EN): </w:t>
      </w:r>
      <w:r>
        <w:t>Conventional anti-counterfeiting materials typically encode easily replicated, single-scale information. To overcome this vulnerability, we introduce HIDE, a transparent coating system that merges engineered amyloid proteins with synthetic DNA to encrypt data across four spatial scales—from macroscopic QR codes to molecular DNA sequences. By decoupling visible surface features from embedded molecular data, HIDE requires orthogonal physical and biochemical keys for full decryption, establishing a highly secure, versatile platform for next-generation product authentication.</w:t>
      </w:r>
    </w:p>
    <w:p>
      <w:pPr>
        <w:spacing w:before="120" w:after="120"/>
      </w:pPr>
      <w:r>
        <w:rPr>
          <w:sz w:val="18"/>
        </w:rPr>
        <w:t>——————————————————————————————————————————————————————————————————————</w:t>
      </w:r>
    </w:p>
    <w:p>
      <w:pPr>
        <w:spacing w:before="160" w:after="40" w:line="240" w:lineRule="auto"/>
      </w:pPr>
      <w:r>
        <w:rPr>
          <w:b/>
        </w:rPr>
        <w:t xml:space="preserve">[429] </w:t>
      </w:r>
      <w:hyperlink r:id="rId1000">
        <w:r>
          <w:rPr>
            <w:color w:val="1155CC"/>
            <w:u w:val="single"/>
          </w:rPr>
          <w:t>通过框架锚定钾实现的介孔选择性烧结用于纳米晶体的致密封装</w:t>
        </w:r>
      </w:hyperlink>
    </w:p>
    <w:p>
      <w:pPr>
        <w:spacing w:before="0" w:after="80"/>
      </w:pPr>
      <w:r>
        <w:rPr>
          <w:i/>
          <w:sz w:val="20"/>
        </w:rPr>
        <w:t>EN: Mesopore-selective sintering enabled by framework-anchored potassium for densified encapsulation of nanocrystals</w:t>
      </w:r>
    </w:p>
    <w:p>
      <w:pPr>
        <w:spacing w:before="0" w:after="120"/>
      </w:pPr>
      <w:r>
        <w:rPr>
          <w:b/>
        </w:rPr>
        <w:t xml:space="preserve">Source: </w:t>
      </w:r>
      <w:r>
        <w:t>Matter</w:t>
      </w:r>
      <w:r>
        <w:t xml:space="preserve">    </w:t>
      </w:r>
      <w:r>
        <w:rPr>
          <w:b/>
        </w:rPr>
        <w:t xml:space="preserve">Pub date: </w:t>
      </w:r>
      <w:r>
        <w:t>2026-04-16 00:00:00+00:00</w:t>
      </w:r>
      <w:r>
        <w:t xml:space="preserve">    </w:t>
      </w:r>
      <w:r>
        <w:rPr>
          <w:b/>
        </w:rPr>
        <w:t xml:space="preserve">DOI: </w:t>
      </w:r>
      <w:hyperlink r:id="rId1001">
        <w:r>
          <w:rPr>
            <w:color w:val="1155CC"/>
            <w:u w:val="single"/>
          </w:rPr>
          <w:t>10.1016/j.matt.2026.102773</w:t>
        </w:r>
      </w:hyperlink>
    </w:p>
    <w:p>
      <w:pPr>
        <w:spacing w:before="0" w:after="120"/>
      </w:pPr>
      <w:r>
        <w:rPr>
          <w:b/>
        </w:rPr>
        <w:t xml:space="preserve">Notes: </w:t>
      </w:r>
      <w:r>
        <w:t>abstract_source=rss_cell</w:t>
      </w:r>
    </w:p>
    <w:p>
      <w:pPr>
        <w:spacing w:before="0" w:after="80" w:lineRule="auto" w:line="276"/>
      </w:pPr>
      <w:r>
        <w:rPr>
          <w:b/>
        </w:rPr>
        <w:t xml:space="preserve">摘要（ZH）: </w:t>
      </w:r>
      <w:r>
        <w:t>用致密的二氧化硅壳保护脆弱的纳米晶体（NCs）通常需要高温，这也会损坏NCs并使颗粒融合。在这里，超低框架锚定的钾引导二氧化硅致密化到单个纳米球的介孔壁上，使得在显著降低的温度下实现稳健的封装而不牺牲分散性。这一策略创造了超稳定、可溶液加工的荧光纳米球，用于微型LED颜色转换、生物成像和其他苛刻的应用。</w:t>
      </w:r>
    </w:p>
    <w:p>
      <w:pPr>
        <w:spacing w:before="0" w:after="200" w:lineRule="auto" w:line="276"/>
      </w:pPr>
      <w:r>
        <w:rPr>
          <w:b/>
        </w:rPr>
        <w:t xml:space="preserve">Abstract (EN): </w:t>
      </w:r>
      <w:r>
        <w:t>Protecting fragile nanocrystals (NCs) with dense silica shells usually requires high temperatures that also damage the NCs and fuse particles together. Here, ultralow, framework-anchored potassium directs silica densification to the mesopore walls of individual nanospheres, enabling robust encapsulation at markedly reduced temperatures without sacrificing dispersibility. This strategy creates ultra-stable, solution-processable fluorescent nanospheres for micro-LED color conversion, bioimaging, and other demanding applications.</w:t>
      </w:r>
    </w:p>
    <w:p>
      <w:pPr>
        <w:spacing w:before="120" w:after="120"/>
      </w:pPr>
      <w:r>
        <w:rPr>
          <w:sz w:val="18"/>
        </w:rPr>
        <w:t>——————————————————————————————————————————————————————————————————————</w:t>
      </w:r>
    </w:p>
    <w:p>
      <w:pPr>
        <w:spacing w:before="160" w:after="40" w:line="240" w:lineRule="auto"/>
      </w:pPr>
      <w:r>
        <w:rPr>
          <w:b/>
        </w:rPr>
        <w:t xml:space="preserve">[430] </w:t>
      </w:r>
      <w:hyperlink r:id="rId1002">
        <w:r>
          <w:rPr>
            <w:color w:val="1155CC"/>
            <w:u w:val="single"/>
          </w:rPr>
          <w:t>一种用于区域超短期风速概率预测的高效时空图潜扩散模型</w:t>
        </w:r>
      </w:hyperlink>
    </w:p>
    <w:p>
      <w:pPr>
        <w:spacing w:before="0" w:after="80"/>
      </w:pPr>
      <w:r>
        <w:rPr>
          <w:i/>
          <w:sz w:val="20"/>
        </w:rPr>
        <w:t>EN: An efficient spatial-temporal graph latent diffusion model for regional ultra-short-term wind speed probabilistic forecasting</w:t>
      </w:r>
    </w:p>
    <w:p>
      <w:pPr>
        <w:spacing w:before="0" w:after="120"/>
      </w:pPr>
      <w:r>
        <w:rPr>
          <w:b/>
        </w:rPr>
        <w:t xml:space="preserve">Source: </w:t>
      </w:r>
      <w:r>
        <w:t>ScienceDirect Publication: Applied Energy</w:t>
      </w:r>
      <w:r>
        <w:t xml:space="preserve">    </w:t>
      </w:r>
      <w:r>
        <w:rPr>
          <w:b/>
        </w:rPr>
        <w:t xml:space="preserve">Pub date: </w:t>
      </w:r>
      <w:r>
        <w:t>2026-04-16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1003">
        <w:r>
          <w:rPr>
            <w:color w:val="1155CC"/>
            <w:u w:val="single"/>
          </w:rPr>
          <w:t>揭示：男性和女性脑细胞在基因活动上的差异</w:t>
        </w:r>
      </w:hyperlink>
    </w:p>
    <w:p>
      <w:pPr>
        <w:spacing w:before="0" w:after="80"/>
      </w:pPr>
      <w:r>
        <w:rPr>
          <w:i/>
          <w:sz w:val="20"/>
        </w:rPr>
        <w:t>EN: Revealed: how male and female brain cells differ in gene activity</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1004">
        <w:r>
          <w:rPr>
            <w:color w:val="1155CC"/>
            <w:u w:val="single"/>
          </w:rPr>
          <w:t>10.1038/d41586-026-01227-y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1005">
        <w:r>
          <w:rPr>
            <w:color w:val="1155CC"/>
            <w:u w:val="single"/>
          </w:rPr>
          <w:t>金星难以穿透的薄雾可能由宇宙尘埃组成</w:t>
        </w:r>
      </w:hyperlink>
    </w:p>
    <w:p>
      <w:pPr>
        <w:spacing w:before="0" w:after="80"/>
      </w:pPr>
      <w:r>
        <w:rPr>
          <w:i/>
          <w:sz w:val="20"/>
        </w:rPr>
        <w:t>EN: Venus’s impenetrable haze could be made of cosmic dust</w:t>
      </w:r>
    </w:p>
    <w:p>
      <w:pPr>
        <w:spacing w:before="0" w:after="120"/>
      </w:pPr>
      <w:r>
        <w:rPr>
          <w:b/>
        </w:rPr>
        <w:t xml:space="preserve">Source: </w:t>
      </w:r>
      <w:r>
        <w:t>Nature</w:t>
      </w:r>
      <w:r>
        <w:t xml:space="preserve">    </w:t>
      </w:r>
      <w:r>
        <w:rPr>
          <w:b/>
        </w:rPr>
        <w:t xml:space="preserve">Pub date: </w:t>
      </w:r>
      <w:r>
        <w:t>2026-04-16 00:00:00+00:00</w:t>
      </w:r>
      <w:r>
        <w:t xml:space="preserve">    </w:t>
      </w:r>
      <w:r>
        <w:rPr>
          <w:b/>
        </w:rPr>
        <w:t xml:space="preserve">DOI: </w:t>
      </w:r>
      <w:hyperlink r:id="rId1006">
        <w:r>
          <w:rPr>
            <w:color w:val="1155CC"/>
            <w:u w:val="single"/>
          </w:rPr>
          <w:t>10.1038/d41586-026-01212-5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07">
        <w:r>
          <w:rPr>
            <w:color w:val="1155CC"/>
            <w:u w:val="single"/>
          </w:rPr>
          <w:t>酶工程的第三波：导航AI驱动的IDEA范式</w:t>
        </w:r>
      </w:hyperlink>
    </w:p>
    <w:p>
      <w:pPr>
        <w:spacing w:before="0" w:after="80"/>
      </w:pPr>
      <w:r>
        <w:rPr>
          <w:i/>
          <w:sz w:val="20"/>
        </w:rPr>
        <w:t>EN: The third wave of enzyme engineering: Navigating the AI-powered IDEA paradigm</w:t>
      </w:r>
    </w:p>
    <w:p>
      <w:pPr>
        <w:spacing w:before="0" w:after="120"/>
      </w:pPr>
      <w:r>
        <w:rPr>
          <w:b/>
        </w:rPr>
        <w:t xml:space="preserve">Source: </w:t>
      </w:r>
      <w:r>
        <w:t>Chem</w:t>
      </w:r>
      <w:r>
        <w:t xml:space="preserve">    </w:t>
      </w:r>
      <w:r>
        <w:rPr>
          <w:b/>
        </w:rPr>
        <w:t xml:space="preserve">Pub date: </w:t>
      </w:r>
      <w:r>
        <w:t>2026-04-16 00:00:00+00:00</w:t>
      </w:r>
      <w:r>
        <w:t xml:space="preserve">    </w:t>
      </w:r>
      <w:r>
        <w:rPr>
          <w:b/>
        </w:rPr>
        <w:t xml:space="preserve">DOI: </w:t>
      </w:r>
      <w:hyperlink r:id="rId1008">
        <w:r>
          <w:rPr>
            <w:color w:val="1155CC"/>
            <w:u w:val="single"/>
          </w:rPr>
          <w:t>10.1016/j.chempr.2026.103001</w:t>
        </w:r>
      </w:hyperlink>
    </w:p>
    <w:p>
      <w:pPr>
        <w:spacing w:before="0" w:after="120"/>
      </w:pPr>
      <w:r>
        <w:rPr>
          <w:b/>
        </w:rPr>
        <w:t xml:space="preserve">Notes: </w:t>
      </w:r>
      <w:r>
        <w:t>abstract_source=rss_cell</w:t>
      </w:r>
    </w:p>
    <w:p>
      <w:pPr>
        <w:spacing w:before="0" w:after="80" w:lineRule="auto" w:line="276"/>
      </w:pPr>
      <w:r>
        <w:rPr>
          <w:b/>
        </w:rPr>
        <w:t xml:space="preserve">摘要（ZH）: </w:t>
      </w:r>
      <w:r>
        <w:t>酶工程已经从随机定向进化发展到知识指导的理性设计，现在正进入人工智能（AI）驱动的第三波。为了捕捉AI的变革性影响，我们提出了调查-设计-执行-分析（IDEA）框架，该框架展示了AI如何整合到整个酶工程管道中——从酶发现和生物催化剂设计到实验验证和机制分析。该框架作为利用先进AI重新编程酶工程工作流程的路线图，建立了智能生物催化剂设计的新范式。</w:t>
      </w:r>
    </w:p>
    <w:p>
      <w:pPr>
        <w:spacing w:before="0" w:after="200" w:lineRule="auto" w:line="276"/>
      </w:pPr>
      <w:r>
        <w:rPr>
          <w:b/>
        </w:rPr>
        <w:t xml:space="preserve">Abstract (EN): </w:t>
      </w:r>
      <w:r>
        <w:t>Enzyme engineering has evolved from random directed evolution to knowledge-guided rational design and is now entering an artificial intelligence (AI)-driven third wave. To capture AI’s transformative impact, we propose the investigate-design-execute-analyze (IDEA) framework, which illustrates how AI integrates across the entire enzyme engineering pipeline—from enzyme discovery and biocatalyst design to experimental validation and mechanistic analysis. This framework serves as a roadmap for leveraging advanced AI to reprogram enzyme engineering workflows, establishing a new paradigm for intelligent biocatalyst design.</w:t>
      </w:r>
    </w:p>
    <w:p>
      <w:pPr>
        <w:spacing w:before="120" w:after="120"/>
      </w:pPr>
      <w:r>
        <w:rPr>
          <w:sz w:val="18"/>
        </w:rPr>
        <w:t>——————————————————————————————————————————————————————————————————————</w:t>
      </w:r>
    </w:p>
    <w:p>
      <w:pPr>
        <w:spacing w:before="160" w:after="40" w:line="240" w:lineRule="auto"/>
      </w:pPr>
      <w:r>
        <w:rPr>
          <w:b/>
        </w:rPr>
        <w:t xml:space="preserve">[434] </w:t>
      </w:r>
      <w:hyperlink r:id="rId1009">
        <w:r>
          <w:rPr>
            <w:color w:val="1155CC"/>
            <w:u w:val="single"/>
          </w:rPr>
          <w:t>甲烷热解启用的高价值碳纤维生产</w:t>
        </w:r>
      </w:hyperlink>
    </w:p>
    <w:p>
      <w:pPr>
        <w:spacing w:before="0" w:after="80"/>
      </w:pPr>
      <w:r>
        <w:rPr>
          <w:i/>
          <w:sz w:val="20"/>
        </w:rPr>
        <w:t>EN: Methane pyrolysis-enabled production of high-value carbon fibres</w:t>
      </w:r>
    </w:p>
    <w:p>
      <w:pPr>
        <w:spacing w:before="0" w:after="120"/>
      </w:pPr>
      <w:r>
        <w:rPr>
          <w:b/>
        </w:rPr>
        <w:t xml:space="preserve">Source: </w:t>
      </w:r>
      <w:r>
        <w:t>Nature Sustainability</w:t>
      </w:r>
      <w:r>
        <w:t xml:space="preserve">    </w:t>
      </w:r>
      <w:r>
        <w:rPr>
          <w:b/>
        </w:rPr>
        <w:t xml:space="preserve">Pub date: </w:t>
      </w:r>
      <w:r>
        <w:t>2026-04-16 00:00:00+00:00</w:t>
      </w:r>
      <w:r>
        <w:t xml:space="preserve">    </w:t>
      </w:r>
      <w:r>
        <w:rPr>
          <w:b/>
        </w:rPr>
        <w:t xml:space="preserve">DOI: </w:t>
      </w:r>
      <w:hyperlink r:id="rId1010">
        <w:r>
          <w:rPr>
            <w:color w:val="1155CC"/>
            <w:u w:val="single"/>
          </w:rPr>
          <w:t>10.1038/s41893-026-01815-w</w:t>
        </w:r>
      </w:hyperlink>
    </w:p>
    <w:p>
      <w:pPr>
        <w:spacing w:before="0" w:after="120"/>
      </w:pPr>
      <w:r>
        <w:rPr>
          <w:b/>
        </w:rPr>
        <w:t xml:space="preserve">Notes: </w:t>
      </w:r>
      <w:r>
        <w:t>abstract_source=nature_html</w:t>
      </w:r>
    </w:p>
    <w:p>
      <w:pPr>
        <w:spacing w:before="0" w:after="80" w:lineRule="auto" w:line="276"/>
      </w:pPr>
      <w:r>
        <w:rPr>
          <w:b/>
        </w:rPr>
        <w:t xml:space="preserve">摘要（ZH）: </w:t>
      </w:r>
      <w:r>
        <w:t>碳纤维（CFs）对于轻量化结构工程是不可或缺的，但其广泛应用受到聚丙烯腈（PAN）前体高成本和环境影响的阻碍。虽然用木质素或炭黑等低足迹替代品替换PAN可以减少排放，但由此产生的纤维通常因填料整合不良而遭受机械降解。在此，我们报告了一种电气化碳纤维升级策略，通过引入甲烷（CH4）衍生的碳，将低成本、炭黑负载的PAN前体转化为高性能CFs。通过使用多孔、对齐的纤维网络作为焦耳加热元件，我们实现了在1,700 K的快速高温热解，推动CH4扩散和内部微结构的致密化。</w:t>
      </w:r>
    </w:p>
    <w:p>
      <w:pPr>
        <w:spacing w:before="0" w:after="200" w:lineRule="auto" w:line="276"/>
      </w:pPr>
      <w:r>
        <w:rPr>
          <w:b/>
        </w:rPr>
        <w:t xml:space="preserve">Abstract (EN): </w:t>
      </w:r>
      <w:r>
        <w:t>Carbon fibres (CFs) are indispensable for lightweight structural engineering, yet their widespread adoption is stifled by the high cost and environmental toll of polyacrylonitrile (PAN) precursors. While substituting PAN with low-footprint alternatives such as lignin or carbon black reduces emissions, the resulting fibres typically suffer from mechanical degradation caused by poorly integrated fillers. Here we report an electrified carbon-fibre upgrading strategy that transforms low-cost, carbon-black-loaded PAN precursors into high-performance CFs by incorporating methane (CH4)-derived carbon. By using a porous, aligned fibril network as a Joule-heating element, we achieve rapid, high-temperature pyrolysis at 1,700 K that drives CH4 diffusion and densification of the internal microstructure. The resulting upgraded carbon fibres, comprising ~50 wt% CH4-derived carbon, exhibit a tensile strength of 1.7 GPa and a modulus of 173 GPa. This electrified synthesis simultaneously slashes production costs to ~US$13.52 kgCF−1 and carbon footprints to ~22.39 kgCO2 kgCF−1, offering a commercially viable pathway for high-volume industries such as automotive manufacturing. Our findings establish a circular carbon economy model that converts greenhouse gases into high-value structural materials while yielding hydrogen as a clean coproduct.</w:t>
      </w:r>
    </w:p>
    <w:p>
      <w:pPr>
        <w:spacing w:before="120" w:after="120"/>
      </w:pPr>
      <w:r>
        <w:rPr>
          <w:sz w:val="18"/>
        </w:rPr>
        <w:t>——————————————————————————————————————————————————————————————————————</w:t>
      </w:r>
    </w:p>
    <w:p>
      <w:pPr>
        <w:spacing w:before="160" w:after="40" w:line="240" w:lineRule="auto"/>
      </w:pPr>
      <w:r>
        <w:rPr>
          <w:b/>
        </w:rPr>
        <w:t xml:space="preserve">[435] </w:t>
      </w:r>
      <w:hyperlink r:id="rId1011">
        <w:r>
          <w:rPr>
            <w:color w:val="1155CC"/>
            <w:u w:val="single"/>
          </w:rPr>
          <w:t>钙触发的细胞外ROS爆发平衡重力和机械信号以进行土壤导航</w:t>
        </w:r>
      </w:hyperlink>
    </w:p>
    <w:p>
      <w:pPr>
        <w:spacing w:before="0" w:after="80"/>
      </w:pPr>
      <w:r>
        <w:rPr>
          <w:i/>
          <w:sz w:val="20"/>
        </w:rPr>
        <w:t>EN: Calcium-triggered apoplastic ROS bursts balance gravity and mechanical signals for soil navigation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12">
        <w:r>
          <w:rPr>
            <w:color w:val="1155CC"/>
            <w:u w:val="single"/>
          </w:rPr>
          <w:t>10.1126/science.adu8197</w:t>
        </w:r>
      </w:hyperlink>
    </w:p>
    <w:p>
      <w:pPr>
        <w:spacing w:before="0" w:after="120"/>
      </w:pPr>
      <w:r>
        <w:rPr>
          <w:b/>
        </w:rPr>
        <w:t xml:space="preserve">Notes: </w:t>
      </w:r>
      <w:r>
        <w:t>abstract_source=crossref</w:t>
      </w:r>
    </w:p>
    <w:p>
      <w:pPr>
        <w:spacing w:before="0" w:after="80" w:lineRule="auto" w:line="276"/>
      </w:pPr>
      <w:r>
        <w:rPr>
          <w:b/>
        </w:rPr>
        <w:t xml:space="preserve">摘要（ZH）: </w:t>
      </w:r>
      <w:r>
        <w:t>活性氧（ROS）已被认为参与植物中的多种信号传导过程，但其潜在机制和作用仍然不明。在本研究中，我们开发了一种在根表面活体成像细胞外ROS的方法。不同的信号，包括生长素、细胞外三磷酸腺苷和快速碱化因子1肽，诱导细胞质钙瞬变和细胞外ROS爆发。对</w:t>
      </w:r>
      <w:r>
        <w:t xml:space="preserve"> </w:t>
      </w:r>
      <w:r>
        <w:t>拟南芥</w:t>
      </w:r>
      <w:r>
        <w:t xml:space="preserve"> </w:t>
      </w:r>
      <w:r>
        <w:t>的遗传和光遗传操控表明，钙瞬变是通过激活还原型烟酰胺腺嘌呤二核苷酸磷酸（NADPH）氧化酶RBOHC和RBOHF引发ROS爆发所必需且充分的。细胞外ROS爆发不是必需的，但它们确实限制了重力引起的根弯曲。根弯曲是</w:t>
      </w:r>
    </w:p>
    <w:p>
      <w:pPr>
        <w:spacing w:before="0" w:after="200" w:lineRule="auto" w:line="276"/>
      </w:pPr>
      <w:r>
        <w:rPr>
          <w:b/>
        </w:rPr>
        <w:t xml:space="preserve">Abstract (EN): </w:t>
      </w:r>
      <w:r>
        <w:t>Reactive oxygen species (ROS) have been implicated in multiple signaling processes in plants, but the underlying mechanisms and roles remain enigmatic. In this study, we developed a method of live imaging of apoplastic ROS at the root surface. Distinct signals, including auxin, extracellular adenosine triphosphate, and rapid alkalinization factor 1 peptide, induce cytosolic calcium transients and apoplastic ROS bursts. Genetic and optogenetic manipulations of</w:t>
      </w:r>
      <w:r>
        <w:t xml:space="preserve"> </w:t>
      </w:r>
      <w:r>
        <w:t>Arabidopsis</w:t>
      </w:r>
      <w:r>
        <w:t xml:space="preserve"> </w:t>
      </w:r>
      <w:r>
        <w:t>identified calcium transients as necessary and sufficient for ROS bursts through activation of reduced nicotinamide adenine dinucleotide phosphate (NADPH) oxidases RBOHC and RBOHF. Apoplastic ROS bursts are not required, but they do limit gravity-induced root bending. Root bending is sensed by the stretch-activated calcium channel MCA1, leading to NADPH oxidase activation. The resulting ROS production stiffens cell walls to facilitate soil penetration. Apoplastic ROS thus provides a means to balance tissue flexibility and stiffness to navigate soil.</w:t>
      </w:r>
    </w:p>
    <w:p>
      <w:pPr>
        <w:spacing w:before="120" w:after="120"/>
      </w:pPr>
      <w:r>
        <w:rPr>
          <w:sz w:val="18"/>
        </w:rPr>
        <w:t>——————————————————————————————————————————————————————————————————————</w:t>
      </w:r>
    </w:p>
    <w:p>
      <w:pPr>
        <w:spacing w:before="160" w:after="40" w:line="240" w:lineRule="auto"/>
      </w:pPr>
      <w:r>
        <w:rPr>
          <w:b/>
        </w:rPr>
        <w:t xml:space="preserve">[436] </w:t>
      </w:r>
      <w:hyperlink r:id="rId1013">
        <w:r>
          <w:rPr>
            <w:color w:val="1155CC"/>
            <w:u w:val="single"/>
          </w:rPr>
          <w:t>盲盒文化加剧了塑料废物</w:t>
        </w:r>
      </w:hyperlink>
    </w:p>
    <w:p>
      <w:pPr>
        <w:spacing w:before="0" w:after="80"/>
      </w:pPr>
      <w:r>
        <w:rPr>
          <w:i/>
          <w:sz w:val="20"/>
        </w:rPr>
        <w:t>EN: Blind box culture exacerbates plastic waste</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14">
        <w:r>
          <w:rPr>
            <w:color w:val="1155CC"/>
            <w:u w:val="single"/>
          </w:rPr>
          <w:t>10.1126/science.aeg6547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[437] </w:t>
      </w:r>
      <w:hyperlink r:id="rId1015">
        <w:r>
          <w:rPr>
            <w:color w:val="1155CC"/>
            <w:u w:val="single"/>
          </w:rPr>
          <w:t>古代湖泊的洪水可能刻画了大峡谷</w:t>
        </w:r>
      </w:hyperlink>
    </w:p>
    <w:p>
      <w:pPr>
        <w:spacing w:before="0" w:after="80"/>
      </w:pPr>
      <w:r>
        <w:rPr>
          <w:i/>
          <w:sz w:val="20"/>
        </w:rPr>
        <w:t>EN: Ancient lake’s flood may have etched the Grand Canyon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16">
        <w:r>
          <w:rPr>
            <w:color w:val="1155CC"/>
            <w:u w:val="single"/>
          </w:rPr>
          <w:t>10.1126/science.aei0564</w:t>
        </w:r>
      </w:hyperlink>
    </w:p>
    <w:p>
      <w:pPr>
        <w:spacing w:before="0" w:after="120"/>
      </w:pPr>
      <w:r>
        <w:rPr>
          <w:b/>
        </w:rPr>
        <w:t xml:space="preserve">Notes: </w:t>
      </w:r>
      <w:r>
        <w:t>abstract_source=crossref</w:t>
      </w:r>
    </w:p>
    <w:p>
      <w:pPr>
        <w:spacing w:before="0" w:after="80" w:lineRule="auto" w:line="276"/>
      </w:pPr>
      <w:r>
        <w:rPr>
          <w:b/>
        </w:rPr>
        <w:t xml:space="preserve">摘要（ZH）: </w:t>
      </w:r>
      <w:r>
        <w:t>矿物颗粒显示科罗拉多河在数百万年前填满了峡谷头部的一个盆地</w:t>
      </w:r>
    </w:p>
    <w:p>
      <w:pPr>
        <w:spacing w:before="0" w:after="200" w:lineRule="auto" w:line="276"/>
      </w:pPr>
      <w:r>
        <w:rPr>
          <w:b/>
        </w:rPr>
        <w:t xml:space="preserve">Abstract (EN): </w:t>
      </w:r>
      <w:r>
        <w:t>Mineral grains show Colorado River filled a basin at the canyon’s head millions of years ago</w:t>
      </w:r>
    </w:p>
    <w:p>
      <w:pPr>
        <w:spacing w:before="120" w:after="120"/>
      </w:pPr>
      <w:r>
        <w:rPr>
          <w:sz w:val="18"/>
        </w:rPr>
        <w:t>——————————————————————————————————————————————————————————————————————</w:t>
      </w:r>
    </w:p>
    <w:p>
      <w:pPr>
        <w:spacing w:before="160" w:after="40" w:line="240" w:lineRule="auto"/>
      </w:pPr>
      <w:r>
        <w:rPr>
          <w:b/>
        </w:rPr>
        <w:t xml:space="preserve">[438] </w:t>
      </w:r>
      <w:hyperlink r:id="rId1017">
        <w:r>
          <w:rPr>
            <w:color w:val="1155CC"/>
            <w:u w:val="single"/>
          </w:rPr>
          <w:t>核糖体的差异可能有助于解释人类多样性</w:t>
        </w:r>
      </w:hyperlink>
    </w:p>
    <w:p>
      <w:pPr>
        <w:spacing w:before="0" w:after="80"/>
      </w:pPr>
      <w:r>
        <w:rPr>
          <w:i/>
          <w:sz w:val="20"/>
        </w:rPr>
        <w:t>EN: Differences in ribosomes may help explain human diversity</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18">
        <w:r>
          <w:rPr>
            <w:color w:val="1155CC"/>
            <w:u w:val="single"/>
          </w:rPr>
          <w:t>10.1126/science.aei0565</w:t>
        </w:r>
      </w:hyperlink>
    </w:p>
    <w:p>
      <w:pPr>
        <w:spacing w:before="0" w:after="120"/>
      </w:pPr>
      <w:r>
        <w:rPr>
          <w:b/>
        </w:rPr>
        <w:t xml:space="preserve">Notes: </w:t>
      </w:r>
      <w:r>
        <w:t>abstract_source=crossref</w:t>
      </w:r>
    </w:p>
    <w:p>
      <w:pPr>
        <w:spacing w:before="0" w:after="80" w:lineRule="auto" w:line="276"/>
      </w:pPr>
      <w:r>
        <w:rPr>
          <w:b/>
        </w:rPr>
        <w:t xml:space="preserve">摘要（ZH）: </w:t>
      </w:r>
      <w:r>
        <w:t>基因突变与细胞蛋白质工厂相关的特征如身高和体重有关</w:t>
      </w:r>
    </w:p>
    <w:p>
      <w:pPr>
        <w:spacing w:before="0" w:after="200" w:lineRule="auto" w:line="276"/>
      </w:pPr>
      <w:r>
        <w:rPr>
          <w:b/>
        </w:rPr>
        <w:t xml:space="preserve">Abstract (EN): </w:t>
      </w:r>
      <w:r>
        <w:t>Mutations in genes for cells’ protein factories linked to traits such as height and weight</w:t>
      </w:r>
    </w:p>
    <w:p>
      <w:pPr>
        <w:spacing w:before="120" w:after="120"/>
      </w:pPr>
      <w:r>
        <w:rPr>
          <w:sz w:val="18"/>
        </w:rPr>
        <w:t>——————————————————————————————————————————————————————————————————————</w:t>
      </w:r>
    </w:p>
    <w:p>
      <w:pPr>
        <w:spacing w:before="160" w:after="40" w:line="240" w:lineRule="auto"/>
      </w:pPr>
      <w:r>
        <w:rPr>
          <w:b/>
        </w:rPr>
        <w:t xml:space="preserve">[439] </w:t>
      </w:r>
      <w:hyperlink r:id="rId1019">
        <w:r>
          <w:rPr>
            <w:color w:val="1155CC"/>
            <w:u w:val="single"/>
          </w:rPr>
          <w:t>农业的兴起和文化转变加速了人类进化</w:t>
        </w:r>
      </w:hyperlink>
    </w:p>
    <w:p>
      <w:pPr>
        <w:spacing w:before="0" w:after="80"/>
      </w:pPr>
      <w:r>
        <w:rPr>
          <w:i/>
          <w:sz w:val="20"/>
        </w:rPr>
        <w:t>EN: Rise of farming, cultural shifts supercharged human evolution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20">
        <w:r>
          <w:rPr>
            <w:color w:val="1155CC"/>
            <w:u w:val="single"/>
          </w:rPr>
          <w:t>10.1126/science.aei0566</w:t>
        </w:r>
      </w:hyperlink>
    </w:p>
    <w:p>
      <w:pPr>
        <w:spacing w:before="0" w:after="120"/>
      </w:pPr>
      <w:r>
        <w:rPr>
          <w:b/>
        </w:rPr>
        <w:t xml:space="preserve">Notes: </w:t>
      </w:r>
      <w:r>
        <w:t>abstract_source=crossref</w:t>
      </w:r>
    </w:p>
    <w:p>
      <w:pPr>
        <w:spacing w:before="0" w:after="80" w:lineRule="auto" w:line="276"/>
      </w:pPr>
      <w:r>
        <w:rPr>
          <w:b/>
        </w:rPr>
        <w:t xml:space="preserve">摘要（ZH）: </w:t>
      </w:r>
      <w:r>
        <w:t>大规模研究发现过去1万年中快速的遗传变化</w:t>
      </w:r>
    </w:p>
    <w:p>
      <w:pPr>
        <w:spacing w:before="0" w:after="200" w:lineRule="auto" w:line="276"/>
      </w:pPr>
      <w:r>
        <w:rPr>
          <w:b/>
        </w:rPr>
        <w:t xml:space="preserve">Abstract (EN): </w:t>
      </w:r>
      <w:r>
        <w:t>Sweeping study finds rapid genetic change in past 10,000 years</w:t>
      </w:r>
    </w:p>
    <w:p>
      <w:pPr>
        <w:spacing w:before="120" w:after="120"/>
      </w:pPr>
      <w:r>
        <w:rPr>
          <w:sz w:val="18"/>
        </w:rPr>
        <w:t>——————————————————————————————————————————————————————————————————————</w:t>
      </w:r>
    </w:p>
    <w:p>
      <w:pPr>
        <w:spacing w:before="160" w:after="40" w:line="240" w:lineRule="auto"/>
      </w:pPr>
      <w:r>
        <w:rPr>
          <w:b/>
        </w:rPr>
        <w:t xml:space="preserve">[440] </w:t>
      </w:r>
      <w:hyperlink r:id="rId1021">
        <w:r>
          <w:rPr>
            <w:color w:val="1155CC"/>
            <w:u w:val="single"/>
          </w:rPr>
          <w:t>北极日益严重的蚊子问题</w:t>
        </w:r>
      </w:hyperlink>
    </w:p>
    <w:p>
      <w:pPr>
        <w:spacing w:before="0" w:after="80"/>
      </w:pPr>
      <w:r>
        <w:rPr>
          <w:i/>
          <w:sz w:val="20"/>
        </w:rPr>
        <w:t>EN: The Arctic’s growing mosquito problem</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22">
        <w:r>
          <w:rPr>
            <w:color w:val="1155CC"/>
            <w:u w:val="single"/>
          </w:rPr>
          <w:t>10.1126/science.aeh9505</w:t>
        </w:r>
      </w:hyperlink>
    </w:p>
    <w:p>
      <w:pPr>
        <w:spacing w:before="0" w:after="120"/>
      </w:pPr>
      <w:r>
        <w:rPr>
          <w:b/>
        </w:rPr>
        <w:t xml:space="preserve">Notes: </w:t>
      </w:r>
      <w:r>
        <w:t>abstract_source=crossref</w:t>
      </w:r>
    </w:p>
    <w:p>
      <w:pPr>
        <w:spacing w:before="0" w:after="80" w:lineRule="auto" w:line="276"/>
      </w:pPr>
      <w:r>
        <w:rPr>
          <w:b/>
        </w:rPr>
        <w:t xml:space="preserve">摘要（ZH）: </w:t>
      </w:r>
      <w:r>
        <w:t>直到最近，冰岛是唯一没有蚊子的北极国家。这在一个每年夏天蚊子大量出现、折磨野生动物和人类的地区是一个罕见的例外。现在这种区别已经消失。2025年在雷克雅未克以北发现蚊子反映了已经在进行的生态变化。随着北极变暖和人类活动在该地区的扩展，物种正在以新的方式和新的规模移动。冰岛的蚊子不仅仅是一个好奇或未来的烦恼。它们是一个警告，表明北极缺乏监测节肢动物和预见生物风险的系统，以便在风险升级之前进行应对。</w:t>
      </w:r>
    </w:p>
    <w:p>
      <w:pPr>
        <w:spacing w:before="0" w:after="200" w:lineRule="auto" w:line="276"/>
      </w:pPr>
      <w:r>
        <w:rPr>
          <w:b/>
        </w:rPr>
        <w:t xml:space="preserve">Abstract (EN): </w:t>
      </w:r>
      <w:r>
        <w:t>Until recently, Iceland was the only Arctic nation without mosquitoes. This was a rare exception in a region where mosquitoes emerge in vast numbers each summer, tormenting wildlife and people alike. That distinction is now gone. The detection of mosquitoes just north of Reykjavík in 2025 reflects an ecological shift already underway. As the Arctic warms and human activity expands across the region, species are moving in new ways and at new scales. Mosquitoes in Iceland are more than a curiosity or future annoyance. They are a warning that the Arctic lacks a system for monitoring arthropods and anticipating biological risks before they escalate.</w:t>
      </w:r>
    </w:p>
    <w:p>
      <w:pPr>
        <w:spacing w:before="120" w:after="120"/>
      </w:pPr>
      <w:r>
        <w:rPr>
          <w:sz w:val="18"/>
        </w:rPr>
        <w:t>——————————————————————————————————————————————————————————————————————</w:t>
      </w:r>
    </w:p>
    <w:p>
      <w:pPr>
        <w:spacing w:before="160" w:after="40" w:line="240" w:lineRule="auto"/>
      </w:pPr>
      <w:r>
        <w:rPr>
          <w:b/>
        </w:rPr>
        <w:t xml:space="preserve">[441] </w:t>
      </w:r>
      <w:hyperlink r:id="rId1023">
        <w:r>
          <w:rPr>
            <w:color w:val="1155CC"/>
            <w:u w:val="single"/>
          </w:rPr>
          <w:t>特朗普寻求重启停滞的破冰船</w:t>
        </w:r>
      </w:hyperlink>
    </w:p>
    <w:p>
      <w:pPr>
        <w:spacing w:before="0" w:after="80"/>
      </w:pPr>
      <w:r>
        <w:rPr>
          <w:i/>
          <w:sz w:val="20"/>
        </w:rPr>
        <w:t>EN: Trump seeks to jump-start stalled icebreaker</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24">
        <w:r>
          <w:rPr>
            <w:color w:val="1155CC"/>
            <w:u w:val="single"/>
          </w:rPr>
          <w:t>10.1126/science.aei0569</w:t>
        </w:r>
      </w:hyperlink>
    </w:p>
    <w:p>
      <w:pPr>
        <w:spacing w:before="0" w:after="120"/>
      </w:pPr>
      <w:r>
        <w:rPr>
          <w:b/>
        </w:rPr>
        <w:t xml:space="preserve">Notes: </w:t>
      </w:r>
      <w:r>
        <w:t>abstract_source=crossref</w:t>
      </w:r>
    </w:p>
    <w:p>
      <w:pPr>
        <w:spacing w:before="0" w:after="80" w:lineRule="auto" w:line="276"/>
      </w:pPr>
      <w:r>
        <w:rPr>
          <w:b/>
        </w:rPr>
        <w:t xml:space="preserve">摘要（ZH）: </w:t>
      </w:r>
      <w:r>
        <w:t>白宫2027年的预算请求包括9亿美元用于南极研究船</w:t>
      </w:r>
    </w:p>
    <w:p>
      <w:pPr>
        <w:spacing w:before="0" w:after="200" w:lineRule="auto" w:line="276"/>
      </w:pPr>
      <w:r>
        <w:rPr>
          <w:b/>
        </w:rPr>
        <w:t xml:space="preserve">Abstract (EN): </w:t>
      </w:r>
      <w:r>
        <w:t>White House’s 2027 budget request includes $900 million for Antarctic research vessel</w:t>
      </w:r>
    </w:p>
    <w:p>
      <w:pPr>
        <w:spacing w:before="120" w:after="120"/>
      </w:pPr>
      <w:r>
        <w:rPr>
          <w:sz w:val="18"/>
        </w:rPr>
        <w:t>——————————————————————————————————————————————————————————————————————</w:t>
      </w:r>
    </w:p>
    <w:p>
      <w:pPr>
        <w:spacing w:before="160" w:after="40" w:line="240" w:lineRule="auto"/>
      </w:pPr>
      <w:r>
        <w:rPr>
          <w:b/>
        </w:rPr>
        <w:t xml:space="preserve">[442] </w:t>
      </w:r>
      <w:hyperlink r:id="rId1025">
        <w:r>
          <w:rPr>
            <w:color w:val="1155CC"/>
            <w:u w:val="single"/>
          </w:rPr>
          <w:t>保护极地野生动物免受微塑料的影响</w:t>
        </w:r>
      </w:hyperlink>
    </w:p>
    <w:p>
      <w:pPr>
        <w:spacing w:before="0" w:after="80"/>
      </w:pPr>
      <w:r>
        <w:rPr>
          <w:i/>
          <w:sz w:val="20"/>
        </w:rPr>
        <w:t>EN: Protect polar wildlife from microplastics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26">
        <w:r>
          <w:rPr>
            <w:color w:val="1155CC"/>
            <w:u w:val="single"/>
          </w:rPr>
          <w:t>10.1126/science.aeg8732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27">
        <w:r>
          <w:rPr>
            <w:color w:val="1155CC"/>
            <w:u w:val="single"/>
          </w:rPr>
          <w:t>预测市场作为公共健康威胁</w:t>
        </w:r>
      </w:hyperlink>
    </w:p>
    <w:p>
      <w:pPr>
        <w:spacing w:before="0" w:after="80"/>
      </w:pPr>
      <w:r>
        <w:rPr>
          <w:i/>
          <w:sz w:val="20"/>
        </w:rPr>
        <w:t>EN: Prediction markets as a public health threat</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28">
        <w:r>
          <w:rPr>
            <w:color w:val="1155CC"/>
            <w:u w:val="single"/>
          </w:rPr>
          <w:t>10.1126/science.aee3932</w:t>
        </w:r>
      </w:hyperlink>
    </w:p>
    <w:p>
      <w:pPr>
        <w:spacing w:before="0" w:after="120"/>
      </w:pPr>
      <w:r>
        <w:rPr>
          <w:b/>
        </w:rPr>
        <w:t xml:space="preserve">Notes: </w:t>
      </w:r>
      <w:r>
        <w:t>abstract_source=crossref</w:t>
      </w:r>
    </w:p>
    <w:p>
      <w:pPr>
        <w:spacing w:before="0" w:after="80" w:lineRule="auto" w:line="276"/>
      </w:pPr>
      <w:r>
        <w:rPr>
          <w:b/>
        </w:rPr>
        <w:t xml:space="preserve">摘要（ZH）: </w:t>
      </w:r>
      <w:r>
        <w:t>科学框架、类似赌博的设计和监管漏洞带来了新的行为成瘾和民主操控的风险</w:t>
      </w:r>
    </w:p>
    <w:p>
      <w:pPr>
        <w:spacing w:before="0" w:after="200" w:lineRule="auto" w:line="276"/>
      </w:pPr>
      <w:r>
        <w:rPr>
          <w:b/>
        </w:rPr>
        <w:t xml:space="preserve">Abstract (EN): </w:t>
      </w:r>
      <w:r>
        <w:t>Scientific framing, gambling-like design, and regulatory gaps create risks of a new behavioral addiction and democratic manipulation</w:t>
      </w:r>
    </w:p>
    <w:p>
      <w:pPr>
        <w:spacing w:before="120" w:after="120"/>
      </w:pPr>
      <w:r>
        <w:rPr>
          <w:sz w:val="18"/>
        </w:rPr>
        <w:t>——————————————————————————————————————————————————————————————————————</w:t>
      </w:r>
    </w:p>
    <w:p>
      <w:pPr>
        <w:spacing w:before="160" w:after="40" w:line="240" w:lineRule="auto"/>
      </w:pPr>
      <w:r>
        <w:rPr>
          <w:b/>
        </w:rPr>
        <w:t xml:space="preserve">[444] </w:t>
      </w:r>
      <w:hyperlink r:id="rId102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30">
        <w:r>
          <w:rPr>
            <w:color w:val="1155CC"/>
            <w:u w:val="single"/>
          </w:rPr>
          <w:t>10.1126/science.aei0197</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[445] </w:t>
      </w:r>
      <w:hyperlink r:id="rId1031">
        <w:r>
          <w:rPr>
            <w:color w:val="1155CC"/>
            <w:u w:val="single"/>
          </w:rPr>
          <w:t>表达你自己</w:t>
        </w:r>
      </w:hyperlink>
    </w:p>
    <w:p>
      <w:pPr>
        <w:spacing w:before="0" w:after="80"/>
      </w:pPr>
      <w:r>
        <w:rPr>
          <w:i/>
          <w:sz w:val="20"/>
        </w:rPr>
        <w:t>EN: Express yourself</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32">
        <w:r>
          <w:rPr>
            <w:color w:val="1155CC"/>
            <w:u w:val="single"/>
          </w:rPr>
          <w:t>10.1126/science.aeh0064</w:t>
        </w:r>
      </w:hyperlink>
    </w:p>
    <w:p>
      <w:pPr>
        <w:spacing w:before="0" w:after="120"/>
      </w:pPr>
      <w:r>
        <w:rPr>
          <w:b/>
        </w:rPr>
        <w:t xml:space="preserve">Notes: </w:t>
      </w:r>
      <w:r>
        <w:t>abstract_source=crossref</w:t>
      </w:r>
    </w:p>
    <w:p>
      <w:pPr>
        <w:spacing w:before="0" w:after="80" w:lineRule="auto" w:line="276"/>
      </w:pPr>
      <w:r>
        <w:rPr>
          <w:b/>
        </w:rPr>
        <w:t xml:space="preserve">摘要（ZH）: </w:t>
      </w:r>
      <w:r>
        <w:t>大脑中超过3000个基因的表达在男性和女性之间存在差异</w:t>
      </w:r>
    </w:p>
    <w:p>
      <w:pPr>
        <w:spacing w:before="0" w:after="200" w:lineRule="auto" w:line="276"/>
      </w:pPr>
      <w:r>
        <w:rPr>
          <w:b/>
        </w:rPr>
        <w:t xml:space="preserve">Abstract (EN): </w:t>
      </w:r>
      <w:r>
        <w:t>The brain’s expression of more than 3000 genes differs between men and women</w:t>
      </w:r>
    </w:p>
    <w:p>
      <w:pPr>
        <w:spacing w:before="120" w:after="120"/>
      </w:pPr>
      <w:r>
        <w:rPr>
          <w:sz w:val="18"/>
        </w:rPr>
        <w:t>——————————————————————————————————————————————————————————————————————</w:t>
      </w:r>
    </w:p>
    <w:p>
      <w:pPr>
        <w:spacing w:before="160" w:after="40" w:line="240" w:lineRule="auto"/>
      </w:pPr>
      <w:r>
        <w:rPr>
          <w:b/>
        </w:rPr>
        <w:t xml:space="preserve">[446] </w:t>
      </w:r>
      <w:hyperlink r:id="rId1033">
        <w:r>
          <w:rPr>
            <w:color w:val="1155CC"/>
            <w:u w:val="single"/>
          </w:rPr>
          <w:t>雾，这个研究的‘冷门’，受到严肃关注</w:t>
        </w:r>
      </w:hyperlink>
    </w:p>
    <w:p>
      <w:pPr>
        <w:spacing w:before="0" w:after="80"/>
      </w:pPr>
      <w:r>
        <w:rPr>
          <w:i/>
          <w:sz w:val="20"/>
        </w:rPr>
        <w:t>EN: Fog, a research ‘underdog,’ gets serious attention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34">
        <w:r>
          <w:rPr>
            <w:color w:val="1155CC"/>
            <w:u w:val="single"/>
          </w:rPr>
          <w:t>10.1126/science.aei0568</w:t>
        </w:r>
      </w:hyperlink>
    </w:p>
    <w:p>
      <w:pPr>
        <w:spacing w:before="0" w:after="120"/>
      </w:pPr>
      <w:r>
        <w:rPr>
          <w:b/>
        </w:rPr>
        <w:t xml:space="preserve">Notes: </w:t>
      </w:r>
      <w:r>
        <w:t>abstract_source=crossref</w:t>
      </w:r>
    </w:p>
    <w:p>
      <w:pPr>
        <w:spacing w:before="0" w:after="80" w:lineRule="auto" w:line="276"/>
      </w:pPr>
      <w:r>
        <w:rPr>
          <w:b/>
        </w:rPr>
        <w:t xml:space="preserve">摘要（ZH）: </w:t>
      </w:r>
      <w:r>
        <w:t>加州的努力将研究在变暖的世界中重要水源的未来</w:t>
      </w:r>
    </w:p>
    <w:p>
      <w:pPr>
        <w:spacing w:before="0" w:after="200" w:lineRule="auto" w:line="276"/>
      </w:pPr>
      <w:r>
        <w:rPr>
          <w:b/>
        </w:rPr>
        <w:t xml:space="preserve">Abstract (EN): </w:t>
      </w:r>
      <w:r>
        <w:t>California effort will study the future of a vital water source in a warming world</w:t>
      </w:r>
    </w:p>
    <w:p>
      <w:pPr>
        <w:spacing w:before="120" w:after="120"/>
      </w:pPr>
      <w:r>
        <w:rPr>
          <w:sz w:val="18"/>
        </w:rPr>
        <w:t>——————————————————————————————————————————————————————————————————————</w:t>
      </w:r>
    </w:p>
    <w:p>
      <w:pPr>
        <w:spacing w:before="160" w:after="40" w:line="240" w:lineRule="auto"/>
      </w:pPr>
      <w:r>
        <w:rPr>
          <w:b/>
        </w:rPr>
        <w:t xml:space="preserve">[447] </w:t>
      </w:r>
      <w:hyperlink r:id="rId1035">
        <w:r>
          <w:rPr>
            <w:color w:val="1155CC"/>
            <w:u w:val="single"/>
          </w:rPr>
          <w:t>转变的渠道</w:t>
        </w:r>
      </w:hyperlink>
    </w:p>
    <w:p>
      <w:pPr>
        <w:spacing w:before="0" w:after="80"/>
      </w:pPr>
      <w:r>
        <w:rPr>
          <w:i/>
          <w:sz w:val="20"/>
        </w:rPr>
        <w:t>EN: Channels of transformation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36">
        <w:r>
          <w:rPr>
            <w:color w:val="1155CC"/>
            <w:u w:val="single"/>
          </w:rPr>
          <w:t>10.1126/science.aeg7441</w:t>
        </w:r>
      </w:hyperlink>
    </w:p>
    <w:p>
      <w:pPr>
        <w:spacing w:before="0" w:after="120"/>
      </w:pPr>
      <w:r>
        <w:rPr>
          <w:b/>
        </w:rPr>
        <w:t xml:space="preserve">Notes: </w:t>
      </w:r>
      <w:r>
        <w:t>abstract_source=crossref</w:t>
      </w:r>
    </w:p>
    <w:p>
      <w:pPr>
        <w:spacing w:before="0" w:after="80" w:lineRule="auto" w:line="276"/>
      </w:pPr>
      <w:r>
        <w:rPr>
          <w:b/>
        </w:rPr>
        <w:t xml:space="preserve">摘要（ZH）: </w:t>
      </w:r>
      <w:r>
        <w:t>跨膜蛋白的多种结构阐明了细菌如何导入DNA</w:t>
      </w:r>
    </w:p>
    <w:p>
      <w:pPr>
        <w:spacing w:before="0" w:after="200" w:lineRule="auto" w:line="276"/>
      </w:pPr>
      <w:r>
        <w:rPr>
          <w:b/>
        </w:rPr>
        <w:t xml:space="preserve">Abstract (EN): </w:t>
      </w:r>
      <w:r>
        <w:t>Multiple structures of a transmembrane protein clarify how bacteria import DNA</w:t>
      </w:r>
    </w:p>
    <w:p>
      <w:pPr>
        <w:spacing w:before="120" w:after="120"/>
      </w:pPr>
      <w:r>
        <w:rPr>
          <w:sz w:val="18"/>
        </w:rPr>
        <w:t>——————————————————————————————————————————————————————————————————————</w:t>
      </w:r>
    </w:p>
    <w:p>
      <w:pPr>
        <w:spacing w:before="160" w:after="40" w:line="240" w:lineRule="auto"/>
      </w:pPr>
      <w:r>
        <w:rPr>
          <w:b/>
        </w:rPr>
        <w:t xml:space="preserve">[448] </w:t>
      </w:r>
      <w:hyperlink r:id="rId1037">
        <w:r>
          <w:rPr>
            <w:color w:val="1155CC"/>
            <w:u w:val="single"/>
          </w:rPr>
          <w:t>晚中新世科罗拉多河到达Bidahochi盆地支持大峡谷的溢出起源</w:t>
        </w:r>
      </w:hyperlink>
    </w:p>
    <w:p>
      <w:pPr>
        <w:spacing w:before="0" w:after="80"/>
      </w:pPr>
      <w:r>
        <w:rPr>
          <w:i/>
          <w:sz w:val="20"/>
        </w:rPr>
        <w:t>EN: Late Miocene Colorado River arrival in the Bidahochi basin supports spillover origin of Grand Canyon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38">
        <w:r>
          <w:rPr>
            <w:color w:val="1155CC"/>
            <w:u w:val="single"/>
          </w:rPr>
          <w:t>10.1126/science.adz6826</w:t>
        </w:r>
      </w:hyperlink>
    </w:p>
    <w:p>
      <w:pPr>
        <w:spacing w:before="0" w:after="120"/>
      </w:pPr>
      <w:r>
        <w:rPr>
          <w:b/>
        </w:rPr>
        <w:t xml:space="preserve">Notes: </w:t>
      </w:r>
      <w:r>
        <w:t>abstract_source=crossref</w:t>
      </w:r>
    </w:p>
    <w:p>
      <w:pPr>
        <w:spacing w:before="0" w:after="80" w:lineRule="auto" w:line="276"/>
      </w:pPr>
      <w:r>
        <w:rPr>
          <w:b/>
        </w:rPr>
        <w:t xml:space="preserve">摘要（ZH）: </w:t>
      </w:r>
      <w:r>
        <w:t>科罗拉多河的整合和大峡谷切割的时间和机制仍然是地质学中持久的争议之一。一个关键问题是1100万到600万年前上科罗拉多河流域的配置。在这项研究中，我们通过锆石铀-铅地质年代学提供了新的证据，表明来自布朗斯公园组的独特科罗拉多-格林河沉积物在660万年前到达了比达霍奇盆地。这与沉积速率增加一个数量级、碳酸盐锶同位素（87Sr/86Sr）比率的增加、大型鱼类物种的出现（这些鱼类特征于快速流动的水域）以及其他沉积学特征同时发生。</w:t>
      </w:r>
    </w:p>
    <w:p>
      <w:pPr>
        <w:spacing w:before="0" w:after="200" w:lineRule="auto" w:line="276"/>
      </w:pPr>
      <w:r>
        <w:rPr>
          <w:b/>
        </w:rPr>
        <w:t xml:space="preserve">Abstract (EN): </w:t>
      </w:r>
      <w:r>
        <w:t>The timing and mechanism of the integration of the Colorado River and incision of the Grand Canyon remain among geology’s enduring controversies. A key question is the configuration of the upper Colorado River watershed between 11 and 6 million years ago. In this study, we present new evidence from zircon uranium-lead geochronology for the arrival of distinctive Colorado–Green River sediment in the Bidahochi basin by 6.6 million years ago derived from the Browns Park Formation. This is coeval with an order-of-magnitude increase in depositional rate, an increase in carbonate strontium isotope (</w:t>
      </w:r>
      <w:r>
        <w:rPr>
          <w:vertAlign w:val="subscript"/>
        </w:rPr>
        <w:t>87</w:t>
      </w:r>
      <w:r>
        <w:t>Sr/</w:t>
      </w:r>
      <w:r>
        <w:rPr>
          <w:vertAlign w:val="subscript"/>
        </w:rPr>
        <w:t>86</w:t>
      </w:r>
      <w:r>
        <w:t>Sr) ratios, the appearance of large fish species characteristic of fast-flowing waters, and other sedimentological changes. This evidence is consistent with the Colorado River supplying water and sediment to the Bidahochi basin before spillover integration of the river through the Grand Canyon.</w:t>
      </w:r>
    </w:p>
    <w:p>
      <w:pPr>
        <w:spacing w:before="120" w:after="120"/>
      </w:pPr>
      <w:r>
        <w:rPr>
          <w:sz w:val="18"/>
        </w:rPr>
        <w:t>——————————————————————————————————————————————————————————————————————</w:t>
      </w:r>
    </w:p>
    <w:p>
      <w:pPr>
        <w:spacing w:before="160" w:after="40" w:line="240" w:lineRule="auto"/>
      </w:pPr>
      <w:r>
        <w:rPr>
          <w:b/>
        </w:rPr>
        <w:t xml:space="preserve">[449] </w:t>
      </w:r>
      <w:hyperlink r:id="rId1039">
        <w:r>
          <w:rPr>
            <w:color w:val="1155CC"/>
            <w:u w:val="single"/>
          </w:rPr>
          <w:t>用缺陷塑造组织</w:t>
        </w:r>
      </w:hyperlink>
    </w:p>
    <w:p>
      <w:pPr>
        <w:spacing w:before="0" w:after="80"/>
      </w:pPr>
      <w:r>
        <w:rPr>
          <w:i/>
          <w:sz w:val="20"/>
        </w:rPr>
        <w:t>EN: Shaping tissues with defects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40">
        <w:r>
          <w:rPr>
            <w:color w:val="1155CC"/>
            <w:u w:val="single"/>
          </w:rPr>
          <w:t>10.1126/science.aeg5982</w:t>
        </w:r>
      </w:hyperlink>
    </w:p>
    <w:p>
      <w:pPr>
        <w:spacing w:before="0" w:after="120"/>
      </w:pPr>
      <w:r>
        <w:rPr>
          <w:b/>
        </w:rPr>
        <w:t xml:space="preserve">Notes: </w:t>
      </w:r>
      <w:r>
        <w:t>abstract_source=crossref</w:t>
      </w:r>
    </w:p>
    <w:p>
      <w:pPr>
        <w:spacing w:before="0" w:after="80" w:lineRule="auto" w:line="276"/>
      </w:pPr>
      <w:r>
        <w:rPr>
          <w:b/>
        </w:rPr>
        <w:t xml:space="preserve">摘要（ZH）: </w:t>
      </w:r>
      <w:r>
        <w:t>拓扑缺陷编码几何特征，使活细胞片层变形为可预测的结构</w:t>
      </w:r>
    </w:p>
    <w:p>
      <w:pPr>
        <w:spacing w:before="0" w:after="200" w:lineRule="auto" w:line="276"/>
      </w:pPr>
      <w:r>
        <w:rPr>
          <w:b/>
        </w:rPr>
        <w:t xml:space="preserve">Abstract (EN): </w:t>
      </w:r>
      <w:r>
        <w:t>Topological defects encode geometric features that morph living cell sheets into predictable structures</w:t>
      </w:r>
    </w:p>
    <w:p>
      <w:pPr>
        <w:spacing w:before="120" w:after="120"/>
      </w:pPr>
      <w:r>
        <w:rPr>
          <w:sz w:val="18"/>
        </w:rPr>
        <w:t>——————————————————————————————————————————————————————————————————————</w:t>
      </w:r>
    </w:p>
    <w:p>
      <w:pPr>
        <w:spacing w:before="160" w:after="40" w:line="240" w:lineRule="auto"/>
      </w:pPr>
      <w:r>
        <w:rPr>
          <w:b/>
        </w:rPr>
        <w:t xml:space="preserve">[450] </w:t>
      </w:r>
      <w:hyperlink r:id="rId1041">
        <w:r>
          <w:rPr>
            <w:color w:val="1155CC"/>
            <w:u w:val="single"/>
          </w:rPr>
          <w:t>冷潮</w:t>
        </w:r>
      </w:hyperlink>
    </w:p>
    <w:p>
      <w:pPr>
        <w:spacing w:before="0" w:after="80"/>
      </w:pPr>
      <w:r>
        <w:rPr>
          <w:i/>
          <w:sz w:val="20"/>
        </w:rPr>
        <w:t>EN: Cold rush</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42">
        <w:r>
          <w:rPr>
            <w:color w:val="1155CC"/>
            <w:u w:val="single"/>
          </w:rPr>
          <w:t>10.1126/science.aei0561</w:t>
        </w:r>
      </w:hyperlink>
    </w:p>
    <w:p>
      <w:pPr>
        <w:spacing w:before="0" w:after="120"/>
      </w:pPr>
      <w:r>
        <w:rPr>
          <w:b/>
        </w:rPr>
        <w:t xml:space="preserve">Notes: </w:t>
      </w:r>
      <w:r>
        <w:t>abstract_source=crossref</w:t>
      </w:r>
    </w:p>
    <w:p>
      <w:pPr>
        <w:spacing w:before="0" w:after="80" w:lineRule="auto" w:line="276"/>
      </w:pPr>
      <w:r>
        <w:rPr>
          <w:b/>
        </w:rPr>
        <w:t xml:space="preserve">摘要（ZH）: </w:t>
      </w:r>
      <w:r>
        <w:t>随着量子计算机变得更大，研究人员争相在没有稀有氦-3的情况下冷却硬件</w:t>
      </w:r>
    </w:p>
    <w:p>
      <w:pPr>
        <w:spacing w:before="0" w:after="200" w:lineRule="auto" w:line="276"/>
      </w:pPr>
      <w:r>
        <w:rPr>
          <w:b/>
        </w:rPr>
        <w:t xml:space="preserve">Abstract (EN): </w:t>
      </w:r>
      <w:r>
        <w:t>As quantum computers get bigger, researchers scramble to chill hardware without rare helium-3</w:t>
      </w:r>
    </w:p>
    <w:p>
      <w:pPr>
        <w:spacing w:before="120" w:after="120"/>
      </w:pPr>
      <w:r>
        <w:rPr>
          <w:sz w:val="18"/>
        </w:rPr>
        <w:t>——————————————————————————————————————————————————————————————————————</w:t>
      </w:r>
    </w:p>
    <w:p>
      <w:pPr>
        <w:spacing w:before="160" w:after="40" w:line="240" w:lineRule="auto"/>
      </w:pPr>
      <w:r>
        <w:rPr>
          <w:b/>
        </w:rPr>
        <w:t xml:space="preserve">[451] </w:t>
      </w:r>
      <w:hyperlink r:id="rId1043">
        <w:r>
          <w:rPr>
            <w:color w:val="1155CC"/>
            <w:u w:val="single"/>
          </w:rPr>
          <w:t>可编程的细胞蛋白工厂</w:t>
        </w:r>
      </w:hyperlink>
    </w:p>
    <w:p>
      <w:pPr>
        <w:spacing w:before="0" w:after="80"/>
      </w:pPr>
      <w:r>
        <w:rPr>
          <w:i/>
          <w:sz w:val="20"/>
        </w:rPr>
        <w:t>EN: Programmable cellular protein factories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44">
        <w:r>
          <w:rPr>
            <w:color w:val="1155CC"/>
            <w:u w:val="single"/>
          </w:rPr>
          <w:t>10.1126/science.aeg7084</w:t>
        </w:r>
      </w:hyperlink>
    </w:p>
    <w:p>
      <w:pPr>
        <w:spacing w:before="0" w:after="120"/>
      </w:pPr>
      <w:r>
        <w:rPr>
          <w:b/>
        </w:rPr>
        <w:t xml:space="preserve">Notes: </w:t>
      </w:r>
      <w:r>
        <w:t>abstract_source=crossref</w:t>
      </w:r>
    </w:p>
    <w:p>
      <w:pPr>
        <w:spacing w:before="0" w:after="80" w:lineRule="auto" w:line="276"/>
      </w:pPr>
      <w:r>
        <w:rPr>
          <w:b/>
        </w:rPr>
        <w:t xml:space="preserve">摘要（ZH）: </w:t>
      </w:r>
      <w:r>
        <w:t>工程化的免疫细胞前体在小鼠中按需产生抗体</w:t>
      </w:r>
    </w:p>
    <w:p>
      <w:pPr>
        <w:spacing w:before="0" w:after="200" w:lineRule="auto" w:line="276"/>
      </w:pPr>
      <w:r>
        <w:rPr>
          <w:b/>
        </w:rPr>
        <w:t xml:space="preserve">Abstract (EN): </w:t>
      </w:r>
      <w:r>
        <w:t>Engineered immune cell precursors produce antibodies on demand in mice</w:t>
      </w:r>
    </w:p>
    <w:p>
      <w:pPr>
        <w:spacing w:before="120" w:after="120"/>
      </w:pPr>
      <w:r>
        <w:rPr>
          <w:sz w:val="18"/>
        </w:rPr>
        <w:t>——————————————————————————————————————————————————————————————————————</w:t>
      </w:r>
    </w:p>
    <w:p>
      <w:pPr>
        <w:spacing w:before="160" w:after="40" w:line="240" w:lineRule="auto"/>
      </w:pPr>
      <w:r>
        <w:rPr>
          <w:b/>
        </w:rPr>
        <w:t xml:space="preserve">[452] </w:t>
      </w:r>
      <w:hyperlink r:id="rId1045">
        <w:r>
          <w:rPr>
            <w:color w:val="1155CC"/>
            <w:u w:val="single"/>
          </w:rPr>
          <w:t>将细胞向列弹性体引导成形状可编程的活性表面</w:t>
        </w:r>
      </w:hyperlink>
    </w:p>
    <w:p>
      <w:pPr>
        <w:spacing w:before="0" w:after="80"/>
      </w:pPr>
      <w:r>
        <w:rPr>
          <w:i/>
          <w:sz w:val="20"/>
        </w:rPr>
        <w:t>EN: Guidance of cellular nematic elastomers into shape-programmable living surfaces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46">
        <w:r>
          <w:rPr>
            <w:color w:val="1155CC"/>
            <w:u w:val="single"/>
          </w:rPr>
          <w:t>10.1126/science.adz9174</w:t>
        </w:r>
      </w:hyperlink>
    </w:p>
    <w:p>
      <w:pPr>
        <w:spacing w:before="0" w:after="120"/>
      </w:pPr>
      <w:r>
        <w:rPr>
          <w:b/>
        </w:rPr>
        <w:t xml:space="preserve">Notes: </w:t>
      </w:r>
      <w:r>
        <w:t>abstract_source=crossref</w:t>
      </w:r>
    </w:p>
    <w:p>
      <w:pPr>
        <w:spacing w:before="0" w:after="80" w:lineRule="auto" w:line="276"/>
      </w:pPr>
      <w:r>
        <w:rPr>
          <w:b/>
        </w:rPr>
        <w:t xml:space="preserve">摘要（ZH）: </w:t>
      </w:r>
      <w:r>
        <w:t>工程化的活体材料能够自主变形为预定形状，这为合成形态发生和软体机器人提供了潜力。利用细胞组织自组织和产生力提供了一条实现这一目标的有前途的途径。然而，控制组织力学以引导形态发生仍然具有挑战性。我们介绍了一种通过细胞力的向列组织来编程组织形状转变的策略。通过控制向列序和拓扑缺陷，我们生成了具有特定应力场的编程组织。使用结合收缩向列体与薄片力学的理论框架，我们展示了向列引导的主动应力可以通过高斯变形驱动形态发生。在实验中，向列组织的分离触发了</w:t>
      </w:r>
    </w:p>
    <w:p>
      <w:pPr>
        <w:spacing w:before="0" w:after="200" w:lineRule="auto" w:line="276"/>
      </w:pPr>
      <w:r>
        <w:rPr>
          <w:b/>
        </w:rPr>
        <w:t xml:space="preserve">Abstract (EN): </w:t>
      </w:r>
      <w:r>
        <w:t>Engineering living materials that autonomously morph into predetermined shapes holds potential for synthetic morphogenesis and soft robotics. Harnessing cellular tissues to self-organize and generate forces offers a promising route toward this goal. However, controlling tissue mechanics to direct morphogenesis remains challenging. We introduce a strategy to program tissue-shape transformations through nematic organization of cellular forces. By controlling nematic order and topological defects, we generate tissues programmed with specific stress fields. Using a theoretical framework coupling contractile nematics with thin-sheet mechanics, we show that nematically guided active stresses can drive morphogenesis through Gaussian morphing. Experimentally, detachment of nematic tissues triggers out-of-plane deformations, generating reproducible three-dimensional shapes. Integrating contractility and nematic patterning, our approach establishes a framework for designing shape-programmable living surfaces.</w:t>
      </w:r>
    </w:p>
    <w:p>
      <w:pPr>
        <w:spacing w:before="120" w:after="120"/>
      </w:pPr>
      <w:r>
        <w:rPr>
          <w:sz w:val="18"/>
        </w:rPr>
        <w:t>——————————————————————————————————————————————————————————————————————</w:t>
      </w:r>
    </w:p>
    <w:p>
      <w:pPr>
        <w:spacing w:before="160" w:after="40" w:line="240" w:lineRule="auto"/>
      </w:pPr>
      <w:r>
        <w:rPr>
          <w:b/>
        </w:rPr>
        <w:t xml:space="preserve">[453] </w:t>
      </w:r>
      <w:hyperlink r:id="rId1047">
        <w:r>
          <w:rPr>
            <w:color w:val="1155CC"/>
            <w:u w:val="single"/>
          </w:rPr>
          <w:t>太阳系对软X射线天空的贡献的确定</w:t>
        </w:r>
      </w:hyperlink>
    </w:p>
    <w:p>
      <w:pPr>
        <w:spacing w:before="0" w:after="80"/>
      </w:pPr>
      <w:r>
        <w:rPr>
          <w:i/>
          <w:sz w:val="20"/>
        </w:rPr>
        <w:t>EN: Determination of the Solar System contribution to the soft x-ray sky</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48">
        <w:r>
          <w:rPr>
            <w:color w:val="1155CC"/>
            <w:u w:val="single"/>
          </w:rPr>
          <w:t>10.1126/science.adt9147</w:t>
        </w:r>
      </w:hyperlink>
    </w:p>
    <w:p>
      <w:pPr>
        <w:spacing w:before="0" w:after="120"/>
      </w:pPr>
      <w:r>
        <w:rPr>
          <w:b/>
        </w:rPr>
        <w:t xml:space="preserve">Notes: </w:t>
      </w:r>
      <w:r>
        <w:t>abstract_source=crossref</w:t>
      </w:r>
    </w:p>
    <w:p>
      <w:pPr>
        <w:spacing w:before="0" w:after="80" w:lineRule="auto" w:line="276"/>
      </w:pPr>
      <w:r>
        <w:rPr>
          <w:b/>
        </w:rPr>
        <w:t xml:space="preserve">摘要（ZH）: </w:t>
      </w:r>
      <w:r>
        <w:t>太阳风带电粒子与日球层内的弥散气体相互作用，产生软x射线。这种太阳风电荷交换（SWCX）过程产生的前景辐射使x射线观测的解释变得复杂。在这项工作中，我们分析了由Spectrum-Roentgen-Gamma（SRG）航天器上的扩展Roentgen成像望远镜阵列（eROSITA）仪器对银河西半球的x射线观测。这些数据避免了地球地冠的污染，并来自于包括太阳活动周期最低点在内的四次全天空调查。我们确定了SWCX的贡献并将其从调查中扣除，提供了一个污染较少的弥散软x射线天空视图。我们还证明了x射线可以用于绘制流动</w:t>
      </w:r>
    </w:p>
    <w:p>
      <w:pPr>
        <w:spacing w:before="0" w:after="200" w:lineRule="auto" w:line="276"/>
      </w:pPr>
      <w:r>
        <w:rPr>
          <w:b/>
        </w:rPr>
        <w:t xml:space="preserve">Abstract (EN): </w:t>
      </w:r>
      <w:r>
        <w:t>Solar wind charged particles interact with diffuse gas within the heliosphere, producing soft x-rays. This solar wind charge exchange (SWCX) process produces foreground emission that complicates interpretation of x-ray observations. In this work, we analyze x-ray observations of the western Galactic hemisphere by the Extended Roentgen Survey with an Imaging Telescope Array (eROSITA) instrument on the Spectrum-Roentgen-Gamma (SRG) spacecraft. These data avoid contamination by Earth’s geocorona and are derived from four surveys of the full sky, including during the minimum of the Sun’s activity cycle. We determine the SWCX contribution and subtract it from the survey, providing a less contaminated view of the diffuse soft x-ray sky. We also demonstrate that x-rays can be used to map the flow of interstellar matter through the Solar System.</w:t>
      </w:r>
    </w:p>
    <w:p>
      <w:pPr>
        <w:spacing w:before="120" w:after="120"/>
      </w:pPr>
      <w:r>
        <w:rPr>
          <w:sz w:val="18"/>
        </w:rPr>
        <w:t>——————————————————————————————————————————————————————————————————————</w:t>
      </w:r>
    </w:p>
    <w:p>
      <w:pPr>
        <w:spacing w:before="160" w:after="40" w:line="240" w:lineRule="auto"/>
      </w:pPr>
      <w:r>
        <w:rPr>
          <w:b/>
        </w:rPr>
        <w:t xml:space="preserve">[454] </w:t>
      </w:r>
      <w:hyperlink r:id="rId1049">
        <w:r>
          <w:rPr>
            <w:color w:val="1155CC"/>
            <w:u w:val="single"/>
          </w:rPr>
          <w:t>ComEC在自然转化中对DNA处理和膜转运的结构基础</w:t>
        </w:r>
      </w:hyperlink>
    </w:p>
    <w:p>
      <w:pPr>
        <w:spacing w:before="0" w:after="80"/>
      </w:pPr>
      <w:r>
        <w:rPr>
          <w:i/>
          <w:sz w:val="20"/>
        </w:rPr>
        <w:t>EN: Structural basis for DNA processing and membrane translocation by ComEC in natural transformation</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50">
        <w:r>
          <w:rPr>
            <w:color w:val="1155CC"/>
            <w:u w:val="single"/>
          </w:rPr>
          <w:t>10.1126/science.aea3485</w:t>
        </w:r>
      </w:hyperlink>
    </w:p>
    <w:p>
      <w:pPr>
        <w:spacing w:before="0" w:after="120"/>
      </w:pPr>
      <w:r>
        <w:rPr>
          <w:b/>
        </w:rPr>
        <w:t xml:space="preserve">Notes: </w:t>
      </w:r>
      <w:r>
        <w:t>abstract_source=crossref</w:t>
      </w:r>
    </w:p>
    <w:p>
      <w:pPr>
        <w:spacing w:before="0" w:after="80" w:lineRule="auto" w:line="276"/>
      </w:pPr>
      <w:r>
        <w:rPr>
          <w:b/>
        </w:rPr>
        <w:t xml:space="preserve">摘要（ZH）: </w:t>
      </w:r>
      <w:r>
        <w:t>自然转化是细菌中水平基因转移的主要途径之一，使得细胞外DNA的获取及其整合到宿主基因组成为可能。ComEC是一种负责在此过程中DNA转运的膜蛋白，但其精确功能和结构仍然难以捉摸。在此，我们报告了ComEC在无DNA、单链DNA（ssDNA）结合和双链DNA（dsDNA）结合形式下的冷冻电子显微镜结构，以及生化分析。这些结构揭示了ComEC在其细胞外结构域切割dsDNA的一条链，并将剩余的链引导到膜结构域内形成的带正电荷的孔中。这些发现为ComEC在DNA处理中的长期假设角色提供了结构基础。</w:t>
      </w:r>
    </w:p>
    <w:p>
      <w:pPr>
        <w:spacing w:before="0" w:after="200" w:lineRule="auto" w:line="276"/>
      </w:pPr>
      <w:r>
        <w:rPr>
          <w:b/>
        </w:rPr>
        <w:t xml:space="preserve">Abstract (EN): </w:t>
      </w:r>
      <w:r>
        <w:t>Natural transformation is one of the major pathways of horizontal gene transfer in bacteria, enabling the acquisition of extracellular DNA and its integration into the host genome. ComEC is a membrane protein responsible for DNA translocation in this process, yet its precise function and structure have remained elusive. Here, we report cryo–electron microscopy structures of ComEC in DNA-free, single-stranded DNA (ssDNA)–bound, and double-stranded DNA (dsDNA)–bound forms, together with biochemical analyses. These structures reveal that ComEC cleaves one strand of dsDNA at its extracellular domain and guides the remaining strand into a positively charged pore formed within the membrane domain. These findings provide a structural basis for the long-hypothesized roles of ComEC in both DNA processing and translocation across the inner membrane during natural transformation.</w:t>
      </w:r>
    </w:p>
    <w:p>
      <w:pPr>
        <w:spacing w:before="120" w:after="120"/>
      </w:pPr>
      <w:r>
        <w:rPr>
          <w:sz w:val="18"/>
        </w:rPr>
        <w:t>——————————————————————————————————————————————————————————————————————</w:t>
      </w:r>
    </w:p>
    <w:p>
      <w:pPr>
        <w:spacing w:before="160" w:after="40" w:line="240" w:lineRule="auto"/>
      </w:pPr>
      <w:r>
        <w:rPr>
          <w:b/>
        </w:rPr>
        <w:t xml:space="preserve">[455] </w:t>
      </w:r>
      <w:hyperlink r:id="rId1051">
        <w:r>
          <w:rPr>
            <w:color w:val="1155CC"/>
            <w:u w:val="single"/>
          </w:rPr>
          <w:t>准确计算中国的台风损失</w:t>
        </w:r>
      </w:hyperlink>
    </w:p>
    <w:p>
      <w:pPr>
        <w:spacing w:before="0" w:after="80"/>
      </w:pPr>
      <w:r>
        <w:rPr>
          <w:i/>
          <w:sz w:val="20"/>
        </w:rPr>
        <w:t>EN: Accurately accounting for China’s typhoon losses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52">
        <w:r>
          <w:rPr>
            <w:color w:val="1155CC"/>
            <w:u w:val="single"/>
          </w:rPr>
          <w:t>10.1126/science.adw4897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[456] </w:t>
      </w:r>
      <w:hyperlink r:id="rId1053">
        <w:r>
          <w:rPr>
            <w:color w:val="1155CC"/>
            <w:u w:val="single"/>
          </w:rPr>
          <w:t>超纳米域在铜箔中实现强度-导电性协同效应</w:t>
        </w:r>
      </w:hyperlink>
    </w:p>
    <w:p>
      <w:pPr>
        <w:spacing w:before="0" w:after="80"/>
      </w:pPr>
      <w:r>
        <w:rPr>
          <w:i/>
          <w:sz w:val="20"/>
        </w:rPr>
        <w:t>EN: Super-nano domains enable strength-conductivity synergy in copper foils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54">
        <w:r>
          <w:rPr>
            <w:color w:val="1155CC"/>
            <w:u w:val="single"/>
          </w:rPr>
          <w:t>10.1126/science.aed7758</w:t>
        </w:r>
      </w:hyperlink>
    </w:p>
    <w:p>
      <w:pPr>
        <w:spacing w:before="0" w:after="120"/>
      </w:pPr>
      <w:r>
        <w:rPr>
          <w:b/>
        </w:rPr>
        <w:t xml:space="preserve">Notes: </w:t>
      </w:r>
      <w:r>
        <w:t>abstract_source=crossref</w:t>
      </w:r>
    </w:p>
    <w:p>
      <w:pPr>
        <w:spacing w:before="0" w:after="80" w:lineRule="auto" w:line="276"/>
      </w:pPr>
      <w:r>
        <w:rPr>
          <w:b/>
        </w:rPr>
        <w:t xml:space="preserve">摘要（ZH）: </w:t>
      </w:r>
      <w:r>
        <w:t>同时具有超高强度、高电导率和热稳定性的铜箔的开发仍然是先进电子和储能系统的重大挑战。我们报告了一种10微米厚的铜箔，其特征是纳米级晶粒和在其厚度上周期性分布的梯度超纳米域（约3纳米大小），通过工业可扩展的电沉积工艺生产。这种铜箔展示了约900兆帕的拉伸强度、90%的标准电导率和卓越的热稳定性。这些优越的性能源于一种双重强化-稳定机制，其中周期性分布的超纳米域既增强了强度又稳定了结构。</w:t>
      </w:r>
    </w:p>
    <w:p>
      <w:pPr>
        <w:spacing w:before="0" w:after="200" w:lineRule="auto" w:line="276"/>
      </w:pPr>
      <w:r>
        <w:rPr>
          <w:b/>
        </w:rPr>
        <w:t xml:space="preserve">Abstract (EN): </w:t>
      </w:r>
      <w:r>
        <w:t>The development of copper foils that simultaneously exhibit ultrahigh strength, high electrical conductivity, and thermal stability remains a major challenge for advanced electronics and energy storage systems. We report a 10-micrometer-thick copper foil featuring nanoscale grains and periodically distributed gradient super-nano domains (approximately 3 nanometers in size) throughout its thickness that was produced by an industrially scalable electrodeposition process. This copper foil demonstrates a combination of approximately 900-megapascal tensile strength, 90% standard electrical conductivity, and exceptional thermal stability. These superior properties originate from a dual strengthening-stabilization mechanism in which the periodically distributed super-nano domains both enhance strength and stabilize grain boundaries. This strategy not only advances copper foil technology but also provides a general design pathway for developing other scalable, high-performance metallic materials.</w:t>
      </w:r>
    </w:p>
    <w:p>
      <w:pPr>
        <w:spacing w:before="120" w:after="120"/>
      </w:pPr>
      <w:r>
        <w:rPr>
          <w:sz w:val="18"/>
        </w:rPr>
        <w:t>——————————————————————————————————————————————————————————————————————</w:t>
      </w:r>
    </w:p>
    <w:p>
      <w:pPr>
        <w:spacing w:before="160" w:after="40" w:line="240" w:lineRule="auto"/>
      </w:pPr>
      <w:r>
        <w:rPr>
          <w:b/>
        </w:rPr>
        <w:t xml:space="preserve">[457] </w:t>
      </w:r>
      <w:hyperlink r:id="rId1055">
        <w:r>
          <w:rPr>
            <w:color w:val="1155CC"/>
            <w:u w:val="single"/>
          </w:rPr>
          <w:t>乔治·沙勒的生活和遗产</w:t>
        </w:r>
      </w:hyperlink>
    </w:p>
    <w:p>
      <w:pPr>
        <w:spacing w:before="0" w:after="80"/>
      </w:pPr>
      <w:r>
        <w:rPr>
          <w:i/>
          <w:sz w:val="20"/>
        </w:rPr>
        <w:t>EN: The life and legacy of George Schaller</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56">
        <w:r>
          <w:rPr>
            <w:color w:val="1155CC"/>
            <w:u w:val="single"/>
          </w:rPr>
          <w:t>10.1126/science.aee8708</w:t>
        </w:r>
      </w:hyperlink>
    </w:p>
    <w:p>
      <w:pPr>
        <w:spacing w:before="0" w:after="120"/>
      </w:pPr>
      <w:r>
        <w:rPr>
          <w:b/>
        </w:rPr>
        <w:t xml:space="preserve">Notes: </w:t>
      </w:r>
      <w:r>
        <w:t>abstract_source=crossref</w:t>
      </w:r>
    </w:p>
    <w:p>
      <w:pPr>
        <w:spacing w:before="0" w:after="80" w:lineRule="auto" w:line="276"/>
      </w:pPr>
      <w:r>
        <w:rPr>
          <w:b/>
        </w:rPr>
        <w:t xml:space="preserve">摘要（ZH）: </w:t>
      </w:r>
      <w:r>
        <w:t>一本细致的传记捕捉了一位在野外生物学领域的杰出人物的故事。</w:t>
      </w:r>
    </w:p>
    <w:p>
      <w:pPr>
        <w:spacing w:before="0" w:after="200" w:lineRule="auto" w:line="276"/>
      </w:pPr>
      <w:r>
        <w:rPr>
          <w:b/>
        </w:rPr>
        <w:t xml:space="preserve">Abstract (EN): </w:t>
      </w:r>
      <w:r>
        <w:t>A meticulous biography captures the story of a towering figure in field biology</w:t>
      </w:r>
    </w:p>
    <w:p>
      <w:pPr>
        <w:spacing w:before="120" w:after="120"/>
      </w:pPr>
      <w:r>
        <w:rPr>
          <w:sz w:val="18"/>
        </w:rPr>
        <w:t>——————————————————————————————————————————————————————————————————————</w:t>
      </w:r>
    </w:p>
    <w:p>
      <w:pPr>
        <w:spacing w:before="160" w:after="40" w:line="240" w:lineRule="auto"/>
      </w:pPr>
      <w:r>
        <w:rPr>
          <w:b/>
        </w:rPr>
        <w:t xml:space="preserve">[458] </w:t>
      </w:r>
      <w:hyperlink r:id="rId1057">
        <w:r>
          <w:rPr>
            <w:color w:val="1155CC"/>
            <w:u w:val="single"/>
          </w:rPr>
          <w:t>中温鱼类在变暖的海洋中面临高燃料需求和过热风险</w:t>
        </w:r>
      </w:hyperlink>
    </w:p>
    <w:p>
      <w:pPr>
        <w:spacing w:before="0" w:after="80"/>
      </w:pPr>
      <w:r>
        <w:rPr>
          <w:i/>
          <w:sz w:val="20"/>
        </w:rPr>
        <w:t>EN: Mesothermic fishes face high fuel demands and overheating risk in warming oceans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58">
        <w:r>
          <w:rPr>
            <w:color w:val="1155CC"/>
            <w:u w:val="single"/>
          </w:rPr>
          <w:t>10.1126/science.adt2981</w:t>
        </w:r>
      </w:hyperlink>
    </w:p>
    <w:p>
      <w:pPr>
        <w:spacing w:before="0" w:after="120"/>
      </w:pPr>
      <w:r>
        <w:rPr>
          <w:b/>
        </w:rPr>
        <w:t xml:space="preserve">Notes: </w:t>
      </w:r>
      <w:r>
        <w:t>abstract_source=crossref</w:t>
      </w:r>
    </w:p>
    <w:p>
      <w:pPr>
        <w:spacing w:before="0" w:after="80" w:lineRule="auto" w:line="276"/>
      </w:pPr>
      <w:r>
        <w:rPr>
          <w:b/>
        </w:rPr>
        <w:t xml:space="preserve">摘要（ZH）: </w:t>
      </w:r>
      <w:r>
        <w:t>身体大小和温度设定了代谢率和生命节奏，但我们对大型鱼类的能量学理解仍不确定，尤其是温血中温动物，它们可以对海洋食物网产生重大影响。我们开发了一种方法来估算鱼类的代谢热量产生，揭示了从1毫克幼虫到3吨重的巨型食浮游生物鲨鱼，日常能量消耗如何随大小和温度变化而变化。我们发现中温动物使用的能量大约是冷血动物的四倍，并识别出一种比例失调，即随着身体大小的增加，热量产生的速度比热量损失的速度增加得更快，较大的鱼类变得越来越温暖。这种比例失衡为大型中温动物创造了过热的困境，有助于解释它们的</w:t>
      </w:r>
    </w:p>
    <w:p>
      <w:pPr>
        <w:spacing w:before="0" w:after="200" w:lineRule="auto" w:line="276"/>
      </w:pPr>
      <w:r>
        <w:rPr>
          <w:b/>
        </w:rPr>
        <w:t xml:space="preserve">Abstract (EN): </w:t>
      </w:r>
      <w:r>
        <w:t>Body size and temperature set metabolic rates and the pace of life, yet our understanding of the energetics of large fishes is uncertain, especially of warm-bodied mesotherms, which can heavily influence marine food webs. We developed an approach to estimate metabolic heat production in fishes, revealing how routine energy expenditure scales with size and temperature from 1-milligram larvae up to 3-tonne megaplanktivorous sharks. We found that mesotherms use approximately four times more energy than ectotherms use and identified a scaling mismatch in which rates of heat production increase faster than heat loss as body size increases, with larger fish becoming increasingly warm bodied. This scaling imbalance creates an overheating predicament for large mesotherms, helping to explain their cooler biogeographies. Contemporary mesotherms face high fuel demands and overheating risks, which is a concern given their disproportionate demise during prior climate shifts.</w:t>
      </w:r>
    </w:p>
    <w:p>
      <w:pPr>
        <w:spacing w:before="120" w:after="120"/>
      </w:pPr>
      <w:r>
        <w:rPr>
          <w:sz w:val="18"/>
        </w:rPr>
        <w:t>——————————————————————————————————————————————————————————————————————</w:t>
      </w:r>
    </w:p>
    <w:p>
      <w:pPr>
        <w:spacing w:before="160" w:after="40" w:line="240" w:lineRule="auto"/>
      </w:pPr>
      <w:r>
        <w:rPr>
          <w:b/>
        </w:rPr>
        <w:t xml:space="preserve">[459] </w:t>
      </w:r>
      <w:hyperlink r:id="rId1059">
        <w:r>
          <w:rPr>
            <w:color w:val="1155CC"/>
            <w:u w:val="single"/>
          </w:rPr>
          <w:t>谈话疗法</w:t>
        </w:r>
      </w:hyperlink>
    </w:p>
    <w:p>
      <w:pPr>
        <w:spacing w:before="0" w:after="80"/>
      </w:pPr>
      <w:r>
        <w:rPr>
          <w:i/>
          <w:sz w:val="20"/>
        </w:rPr>
        <w:t>EN: Talk therapy</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60">
        <w:r>
          <w:rPr>
            <w:color w:val="1155CC"/>
            <w:u w:val="single"/>
          </w:rPr>
          <w:t>10.1126/science.aei0199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[460] </w:t>
      </w:r>
      <w:hyperlink r:id="rId106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62">
        <w:r>
          <w:rPr>
            <w:color w:val="1155CC"/>
            <w:u w:val="single"/>
          </w:rPr>
          <w:t>10.1126/science.aei0198</w:t>
        </w:r>
      </w:hyperlink>
    </w:p>
    <w:p>
      <w:pPr>
        <w:spacing w:before="0" w:after="120"/>
      </w:pPr>
      <w:r>
        <w:rPr>
          <w:b/>
        </w:rPr>
        <w:t xml:space="preserve">Notes: </w:t>
      </w:r>
      <w:r>
        <w:t>abstract_source=crossref</w:t>
      </w:r>
    </w:p>
    <w:p>
      <w:pPr>
        <w:spacing w:before="0" w:after="80" w:lineRule="auto" w:line="276"/>
      </w:pPr>
      <w:r>
        <w:rPr>
          <w:b/>
        </w:rPr>
        <w:t xml:space="preserve">摘要（ZH）: </w:t>
      </w:r>
      <w:r>
        <w:t>编辑从当前科学文献中精选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[461] </w:t>
      </w:r>
      <w:hyperlink r:id="rId1063">
        <w:r>
          <w:rPr>
            <w:color w:val="1155CC"/>
            <w:u w:val="single"/>
          </w:rPr>
          <w:t>我们的宇宙，我们自己</w:t>
        </w:r>
      </w:hyperlink>
    </w:p>
    <w:p>
      <w:pPr>
        <w:spacing w:before="0" w:after="80"/>
      </w:pPr>
      <w:r>
        <w:rPr>
          <w:i/>
          <w:sz w:val="20"/>
        </w:rPr>
        <w:t>EN: Our cosmos, ourselves</w:t>
      </w:r>
    </w:p>
    <w:p>
      <w:pPr>
        <w:spacing w:before="0" w:after="120"/>
      </w:pPr>
      <w:r>
        <w:rPr>
          <w:b/>
        </w:rPr>
        <w:t xml:space="preserve">Source: </w:t>
      </w:r>
      <w:r>
        <w:t>AAAS: Science: Table of Contents</w:t>
      </w:r>
      <w:r>
        <w:t xml:space="preserve">    </w:t>
      </w:r>
      <w:r>
        <w:rPr>
          <w:b/>
        </w:rPr>
        <w:t xml:space="preserve">Pub date: </w:t>
      </w:r>
      <w:r>
        <w:t>2026-04-16 06:00:04+00:00</w:t>
      </w:r>
      <w:r>
        <w:t xml:space="preserve">    </w:t>
      </w:r>
      <w:r>
        <w:rPr>
          <w:b/>
        </w:rPr>
        <w:t xml:space="preserve">DOI: </w:t>
      </w:r>
      <w:hyperlink r:id="rId1064">
        <w:r>
          <w:rPr>
            <w:color w:val="1155CC"/>
            <w:u w:val="single"/>
          </w:rPr>
          <w:t>10.1126/science.aef5342</w:t>
        </w:r>
      </w:hyperlink>
    </w:p>
    <w:p>
      <w:pPr>
        <w:spacing w:before="0" w:after="120"/>
      </w:pPr>
      <w:r>
        <w:rPr>
          <w:b/>
        </w:rPr>
        <w:t xml:space="preserve">Notes: </w:t>
      </w:r>
      <w:r>
        <w:t>abstract_source=crossref</w:t>
      </w:r>
    </w:p>
    <w:p>
      <w:pPr>
        <w:spacing w:before="0" w:after="80" w:lineRule="auto" w:line="276"/>
      </w:pPr>
      <w:r>
        <w:rPr>
          <w:b/>
        </w:rPr>
        <w:t xml:space="preserve">摘要（ZH）: </w:t>
      </w:r>
      <w:r>
        <w:t>科学、文化和想象力是不可分割的，一位宇宙学家争辩道</w:t>
      </w:r>
    </w:p>
    <w:p>
      <w:pPr>
        <w:spacing w:before="0" w:after="200" w:lineRule="auto" w:line="276"/>
      </w:pPr>
      <w:r>
        <w:rPr>
          <w:b/>
        </w:rPr>
        <w:t xml:space="preserve">Abstract (EN): </w:t>
      </w:r>
      <w:r>
        <w:t>Science, culture, and imagination are inextricable, argues a cosmologist</w:t>
      </w:r>
    </w:p>
    <w:p>
      <w:pPr>
        <w:spacing w:before="120" w:after="120"/>
      </w:pPr>
      <w:r>
        <w:rPr>
          <w:sz w:val="18"/>
        </w:rPr>
        <w:t>——————————————————————————————————————————————————————————————————————</w:t>
      </w:r>
    </w:p>
    <w:p>
      <w:pPr>
        <w:spacing w:before="160" w:after="40" w:line="240" w:lineRule="auto"/>
      </w:pPr>
      <w:r>
        <w:rPr>
          <w:b/>
        </w:rPr>
        <w:t xml:space="preserve">[462] </w:t>
      </w:r>
      <w:hyperlink r:id="rId1065">
        <w:r>
          <w:rPr>
            <w:color w:val="1155CC"/>
            <w:u w:val="single"/>
          </w:rPr>
          <w:t>HNF1B在推动肾病进展的前馈回路中整合信号</w:t>
        </w:r>
      </w:hyperlink>
    </w:p>
    <w:p>
      <w:pPr>
        <w:spacing w:before="0" w:after="80"/>
      </w:pPr>
      <w:r>
        <w:rPr>
          <w:i/>
          <w:sz w:val="20"/>
        </w:rPr>
        <w:t>EN: HNF1B integrates signals in a feed-forward loop driving kidney disease progression</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66">
        <w:r>
          <w:rPr>
            <w:color w:val="1155CC"/>
            <w:u w:val="single"/>
          </w:rPr>
          <w:t>10.1126/science.aea3219</w:t>
        </w:r>
      </w:hyperlink>
    </w:p>
    <w:p>
      <w:pPr>
        <w:spacing w:before="0" w:after="120"/>
      </w:pPr>
      <w:r>
        <w:rPr>
          <w:b/>
        </w:rPr>
        <w:t xml:space="preserve">Notes: </w:t>
      </w:r>
      <w:r>
        <w:t>abstract_source=crossref</w:t>
      </w:r>
    </w:p>
    <w:p>
      <w:pPr>
        <w:spacing w:before="0" w:after="80" w:lineRule="auto" w:line="276"/>
      </w:pPr>
      <w:r>
        <w:rPr>
          <w:b/>
        </w:rPr>
        <w:t xml:space="preserve">摘要（ZH）: </w:t>
      </w:r>
      <w:r>
        <w:t>慢性肾病（CKD）影响全球超过10%的人口，即使在触发的损伤已解决后，可能仍会继续进展，这表明涉及自我维持的机制，这些机制仍然知之甚少。在此，我们识别出这种分子电路，以转录因子HNF1B为中心，它是肾上皮细胞身份的关键调节因子。在成年肾脏中，HNF1B的丧失会破坏上皮分化和静止，导致复制压力，并引发CKD。相反，CKD本身通过表观遗传抑制HNF1B活性，形成一个恶性循环，加剧疾病进展。在900名患者的队列中，较低的HNF1B活性与更严重的CKD相关联，将这一机制与常见形式的疾病联系起来。这些发现统一了罕见</w:t>
      </w:r>
    </w:p>
    <w:p>
      <w:pPr>
        <w:spacing w:before="0" w:after="200" w:lineRule="auto" w:line="276"/>
      </w:pPr>
      <w:r>
        <w:rPr>
          <w:b/>
        </w:rPr>
        <w:t xml:space="preserve">Abstract (EN): </w:t>
      </w:r>
      <w:r>
        <w:t>Chronic kidney disease (CKD), which affects more than 10% of the global population, may continue to progress even after the triggering insult has resolved, suggesting the involvement of self-sustaining mechanisms that remain poorly understood. Here, we identify this molecular circuitry, centered on the transcription factor HNF1B, a key regulator of renal epithelial identity. In adult kidneys, HNF1B loss disrupts epithelial differentiation and quiescence, induces replication stress, and triggers CKD. Conversely, CKD itself epigenetically suppresses HNF1B activity, creating a vicious cycle that amplifies disease progression. In a cohort of 900 patients, lower HNF1B activity correlated with greater CKD severity, linking this mechanism to common forms of the disease. These findings unify rare Mendelian and common complex kidney disorders and identify HNF1B loss as a driver of CKD.</w:t>
      </w:r>
    </w:p>
    <w:p>
      <w:pPr>
        <w:spacing w:before="120" w:after="120"/>
      </w:pPr>
      <w:r>
        <w:rPr>
          <w:sz w:val="18"/>
        </w:rPr>
        <w:t>——————————————————————————————————————————————————————————————————————</w:t>
      </w:r>
    </w:p>
    <w:p>
      <w:pPr>
        <w:spacing w:before="160" w:after="40" w:line="240" w:lineRule="auto"/>
      </w:pPr>
      <w:r>
        <w:rPr>
          <w:b/>
        </w:rPr>
        <w:t xml:space="preserve">[463] </w:t>
      </w:r>
      <w:hyperlink r:id="rId1067">
        <w:r>
          <w:rPr>
            <w:color w:val="1155CC"/>
            <w:u w:val="single"/>
          </w:rPr>
          <w:t>性别对人类大脑皮层基因表达的细胞类型分辨率影响</w:t>
        </w:r>
      </w:hyperlink>
    </w:p>
    <w:p>
      <w:pPr>
        <w:spacing w:before="0" w:after="80"/>
      </w:pPr>
      <w:r>
        <w:rPr>
          <w:i/>
          <w:sz w:val="20"/>
        </w:rPr>
        <w:t>EN: Sex effects on gene expression across the human cerebral cortex at cell type resolution</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68">
        <w:r>
          <w:rPr>
            <w:color w:val="1155CC"/>
            <w:u w:val="single"/>
          </w:rPr>
          <w:t>10.1126/science.aea9063</w:t>
        </w:r>
      </w:hyperlink>
    </w:p>
    <w:p>
      <w:pPr>
        <w:spacing w:before="0" w:after="120"/>
      </w:pPr>
      <w:r>
        <w:rPr>
          <w:b/>
        </w:rPr>
        <w:t xml:space="preserve">Notes: </w:t>
      </w:r>
      <w:r>
        <w:t>abstract_source=crossref</w:t>
      </w:r>
    </w:p>
    <w:p>
      <w:pPr>
        <w:spacing w:before="0" w:after="80" w:lineRule="auto" w:line="276"/>
      </w:pPr>
      <w:r>
        <w:rPr>
          <w:b/>
        </w:rPr>
        <w:t xml:space="preserve">摘要（ZH）: </w:t>
      </w:r>
      <w:r>
        <w:t>神经发育、精神和神经退行性疾病易感性的性别差异可能源于性染色体和激素对细胞类型特异性基因表达的影响。我们展示了一项对成年人大脑皮层的单细胞转录组分析，使用来自15名女性和15名男性（年龄26至78岁）的169个样本，跨越六个根据其性别偏向体积选择的区域。基于性别的分析识别出在梭状皮层、胶质细胞和兴奋性神经元以及性染色体基因中最强的差异。超过3000个基因显示出性别偏向的表达，包括133个在各个区域和细胞类型中具有一致效应的基因。核心常染色体特征将性别差异与皮层结构、激素响应调节和性别相关的遗传风险联系起来</w:t>
      </w:r>
    </w:p>
    <w:p>
      <w:pPr>
        <w:spacing w:before="0" w:after="200" w:lineRule="auto" w:line="276"/>
      </w:pPr>
      <w:r>
        <w:rPr>
          <w:b/>
        </w:rPr>
        <w:t xml:space="preserve">Abstract (EN): </w:t>
      </w:r>
      <w:r>
        <w:t>Sex differences in neurodevelopmental, psychiatric, and neurodegenerative disease susceptibility may arise from sex chromosome and hormonal influences on cell type–specific gene expression. We present a single-cell transcriptomic analysis of adult human cortex performed using 169 samples from 15 females and 15 males (age 26 to 78 years) across six regions selected according to their sex-biased volumes. Sex-based analysis identified the strongest differences in the fusiform cortex, glia, and excitatory neurons and among sex-chromosome genes. More than 3000 genes showed sex-biased expression, including 133 with consistent effects across regions and cell types. Core autosomal signatures linked sex differences to cortical architecture, hormone-responsive regulation, and genetic risk for sex-biased brain disorders. This study advances our understanding of sex differences in human brains and provides a valuable resource to support future research.</w:t>
      </w:r>
    </w:p>
    <w:p>
      <w:pPr>
        <w:spacing w:before="120" w:after="120"/>
      </w:pPr>
      <w:r>
        <w:rPr>
          <w:sz w:val="18"/>
        </w:rPr>
        <w:t>——————————————————————————————————————————————————————————————————————</w:t>
      </w:r>
    </w:p>
    <w:p>
      <w:pPr>
        <w:spacing w:before="160" w:after="40" w:line="240" w:lineRule="auto"/>
      </w:pPr>
      <w:r>
        <w:rPr>
          <w:b/>
        </w:rPr>
        <w:t xml:space="preserve">[464] </w:t>
      </w:r>
      <w:hyperlink r:id="rId1069">
        <w:r>
          <w:rPr>
            <w:color w:val="1155CC"/>
            <w:u w:val="single"/>
          </w:rPr>
          <w:t>将DNA分离机制重新用于控制细胞形状的细胞骨架系统</w:t>
        </w:r>
      </w:hyperlink>
    </w:p>
    <w:p>
      <w:pPr>
        <w:spacing w:before="0" w:after="80"/>
      </w:pPr>
      <w:r>
        <w:rPr>
          <w:i/>
          <w:sz w:val="20"/>
        </w:rPr>
        <w:t>EN: Repurposing of a DNA segregation machinery into a cytoskeletal system controlling cell shape</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70">
        <w:r>
          <w:rPr>
            <w:color w:val="1155CC"/>
            <w:u w:val="single"/>
          </w:rPr>
          <w:t>10.1126/science.aea6343</w:t>
        </w:r>
      </w:hyperlink>
    </w:p>
    <w:p>
      <w:pPr>
        <w:spacing w:before="0" w:after="120"/>
      </w:pPr>
      <w:r>
        <w:rPr>
          <w:b/>
        </w:rPr>
        <w:t xml:space="preserve">Notes: </w:t>
      </w:r>
      <w:r>
        <w:t>abstract_source=crossref</w:t>
      </w:r>
    </w:p>
    <w:p>
      <w:pPr>
        <w:spacing w:before="0" w:after="80" w:lineRule="auto" w:line="276"/>
      </w:pPr>
      <w:r>
        <w:rPr>
          <w:b/>
        </w:rPr>
        <w:t xml:space="preserve">摘要（ZH）: </w:t>
      </w:r>
      <w:r>
        <w:t>细菌与真核生物一样，使用保守的细胞骨架系统进行细胞内组织。质粒编码的ParMRC系统形成类肌动蛋白丝，分离低拷贝数质粒。在多细胞蓝藻如</w:t>
      </w:r>
      <w:r>
        <w:t xml:space="preserve"> </w:t>
      </w:r>
      <w:r>
        <w:t>Anabaena</w:t>
      </w:r>
      <w:r>
        <w:t xml:space="preserve"> </w:t>
      </w:r>
      <w:r>
        <w:t>sp.中，我们发现染色体编码的ParMR系统已演变为一种名为CorMR的细胞骨架系统，其功能在于细胞形状控制而非DNA分离。活细胞成像、体外重构和冷冻电子显微镜揭示了CorM形成动态不稳定的反平行双链丝，这些丝通过多细胞蓝藻中保守的两亲性螺旋由CorR招募到膜上。CorMR丝由MinC调节，将其排除在</w:t>
      </w:r>
    </w:p>
    <w:p>
      <w:pPr>
        <w:spacing w:before="0" w:after="200" w:lineRule="auto" w:line="276"/>
      </w:pPr>
      <w:r>
        <w:rPr>
          <w:b/>
        </w:rPr>
        <w:t xml:space="preserve">Abstract (EN): </w:t>
      </w:r>
      <w:r>
        <w:t>Bacteria, like eukaryotes, use conserved cytoskeletal systems for intracellular organization. The plasmid-encoded ParMRC system forms actin-like filaments that segregate low–copy number plasmids. In multicellular cyanobacteria such as</w:t>
      </w:r>
      <w:r>
        <w:t xml:space="preserve"> </w:t>
      </w:r>
      <w:r>
        <w:t>Anabaena</w:t>
      </w:r>
      <w:r>
        <w:t xml:space="preserve"> </w:t>
      </w:r>
      <w:r>
        <w:t>sp., we found that a chromosomally encoded ParMR system has evolved into a cytoskeletal system named CorMR with a function in cell shape control rather than DNA segregation. Live-cell imaging, in vitro reconstitution, and cryo–electron microscopy revealed that CorM formed dynamically unstable, antiparallel double-stranded filaments that were recruited to the membrane by CorR through an amphipathic helix conserved in multicellular cyanobacteria. CorMR filaments were regulated by MinC, which excluded them from the poles and division plane. Comparative genomics indicated that the repurposing of ParMR and Min systems coevolved with cyanobacterial multicellularity, highlighting the evolutionary plasticity of cytoskeletal systems in bacteria.</w:t>
      </w:r>
    </w:p>
    <w:p>
      <w:pPr>
        <w:spacing w:before="120" w:after="120"/>
      </w:pPr>
      <w:r>
        <w:rPr>
          <w:sz w:val="18"/>
        </w:rPr>
        <w:t>——————————————————————————————————————————————————————————————————————</w:t>
      </w:r>
    </w:p>
    <w:p>
      <w:pPr>
        <w:spacing w:before="160" w:after="40" w:line="240" w:lineRule="auto"/>
      </w:pPr>
      <w:r>
        <w:rPr>
          <w:b/>
        </w:rPr>
        <w:t xml:space="preserve">[465] </w:t>
      </w:r>
      <w:hyperlink r:id="rId1071">
        <w:r>
          <w:rPr>
            <w:color w:val="1155CC"/>
            <w:u w:val="single"/>
          </w:rPr>
          <w:t>通过造血干细胞基因编辑产生的B淋巴细胞蛋白工厂</w:t>
        </w:r>
      </w:hyperlink>
    </w:p>
    <w:p>
      <w:pPr>
        <w:spacing w:before="0" w:after="80"/>
      </w:pPr>
      <w:r>
        <w:rPr>
          <w:i/>
          <w:sz w:val="20"/>
        </w:rPr>
        <w:t>EN: B lymphocyte protein factories produced by hematopoietic stem cell gene editing</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72">
        <w:r>
          <w:rPr>
            <w:color w:val="1155CC"/>
            <w:u w:val="single"/>
          </w:rPr>
          <w:t>10.1126/science.adz8994</w:t>
        </w:r>
      </w:hyperlink>
    </w:p>
    <w:p>
      <w:pPr>
        <w:spacing w:before="0" w:after="120"/>
      </w:pPr>
      <w:r>
        <w:rPr>
          <w:b/>
        </w:rPr>
        <w:t xml:space="preserve">Notes: </w:t>
      </w:r>
      <w:r>
        <w:t>abstract_source=crossref</w:t>
      </w:r>
    </w:p>
    <w:p>
      <w:pPr>
        <w:spacing w:before="0" w:after="80" w:lineRule="auto" w:line="276"/>
      </w:pPr>
      <w:r>
        <w:rPr>
          <w:b/>
        </w:rPr>
        <w:t xml:space="preserve">摘要（ZH）: </w:t>
      </w:r>
      <w:r>
        <w:t>长期体内生产治疗性蛋白质和开发能够引发广泛中和抗体（bNAbs）保护水平的疫苗面临挑战。在这项研究中，我们报告了一种替代的基因编辑方法，使用少量造血干细胞和祖细胞（HSPCs）来指导抗体或货物蛋白的长期高水平表达。在小鼠中，来自移植HSPCs的编辑B淋巴细胞被同源抗原激活，经历克隆扩增，并发展为特定抗体合成或货物蛋白合成的浆细胞。这些细胞产生持久的治疗水平的血清抗体，对抗HIV-1、疟疾或一种抗流感病毒的bNAb，提供普遍的异源保护。</w:t>
      </w:r>
    </w:p>
    <w:p>
      <w:pPr>
        <w:spacing w:before="0" w:after="200" w:lineRule="auto" w:line="276"/>
      </w:pPr>
      <w:r>
        <w:rPr>
          <w:b/>
        </w:rPr>
        <w:t xml:space="preserve">Abstract (EN): </w:t>
      </w:r>
      <w:r>
        <w:t>Long-term in vivo production of therapeutic proteins and development of vaccines that elicit protective levels of broadly neutralizing antibodies (bNAbs) against major pathogens face challenges. In this study, we report on an alternative gene editing approach using small numbers of hematopoietic stem and progenitor cells (HSPCs) to direct long-term, high-level expression of antibodies or cargo proteins. In mice, edited B lymphocytes derived from transplanted HSPCs were activated by cognate antigen, underwent clonal expansion, and developed into specific antibody-synthesizing or cargo protein–synthesizing plasma cells. These cells produced long-lasting, therapeutic levels of serum antibody against HIV-1, malaria, or an anti-influenza virus bNAb that mediated universal protection from heterologous lethal challenge. Our data provide a paradigm for cell therapy approaches to prevent or treat disease using self-amplifying B cell protein factories.</w:t>
      </w:r>
    </w:p>
    <w:p>
      <w:pPr>
        <w:spacing w:before="120" w:after="120"/>
      </w:pPr>
      <w:r>
        <w:rPr>
          <w:sz w:val="18"/>
        </w:rPr>
        <w:t>——————————————————————————————————————————————————————————————————————</w:t>
      </w:r>
    </w:p>
    <w:p>
      <w:pPr>
        <w:spacing w:before="160" w:after="40" w:line="240" w:lineRule="auto"/>
      </w:pPr>
      <w:r>
        <w:rPr>
          <w:b/>
        </w:rPr>
        <w:t xml:space="preserve">[466] </w:t>
      </w:r>
      <w:hyperlink r:id="rId1073">
        <w:r>
          <w:rPr>
            <w:color w:val="1155CC"/>
            <w:u w:val="single"/>
          </w:rPr>
          <w:t>Mecp2缺乏在Rett综合征的临床前模型中诱导吞咽困难</w:t>
        </w:r>
      </w:hyperlink>
    </w:p>
    <w:p>
      <w:pPr>
        <w:spacing w:before="0" w:after="80"/>
      </w:pPr>
      <w:r>
        <w:rPr>
          <w:i/>
          <w:sz w:val="20"/>
        </w:rPr>
        <w:t>EN: Mecp2 deficiency induces dysphagia in a preclinical model of Rett syndrome</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74">
        <w:r>
          <w:rPr>
            <w:color w:val="1155CC"/>
            <w:u w:val="single"/>
          </w:rPr>
          <w:t>10.1073/pnas.2535716123</w:t>
        </w:r>
      </w:hyperlink>
    </w:p>
    <w:p>
      <w:pPr>
        <w:spacing w:before="0" w:after="120"/>
      </w:pPr>
      <w:r>
        <w:rPr>
          <w:b/>
        </w:rPr>
        <w:t xml:space="preserve">Notes: </w:t>
      </w:r>
      <w:r>
        <w:t>abstract_source=crossref</w:t>
      </w:r>
    </w:p>
    <w:p>
      <w:pPr>
        <w:spacing w:before="0" w:after="80" w:lineRule="auto" w:line="276"/>
      </w:pPr>
      <w:r>
        <w:rPr>
          <w:b/>
        </w:rPr>
        <w:t xml:space="preserve">摘要（ZH）: </w:t>
      </w:r>
      <w:r>
        <w:t>Rett综合征是一种与X染色体相关的遗传性神经系统疾病，主要由甲基CpG结合蛋白2（MECP2）基因突变引起。这种进行性神经发育状况阻碍患者正常呼吸和进食的能力。目前尚不清楚Mecp2缺乏如何导致Rett综合征患者中吞咽困难和吸入性肺炎的高发病率。本研究旨在确定Mecp2缺乏对与吞咽相关的神经肌肉机制的影响，这些机制导致Rett综合征中的吞咽困难。与吞咽相关的下颌下复合体的持续时间和幅度在Mecp2−/y和</w:t>
      </w:r>
    </w:p>
    <w:p>
      <w:pPr>
        <w:spacing w:before="0" w:after="200" w:lineRule="auto" w:line="276"/>
      </w:pPr>
      <w:r>
        <w:rPr>
          <w:b/>
        </w:rPr>
        <w:t xml:space="preserve">Abstract (EN): </w:t>
      </w:r>
      <w:r>
        <w:t>Rett syndrome is an x-linked genetic neurological disorder primarily caused by mutations in the methyl-CpG-binding protein 2 (MECP2) gene. This progressive neurodevelopmental condition hinders patients’ ability to breathe and eat normally. It remains unclear how</w:t>
      </w:r>
      <w:r>
        <w:t xml:space="preserve"> </w:t>
      </w:r>
      <w:r>
        <w:t>Mecp2</w:t>
      </w:r>
      <w:r>
        <w:t xml:space="preserve"> </w:t>
      </w:r>
      <w:r>
        <w:t>deficiency leads to the high prevalence of dysphagia and aspiration pneumonia observed in individuals with Rett syndrome. This study aims to determine the effects of</w:t>
      </w:r>
      <w:r>
        <w:t xml:space="preserve"> </w:t>
      </w:r>
      <w:r>
        <w:t>Mecp2</w:t>
      </w:r>
      <w:r>
        <w:t xml:space="preserve"> </w:t>
      </w:r>
      <w:r>
        <w:t>deficiency on swallow-related neuromuscular mechanisms that contribute to dysphagia in Rett syndrome. Swallow-related submental complex duration and amplitude were significantly decreased in both</w:t>
      </w:r>
      <w:r>
        <w:t xml:space="preserve"> </w:t>
      </w:r>
      <w:r>
        <w:t>Mecp2</w:t>
      </w:r>
      <w:r>
        <w:t xml:space="preserve"> </w:t>
      </w:r>
      <w:r>
        <w:t>−/y</w:t>
      </w:r>
      <w:r>
        <w:t xml:space="preserve"> </w:t>
      </w:r>
      <w:r>
        <w:t>and</w:t>
      </w:r>
      <w:r>
        <w:t xml:space="preserve"> </w:t>
      </w:r>
      <w:r>
        <w:t>Mecp2</w:t>
      </w:r>
      <w:r>
        <w:t xml:space="preserve"> </w:t>
      </w:r>
      <w:r>
        <w:t>+/−</w:t>
      </w:r>
      <w:r>
        <w:t>mice compared to wild-type, likely due to reduced motor unit activation. In</w:t>
      </w:r>
      <w:r>
        <w:t xml:space="preserve"> </w:t>
      </w:r>
      <w:r>
        <w:t>Mecp2-</w:t>
      </w:r>
      <w:r>
        <w:t>deficient mice, cholinergic immunoreactivity in the hypoglossal, facial, and trigeminal motor nuclei was decreased in postsymptomatic, but not presymptomatic mice. We also observed a significant increase in the transition time from inspiration to swallow, swallow to the subsequent inspiration, and impaired post swallow respiratory rhythm resumption in</w:t>
      </w:r>
      <w:r>
        <w:t xml:space="preserve"> </w:t>
      </w:r>
      <w:r>
        <w:t>Mecp2</w:t>
      </w:r>
      <w:r>
        <w:t xml:space="preserve"> </w:t>
      </w:r>
      <w:r>
        <w:t>−/y</w:t>
      </w:r>
      <w:r>
        <w:t xml:space="preserve"> </w:t>
      </w:r>
      <w:r>
        <w:t>, but not</w:t>
      </w:r>
      <w:r>
        <w:t xml:space="preserve"> </w:t>
      </w:r>
      <w:r>
        <w:t>Mecp2</w:t>
      </w:r>
      <w:r>
        <w:t xml:space="preserve"> </w:t>
      </w:r>
      <w:r>
        <w:t>+/−</w:t>
      </w:r>
      <w:r>
        <w:t>mice. The combination of decreased ChAT</w:t>
      </w:r>
      <w:r>
        <w:t xml:space="preserve"> </w:t>
      </w:r>
      <w:r>
        <w:t>+</w:t>
      </w:r>
      <w:r>
        <w:t xml:space="preserve"> </w:t>
      </w:r>
      <w:r>
        <w:t>cells in brainstem motor nuclei and reduced submental muscle complex activity suggest impaired swallow-related hyolaryngeal elevation and laryngeal vestibular closure. These results provide insight into a neuromuscular mechanism underlying dysphagia in Rett syndrome and support the use of</w:t>
      </w:r>
      <w:r>
        <w:t xml:space="preserve"> </w:t>
      </w:r>
      <w:r>
        <w:t>Mecp2-</w:t>
      </w:r>
      <w:r>
        <w:t>deficient mice as a viable preclinical model for further investigation of swallow and upper airway dysfunction in Rett syndrome.</w:t>
      </w:r>
    </w:p>
    <w:p>
      <w:pPr>
        <w:spacing w:before="120" w:after="120"/>
      </w:pPr>
      <w:r>
        <w:rPr>
          <w:sz w:val="18"/>
        </w:rPr>
        <w:t>——————————————————————————————————————————————————————————————————————</w:t>
      </w:r>
    </w:p>
    <w:p>
      <w:pPr>
        <w:spacing w:before="160" w:after="40" w:line="240" w:lineRule="auto"/>
      </w:pPr>
      <w:r>
        <w:rPr>
          <w:b/>
        </w:rPr>
        <w:t xml:space="preserve">[467] </w:t>
      </w:r>
      <w:hyperlink r:id="rId1075">
        <w:r>
          <w:rPr>
            <w:color w:val="1155CC"/>
            <w:u w:val="single"/>
          </w:rPr>
          <w:t>今天的机器人可以行走、游泳、飞行，并在移动中操控物体——而这仅仅是个开始</w:t>
        </w:r>
      </w:hyperlink>
    </w:p>
    <w:p>
      <w:pPr>
        <w:spacing w:before="0" w:after="80"/>
      </w:pPr>
      <w:r>
        <w:rPr>
          <w:i/>
          <w:sz w:val="20"/>
        </w:rPr>
        <w:t>EN: Today’s robots walk, swim, fly, and manipulate objects on the go—and they’re just getting started</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76">
        <w:r>
          <w:rPr>
            <w:color w:val="1155CC"/>
            <w:u w:val="single"/>
          </w:rPr>
          <w:t>10.1126/science.aeg9576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[468] </w:t>
      </w:r>
      <w:hyperlink r:id="rId1077">
        <w:r>
          <w:rPr>
            <w:color w:val="1155CC"/>
            <w:u w:val="single"/>
          </w:rPr>
          <w:t>相反的分子梯度轴支撑灵长类动物皮层组织</w:t>
        </w:r>
      </w:hyperlink>
    </w:p>
    <w:p>
      <w:pPr>
        <w:spacing w:before="0" w:after="80"/>
      </w:pPr>
      <w:r>
        <w:rPr>
          <w:i/>
          <w:sz w:val="20"/>
        </w:rPr>
        <w:t>EN: An opposing molecular gradient axis underlies primate cortical organization</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78">
        <w:r>
          <w:rPr>
            <w:color w:val="1155CC"/>
            <w:u w:val="single"/>
          </w:rPr>
          <w:t>10.1126/science.aea2673</w:t>
        </w:r>
      </w:hyperlink>
    </w:p>
    <w:p>
      <w:pPr>
        <w:spacing w:before="0" w:after="120"/>
      </w:pPr>
      <w:r>
        <w:rPr>
          <w:b/>
        </w:rPr>
        <w:t xml:space="preserve">Notes: </w:t>
      </w:r>
      <w:r>
        <w:t>abstract_source=crossref</w:t>
      </w:r>
    </w:p>
    <w:p>
      <w:pPr>
        <w:spacing w:before="0" w:after="80" w:lineRule="auto" w:line="276"/>
      </w:pPr>
      <w:r>
        <w:rPr>
          <w:b/>
        </w:rPr>
        <w:t xml:space="preserve">摘要（ZH）: </w:t>
      </w:r>
      <w:r>
        <w:t>灵长类动物大脑中细胞多样性和连接性的组织原则仍然难以捉摸。通过整合空间转录组学、磁共振成像和在绒猴中的逆行标记，我们识别出两种相对的分子梯度，这些梯度在出生后进行细化，分别从异皮质和初级感觉皮质发出。这些梯度调和了关于皮质扩展的相互矛盾的假设，并表征了不同的皮质区域。皮质梯度与丘脑基因表达和丘脑皮质投射模式一致。在梯度交叉点，默认模式网络和额极在人体和绒猴中表现出相似的分子特征，尽管在功能连接性上存在物种特异性差异。梯度相关的比较分析</w:t>
      </w:r>
    </w:p>
    <w:p>
      <w:pPr>
        <w:spacing w:before="0" w:after="200" w:lineRule="auto" w:line="276"/>
      </w:pPr>
      <w:r>
        <w:rPr>
          <w:b/>
        </w:rPr>
        <w:t xml:space="preserve">Abstract (EN): </w:t>
      </w:r>
      <w:r>
        <w:t>The principles organizing cellular diversity and connectivity in primate brains remain elusive. By integrating spatial transcriptomics, magnetic resonance imaging, and retrograde labeling in marmosets, we identified two opposing molecular gradients that undergo postnatal refinement, emanating from allocortices and primary sensory cortices, respectively. These gradients reconcile conflicting hypotheses on cortical expansion and characterize distinct cortical areas. Cortical gradients align with thalamic gene expression and thalamocortical projection patterns. At gradient intersections, the default mode network and frontal pole exhibited similar molecular features in humans and marmosets, despite species-specific differences in functional connectivity. Comparative analysis of gradient-related genes showed that marmoset and human auditory cortices are highly similar but differ from those of macaques, potentially reflecting complex vocalization. Together, these opposing gradients represent a fundamental organizing principle of the primate cortex.</w:t>
      </w:r>
    </w:p>
    <w:p>
      <w:pPr>
        <w:spacing w:before="120" w:after="120"/>
      </w:pPr>
      <w:r>
        <w:rPr>
          <w:sz w:val="18"/>
        </w:rPr>
        <w:t>——————————————————————————————————————————————————————————————————————</w:t>
      </w:r>
    </w:p>
    <w:p>
      <w:pPr>
        <w:spacing w:before="160" w:after="40" w:line="240" w:lineRule="auto"/>
      </w:pPr>
      <w:r>
        <w:rPr>
          <w:b/>
        </w:rPr>
        <w:t xml:space="preserve">[469] </w:t>
      </w:r>
      <w:hyperlink r:id="rId1079">
        <w:r>
          <w:rPr>
            <w:color w:val="1155CC"/>
            <w:u w:val="single"/>
          </w:rPr>
          <w:t>植物病原线虫外泌体重塑载体气管以增强病原体传播</w:t>
        </w:r>
      </w:hyperlink>
    </w:p>
    <w:p>
      <w:pPr>
        <w:spacing w:before="0" w:after="80"/>
      </w:pPr>
      <w:r>
        <w:rPr>
          <w:i/>
          <w:sz w:val="20"/>
        </w:rPr>
        <w:t>EN: Plant pathogenic nematode exosomes remodel vector tracheae to enhance pathogen transmission</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80">
        <w:r>
          <w:rPr>
            <w:color w:val="1155CC"/>
            <w:u w:val="single"/>
          </w:rPr>
          <w:t>10.1073/pnas.2600386123</w:t>
        </w:r>
      </w:hyperlink>
    </w:p>
    <w:p>
      <w:pPr>
        <w:spacing w:before="0" w:after="120"/>
      </w:pPr>
      <w:r>
        <w:rPr>
          <w:b/>
        </w:rPr>
        <w:t xml:space="preserve">Notes: </w:t>
      </w:r>
      <w:r>
        <w:t>abstract_source=crossref</w:t>
      </w:r>
    </w:p>
    <w:p>
      <w:pPr>
        <w:spacing w:before="0" w:after="80" w:lineRule="auto" w:line="276"/>
      </w:pPr>
      <w:r>
        <w:rPr>
          <w:b/>
        </w:rPr>
        <w:t xml:space="preserve">摘要（ZH）: </w:t>
      </w:r>
      <w:r>
        <w:t>病原体经常采用媒介操控策略来提高其传播效率。外泌体越来越被认为是病原体与其媒介之间种间交流的介质。然而，植物病原线虫外泌体如何介导媒介发育的跨界操控的机制仍然很大程度上未被探索。在此，我们证明了植物病原线虫（</w:t>
      </w:r>
      <w:r>
        <w:t xml:space="preserve"> </w:t>
      </w:r>
      <w:r>
        <w:t>Bursaphelenchus xylophilus</w:t>
      </w:r>
      <w:r>
        <w:t xml:space="preserve"> </w:t>
      </w:r>
      <w:r>
        <w:t>），由媒介甲虫（</w:t>
      </w:r>
      <w:r>
        <w:t xml:space="preserve"> </w:t>
      </w:r>
      <w:r>
        <w:t>Monochamus alternatus</w:t>
      </w:r>
      <w:r>
        <w:t xml:space="preserve"> </w:t>
      </w:r>
      <w:r>
        <w:t>）传播，分泌含有微小RNA（miRNA）的外泌体，这些外泌体重塑了其媒介的气管发育。当线虫进入气管时，甲虫的气管直径显著增大。值得注意的是，</w:t>
      </w:r>
    </w:p>
    <w:p>
      <w:pPr>
        <w:spacing w:before="0" w:after="200" w:lineRule="auto" w:line="276"/>
      </w:pPr>
      <w:r>
        <w:rPr>
          <w:b/>
        </w:rPr>
        <w:t xml:space="preserve">Abstract (EN): </w:t>
      </w:r>
      <w:r>
        <w:t>Pathogens frequently employ vector-manipulation strategies to enhance their transmission efficiency. Exosomes are increasingly recognized as mediators of interspecific communication between pathogens and their vectors. However, the mechanisms by which plant pathogenic nematode exosomes mediate cross-kingdom manipulation of vector development remain largely unexplored. Here, we demonstrate that the plant pathogenic nematode (</w:t>
      </w:r>
      <w:r>
        <w:t xml:space="preserve"> </w:t>
      </w:r>
      <w:r>
        <w:t>Bursaphelenchus xylophilus</w:t>
      </w:r>
      <w:r>
        <w:t xml:space="preserve"> </w:t>
      </w:r>
      <w:r>
        <w:t>), transmitted by the vector beetle (</w:t>
      </w:r>
      <w:r>
        <w:t xml:space="preserve"> </w:t>
      </w:r>
      <w:r>
        <w:t>Monochamus alternatus</w:t>
      </w:r>
      <w:r>
        <w:t xml:space="preserve"> </w:t>
      </w:r>
      <w:r>
        <w:t>), secretes exosomes containing microRNAs (miRNAs) that remodel the tracheal development of its vector. Upon nematode entry into the trachea, the beetle’s tracheal diameter was markedly enlarged. Notably, exosome-like vesicles released from dispersal nematodes were internalized by the tracheal epithelial cells. Moreover, exosome-derived Bx-miR-71-5p directly activates</w:t>
      </w:r>
      <w:r>
        <w:t xml:space="preserve"> </w:t>
      </w:r>
      <w:r>
        <w:t>Notch</w:t>
      </w:r>
      <w:r>
        <w:t xml:space="preserve"> </w:t>
      </w:r>
      <w:r>
        <w:t>expression, a key regulator of cell proliferation and differentiation.</w:t>
      </w:r>
      <w:r>
        <w:t xml:space="preserve"> </w:t>
      </w:r>
      <w:r>
        <w:t>Notch</w:t>
      </w:r>
      <w:r>
        <w:t xml:space="preserve"> </w:t>
      </w:r>
      <w:r>
        <w:t>suppresses the expression of matrix metalloproteinases 3 (</w:t>
      </w:r>
      <w:r>
        <w:t xml:space="preserve"> </w:t>
      </w:r>
      <w:r>
        <w:t>Mmp3</w:t>
      </w:r>
      <w:r>
        <w:t xml:space="preserve"> </w:t>
      </w:r>
      <w:r>
        <w:t>), a critical enzyme for extracellular matrix (ECM) degradation, thereby promoting continuous ECM accumulation. Nanomaterial-mediated delivery of Bx-miR-71-5p to the vector beetle trachea upregulates the</w:t>
      </w:r>
      <w:r>
        <w:t xml:space="preserve"> </w:t>
      </w:r>
      <w:r>
        <w:t>Notch</w:t>
      </w:r>
      <w:r>
        <w:t xml:space="preserve"> </w:t>
      </w:r>
      <w:r>
        <w:t>gene, leading to significant increases in ECM thickness and tracheal diameter, which consequently enhances nematode load. Collectively, this study identifies nematode exosomes as the delivery vehicle for Bx-miR-71-5p and defines a Notch–Mmp3–ECM axis through which pathogen signals remodel tracheal architecture to enhance vector competence and nematode load. These findings highlight that exosomes-mediated miRNA delivery may present a conserved “toolkit” that can tune vector traits, and ultimately facilitates pathogen transmission efficiency during invasion.</w:t>
      </w:r>
    </w:p>
    <w:p>
      <w:pPr>
        <w:spacing w:before="120" w:after="120"/>
      </w:pPr>
      <w:r>
        <w:rPr>
          <w:sz w:val="18"/>
        </w:rPr>
        <w:t>——————————————————————————————————————————————————————————————————————</w:t>
      </w:r>
    </w:p>
    <w:p>
      <w:pPr>
        <w:spacing w:before="160" w:after="40" w:line="240" w:lineRule="auto"/>
      </w:pPr>
      <w:r>
        <w:rPr>
          <w:b/>
        </w:rPr>
        <w:t xml:space="preserve">[470] </w:t>
      </w:r>
      <w:hyperlink r:id="rId1081">
        <w:r>
          <w:rPr>
            <w:color w:val="1155CC"/>
            <w:u w:val="single"/>
          </w:rPr>
          <w:t>迷走神经TRPV3调节镇静介导的安抚作用</w:t>
        </w:r>
      </w:hyperlink>
    </w:p>
    <w:p>
      <w:pPr>
        <w:spacing w:before="0" w:after="80"/>
      </w:pPr>
      <w:r>
        <w:rPr>
          <w:i/>
          <w:sz w:val="20"/>
        </w:rPr>
        <w:t>EN: Vagal nerve TRPV3 regulates sedative-mediated appeasement</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82">
        <w:r>
          <w:rPr>
            <w:color w:val="1155CC"/>
            <w:u w:val="single"/>
          </w:rPr>
          <w:t>10.1073/pnas.2525757123</w:t>
        </w:r>
      </w:hyperlink>
    </w:p>
    <w:p>
      <w:pPr>
        <w:spacing w:before="0" w:after="120"/>
      </w:pPr>
      <w:r>
        <w:rPr>
          <w:b/>
        </w:rPr>
        <w:t xml:space="preserve">Notes: </w:t>
      </w:r>
      <w:r>
        <w:t>abstract_source=crossref</w:t>
      </w:r>
    </w:p>
    <w:p>
      <w:pPr>
        <w:spacing w:before="0" w:after="80" w:lineRule="auto" w:line="276"/>
      </w:pPr>
      <w:r>
        <w:rPr>
          <w:b/>
        </w:rPr>
        <w:t xml:space="preserve">摘要（ZH）: </w:t>
      </w:r>
      <w:r>
        <w:t>芳香精油（EOs）表现出抗焦虑特性，但其神经和分子机制尚待理解。在此，我们发现香茅醛，一种从香茅中提取的精油，通过调节迷走神经张力来缓解与压力相关的焦虑。我们确定瞬时受体电位香草酸3（TRPV3）通道在结节神经节（NG）中是香茅醛的分子靶点。TRPV3还被观察到介导吸入麻醉剂七氟醚的抗压效果。两种镇静剂通过沿NG到尾侧孤束核（cNTS）通路的谷氨酸能神经传递减轻急性束缚应激引起的心率和呼吸率的过度活跃。通过手术迷走神经切断，</w:t>
      </w:r>
      <w:r>
        <w:t xml:space="preserve"> </w:t>
      </w:r>
      <w:r>
        <w:t>Trpv3</w:t>
      </w:r>
      <w:r>
        <w:t xml:space="preserve"> </w:t>
      </w:r>
      <w:r>
        <w:t>−/−</w:t>
      </w:r>
      <w:r>
        <w:t>，o</w:t>
      </w:r>
    </w:p>
    <w:p>
      <w:pPr>
        <w:spacing w:before="0" w:after="200" w:lineRule="auto" w:line="276"/>
      </w:pPr>
      <w:r>
        <w:rPr>
          <w:b/>
        </w:rPr>
        <w:t xml:space="preserve">Abstract (EN): </w:t>
      </w:r>
      <w:r>
        <w:t>Aromatic essential oils (EOs) exhibit anxiolytic properties, yet their neural and molecular mechanisms remain to be understood. Here, we found that citronellal, an EO derived from lemongrass, alleviates stress-related anxiety by modulating vagal tone. We identified transient receptor potential vanilloid 3 (TRPV3) channel in nodose ganglion (NG) as the molecular target of citronellal. TRPV3 was also observed to mediate the antistress effects of the inhaled anesthetic sevoflurane. Both sedatives attenuated acute restraint stress-induced hyperactivity of heart and breath rates via glutamatergic neurotransmission along NG-to-caudal nucleus tractus solitarius (cNTS) pathway. This effect was abolished by surgical vagotomy,</w:t>
      </w:r>
      <w:r>
        <w:t xml:space="preserve"> </w:t>
      </w:r>
      <w:r>
        <w:t>Trpv3</w:t>
      </w:r>
      <w:r>
        <w:t xml:space="preserve"> </w:t>
      </w:r>
      <w:r>
        <w:t>−/−</w:t>
      </w:r>
      <w:r>
        <w:t>, or NG-specific</w:t>
      </w:r>
      <w:r>
        <w:t xml:space="preserve"> </w:t>
      </w:r>
      <w:r>
        <w:t>Trpv3</w:t>
      </w:r>
      <w:r>
        <w:t xml:space="preserve"> </w:t>
      </w:r>
      <w:r>
        <w:t>knockdown. Cryo-EM structural analysis revealed that sevoflurane occupies a pore-proximal fenestration site, while citronellal binds to the vanilloid site. Re-expression of wild-type TRPV3, but not loss-of-function TRPV3 mutants TRPV3(A560L) or TRPV3(V662A), in</w:t>
      </w:r>
      <w:r>
        <w:t xml:space="preserve"> </w:t>
      </w:r>
      <w:r>
        <w:t>Trpv3</w:t>
      </w:r>
      <w:r>
        <w:t xml:space="preserve"> </w:t>
      </w:r>
      <w:r>
        <w:t>−/−</w:t>
      </w:r>
      <w:r>
        <w:t>NG neurons restored the mouse’s response to both sedatives, thereby modulating heart and respiratory rates. Together, these findings establish peripheral TRPV3 as a multisensory ligand-gated node for vagal modulation of stress responses, and help instruct pathway-specific anxiolytics.</w:t>
      </w:r>
    </w:p>
    <w:p>
      <w:pPr>
        <w:spacing w:before="120" w:after="120"/>
      </w:pPr>
      <w:r>
        <w:rPr>
          <w:sz w:val="18"/>
        </w:rPr>
        <w:t>——————————————————————————————————————————————————————————————————————</w:t>
      </w:r>
    </w:p>
    <w:p>
      <w:pPr>
        <w:spacing w:before="160" w:after="40" w:line="240" w:lineRule="auto"/>
      </w:pPr>
      <w:r>
        <w:rPr>
          <w:b/>
        </w:rPr>
        <w:t xml:space="preserve">[471] </w:t>
      </w:r>
      <w:hyperlink r:id="rId1083">
        <w:r>
          <w:rPr>
            <w:color w:val="1155CC"/>
            <w:u w:val="single"/>
          </w:rPr>
          <w:t>界面过量电荷在质子和氢氧根溶解的可逆性以及电催化和双极膜中的作用</w:t>
        </w:r>
      </w:hyperlink>
    </w:p>
    <w:p>
      <w:pPr>
        <w:spacing w:before="0" w:after="80"/>
      </w:pPr>
      <w:r>
        <w:rPr>
          <w:i/>
          <w:sz w:val="20"/>
        </w:rPr>
        <w:t>EN: The role of interfacial excess charge in the reversibility of proton and hydroxide solvation in electrocatalysis and bipolar membranes</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84">
        <w:r>
          <w:rPr>
            <w:color w:val="1155CC"/>
            <w:u w:val="single"/>
          </w:rPr>
          <w:t>10.1073/pnas.2531938123</w:t>
        </w:r>
      </w:hyperlink>
    </w:p>
    <w:p>
      <w:pPr>
        <w:spacing w:before="0" w:after="120"/>
      </w:pPr>
      <w:r>
        <w:rPr>
          <w:b/>
        </w:rPr>
        <w:t xml:space="preserve">Notes: </w:t>
      </w:r>
      <w:r>
        <w:t>abstract_source=crossref</w:t>
      </w:r>
    </w:p>
    <w:p>
      <w:pPr>
        <w:spacing w:before="0" w:after="80" w:lineRule="auto" w:line="276"/>
      </w:pPr>
      <w:r>
        <w:rPr>
          <w:b/>
        </w:rPr>
        <w:t xml:space="preserve">摘要（ZH）: </w:t>
      </w:r>
      <w:r>
        <w:t>质子和氢氧根在体相中的脱溶和重组是人类已知最快的反应之一。在异质界面上存在增加的活化能垒反映了界面化学的一个关键组成部分。在此，我们使用溶剂化的</w:t>
      </w:r>
      <w:r>
        <w:t xml:space="preserve"> </w:t>
      </w:r>
      <w:r>
        <w:t>H</w:t>
      </w:r>
      <w:r>
        <w:t xml:space="preserve"> </w:t>
      </w:r>
      <w:r>
        <w:t>+</w:t>
      </w:r>
      <w:r>
        <w:t xml:space="preserve"> </w:t>
      </w:r>
      <w:r>
        <w:t>和</w:t>
      </w:r>
      <w:r>
        <w:t xml:space="preserve"> </w:t>
      </w:r>
      <w:r>
        <w:t>O</w:t>
      </w:r>
      <w:r>
        <w:t xml:space="preserve"> </w:t>
      </w:r>
      <w:r>
        <w:t>H</w:t>
      </w:r>
      <w:r>
        <w:t xml:space="preserve"> </w:t>
      </w:r>
      <w:r>
        <w:t>-</w:t>
      </w:r>
    </w:p>
    <w:p>
      <w:pPr>
        <w:spacing w:before="0" w:after="200" w:lineRule="auto" w:line="276"/>
      </w:pPr>
      <w:r>
        <w:rPr>
          <w:b/>
        </w:rPr>
        <w:t xml:space="preserve">Abstract (EN): </w:t>
      </w:r>
      <w:r>
        <w:t>The desolvation and recombination of protons and hydroxides in the bulk is one of the fastest reactions known to mankind. The very existence of an increased activation barrier at heterogenous interfaces reflects a key component of interfacial chemistry. Here, we use the recombination and generation of solvated</w:t>
      </w:r>
      <w:r>
        <w:t xml:space="preserve"> </w:t>
      </w:r>
      <w:r>
        <w:t>H</w:t>
      </w:r>
      <w:r>
        <w:t xml:space="preserve"> </w:t>
      </w:r>
      <w:r>
        <w:t>+</w:t>
      </w:r>
      <w:r>
        <w:t xml:space="preserve"> </w:t>
      </w:r>
      <w:r>
        <w:t>and</w:t>
      </w:r>
      <w:r>
        <w:t xml:space="preserve"> </w:t>
      </w:r>
      <w:r>
        <w:t>O</w:t>
      </w:r>
      <w:r>
        <w:t xml:space="preserve"> </w:t>
      </w:r>
      <w:r>
        <w:t>H</w:t>
      </w:r>
      <w:r>
        <w:t xml:space="preserve"> </w:t>
      </w:r>
      <w:r>
        <w:t>-</w:t>
      </w:r>
      <w:r>
        <w:t xml:space="preserve"> </w:t>
      </w:r>
      <w:r>
        <w:t>at bipolar (membrane) interfaces as a test reaction to understand how interfacial excess charge impacts the electrochemical reversibility of inner-sphere reactions. We observe that excess charge, that is independent of the overpotential, primarily increases the activation energy. In contrast, when the overpotential changes the excess charge asymmetrically between the forward and reverse direction, water formation (</w:t>
      </w:r>
      <w:r>
        <w:t xml:space="preserve"> </w:t>
      </w:r>
      <w:r>
        <w:t>H</w:t>
      </w:r>
      <w:r>
        <w:t xml:space="preserve"> </w:t>
      </w:r>
      <w:r>
        <w:t>+</w:t>
      </w:r>
      <w:r>
        <w:t xml:space="preserve"> </w:t>
      </w:r>
      <w:r>
        <w:t>+</w:t>
      </w:r>
      <w:r>
        <w:t xml:space="preserve"> </w:t>
      </w:r>
      <w:r>
        <w:t>O</w:t>
      </w:r>
      <w:r>
        <w:t xml:space="preserve"> </w:t>
      </w:r>
      <w:r>
        <w:t>H</w:t>
      </w:r>
      <w:r>
        <w:t xml:space="preserve"> </w:t>
      </w:r>
      <w:r>
        <w:t>-</w:t>
      </w:r>
      <w:r>
        <w:t xml:space="preserve"> </w:t>
      </w:r>
      <w:r>
        <w:t>→</w:t>
      </w:r>
      <w:r>
        <w:t xml:space="preserve"> </w:t>
      </w:r>
      <w:r>
        <w:t>H</w:t>
      </w:r>
      <w:r>
        <w:rPr>
          <w:vertAlign w:val="subscript"/>
        </w:rPr>
        <w:t>2</w:t>
      </w:r>
      <w:r>
        <w:t xml:space="preserve"> </w:t>
      </w:r>
      <w:r>
        <w:t>O</w:t>
      </w:r>
      <w:r>
        <w:t xml:space="preserve"> </w:t>
      </w:r>
      <w:r>
        <w:t>) and water dissociation (WD) (</w:t>
      </w:r>
      <w:r>
        <w:t xml:space="preserve"> </w:t>
      </w:r>
      <w:r>
        <w:t>H</w:t>
      </w:r>
      <w:r>
        <w:rPr>
          <w:vertAlign w:val="subscript"/>
        </w:rPr>
        <w:t>2</w:t>
      </w:r>
      <w:r>
        <w:t xml:space="preserve"> </w:t>
      </w:r>
      <w:r>
        <w:t>O</w:t>
      </w:r>
      <w:r>
        <w:t xml:space="preserve"> </w:t>
      </w:r>
      <w:r>
        <w:t>→</w:t>
      </w:r>
      <w:r>
        <w:t xml:space="preserve"> </w:t>
      </w:r>
      <w:r>
        <w:t>H</w:t>
      </w:r>
      <w:r>
        <w:t xml:space="preserve"> </w:t>
      </w:r>
      <w:r>
        <w:t>+</w:t>
      </w:r>
      <w:r>
        <w:t xml:space="preserve"> </w:t>
      </w:r>
      <w:r>
        <w:t>+</w:t>
      </w:r>
      <w:r>
        <w:t xml:space="preserve"> </w:t>
      </w:r>
      <w:r>
        <w:t>O</w:t>
      </w:r>
      <w:r>
        <w:t xml:space="preserve"> </w:t>
      </w:r>
      <w:r>
        <w:t>H</w:t>
      </w:r>
      <w:r>
        <w:t xml:space="preserve"> </w:t>
      </w:r>
      <w:r>
        <w:t>-</w:t>
      </w:r>
      <w:r>
        <w:t xml:space="preserve"> </w:t>
      </w:r>
      <w:r>
        <w:t>) can switch between outer-sphere-type kinetics and distinct compensation effects between the Arrhenius pre-exponential factor and activation energy. Finally, observe that the charge transfer coefficients that quantify the overpotential dependence of the proton and hydroxide transfer through the extended hydrogen bond network are dependent on the excess charge, too, and can take values that are distinctly different from those obtained in electron-transfer reactions. The results are very important to understand how interfacial solvation and ion transfer reactions are modulated by the ubiquitous presence of excess charge across electro- and bio- and even geochemistry. Further, the results help outline the very conditions for fast electrocatalyst kinetics and describe when and how they might break down.</w:t>
      </w:r>
    </w:p>
    <w:p>
      <w:pPr>
        <w:spacing w:before="120" w:after="120"/>
      </w:pPr>
      <w:r>
        <w:rPr>
          <w:sz w:val="18"/>
        </w:rPr>
        <w:t>——————————————————————————————————————————————————————————————————————</w:t>
      </w:r>
    </w:p>
    <w:p>
      <w:pPr>
        <w:spacing w:before="160" w:after="40" w:line="240" w:lineRule="auto"/>
      </w:pPr>
      <w:r>
        <w:rPr>
          <w:b/>
        </w:rPr>
        <w:t xml:space="preserve">[472] </w:t>
      </w:r>
      <w:hyperlink r:id="rId1085">
        <w:r>
          <w:rPr>
            <w:color w:val="1155CC"/>
            <w:u w:val="single"/>
          </w:rPr>
          <w:t>强效非阿片类镇痛药的鉴定及其围手术期使用的潜力</w:t>
        </w:r>
      </w:hyperlink>
    </w:p>
    <w:p>
      <w:pPr>
        <w:spacing w:before="0" w:after="80"/>
      </w:pPr>
      <w:r>
        <w:rPr>
          <w:i/>
          <w:sz w:val="20"/>
        </w:rPr>
        <w:t>EN: The identification of potent nonopioid analgesics and their potential for perioperative use</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86">
        <w:r>
          <w:rPr>
            <w:color w:val="1155CC"/>
            <w:u w:val="single"/>
          </w:rPr>
          <w:t>10.1073/pnas.2528910123</w:t>
        </w:r>
      </w:hyperlink>
    </w:p>
    <w:p>
      <w:pPr>
        <w:spacing w:before="0" w:after="120"/>
      </w:pPr>
      <w:r>
        <w:rPr>
          <w:b/>
        </w:rPr>
        <w:t xml:space="preserve">Notes: </w:t>
      </w:r>
      <w:r>
        <w:t>abstract_source=crossref</w:t>
      </w:r>
    </w:p>
    <w:p>
      <w:pPr>
        <w:spacing w:before="0" w:after="80" w:lineRule="auto" w:line="276"/>
      </w:pPr>
      <w:r>
        <w:rPr>
          <w:b/>
        </w:rPr>
        <w:t xml:space="preserve">摘要（ZH）: </w:t>
      </w:r>
      <w:r>
        <w:t>开发有效的非阿片类镇痛药（NOAs）引起了学术界和工业界的极大关注，旨在替代当前用于急性和慢性疼痛管理的阿片类药物。在多种提出的非阿片类镇痛途径中，电压门控钠通道成为开发有效NOA的最有前途的目标之一。与普遍关注高度亚型选择性阻滞剂不同，我们在此报告通过对多种镇痛相关钠通道亚型的同时抑制来获得有效镇痛。源于AI驱动的药物发现和计算机辅助药物设计，命中和先导化合物对镇痛相关钠通道亚型表现出有效的抑制作用，并在各种大鼠模型中表现出强大的镇痛效果</w:t>
      </w:r>
    </w:p>
    <w:p>
      <w:pPr>
        <w:spacing w:before="0" w:after="200" w:lineRule="auto" w:line="276"/>
      </w:pPr>
      <w:r>
        <w:rPr>
          <w:b/>
        </w:rPr>
        <w:t xml:space="preserve">Abstract (EN): </w:t>
      </w:r>
      <w:r>
        <w:t>Development of potent nonopioid analgesics (NOAs) has attracted great attentions from both academic and industrial worlds, aiming at replacing current opioid drugs in acute and chronic pain management. Among the diverse proposed pathways toward nonopioid analgesia, voltage-gated sodium channel stood out as one of the most promising targets in developing potent NOA. Diverging from the prevailing focus on highly subtype-selective blockers, we report here the access of potent analgesia via the simultaneous inhibition on multianalgesic-related sodium channel subtypes. Originated from AI-driven drug discovery and computer-aided drug design, the hit and lead compounds exhibited efficient inhibitory effect on analgesic-related sodium channel subtypes, robust analgesic effect in various rat models and no opioid-related adverse reactions. Furthermore, the potential of such a multi-subtype sodium channel blocker for perioperative use was validated through a surgical simulation. These findings represent a meaningful leap toward the goal of replacing opioids in perioperative period and provide fresh insights for future NOA development.</w:t>
      </w:r>
    </w:p>
    <w:p>
      <w:pPr>
        <w:spacing w:before="120" w:after="120"/>
      </w:pPr>
      <w:r>
        <w:rPr>
          <w:sz w:val="18"/>
        </w:rPr>
        <w:t>——————————————————————————————————————————————————————————————————————</w:t>
      </w:r>
    </w:p>
    <w:p>
      <w:pPr>
        <w:spacing w:before="160" w:after="40" w:line="240" w:lineRule="auto"/>
      </w:pPr>
      <w:r>
        <w:rPr>
          <w:b/>
        </w:rPr>
        <w:t xml:space="preserve">[473] </w:t>
      </w:r>
      <w:hyperlink r:id="rId1087">
        <w:r>
          <w:rPr>
            <w:color w:val="1155CC"/>
            <w:u w:val="single"/>
          </w:rPr>
          <w:t>旁观者的眼睛：瞳孔反应反映了主观先验信念如何影响假新闻的强化学习</w:t>
        </w:r>
      </w:hyperlink>
    </w:p>
    <w:p>
      <w:pPr>
        <w:spacing w:before="0" w:after="80"/>
      </w:pPr>
      <w:r>
        <w:rPr>
          <w:i/>
          <w:sz w:val="20"/>
        </w:rPr>
        <w:t>EN: Eye of the beholder: Pupillary response reflects how subjective prior beliefs shape reinforcement learning with fake news</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88">
        <w:r>
          <w:rPr>
            <w:color w:val="1155CC"/>
            <w:u w:val="single"/>
          </w:rPr>
          <w:t>10.1073/pnas.2518776123</w:t>
        </w:r>
      </w:hyperlink>
    </w:p>
    <w:p>
      <w:pPr>
        <w:spacing w:before="0" w:after="120"/>
      </w:pPr>
      <w:r>
        <w:rPr>
          <w:b/>
        </w:rPr>
        <w:t xml:space="preserve">Notes: </w:t>
      </w:r>
      <w:r>
        <w:t>abstract_source=crossref</w:t>
      </w:r>
    </w:p>
    <w:p>
      <w:pPr>
        <w:spacing w:before="0" w:after="80" w:lineRule="auto" w:line="276"/>
      </w:pPr>
      <w:r>
        <w:rPr>
          <w:b/>
        </w:rPr>
        <w:t xml:space="preserve">摘要（ZH）: </w:t>
      </w:r>
      <w:r>
        <w:t>信息选择在个体如何浏览在线内容中起着至关重要的作用。虽然确认偏见与这一现象有关，但其与强化学习动态和内部信号的交互作用仍然知之甚少。在此，我们研究了当概率奖励与新闻标题的不同认知属性相关联时，真实性判断和信心如何影响选择。参与者完成了一个三阶段范式，结合了新闻分类、具有不同奖励条件的概率学习任务和最终的重新评估阶段。使用被判断为真实性和信心的真实和虚假标题，我们创建了个性化的刺激类别集，随后在双臂老虎机任务中使用。在不同的试验块中，r</w:t>
      </w:r>
    </w:p>
    <w:p>
      <w:pPr>
        <w:spacing w:before="0" w:after="200" w:lineRule="auto" w:line="276"/>
      </w:pPr>
      <w:r>
        <w:rPr>
          <w:b/>
        </w:rPr>
        <w:t xml:space="preserve">Abstract (EN): </w:t>
      </w:r>
      <w:r>
        <w:t>Information selection plays a crucial role in how individuals navigate online content. While confirmation bias has been implicated in this phenomenon, its interaction with reinforcement learning dynamics and internal confidence signals remains poorly understood. Here, we examined how veracity judgments and confidence shape choices when probabilistic rewards are tied to different epistemic attributes of news headlines. Participants completed a three-phase paradigm that combined news classification, a probabilistic learning task with varying reward contingencies, and a final reevaluation phase. Using real and false headlines judged for veracity and confidence, we created personalized sets of stimulus categories that were later used in a two-armed bandit task. In different blocks of trials, reinforcement was probabilistically associated with either the perceived truthfulness or confidence of each item. Across all experimental phases, pupil dilation provided neurophysiological signatures of belief-related processing. At a behavioral level, participants showed higher accuracies and learning rates when rewards were contingent on their previous judgments of veracity, whereas performance was markedly reduced when reinforcement favored confidence, especially low-confidence options. Pupillometric data revealed predecisional modulations tied to subjective confidence, while computational modeling showed that participants relied on feature-based generalization when veracity predicted reward and shifted toward valence-sensitive updating when contingencies no longer matched their prior epistemic structure. Together, these results reveal how veracity and confidence jointly guide reinforcement-driven choices and modulate the flexibility of belief-related decisions. By integrating cognitive, computational, and physiological data, our study provides a mechanistic understanding of how prior beliefs shape learning in complex and misinformation-rich contexts.</w:t>
      </w:r>
    </w:p>
    <w:p>
      <w:pPr>
        <w:spacing w:before="120" w:after="120"/>
      </w:pPr>
      <w:r>
        <w:rPr>
          <w:sz w:val="18"/>
        </w:rPr>
        <w:t>——————————————————————————————————————————————————————————————————————</w:t>
      </w:r>
    </w:p>
    <w:p>
      <w:pPr>
        <w:spacing w:before="160" w:after="40" w:line="240" w:lineRule="auto"/>
      </w:pPr>
      <w:r>
        <w:rPr>
          <w:b/>
        </w:rPr>
        <w:t xml:space="preserve">[474] </w:t>
      </w:r>
      <w:hyperlink r:id="rId1089">
        <w:r>
          <w:rPr>
            <w:color w:val="1155CC"/>
            <w:u w:val="single"/>
          </w:rPr>
          <w:t>通过自分泌损伤激活的Igf复合物控制肺中的干细胞</w:t>
        </w:r>
      </w:hyperlink>
    </w:p>
    <w:p>
      <w:pPr>
        <w:spacing w:before="0" w:after="80"/>
      </w:pPr>
      <w:r>
        <w:rPr>
          <w:i/>
          <w:sz w:val="20"/>
        </w:rPr>
        <w:t>EN: Stem cell control in the lung by an autocrine injury-activated Igf complex</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90">
        <w:r>
          <w:rPr>
            <w:color w:val="1155CC"/>
            <w:u w:val="single"/>
          </w:rPr>
          <w:t>10.1126/science.adt1310</w:t>
        </w:r>
      </w:hyperlink>
    </w:p>
    <w:p>
      <w:pPr>
        <w:spacing w:before="0" w:after="120"/>
      </w:pPr>
      <w:r>
        <w:rPr>
          <w:b/>
        </w:rPr>
        <w:t xml:space="preserve">Notes: </w:t>
      </w:r>
      <w:r>
        <w:t>abstract_source=crossref</w:t>
      </w:r>
    </w:p>
    <w:p>
      <w:pPr>
        <w:spacing w:before="0" w:after="80" w:lineRule="auto" w:line="276"/>
      </w:pPr>
      <w:r>
        <w:rPr>
          <w:b/>
        </w:rPr>
        <w:t xml:space="preserve">摘要（ZH）: </w:t>
      </w:r>
      <w:r>
        <w:t>干细胞在受伤后增殖以修复受损组织，而慢性损伤可以促进癌症。然而，损伤激活的信号和调控机制及其与癌症的关系尚不清楚。在此，我们确定了胰岛素样生长因子2（Igf2）作为肺神经内分泌干细胞的损伤激活促分裂原，这些细胞是选择性气道祖细胞，也是小细胞肺癌在小鼠中的起源细胞。Igf2由干细胞持续产生，但被共同表达的Igf结合蛋白（Igfbps）在生态位中隔离。气道损伤释放Igf2并通过暂时激活Igf2受体和抑制视网膜母细胞瘤（Rb）肿瘤抑制因子来诱导增殖。通过</w:t>
      </w:r>
      <w:r>
        <w:t xml:space="preserve"> </w:t>
      </w:r>
      <w:r>
        <w:t>Rb</w:t>
      </w:r>
      <w:r>
        <w:t xml:space="preserve"> </w:t>
      </w:r>
      <w:r>
        <w:t>删除导致的永久性通路激活</w:t>
      </w:r>
    </w:p>
    <w:p>
      <w:pPr>
        <w:spacing w:before="0" w:after="200" w:lineRule="auto" w:line="276"/>
      </w:pPr>
      <w:r>
        <w:rPr>
          <w:b/>
        </w:rPr>
        <w:t xml:space="preserve">Abstract (EN): </w:t>
      </w:r>
      <w:r>
        <w:t>Stem cells proliferate after injury to repair damaged tissue, and chronic injury can promote cancer. However, the injury-activated signals and regulatory mechanisms, and their relationship to cancer, are poorly understood. Here, we identified insulin-like growth factor 2 (Igf2) as an injury-activated mitogen for lung neuroendocrine stem cells, which are facultative airway progenitors and a cell of origin of small-cell lung cancer in mice. Igf2 was constitutively produced by the stem cells but sequestered in the niche by coexpressed Igf binding proteins (Igfbps). Airway injury released Igf2 and induced proliferation by transiently activating Igf2 receptors and repressing retinoblastoma (Rb) tumor suppressor. Permanent pathway activation by</w:t>
      </w:r>
      <w:r>
        <w:t xml:space="preserve"> </w:t>
      </w:r>
      <w:r>
        <w:t>Rb</w:t>
      </w:r>
      <w:r>
        <w:t xml:space="preserve"> </w:t>
      </w:r>
      <w:r>
        <w:t>deletion initiated continuous stem cell division. Thus, beyond their classical hormonal roles in physiology, growth, and aging, Igf proteins operate locally and rapidly with Igfbp and Rb to control injury-induced stem cell proliferation and tumor initiation.</w:t>
      </w:r>
    </w:p>
    <w:p>
      <w:pPr>
        <w:spacing w:before="120" w:after="120"/>
      </w:pPr>
      <w:r>
        <w:rPr>
          <w:sz w:val="18"/>
        </w:rPr>
        <w:t>——————————————————————————————————————————————————————————————————————</w:t>
      </w:r>
    </w:p>
    <w:p>
      <w:pPr>
        <w:spacing w:before="160" w:after="40" w:line="240" w:lineRule="auto"/>
      </w:pPr>
      <w:r>
        <w:rPr>
          <w:b/>
        </w:rPr>
        <w:t xml:space="preserve">[475] </w:t>
      </w:r>
      <w:hyperlink r:id="rId1091">
        <w:r>
          <w:rPr>
            <w:color w:val="1155CC"/>
            <w:u w:val="single"/>
          </w:rPr>
          <w:t>极端条件下的熔融铁揭示了地球下外核的成分不均匀性</w:t>
        </w:r>
      </w:hyperlink>
    </w:p>
    <w:p>
      <w:pPr>
        <w:spacing w:before="0" w:after="80"/>
      </w:pPr>
      <w:r>
        <w:rPr>
          <w:i/>
          <w:sz w:val="20"/>
        </w:rPr>
        <w:t>EN: Molten iron at extreme conditions reveals compositional inhomogeneity in Earth’s lower outer core</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92">
        <w:r>
          <w:rPr>
            <w:color w:val="1155CC"/>
            <w:u w:val="single"/>
          </w:rPr>
          <w:t>10.1073/pnas.2533391123</w:t>
        </w:r>
      </w:hyperlink>
    </w:p>
    <w:p>
      <w:pPr>
        <w:spacing w:before="0" w:after="120"/>
      </w:pPr>
      <w:r>
        <w:rPr>
          <w:b/>
        </w:rPr>
        <w:t xml:space="preserve">Notes: </w:t>
      </w:r>
      <w:r>
        <w:t>abstract_source=crossref</w:t>
      </w:r>
    </w:p>
    <w:p>
      <w:pPr>
        <w:spacing w:before="0" w:after="80" w:lineRule="auto" w:line="276"/>
      </w:pPr>
      <w:r>
        <w:rPr>
          <w:b/>
        </w:rPr>
        <w:t xml:space="preserve">摘要（ZH）: </w:t>
      </w:r>
      <w:r>
        <w:t>在地球外核条件下，熔融铁的热力学性质对于理解地核的结构、成分和动力学至关重要。然而，在如此极端条件下的实验限制仍然稀缺。冲击压缩实验可以提供一种可行的方法来再现外核相关的热力学状态。在此，我们报告了熔融铁在高达约364 GPa的冲击温度测量，接近地核中心的压力。通过将这些结果与现有的冲击压缩铁的密度和声速测量相结合，我们确定了熔融铁在外核条件下的热状态方程和压缩波速度（V</w:t>
      </w:r>
      <w:r>
        <w:t xml:space="preserve"> </w:t>
      </w:r>
      <w:r>
        <w:t>P</w:t>
      </w:r>
      <w:r>
        <w:t xml:space="preserve"> </w:t>
      </w:r>
      <w:r>
        <w:t>）。</w:t>
      </w:r>
    </w:p>
    <w:p>
      <w:pPr>
        <w:spacing w:before="0" w:after="200" w:lineRule="auto" w:line="276"/>
      </w:pPr>
      <w:r>
        <w:rPr>
          <w:b/>
        </w:rPr>
        <w:t xml:space="preserve">Abstract (EN): </w:t>
      </w:r>
      <w:r>
        <w:t>The thermodynamic properties of molten iron under Earth’s outer core conditions are fundamental to understanding the core’s structure, composition, and dynamics. However, experimental constraints under such extreme conditions remain scarce. Shock compression experiments can provide a viable means of reproducing the relevant thermodynamic regime of the outer core. Here, we report precise shock temperature measurements of molten iron up to ~364 GPa, approaching pressures at the core’s center. By integrating these results with existing measurements of density and sound velocity in shock-compressed iron, we determine the thermal equation of state and compressional wave velocity (</w:t>
      </w:r>
      <w:r>
        <w:t xml:space="preserve"> </w:t>
      </w:r>
      <w:r>
        <w:t>V</w:t>
      </w:r>
      <w:r>
        <w:t xml:space="preserve"> </w:t>
      </w:r>
      <w:r>
        <w:t>P</w:t>
      </w:r>
      <w:r>
        <w:t xml:space="preserve"> </w:t>
      </w:r>
      <w:r>
        <w:t>) of molten iron throughout outer core conditions. Compared with pure molten iron, Earth’s outer core exhibits a depth-increasing density deficit and a depth-decreasing</w:t>
      </w:r>
      <w:r>
        <w:t xml:space="preserve"> </w:t>
      </w:r>
      <w:r>
        <w:t>V</w:t>
      </w:r>
      <w:r>
        <w:t xml:space="preserve"> </w:t>
      </w:r>
      <w:r>
        <w:t>P</w:t>
      </w:r>
      <w:r>
        <w:t xml:space="preserve"> </w:t>
      </w:r>
      <w:r>
        <w:t>excess, reaching ~9.0% and ~1.3% at the inner-core boundary, respectively. Notably, the density deficit flattens while the</w:t>
      </w:r>
      <w:r>
        <w:t xml:space="preserve"> </w:t>
      </w:r>
      <w:r>
        <w:t>V</w:t>
      </w:r>
      <w:r>
        <w:t xml:space="preserve"> </w:t>
      </w:r>
      <w:r>
        <w:t>P</w:t>
      </w:r>
      <w:r>
        <w:t xml:space="preserve"> </w:t>
      </w:r>
      <w:r>
        <w:t>excess steepens within the lowermost ~280 km of the outer core. These trends reveal a heterogeneous basal outer core, comprising a partially crystallized</w:t>
      </w:r>
      <w:r>
        <w:t xml:space="preserve"> </w:t>
      </w:r>
      <w:r>
        <w:t>F</w:t>
      </w:r>
      <w:r>
        <w:t xml:space="preserve"> </w:t>
      </w:r>
      <w:r>
        <w:t>-layer overlain by a gradient in light-element concentration. Our findings provide direct experimental constraints on the thermodynamic behavior of molten iron under outer core conditions, offering insights into the compositional stratification, thermal evolution, and long-term sustainability of the geodynamo.</w:t>
      </w:r>
    </w:p>
    <w:p>
      <w:pPr>
        <w:spacing w:before="120" w:after="120"/>
      </w:pPr>
      <w:r>
        <w:rPr>
          <w:sz w:val="18"/>
        </w:rPr>
        <w:t>——————————————————————————————————————————————————————————————————————</w:t>
      </w:r>
    </w:p>
    <w:p>
      <w:pPr>
        <w:spacing w:before="160" w:after="40" w:line="240" w:lineRule="auto"/>
      </w:pPr>
      <w:r>
        <w:rPr>
          <w:b/>
        </w:rPr>
        <w:t xml:space="preserve">[476] </w:t>
      </w:r>
      <w:hyperlink r:id="rId1093">
        <w:r>
          <w:rPr>
            <w:color w:val="1155CC"/>
            <w:u w:val="single"/>
          </w:rPr>
          <w:t>当通过择偶的性选择耗尽与夸大遗传变异时：解开求偶场悖论</w:t>
        </w:r>
      </w:hyperlink>
    </w:p>
    <w:p>
      <w:pPr>
        <w:spacing w:before="0" w:after="80"/>
      </w:pPr>
      <w:r>
        <w:rPr>
          <w:i/>
          <w:sz w:val="20"/>
        </w:rPr>
        <w:t>EN: When sexual selection through mate choice depletes versus exaggerates genetic variation: Unraveling the lek paradox</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94">
        <w:r>
          <w:rPr>
            <w:color w:val="1155CC"/>
            <w:u w:val="single"/>
          </w:rPr>
          <w:t>10.1073/pnas.2604818123</w:t>
        </w:r>
      </w:hyperlink>
    </w:p>
    <w:p>
      <w:pPr>
        <w:spacing w:before="0" w:after="120"/>
      </w:pPr>
      <w:r>
        <w:rPr>
          <w:b/>
        </w:rPr>
        <w:t xml:space="preserve">Notes: </w:t>
      </w:r>
      <w:r>
        <w:t>abstract_source=crossref</w:t>
      </w:r>
    </w:p>
    <w:p>
      <w:pPr>
        <w:spacing w:before="0" w:after="80" w:lineRule="auto" w:line="276"/>
      </w:pPr>
      <w:r>
        <w:rPr>
          <w:b/>
        </w:rPr>
        <w:t xml:space="preserve">摘要（ZH）: </w:t>
      </w:r>
      <w:r>
        <w:t>雌性对雄性展示特征的偏好演化依赖于雌性从其配偶中获得间接利益。这需要展示特征或雄性质量的显著遗传变异。然而，通过配偶选择的性选择被认为会消耗这种遗传变异，最终削弱偏好。然而，性状通常比非性状具有更高的遗传变异。这种矛盾，以及相关的，如何维持昂贵的偏好和展示特征，被称为“集体求偶悖论”。使用无限小模型和基于个体的模拟，我们表明在性选择下，雄性特征和雌性偏好的变异常常相互夸大，类似于失控性选择的过程，但在基因方面</w:t>
      </w:r>
    </w:p>
    <w:p>
      <w:pPr>
        <w:spacing w:before="0" w:after="200" w:lineRule="auto" w:line="276"/>
      </w:pPr>
      <w:r>
        <w:rPr>
          <w:b/>
        </w:rPr>
        <w:t xml:space="preserve">Abstract (EN): </w:t>
      </w:r>
      <w:r>
        <w:t>The evolution of female preferences for male display traits relies on females receiving indirect benefits from their mate. This requires substantial genetic variation in display traits or male quality. Nevertheless, sexual selection through mate choice has been assumed to deplete this genetic variation, ultimately diminishing preferences. However, sexual traits often have higher genetic variation than nonsexual traits. This contradiction, and, relatedly, how costly preferences and display traits are maintained, is called the “lek paradox.” Using infinitesimal models and individual-based simulations, we show that variation in male traits and female preferences often mutually exaggerate each other under sexual selection, in a process analogous to runaway sexual selection but in terms of genetic variation. Therefore, contrary to prior suppositions, sexual selection may increase equilibrium genetic variance in display traits and preferences over that under random mating, provided that preference variance is not too small relative to trait variance. Increases in trait variance are more likely under directional than stabilizing preferences, but also occur under stabilizing preferences if preferences are not too weak. When mate choice does reduce trait variation, the effect is generally slight provided loci are highly polymorphic under random mating. However, when loci are already near fixation under random mating, increases or decreases in trait variance by mate choice become more pronounced due to changes in segregation variance. It is under situations such as lekking, where mate discrimination is effectively strong with weak fitness costs, that sexual selection may be most powerful in exaggerating male display variance.</w:t>
      </w:r>
    </w:p>
    <w:p>
      <w:pPr>
        <w:spacing w:before="120" w:after="120"/>
      </w:pPr>
      <w:r>
        <w:rPr>
          <w:sz w:val="18"/>
        </w:rPr>
        <w:t>——————————————————————————————————————————————————————————————————————</w:t>
      </w:r>
    </w:p>
    <w:p>
      <w:pPr>
        <w:spacing w:before="160" w:after="40" w:line="240" w:lineRule="auto"/>
      </w:pPr>
      <w:r>
        <w:rPr>
          <w:b/>
        </w:rPr>
        <w:t xml:space="preserve">[477] </w:t>
      </w:r>
      <w:hyperlink r:id="rId1095">
        <w:r>
          <w:rPr>
            <w:color w:val="1155CC"/>
            <w:u w:val="single"/>
          </w:rPr>
          <w:t>温度控制深部慢滑动的周期性动态</w:t>
        </w:r>
      </w:hyperlink>
    </w:p>
    <w:p>
      <w:pPr>
        <w:spacing w:before="0" w:after="80"/>
      </w:pPr>
      <w:r>
        <w:rPr>
          <w:i/>
          <w:sz w:val="20"/>
        </w:rPr>
        <w:t>EN: Temperature controls the episodic dynamics of deep slow slip</w:t>
      </w:r>
    </w:p>
    <w:p>
      <w:pPr>
        <w:spacing w:before="0" w:after="120"/>
      </w:pPr>
      <w:r>
        <w:rPr>
          <w:b/>
        </w:rPr>
        <w:t xml:space="preserve">Source: </w:t>
      </w:r>
      <w:r>
        <w:t>Proceedings of the National Academy of Sciences: Keyword search for query</w:t>
      </w:r>
      <w:r>
        <w:t xml:space="preserve">    </w:t>
      </w:r>
      <w:r>
        <w:rPr>
          <w:b/>
        </w:rPr>
        <w:t xml:space="preserve">Pub date: </w:t>
      </w:r>
      <w:r>
        <w:t>2026-04-16 07:00:00+00:00</w:t>
      </w:r>
      <w:r>
        <w:t xml:space="preserve">    </w:t>
      </w:r>
      <w:r>
        <w:rPr>
          <w:b/>
        </w:rPr>
        <w:t xml:space="preserve">DOI: </w:t>
      </w:r>
      <w:hyperlink r:id="rId1096">
        <w:r>
          <w:rPr>
            <w:color w:val="1155CC"/>
            <w:u w:val="single"/>
          </w:rPr>
          <w:t>10.1073/pnas.2524741123</w:t>
        </w:r>
      </w:hyperlink>
    </w:p>
    <w:p>
      <w:pPr>
        <w:spacing w:before="0" w:after="120"/>
      </w:pPr>
      <w:r>
        <w:rPr>
          <w:b/>
        </w:rPr>
        <w:t xml:space="preserve">Notes: </w:t>
      </w:r>
      <w:r>
        <w:t>abstract_source=crossref</w:t>
      </w:r>
    </w:p>
    <w:p>
      <w:pPr>
        <w:spacing w:before="0" w:after="80" w:lineRule="auto" w:line="276"/>
      </w:pPr>
      <w:r>
        <w:rPr>
          <w:b/>
        </w:rPr>
        <w:t xml:space="preserve">摘要（ZH）: </w:t>
      </w:r>
      <w:r>
        <w:t>随着深度增加，板块边界处适应构造运动的变形机制从地震破裂的浅层摩擦滑动过渡到深层粘性流动。我们利用这一过渡区的低频地震群来测量伴随慢滑动的重复间隔和持续时间，跨越四个板块边界。我们发现这些时间尺度随着深度系统性地减少，并线性地相互缩放。假设过渡区由间歇性断层活动控制，观察到的时间尺度在所有四个板块边界上产生平均慢滑动速率为7</w:t>
      </w:r>
      <w:r>
        <w:t xml:space="preserve"> </w:t>
      </w:r>
      <w:r>
        <w:t>±</w:t>
      </w:r>
      <w:r>
        <w:t xml:space="preserve"> </w:t>
      </w:r>
      <w:r>
        <w:t>2 mm/d。</w:t>
      </w:r>
    </w:p>
    <w:p>
      <w:pPr>
        <w:spacing w:before="0" w:after="200" w:lineRule="auto" w:line="276"/>
      </w:pPr>
      <w:r>
        <w:rPr>
          <w:b/>
        </w:rPr>
        <w:t xml:space="preserve">Abstract (EN): </w:t>
      </w:r>
      <w:r>
        <w:t>The deformation regime that accommodates tectonic motion at plate boundaries changes as pressures and temperatures increase with depth, transitioning from the shallow frictional sliding of seismic ruptures to deep, viscous flow. We use recurring swarms of low-frequency earthquakes in this transition zone to measure the recurrence intervals and durations of accompanying slow slip across four plate boundaries. We find these time scales systematically decrease with depth and linearly scale with one another. Assuming a transition zone governed by episodic faulting, the observed time scales produce an average slow slip rate of 7</w:t>
      </w:r>
      <w:r>
        <w:t xml:space="preserve"> </w:t>
      </w:r>
      <w:r>
        <w:t>±</w:t>
      </w:r>
      <w:r>
        <w:t xml:space="preserve"> </w:t>
      </w:r>
      <w:r>
        <w:t>2 mm/d across all four plate boundaries that is independent of depth. Thermal models place these slow slip dynamics within a common, narrow range of temperatures. Our results suggest deep slow slip is the result of the episodic unjamming of the plate boundary by frictional heterogeneities whose relaxation is modulated by surrounding temperature-dependent viscous material.</w:t>
      </w:r>
    </w:p>
    <w:p>
      <w:pPr>
        <w:spacing w:before="120" w:after="120"/>
      </w:pPr>
      <w:r>
        <w:rPr>
          <w:sz w:val="18"/>
        </w:rPr>
        <w:t>——————————————————————————————————————————————————————————————————————</w:t>
      </w:r>
    </w:p>
    <w:p>
      <w:pPr>
        <w:spacing w:before="160" w:after="40" w:line="240" w:lineRule="auto"/>
      </w:pPr>
      <w:r>
        <w:rPr>
          <w:b/>
        </w:rPr>
        <w:t xml:space="preserve">[478] </w:t>
      </w:r>
      <w:hyperlink r:id="rId1097">
        <w:r>
          <w:rPr>
            <w:color w:val="1155CC"/>
            <w:u w:val="single"/>
          </w:rPr>
          <w:t>气体耗尽的行星形成发生在红矮星LHS 1903周围的四行星系统中</w:t>
        </w:r>
      </w:hyperlink>
    </w:p>
    <w:p>
      <w:pPr>
        <w:spacing w:before="0" w:after="80"/>
      </w:pPr>
      <w:r>
        <w:rPr>
          <w:i/>
          <w:sz w:val="20"/>
        </w:rPr>
        <w:t>EN: Gas-depleted planet formation occurred in the four-planet system around the red dwarf LHS 1903</w:t>
      </w:r>
    </w:p>
    <w:p>
      <w:pPr>
        <w:spacing w:before="0" w:after="120"/>
      </w:pPr>
      <w:r>
        <w:rPr>
          <w:b/>
        </w:rPr>
        <w:t xml:space="preserve">Source: </w:t>
      </w:r>
      <w:r>
        <w:t>AAAS: Science: Table of Contents</w:t>
      </w:r>
      <w:r>
        <w:t xml:space="preserve">    </w:t>
      </w:r>
      <w:r>
        <w:rPr>
          <w:b/>
        </w:rPr>
        <w:t xml:space="preserve">Pub date: </w:t>
      </w:r>
      <w:r>
        <w:t>2026-04-16 07:00:00+00:00</w:t>
      </w:r>
      <w:r>
        <w:t xml:space="preserve">    </w:t>
      </w:r>
      <w:r>
        <w:rPr>
          <w:b/>
        </w:rPr>
        <w:t xml:space="preserve">DOI: </w:t>
      </w:r>
      <w:hyperlink r:id="rId1098">
        <w:r>
          <w:rPr>
            <w:color w:val="1155CC"/>
            <w:u w:val="single"/>
          </w:rPr>
          <w:t>10.1126/science.adl2348</w:t>
        </w:r>
      </w:hyperlink>
    </w:p>
    <w:p>
      <w:pPr>
        <w:spacing w:before="0" w:after="120"/>
      </w:pPr>
      <w:r>
        <w:rPr>
          <w:b/>
        </w:rPr>
        <w:t xml:space="preserve">Notes: </w:t>
      </w:r>
      <w:r>
        <w:t>abstract_source=crossref</w:t>
      </w:r>
    </w:p>
    <w:p>
      <w:pPr>
        <w:spacing w:before="0" w:after="80" w:lineRule="auto" w:line="276"/>
      </w:pPr>
      <w:r>
        <w:rPr>
          <w:b/>
        </w:rPr>
        <w:t xml:space="preserve">摘要（ZH）: </w:t>
      </w:r>
      <w:r>
        <w:t>小型系外行星的半径形成了两个种群，超级地球和次海王星，它们之间由一个称为半径谷的间隙分隔。这个特征可能是由于恒星或内部加热移除大气层或缺乏初始包层所产生的。我们使用凌日光度法和径向速度测量来检测和表征围绕LHS 1903运行的四颗系外行星，LHS 1903是一颗位于银河系厚盘中的红矮星。这四颗行星的轨道周期从2.2天到29.3天不等，并在单一行星系统内跨越了半径谷。推导出的密度表明LHS 1903 b是岩石行星，而LHS 1903 c和LHS 1903 d具有扩展的大气层。距离宿主恒星最远的行星LHS 1903 e没有气态包层，表明它是由气体耗尽形成的。</w:t>
      </w:r>
    </w:p>
    <w:p>
      <w:pPr>
        <w:spacing w:before="0" w:after="200" w:lineRule="auto" w:line="276"/>
      </w:pPr>
      <w:r>
        <w:rPr>
          <w:b/>
        </w:rPr>
        <w:t xml:space="preserve">Abstract (EN): </w:t>
      </w:r>
      <w:r>
        <w:t>The radii of small exoplanets form two populations, super-Earths and sub-Neptunes, separated by a gap known as the radius valley. This feature could be produced by the removal of atmospheres by stellar or internal heating or by the lack of an initial envelope. We used transit photometry and radial velocity measurements to detect and characterize four exoplanets orbiting LHS 1903, a red dwarf star in the Milky Way’s thick disk. These four planets have orbital periods ranging from 2.2 to 29.3 days and span the radius valley within a single planetary system. The derived densities indicate that LHS 1903 b is rocky, whereas LHS 1903 c and LHS 1903 d have extended atmospheres. The most distant planet from the host star, LHS 1903 e, has no gaseous envelope, indicating that it formed from gas-depleted material.</w:t>
      </w:r>
    </w:p>
    <w:p>
      <w:pPr>
        <w:spacing w:before="120" w:after="120"/>
      </w:pPr>
      <w:r>
        <w:rPr>
          <w:sz w:val="18"/>
        </w:rPr>
        <w:t>——————————————————————————————————————————————————————————————————————</w:t>
      </w:r>
    </w:p>
    <w:p>
      <w:pPr>
        <w:spacing w:before="160" w:after="40" w:line="240" w:lineRule="auto"/>
      </w:pPr>
      <w:r>
        <w:rPr>
          <w:b/>
        </w:rPr>
        <w:t xml:space="preserve">[479] </w:t>
      </w:r>
      <w:hyperlink r:id="rId1099">
        <w:r>
          <w:rPr>
            <w:color w:val="1155CC"/>
            <w:u w:val="single"/>
          </w:rPr>
          <w:t>自组装单分子层中的π共轭和空穴-电子分离实现高效倒置钙钛矿太阳能电池</w:t>
        </w:r>
      </w:hyperlink>
    </w:p>
    <w:p>
      <w:pPr>
        <w:spacing w:before="0" w:after="80"/>
      </w:pPr>
      <w:r>
        <w:rPr>
          <w:i/>
          <w:sz w:val="20"/>
        </w:rPr>
        <w:t>EN: π‐Conjugation and Hole–Electron Separation in Self‐Assembled Monolayers Enables Efficient Inverted Perovskite Solar Cells</w:t>
      </w:r>
    </w:p>
    <w:p>
      <w:pPr>
        <w:spacing w:before="0" w:after="120"/>
      </w:pPr>
      <w:r>
        <w:rPr>
          <w:b/>
        </w:rPr>
        <w:t xml:space="preserve">Source: </w:t>
      </w:r>
      <w:r>
        <w:t>Wiley: Advanced Energy Materials: Table of Contents</w:t>
      </w:r>
      <w:r>
        <w:t xml:space="preserve">    </w:t>
      </w:r>
      <w:r>
        <w:rPr>
          <w:b/>
        </w:rPr>
        <w:t xml:space="preserve">Pub date: </w:t>
      </w:r>
      <w:r>
        <w:t>2026-04-16 07:29:02+00:00</w:t>
      </w:r>
      <w:r>
        <w:t xml:space="preserve">    </w:t>
      </w:r>
      <w:r>
        <w:rPr>
          <w:b/>
        </w:rPr>
        <w:t xml:space="preserve">DOI: </w:t>
      </w:r>
      <w:hyperlink r:id="rId1100">
        <w:r>
          <w:rPr>
            <w:color w:val="1155CC"/>
            <w:u w:val="single"/>
          </w:rPr>
          <w:t>10.1002/aenm.70942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SAMs）已成为倒置钙钛矿太阳能电池（PSCs）中空穴传输层（HTLs）的首选材料，其与钙钛矿活性层的良好界面接触使得功率转换效率（PCE）显著。然而，市售的基于咔唑-磷酸的SAMs由于其过长的烷基链连接器而表现出受限的空穴传输，因为它们具有绝缘特性。在此，通过逐步化学修饰共轭连接器和锚定基团，我们研究了一系列具有增强分子空穴-电子离域化的SAMs。在这些分子中，MCz-ICA具有独特的共轭扩展结构，包括一个苯环和两个vi</w:t>
      </w:r>
    </w:p>
    <w:p>
      <w:pPr>
        <w:spacing w:before="0" w:after="200" w:lineRule="auto" w:line="276"/>
      </w:pPr>
      <w:r>
        <w:rPr>
          <w:b/>
        </w:rPr>
        <w:t xml:space="preserve">Abstract (EN): </w:t>
      </w:r>
      <w:r>
        <w:t>Self‐assembled monolayers (SAMs) have emerged as the material of choice for hole transport layers (HTLs) in inverted perovskite solar cells (PSCs), where their favourable interfacial contact with the perovskite active layer enables remarkable power conversion efficiency (PCE). However, commercially available carbazole‐phosphonic acid‐based SAMs with excessively long alkyl chain linkers exhibit compromised hole transport due to their insulating properties. Here, through a stepwise chemical modification of conjugated linkers and anchor groups, we investigate a series of SAMs with enhanced hole–electron delocalization of molecules. Among the molecules, MCz‐ICA featuring a unique conjugation‐extension structure comprising a phenyl ring and two vinylene units as the linker, along with a cyanoacetic acid anchor, exhibits a more favourable configuration. The enhanced orbital delocalization and hole–electron separation increase the molecular dipole moment, thereby improving the interfacial contact of both perovskite and NiO</w:t>
      </w:r>
      <w:r>
        <w:t xml:space="preserve"> </w:t>
      </w:r>
      <w:r>
        <w:t>x</w:t>
      </w:r>
      <w:r>
        <w:t xml:space="preserve"> </w:t>
      </w:r>
      <w:r>
        <w:t>layers, which facilitates efficient hole extraction and suppresses non‐radiative recombination, and ultimately leads to an impressive PCE of 26.69% (certified 26.47%) of the p‐i‐n structured PSCs. Moreover, the device could maintain over 92.5% of its initial performance after 1000 h of continuous operation according to the ISOS‐L‐2I protocol.</w:t>
      </w:r>
    </w:p>
    <w:p>
      <w:pPr>
        <w:spacing w:before="120" w:after="120"/>
      </w:pPr>
      <w:r>
        <w:rPr>
          <w:sz w:val="18"/>
        </w:rPr>
        <w:t>——————————————————————————————————————————————————————————————————————</w:t>
      </w:r>
    </w:p>
    <w:p>
      <w:pPr>
        <w:spacing w:before="160" w:after="40" w:line="240" w:lineRule="auto"/>
      </w:pPr>
      <w:r>
        <w:rPr>
          <w:b/>
        </w:rPr>
        <w:t xml:space="preserve">[480] </w:t>
      </w:r>
      <w:hyperlink r:id="rId1101">
        <w:r>
          <w:rPr>
            <w:color w:val="1155CC"/>
            <w:u w:val="single"/>
          </w:rPr>
          <w:t>[ASAP] 氯氧亚硝酸酯 (OClNO): 亚硝酰氯光化学中的一种难以捉摸的中间体</w:t>
        </w:r>
      </w:hyperlink>
    </w:p>
    <w:p>
      <w:pPr>
        <w:spacing w:before="0" w:after="80"/>
      </w:pPr>
      <w:r>
        <w:rPr>
          <w:i/>
          <w:sz w:val="20"/>
        </w:rPr>
        <w:t>EN: [ASAP] Chlorosyl Nitrite (OClNO): An Elusive Intermediate in the Photochemistry of Nitryl Chloride</w:t>
      </w:r>
    </w:p>
    <w:p>
      <w:pPr>
        <w:spacing w:before="0" w:after="120"/>
      </w:pPr>
      <w:r>
        <w:rPr>
          <w:b/>
        </w:rPr>
        <w:t xml:space="preserve">Source: </w:t>
      </w:r>
      <w:r>
        <w:t>Journal of the American Chemical Society: Latest Articles (ACS Publications)</w:t>
      </w:r>
      <w:r>
        <w:t xml:space="preserve">    </w:t>
      </w:r>
      <w:r>
        <w:rPr>
          <w:b/>
        </w:rPr>
        <w:t xml:space="preserve">Pub date: </w:t>
      </w:r>
      <w:r>
        <w:t>2026-04-16 08:20:29+00:00</w:t>
      </w:r>
      <w:r>
        <w:t xml:space="preserve">    </w:t>
      </w:r>
      <w:r>
        <w:rPr>
          <w:b/>
        </w:rPr>
        <w:t xml:space="preserve">DOI: </w:t>
      </w:r>
      <w:hyperlink r:id="rId1102">
        <w:r>
          <w:rPr>
            <w:color w:val="1155CC"/>
            <w:u w:val="single"/>
          </w:rPr>
          <w:t>10.1021/jacs.6c02450</w:t>
        </w:r>
      </w:hyperlink>
    </w:p>
    <w:p>
      <w:pPr>
        <w:spacing w:before="0" w:after="120"/>
      </w:pPr>
      <w:r>
        <w:rPr>
          <w:b/>
        </w:rPr>
        <w:t xml:space="preserve">Notes: </w:t>
      </w:r>
      <w:r>
        <w:t>abstract_source=pubmed</w:t>
      </w:r>
    </w:p>
    <w:p>
      <w:pPr>
        <w:spacing w:before="0" w:after="80" w:lineRule="auto" w:line="276"/>
      </w:pPr>
      <w:r>
        <w:rPr>
          <w:b/>
        </w:rPr>
        <w:t xml:space="preserve">摘要（ZH）: </w:t>
      </w:r>
      <w:r>
        <w:t>硝酰氯 (ClNO2) 是对流层中的一种反应性痕量气体，在大气氯化学中起着重要作用。先前关于 ClNO2 光化学的研究揭示了其解离和异构化为顺式和反式氯亚硝酸酯 (ClONO)；然而，自大约 50 年前首次声称鉴定以来，高能异构体氯氧亚硝酸酯 (OClNO) 的形成证据仍然存在争议。在此，我们报告了在 10 K 固态 Ar 矩阵中 ClNO2 光化学中 OClNO 的顺式和反式构象的直接观察。除了使用基质隔离红外光谱（结合 18O 和 15N 同位素标记）和紫外-可见光谱对 OClNO 进行表征外，还通过量子隧道效应实现自发的反式 → 顺式构象转换，并进一步进行光照</w:t>
      </w:r>
    </w:p>
    <w:p>
      <w:pPr>
        <w:spacing w:before="0" w:after="200" w:lineRule="auto" w:line="276"/>
      </w:pPr>
      <w:r>
        <w:rPr>
          <w:b/>
        </w:rPr>
        <w:t xml:space="preserve">Abstract (EN): </w:t>
      </w:r>
      <w:r>
        <w:t>Nitryl chloride (ClNO2) is a reactive trace gas in the troposphere that plays an important role in atmospheric chlorine chemistry. Previous studies on the photochemistry of ClNO2 reveal dissociation and isomerization to cis- and trans-chlorine nitrite (ClONO); however, evidence for the formation of the high-energy isomeric chlorosyl nitrite (OClNO) remains controversial since its first claimed identification about 50 years ago. Here, we report the direct observation of the cis- and trans-conformers of OClNO in the photochemistry of ClNO2 in solid Ar-matrices at 10 K. In addition to the characterization of OClNO by using matrix-isolation IR (with 18O- and 15N-isotope labeling) and UV-vis spectroscopy, spontaneous trans → cis conformational conversion via quantum tunneling with further photoisomerization to ClONO has been observed. Our results underscore the role of OClNO as a potent intermediate in the atmospheric chlorine chemistry at low temperatures.</w:t>
      </w:r>
    </w:p>
    <w:p>
      <w:pPr>
        <w:spacing w:before="120" w:after="120"/>
      </w:pPr>
      <w:r>
        <w:rPr>
          <w:sz w:val="18"/>
        </w:rPr>
        <w:t>——————————————————————————————————————————————————————————————————————</w:t>
      </w:r>
    </w:p>
    <w:p>
      <w:pPr>
        <w:spacing w:before="160" w:after="40" w:line="240" w:lineRule="auto"/>
      </w:pPr>
      <w:r>
        <w:rPr>
          <w:b/>
        </w:rPr>
        <w:t xml:space="preserve">[481] </w:t>
      </w:r>
      <w:hyperlink r:id="rId1103">
        <w:r>
          <w:rPr>
            <w:color w:val="1155CC"/>
            <w:u w:val="single"/>
          </w:rPr>
          <w:t>[ASAP] 作为具有弹跳和堵塞力学的分子超材料的互锁编织COFs</w:t>
        </w:r>
      </w:hyperlink>
    </w:p>
    <w:p>
      <w:pPr>
        <w:spacing w:before="0" w:after="80"/>
      </w:pPr>
      <w:r>
        <w:rPr>
          <w:i/>
          <w:sz w:val="20"/>
        </w:rPr>
        <w:t>EN: [ASAP] Interlocked Woven COFs as Molecular Metamaterials with Snap-through and Jamming Mechanics</w:t>
      </w:r>
    </w:p>
    <w:p>
      <w:pPr>
        <w:spacing w:before="0" w:after="120"/>
      </w:pPr>
      <w:r>
        <w:rPr>
          <w:b/>
        </w:rPr>
        <w:t xml:space="preserve">Source: </w:t>
      </w:r>
      <w:r>
        <w:t>Journal of the American Chemical Society: Latest Articles (ACS Publications)</w:t>
      </w:r>
      <w:r>
        <w:t xml:space="preserve">    </w:t>
      </w:r>
      <w:r>
        <w:rPr>
          <w:b/>
        </w:rPr>
        <w:t xml:space="preserve">Pub date: </w:t>
      </w:r>
      <w:r>
        <w:t>2026-04-16 08:39:30+00:00</w:t>
      </w:r>
      <w:r>
        <w:t xml:space="preserve">    </w:t>
      </w:r>
      <w:r>
        <w:rPr>
          <w:b/>
        </w:rPr>
        <w:t xml:space="preserve">DOI: </w:t>
      </w:r>
      <w:hyperlink r:id="rId1104">
        <w:r>
          <w:rPr>
            <w:color w:val="1155CC"/>
            <w:u w:val="single"/>
          </w:rPr>
          <w:t>10.1021/jacs.6c02474</w:t>
        </w:r>
      </w:hyperlink>
    </w:p>
    <w:p>
      <w:pPr>
        <w:spacing w:before="0" w:after="120"/>
      </w:pPr>
      <w:r>
        <w:rPr>
          <w:b/>
        </w:rPr>
        <w:t xml:space="preserve">Notes: </w:t>
      </w:r>
      <w:r>
        <w:t>abstract_source=pubmed</w:t>
      </w:r>
    </w:p>
    <w:p>
      <w:pPr>
        <w:spacing w:before="0" w:after="80" w:lineRule="auto" w:line="276"/>
      </w:pPr>
      <w:r>
        <w:rPr>
          <w:b/>
        </w:rPr>
        <w:t xml:space="preserve">摘要（ZH）: </w:t>
      </w:r>
      <w:r>
        <w:t>三维编织共价有机框架 (COFs) 中的互锁结构引发了有趣的分子尺度机械响应，这些响应通过网状化学和拓扑结构进行编程。在此，我们使用原子模拟研究铜模板编织框架 (COF-500-Cu) 及其去金属化类似物 (COF-500) 的拓扑驱动特性。计算分析表明，COF-500-Cu 中的铜配体配位固定了互锁的带状拓扑结构，导致在拉伸下出现跳跃行为。去除 Cu(I) 后，带状结构的移动性增强，同时保持机械互锁，由于堵塞转变，在拉伸和压缩下变得越来越受限。这些结果表明，互锁编织 COFs 可以作为</w:t>
      </w:r>
    </w:p>
    <w:p>
      <w:pPr>
        <w:spacing w:before="0" w:after="200" w:lineRule="auto" w:line="276"/>
      </w:pPr>
      <w:r>
        <w:rPr>
          <w:b/>
        </w:rPr>
        <w:t xml:space="preserve">Abstract (EN): </w:t>
      </w:r>
      <w:r>
        <w:t>Interlocking architectures in three-dimensional woven covalent organic frameworks (COFs) induce interesting molecular-scale mechanical responses, programmed through reticular chemistry and topology. Here, we use atomistic simulations to investigate the topology-driven properties of a copper-templated woven framework (COF-500-Cu) and its demetalated analogue (COF-500). The computational analysis indicates that Cu-ligand coordination in COF-500-Cu pins the interlocked ribbon topology, leading to a snap-through behavior under tension. Removal of Cu(I) allows enhanced ribbon mobility while preserving the mechanical interlocking, which becomes increasingly constrained under tension and compression due to a jamming transition. These results highlight that interlocked woven COFs can function as molecular-scale metamaterials, thereby extending their use beyond conventional chemical applications.</w:t>
      </w:r>
    </w:p>
    <w:p>
      <w:pPr>
        <w:spacing w:before="120" w:after="120"/>
      </w:pPr>
      <w:r>
        <w:rPr>
          <w:sz w:val="18"/>
        </w:rPr>
        <w:t>——————————————————————————————————————————————————————————————————————</w:t>
      </w:r>
    </w:p>
    <w:p>
      <w:pPr>
        <w:spacing w:before="160" w:after="40" w:line="240" w:lineRule="auto"/>
      </w:pPr>
      <w:r>
        <w:rPr>
          <w:b/>
        </w:rPr>
        <w:t xml:space="preserve">[482] </w:t>
      </w:r>
      <w:hyperlink r:id="rId1105">
        <w:r>
          <w:rPr>
            <w:color w:val="1155CC"/>
            <w:u w:val="single"/>
          </w:rPr>
          <w:t>[ASAP] 通过深度分辨振动SFG/DFG光谱研究带电界面的各向异性水结构</w:t>
        </w:r>
      </w:hyperlink>
    </w:p>
    <w:p>
      <w:pPr>
        <w:spacing w:before="0" w:after="80"/>
      </w:pPr>
      <w:r>
        <w:rPr>
          <w:i/>
          <w:sz w:val="20"/>
        </w:rPr>
        <w:t>EN: [ASAP] Anisotropic Water Structure at Charged Interfaces Studied by Depth-Resolved Vibrational SFG/DFG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2026-04-16 08:54:44+00:00</w:t>
      </w:r>
      <w:r>
        <w:t xml:space="preserve">    </w:t>
      </w:r>
      <w:r>
        <w:rPr>
          <w:b/>
        </w:rPr>
        <w:t xml:space="preserve">DOI: </w:t>
      </w:r>
      <w:hyperlink r:id="rId1106">
        <w:r>
          <w:rPr>
            <w:color w:val="1155CC"/>
            <w:u w:val="single"/>
          </w:rPr>
          <w:t>10.1021/jacs.5c19517</w:t>
        </w:r>
      </w:hyperlink>
    </w:p>
    <w:p>
      <w:pPr>
        <w:spacing w:before="0" w:after="120"/>
      </w:pPr>
      <w:r>
        <w:rPr>
          <w:b/>
        </w:rPr>
        <w:t xml:space="preserve">Notes: </w:t>
      </w:r>
      <w:r>
        <w:t>abstract_source=pubmed</w:t>
      </w:r>
    </w:p>
    <w:p>
      <w:pPr>
        <w:spacing w:before="0" w:after="80" w:lineRule="auto" w:line="276"/>
      </w:pPr>
      <w:r>
        <w:rPr>
          <w:b/>
        </w:rPr>
        <w:t xml:space="preserve">摘要（ZH）: </w:t>
      </w:r>
      <w:r>
        <w:t>带电水界面的分子水结构受界面电场的影响，可以在分子取向上引起显著的各向异性，延伸到纳米尺度的距离。尽管其具有重要意义，但由于缺乏适当的实验技术，对这种深度依赖的各向异性水结构的细节知之甚少。在此，我们使用一种新开发的技术，展示了对不溶性带电表面活性剂界面处水各向异性的深度分辨研究，该技术允许直接将非线性振动光谱与纳米尺度深度信息相关联。我们证明，获得的数据允许重建非线性振动响应作为深度的函数。结果</w:t>
      </w:r>
    </w:p>
    <w:p>
      <w:pPr>
        <w:spacing w:before="0" w:after="200" w:lineRule="auto" w:line="276"/>
      </w:pPr>
      <w:r>
        <w:rPr>
          <w:b/>
        </w:rPr>
        <w:t xml:space="preserve">Abstract (EN): </w:t>
      </w:r>
      <w:r>
        <w:t>The molecular water structure at charged aqueous interfaces is shaped by interfacial electric fields, which can induce significant anisotropy in the molecular orientations extending over nanometer-scale distances. Despite its great relevance, very little is known about the details of this depth-dependent anisotropic water structure, mainly due to the lack of appropriate experimental techniques. Here, we present a depth-resolved study of the water anisotropy at the interface with insoluble charged surfactants using a newly developed technique, which allows for directly correlating nonlinear vibrational spectra with depth information on the nanometer scale. We demonstrate that the obtained data allows for a reconstruction of the nonlinear vibrational responses as a function of depth. The results for the case of low-salinity solutions show the presence of two pronounced regions within the interfacial anisotropy with largely deviating degrees of preferential molecular orientations. A spectral analysis of the depth-dependent vibrational responses furthermore reveals that the natural local hydrogen-bond structure of bulk water remains largely unperturbed throughout the interfacial region, including water in direct proximity to the surface charges. These findings significantly refine our understanding of the anisotropic water structure at the interface with hydrophilic charged surfactants and showcase the large potential of our depth-resolved spectroscopic technique.</w:t>
      </w:r>
    </w:p>
    <w:p>
      <w:pPr>
        <w:spacing w:before="120" w:after="120"/>
      </w:pPr>
      <w:r>
        <w:rPr>
          <w:sz w:val="18"/>
        </w:rPr>
        <w:t>——————————————————————————————————————————————————————————————————————</w:t>
      </w:r>
    </w:p>
    <w:p>
      <w:pPr>
        <w:spacing w:before="160" w:after="40" w:line="240" w:lineRule="auto"/>
      </w:pPr>
      <w:r>
        <w:rPr>
          <w:b/>
        </w:rPr>
        <w:t xml:space="preserve">[483] </w:t>
      </w:r>
      <w:hyperlink r:id="rId1107">
        <w:r>
          <w:rPr>
            <w:color w:val="1155CC"/>
            <w:u w:val="single"/>
          </w:rPr>
          <w:t>[ASAP] 超分子相互作用调节D5h对称Dy(III)单分子磁体中的拉曼弛豫，将磁滞温度提高到50 K</w:t>
        </w:r>
      </w:hyperlink>
    </w:p>
    <w:p>
      <w:pPr>
        <w:spacing w:before="0" w:after="80"/>
      </w:pPr>
      <w:r>
        <w:rPr>
          <w:i/>
          <w:sz w:val="20"/>
        </w:rPr>
        <w:t>EN: [ASAP] Supramolecular Interactions Modulate Raman Relaxation in D5h Symmetric Dy(III) Single-Molecule Magnets Opening the Magnetic Hysteresis up to 50 K</w:t>
      </w:r>
    </w:p>
    <w:p>
      <w:pPr>
        <w:spacing w:before="0" w:after="120"/>
      </w:pPr>
      <w:r>
        <w:rPr>
          <w:b/>
        </w:rPr>
        <w:t xml:space="preserve">Source: </w:t>
      </w:r>
      <w:r>
        <w:t>Journal of the American Chemical Society: Latest Articles (ACS Publications)</w:t>
      </w:r>
      <w:r>
        <w:t xml:space="preserve">    </w:t>
      </w:r>
      <w:r>
        <w:rPr>
          <w:b/>
        </w:rPr>
        <w:t xml:space="preserve">Pub date: </w:t>
      </w:r>
      <w:r>
        <w:t>2026-04-16 12:01:01+00:00</w:t>
      </w:r>
      <w:r>
        <w:t xml:space="preserve">    </w:t>
      </w:r>
      <w:r>
        <w:rPr>
          <w:b/>
        </w:rPr>
        <w:t xml:space="preserve">DOI: </w:t>
      </w:r>
      <w:hyperlink r:id="rId1108">
        <w:r>
          <w:rPr>
            <w:color w:val="1155CC"/>
            <w:u w:val="single"/>
          </w:rPr>
          <w:t>10.1021/jacs.6c03705</w:t>
        </w:r>
      </w:hyperlink>
    </w:p>
    <w:p>
      <w:pPr>
        <w:spacing w:before="0" w:after="120"/>
      </w:pPr>
      <w:r>
        <w:rPr>
          <w:b/>
        </w:rPr>
        <w:t xml:space="preserve">Notes: </w:t>
      </w:r>
      <w:r>
        <w:t>abstract_source=pubmed</w:t>
      </w:r>
    </w:p>
    <w:p>
      <w:pPr>
        <w:spacing w:before="0" w:after="80" w:lineRule="auto" w:line="276"/>
      </w:pPr>
      <w:r>
        <w:rPr>
          <w:b/>
        </w:rPr>
        <w:t xml:space="preserve">摘要（ZH）: </w:t>
      </w:r>
      <w:r>
        <w:t>基于镝的单分子磁体（SMMs）表现出大的磁各向异性和矫顽场，提供了在分子水平上支持信息存储的潜力。由于SMMs的分子特性，超分子相互作用通常被认为在塑造其磁滞现象中是微弱且可忽略的。在此，我们设计了一系列化合物，以展示超分子相互作用实际上通过控制拉曼弛豫的效率在调控SMMs的磁滞回线中起关键作用。我们选择了五角双锥（PB）家族的Dy(III) SMMs，其具有通式为[Dy(L)2(py)5]+的阳离子配合物和固定的[BPh4]-阴离子。在此，我们仅改变轴向配体的外围部分，其超分子相互作用强度不同。</w:t>
      </w:r>
    </w:p>
    <w:p>
      <w:pPr>
        <w:spacing w:before="0" w:after="200" w:lineRule="auto" w:line="276"/>
      </w:pPr>
      <w:r>
        <w:rPr>
          <w:b/>
        </w:rPr>
        <w:t xml:space="preserve">Abstract (EN): </w:t>
      </w:r>
      <w:r>
        <w:t>Dysprosium-based single-molecule magnets (SMMs) exhibit large magnetic anisotropy and coercive fields, offering the potential to support information storage at the molecular level. Owing to the molecular nature of SMMs, supramolecular interactions are usually perceived as weak and negligible in shaping their magnetic hysteresis. Here we designed a series of compounds to show that supramolecular interactions instead play a key role in governing the hysteresis loops of SMMs via controlling the efficiency of Raman relaxation. We chose the pentagonal-bipyramidal (PB) family of Dy(III) SMMs that has a cationic complex with the common formulas of [Dy(L)2(py)5]+ and a fixed anion of [BPh4]-. Here we vary only the peripheral parts of the axial ligands with disparate strength of supramolecular interactions. For HL = cyclohexylmethanol (PB-hx), there is no intramolecular C-H···π interactions, while for one phenyl ring based HL = benzyl alcohol (PB-bz) or (S)-(-)-1-phenylethanol (PB-pe), there are intermediate supramolecular interactions, and the largest HL = 9-anthracenemethanol (PB-an) does give the strongest C-H···π interactions. Magnetic, spectroscopic, and ab initio spin dynamics simulation studies provide solid evidence that these supramolecular interactions directly participate in the mitigation of the two-phonon Raman process, supporting the observed gradual enhancement of blocking temperature (TBH at the field sweep rate of 200 Oe/s) of 38, 42, and 46 K for PB-hx, PB-bz, and PB-pe and finally 50 K for PB-an, the highest value ever reported for this class of compounds. Our study provides a new and promising paradigm to mitigate Raman relaxation and pave the way to novel high-temperature SMMs.</w:t>
      </w:r>
    </w:p>
    <w:p>
      <w:pPr>
        <w:spacing w:before="120" w:after="120"/>
      </w:pPr>
      <w:r>
        <w:rPr>
          <w:sz w:val="18"/>
        </w:rPr>
        <w:t>——————————————————————————————————————————————————————————————————————</w:t>
      </w:r>
    </w:p>
    <w:p>
      <w:pPr>
        <w:spacing w:before="160" w:after="40" w:line="240" w:lineRule="auto"/>
      </w:pPr>
      <w:r>
        <w:rPr>
          <w:b/>
        </w:rPr>
        <w:t xml:space="preserve">[484] </w:t>
      </w:r>
      <w:hyperlink r:id="rId1109">
        <w:r>
          <w:rPr>
            <w:color w:val="1155CC"/>
            <w:u w:val="single"/>
          </w:rPr>
          <w:t>[ASAP] 通过金属-大环框架的原位网状编辑编程异功能活性位点</w:t>
        </w:r>
      </w:hyperlink>
    </w:p>
    <w:p>
      <w:pPr>
        <w:spacing w:before="0" w:after="80"/>
      </w:pPr>
      <w:r>
        <w:rPr>
          <w:i/>
          <w:sz w:val="20"/>
        </w:rPr>
        <w:t>EN: [ASAP] Programming Heterofunctional Active Sites via In Situ Reticular Editing of Metal–Macrocyclic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2026-04-16 19:01:06+00:00</w:t>
      </w:r>
      <w:r>
        <w:t xml:space="preserve">    </w:t>
      </w:r>
      <w:r>
        <w:rPr>
          <w:b/>
        </w:rPr>
        <w:t xml:space="preserve">DOI: </w:t>
      </w:r>
      <w:hyperlink r:id="rId1110">
        <w:r>
          <w:rPr>
            <w:color w:val="1155CC"/>
            <w:u w:val="single"/>
          </w:rPr>
          <w:t>10.1021/jacs.6c02311</w:t>
        </w:r>
      </w:hyperlink>
    </w:p>
    <w:p>
      <w:pPr>
        <w:spacing w:before="0" w:after="120"/>
      </w:pPr>
      <w:r>
        <w:rPr>
          <w:b/>
        </w:rPr>
        <w:t xml:space="preserve">Notes: </w:t>
      </w:r>
      <w:r>
        <w:t>abstract_source=pubmed</w:t>
      </w:r>
    </w:p>
    <w:p>
      <w:pPr>
        <w:spacing w:before="0" w:after="80" w:lineRule="auto" w:line="276"/>
      </w:pPr>
      <w:r>
        <w:rPr>
          <w:b/>
        </w:rPr>
        <w:t xml:space="preserve">摘要（ZH）: </w:t>
      </w:r>
      <w:r>
        <w:t>在金属有机框架中，支架作为被动的宿主基质，主要依赖于预功能化配体的组装来定义孔环境。通过这种方法构建协同结合位点通常受到合成复杂性和庞大功能团的空间位阻的阻碍。在此，我们提出了两种坚固的、嵌入三级胺的环烯基配体的设计：一种是四位的，另一种是T形的三位的。这两种配体被用于合成三种同构、高度多孔的锆金属大环框架（MMCFs），分别命名为MMCF-5、MMCF-7-AcOH和MMCF-7-AA。我们强调，三位配体通过一种称为原位网状编辑（ISRE）的策略使框架成为反应性基质。利用SO2作为探针来</w:t>
      </w:r>
    </w:p>
    <w:p>
      <w:pPr>
        <w:spacing w:before="0" w:after="200" w:lineRule="auto" w:line="276"/>
      </w:pPr>
      <w:r>
        <w:rPr>
          <w:b/>
        </w:rPr>
        <w:t xml:space="preserve">Abstract (EN): </w:t>
      </w:r>
      <w:r>
        <w:t>In metal-organic frameworks, the scaffold serves as a passive host matrix, relying primarily on the assembly of prefunctionalized ligands to define the pore environment. Constructing cooperative binding pockets via this approach is often impeded by synthetic complexity and the steric hindrance of bulky functional groups. Herein, we present the design of two robust, tertiary amine-embedded cyclen-based ligands: one tetratopic and the other T-shaped tritopic. The two ligands were used to synthesize three isostructural, highly porous Zr-metal-macrocyclic frameworks (MMCFs), denoted as MMCF-5, MMCF-7-AcOH, and MMCF-7-AA. We highlight that the tritopic ligand enabled the framework as a reactive matrix through a strategy termed in situ reticular editing (ISRE). Utilizing SO2 as a probe to interrogate the pore environment, MMCF-7-AA exhibits an exceptional capacity of 12.5 mmol g-1 at 1 bar and 1.43 mmol g-1 at 2500 ppm. These metrics not only position it among the top-performing adsorbents at low partial pressures but, more importantly, corroborate the successful construction of the cooperative binding sites. We then elucidated this distinct SO2 sorption behavior through X-ray crystallography, density functional theory (DFT) calculations, and in situ diffuse reflectance infrared Fourier transform (DRIFT) spectroscopy. This work establishes ISRE as a versatile blueprint for pore editing, offering a feasible pathway to evolve sophisticated chemical environments by harnessing simple precursor scaffolds as reactive matrices.</w:t>
      </w:r>
    </w:p>
    <w:p>
      <w:pPr>
        <w:spacing w:before="120" w:after="120"/>
      </w:pPr>
      <w:r>
        <w:rPr>
          <w:sz w:val="18"/>
        </w:rPr>
        <w:t>——————————————————————————————————————————————————————————————————————</w:t>
      </w:r>
    </w:p>
    <w:p>
      <w:pPr>
        <w:spacing w:before="160" w:after="40" w:line="240" w:lineRule="auto"/>
      </w:pPr>
      <w:r>
        <w:rPr>
          <w:b/>
        </w:rPr>
        <w:t xml:space="preserve">[485] </w:t>
      </w:r>
      <w:hyperlink r:id="rId1111">
        <w:r>
          <w:rPr>
            <w:color w:val="1155CC"/>
            <w:u w:val="single"/>
          </w:rPr>
          <w:t>[ASAP] 半导体表面化学键形成的实时耦合电子-核动力学</w:t>
        </w:r>
      </w:hyperlink>
    </w:p>
    <w:p>
      <w:pPr>
        <w:spacing w:before="0" w:after="80"/>
      </w:pPr>
      <w:r>
        <w:rPr>
          <w:i/>
          <w:sz w:val="20"/>
        </w:rPr>
        <w:t>EN: [ASAP] Real-Time Coupled Electron–Nuclear Dynamics of Chemical Bond Formation on a Semiconductor Surface</w:t>
      </w:r>
    </w:p>
    <w:p>
      <w:pPr>
        <w:spacing w:before="0" w:after="120"/>
      </w:pPr>
      <w:r>
        <w:rPr>
          <w:b/>
        </w:rPr>
        <w:t xml:space="preserve">Source: </w:t>
      </w:r>
      <w:r>
        <w:t>Journal of the American Chemical Society: Latest Articles (ACS Publications)</w:t>
      </w:r>
      <w:r>
        <w:t xml:space="preserve">    </w:t>
      </w:r>
      <w:r>
        <w:rPr>
          <w:b/>
        </w:rPr>
        <w:t xml:space="preserve">Pub date: </w:t>
      </w:r>
      <w:r>
        <w:t>2026-04-16 19:09:51+00:00</w:t>
      </w:r>
      <w:r>
        <w:t xml:space="preserve">    </w:t>
      </w:r>
      <w:r>
        <w:rPr>
          <w:b/>
        </w:rPr>
        <w:t xml:space="preserve">DOI: </w:t>
      </w:r>
      <w:hyperlink r:id="rId1112">
        <w:r>
          <w:rPr>
            <w:color w:val="1155CC"/>
            <w:u w:val="single"/>
          </w:rPr>
          <w:t>10.1021/jacs.5c22902</w:t>
        </w:r>
      </w:hyperlink>
    </w:p>
    <w:p>
      <w:pPr>
        <w:spacing w:before="0" w:after="120"/>
      </w:pPr>
      <w:r>
        <w:rPr>
          <w:b/>
        </w:rPr>
        <w:t xml:space="preserve">Notes: </w:t>
      </w:r>
      <w:r>
        <w:t>abstract_source=pubmed</w:t>
      </w:r>
    </w:p>
    <w:p>
      <w:pPr>
        <w:spacing w:before="0" w:after="80" w:lineRule="auto" w:line="276"/>
      </w:pPr>
      <w:r>
        <w:rPr>
          <w:b/>
        </w:rPr>
        <w:t xml:space="preserve">摘要（ZH）: </w:t>
      </w:r>
      <w:r>
        <w:t>基于实时、时间依赖密度泛函理论和Ehrenfest动力学的第一性原理耦合电子-核动力学模拟定量再现了实验中观察到的氢原子从Ge(111)-c(2 × 8)散射的双峰平动能量损失和角分布。该理论阐明了一种与形成不同Ge-H键相关的电子非绝热能量转移的位点选择机制。当氢原子接近Ge静止原子时，它被强烈加速向势能最低点，形成瞬态Ge-H键，然后被排斥壁反射。这种瞬态键的形成触发了从静止原子到相邻Ge吸附原子的超快电子转移事件，涉及多个价态之间的交叉。</w:t>
      </w:r>
    </w:p>
    <w:p>
      <w:pPr>
        <w:spacing w:before="0" w:after="200" w:lineRule="auto" w:line="276"/>
      </w:pPr>
      <w:r>
        <w:rPr>
          <w:b/>
        </w:rPr>
        <w:t xml:space="preserve">Abstract (EN): </w:t>
      </w:r>
      <w:r>
        <w:t>A first-principles coupled electron-nuclear dynamics simulation based on real-time, time-dependent density functional theory and Ehrenfest dynamics quantitatively reproduces bimodal translational energy loss and angular distributions observed in experiments for hydrogen atom scattering from Ge(111)-c(2 × 8). The theory elucidates a site-selective mechanism of electronically nonadiabatic energy transfer associated with the formation of different Ge-H bonds. When a hydrogen atom approaches a Ge rest-atom, it is strongly accelerated toward the potential minimum, forming a transient Ge-H bond and then reflected by the repulsive wall. This transient bond formation triggers an ultrafast electron transfer event from the rest atom to an adjacent Ge adatom involving several crossings between valence and conduction bands of the substrate. Electronic equilibration is impossible within such a short time (Born-Oppenheimer failure), allowing the H atom kinetic energy to be converted to interband electronic excitation of the substrate. H atom collisions at other Ge atoms also form a transient bond but exhibit no electronic excitation, resulting in a distinctly less efficient energy loss in scattered H atoms. The nuclear-to-electronic energy transfer observed in this system reflects the electronic dynamics of covalent bond formation at a semiconductor surface, a mechanism that is quite distinct from previously identified nonadiabatic energy transfer mechanisms at metal surfaces mediated by electronic friction or transient negative ions.</w:t>
      </w:r>
    </w:p>
    <w:p>
      <w:pPr>
        <w:spacing w:before="120" w:after="120"/>
      </w:pPr>
      <w:r>
        <w:rPr>
          <w:sz w:val="18"/>
        </w:rPr>
        <w:t>——————————————————————————————————————————————————————————————————————</w:t>
      </w:r>
    </w:p>
    <w:p>
      <w:pPr>
        <w:spacing w:before="160" w:after="40" w:line="240" w:lineRule="auto"/>
      </w:pPr>
      <w:r>
        <w:rPr>
          <w:b/>
        </w:rPr>
        <w:t xml:space="preserve">[486] </w:t>
      </w:r>
      <w:hyperlink r:id="rId1113">
        <w:r>
          <w:rPr>
            <w:color w:val="1155CC"/>
            <w:u w:val="single"/>
          </w:rPr>
          <w:t>通过结晶动力学控制形态实现20.46%效率的有机太阳能电池，同时提高电压和热稳定性</w:t>
        </w:r>
      </w:hyperlink>
    </w:p>
    <w:p>
      <w:pPr>
        <w:spacing w:before="0" w:after="80"/>
      </w:pPr>
      <w:r>
        <w:rPr>
          <w:i/>
          <w:sz w:val="20"/>
        </w:rPr>
        <w:t>EN: 20.46% Efficient Organic Solar Cells with Concurrent Voltage Enhancement and Thermal Stability Enabled by Crystallization-Kinetics-Controlled Morphology</w:t>
      </w:r>
    </w:p>
    <w:p>
      <w:pPr>
        <w:spacing w:before="0" w:after="120"/>
      </w:pPr>
      <w:r>
        <w:rPr>
          <w:b/>
        </w:rPr>
        <w:t xml:space="preserve">Source: </w:t>
      </w:r>
      <w:r>
        <w:t>RSC - Energy Environ. Sci. latest articles</w:t>
      </w:r>
      <w:r>
        <w:t xml:space="preserve">    </w:t>
      </w:r>
      <w:r>
        <w:rPr>
          <w:b/>
        </w:rPr>
        <w:t xml:space="preserve">Pub date: </w:t>
      </w:r>
      <w:r>
        <w:t>2026-04-16 23:00:00+00:00</w:t>
      </w:r>
    </w:p>
    <w:p>
      <w:pPr>
        <w:spacing w:before="0" w:after="120"/>
      </w:pPr>
      <w:r>
        <w:rPr>
          <w:b/>
        </w:rPr>
        <w:t xml:space="preserve">Notes: </w:t>
      </w:r>
      <w:r>
        <w:t>abstract_source=rsc_html</w:t>
      </w:r>
    </w:p>
    <w:p>
      <w:pPr>
        <w:spacing w:before="0" w:after="80" w:lineRule="auto" w:line="276"/>
      </w:pPr>
      <w:r>
        <w:rPr>
          <w:b/>
        </w:rPr>
        <w:t xml:space="preserve">摘要（ZH）: </w:t>
      </w:r>
      <w:r>
        <w:t>有机太阳能电池通常受到形态不稳定性和亚最佳相分离的限制，这主要源于最先进的非富勒烯受体的快速结晶动力学，导致过度聚集和亚稳态混合物。在此，我们设计了一种不对称受体BTP-FClO，其特征是减缓的成核动力学。当作为第三组分掺入PM6:L8-BO混合物中时，BTP-FClO作为结晶调节剂，显著延迟成核和相分离。三元混合物的精细形态特征在于延长的成核时间（199 ms）和延长的载流子寿命，导致低能量无序（13.8 meV）和较低的陷阱密度（2.69 × 10¹⁶ cm⁻³）。因此，三元器件克服了电压-电流t</w:t>
      </w:r>
    </w:p>
    <w:p>
      <w:pPr>
        <w:spacing w:before="0" w:after="200" w:lineRule="auto" w:line="276"/>
      </w:pPr>
      <w:r>
        <w:rPr>
          <w:b/>
        </w:rPr>
        <w:t xml:space="preserve">Abstract (EN): </w:t>
      </w:r>
      <w:r>
        <w:t>Organic solar cells are often limited by morphological instability and suboptimal phase separation, largely stemming from the rapid crystallization kinetics of state-of-the-art non-fullerene acceptors, which lead to excessive aggregation and metastable blends. Herein, we design an asymmetric acceptor, BTP-FClO, featuring slowed nucleation dynamics. When incorporated as a third component into PM6:L8-BO blends, BTP-FClO functions as a crystallization moderator, significantly delaying nucleation and phase separation. The refined morphology of the ternary blend is characterized by an extended nucleation time (199 ms) and a prolonged carrier lifetime, resulting in low energy disorder (13.8 meV) and a lower trap density (2.69 × 10¹⁶ cm⁻³). Thus, the ternary device overcomes the voltage–current trade-off to provide a power conversion efficiency of 20.46% by simultaneously increasing the open-circuit voltage (0.916 V) and short-circuit current density (28.02 mA cm⁻²). Notably, an efficiency of 18.28% is retained even at an active-layer thickness of 446 nm, underscoring excellent thickness tolerance. Moreover, the blend exhibits exceptional thermal stability, retaining 80% of its initial efficiency after annealing for 448 h at 60 °C, attributed to its robust morphology and high glass transition temperature (Tg =120 °C). This work demonstrates that molecular design targeting crystallization kinetics, alongside energetics, offers a practical pathway toward high-performance organic photovoltaics.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02/anie.9629642?af=R" TargetMode="External"/><Relationship Id="rId10" Type="http://schemas.openxmlformats.org/officeDocument/2006/relationships/hyperlink" Target="https://doi.org/10.1002/anie.9629642" TargetMode="External"/><Relationship Id="rId11" Type="http://schemas.openxmlformats.org/officeDocument/2006/relationships/hyperlink" Target="https://advanced.onlinelibrary.wiley.com/doi/10.1002/aenm.70931?af=R" TargetMode="External"/><Relationship Id="rId12" Type="http://schemas.openxmlformats.org/officeDocument/2006/relationships/hyperlink" Target="https://doi.org/10.1002/aenm.70931" TargetMode="External"/><Relationship Id="rId13" Type="http://schemas.openxmlformats.org/officeDocument/2006/relationships/hyperlink" Target="https://www.sciencedirect.com/science/article/pii/S0306261926004721?dgcid=rss_sd_all" TargetMode="External"/><Relationship Id="rId14" Type="http://schemas.openxmlformats.org/officeDocument/2006/relationships/hyperlink" Target="https://www.sciencedirect.com/science/article/pii/S0306261926003922?dgcid=rss_sd_all" TargetMode="External"/><Relationship Id="rId15" Type="http://schemas.openxmlformats.org/officeDocument/2006/relationships/hyperlink" Target="https://www.nature.com/articles/s41467-026-72048-w" TargetMode="External"/><Relationship Id="rId16" Type="http://schemas.openxmlformats.org/officeDocument/2006/relationships/hyperlink" Target="https://doi.org/10.1038/s41467-026-72048-w" TargetMode="External"/><Relationship Id="rId17" Type="http://schemas.openxmlformats.org/officeDocument/2006/relationships/hyperlink" Target="https://www.nature.com/articles/s41560-026-02031-8" TargetMode="External"/><Relationship Id="rId18" Type="http://schemas.openxmlformats.org/officeDocument/2006/relationships/hyperlink" Target="https://doi.org/10.1038/s41560-026-02031-8" TargetMode="External"/><Relationship Id="rId19" Type="http://schemas.openxmlformats.org/officeDocument/2006/relationships/hyperlink" Target="https://www.sciencedirect.com/science/article/pii/S0306261926005039?dgcid=rss_sd_all" TargetMode="External"/><Relationship Id="rId20" Type="http://schemas.openxmlformats.org/officeDocument/2006/relationships/hyperlink" Target="https://onlinelibrary.wiley.com/doi/10.1002/anie.202525625?af=R" TargetMode="External"/><Relationship Id="rId21" Type="http://schemas.openxmlformats.org/officeDocument/2006/relationships/hyperlink" Target="https://doi.org/10.1002/anie.202525625" TargetMode="External"/><Relationship Id="rId22" Type="http://schemas.openxmlformats.org/officeDocument/2006/relationships/hyperlink" Target="https://advanced.onlinelibrary.wiley.com/doi/10.1002/aenm.70946?af=R" TargetMode="External"/><Relationship Id="rId23" Type="http://schemas.openxmlformats.org/officeDocument/2006/relationships/hyperlink" Target="https://doi.org/10.1002/aenm.70946" TargetMode="External"/><Relationship Id="rId24" Type="http://schemas.openxmlformats.org/officeDocument/2006/relationships/hyperlink" Target="https://advanced.onlinelibrary.wiley.com/doi/10.1002/aenm.70901?af=R" TargetMode="External"/><Relationship Id="rId25" Type="http://schemas.openxmlformats.org/officeDocument/2006/relationships/hyperlink" Target="https://doi.org/10.1002/aenm.70901" TargetMode="External"/><Relationship Id="rId26" Type="http://schemas.openxmlformats.org/officeDocument/2006/relationships/hyperlink" Target="https://onlinelibrary.wiley.com/doi/10.1002/anie.9286497?af=R" TargetMode="External"/><Relationship Id="rId27" Type="http://schemas.openxmlformats.org/officeDocument/2006/relationships/hyperlink" Target="https://doi.org/10.1002/anie.9286497" TargetMode="External"/><Relationship Id="rId28" Type="http://schemas.openxmlformats.org/officeDocument/2006/relationships/hyperlink" Target="https://advanced.onlinelibrary.wiley.com/doi/10.1002/aenm.202506810?af=R" TargetMode="External"/><Relationship Id="rId29" Type="http://schemas.openxmlformats.org/officeDocument/2006/relationships/hyperlink" Target="https://doi.org/10.1002/aenm.202506810" TargetMode="External"/><Relationship Id="rId30" Type="http://schemas.openxmlformats.org/officeDocument/2006/relationships/hyperlink" Target="http://dx.doi.org/10.1021/acsenergylett.6c00190" TargetMode="External"/><Relationship Id="rId31" Type="http://schemas.openxmlformats.org/officeDocument/2006/relationships/hyperlink" Target="https://doi.org/10.1021/acsenergylett.6c00190" TargetMode="External"/><Relationship Id="rId32" Type="http://schemas.openxmlformats.org/officeDocument/2006/relationships/hyperlink" Target="https://www.sciencedirect.com/science/article/pii/S0306261926004964?dgcid=rss_sd_all" TargetMode="External"/><Relationship Id="rId33" Type="http://schemas.openxmlformats.org/officeDocument/2006/relationships/hyperlink" Target="https://advanced.onlinelibrary.wiley.com/doi/10.1002/adma.73041?af=R" TargetMode="External"/><Relationship Id="rId34" Type="http://schemas.openxmlformats.org/officeDocument/2006/relationships/hyperlink" Target="https://doi.org/10.1002/adma.73041" TargetMode="External"/><Relationship Id="rId35" Type="http://schemas.openxmlformats.org/officeDocument/2006/relationships/hyperlink" Target="https://advanced.onlinelibrary.wiley.com/doi/10.1002/adma.73049?af=R" TargetMode="External"/><Relationship Id="rId36" Type="http://schemas.openxmlformats.org/officeDocument/2006/relationships/hyperlink" Target="https://doi.org/10.1002/adma.73049" TargetMode="External"/><Relationship Id="rId37" Type="http://schemas.openxmlformats.org/officeDocument/2006/relationships/hyperlink" Target="https://onlinelibrary.wiley.com/doi/10.1002/anie.2153127?af=R" TargetMode="External"/><Relationship Id="rId38" Type="http://schemas.openxmlformats.org/officeDocument/2006/relationships/hyperlink" Target="https://doi.org/10.1002/anie.2153127" TargetMode="External"/><Relationship Id="rId39" Type="http://schemas.openxmlformats.org/officeDocument/2006/relationships/hyperlink" Target="https://advanced.onlinelibrary.wiley.com/doi/10.1002/adma.73037?af=R" TargetMode="External"/><Relationship Id="rId40" Type="http://schemas.openxmlformats.org/officeDocument/2006/relationships/hyperlink" Target="https://doi.org/10.1002/adma.73037" TargetMode="External"/><Relationship Id="rId41" Type="http://schemas.openxmlformats.org/officeDocument/2006/relationships/hyperlink" Target="http://dx.doi.org/10.1021/jacs.5c20111" TargetMode="External"/><Relationship Id="rId42" Type="http://schemas.openxmlformats.org/officeDocument/2006/relationships/hyperlink" Target="https://doi.org/10.1021/jacs.5c20111" TargetMode="External"/><Relationship Id="rId43" Type="http://schemas.openxmlformats.org/officeDocument/2006/relationships/hyperlink" Target="https://onlinelibrary.wiley.com/doi/10.1002/anie.5836599?af=R" TargetMode="External"/><Relationship Id="rId44" Type="http://schemas.openxmlformats.org/officeDocument/2006/relationships/hyperlink" Target="https://doi.org/10.1002/anie.5836599" TargetMode="External"/><Relationship Id="rId45" Type="http://schemas.openxmlformats.org/officeDocument/2006/relationships/hyperlink" Target="https://advanced.onlinelibrary.wiley.com/doi/10.1002/adma.73073?af=R" TargetMode="External"/><Relationship Id="rId46" Type="http://schemas.openxmlformats.org/officeDocument/2006/relationships/hyperlink" Target="https://doi.org/10.1002/adma.73073" TargetMode="External"/><Relationship Id="rId47" Type="http://schemas.openxmlformats.org/officeDocument/2006/relationships/hyperlink" Target="http://dx.doi.org/10.1021/jacs.6c01486" TargetMode="External"/><Relationship Id="rId48" Type="http://schemas.openxmlformats.org/officeDocument/2006/relationships/hyperlink" Target="https://doi.org/10.1021/jacs.6c01486" TargetMode="External"/><Relationship Id="rId49" Type="http://schemas.openxmlformats.org/officeDocument/2006/relationships/hyperlink" Target="https://www.cell.com/joule/fulltext/S2542-4351(26)00156-X?rss=yes" TargetMode="External"/><Relationship Id="rId50" Type="http://schemas.openxmlformats.org/officeDocument/2006/relationships/hyperlink" Target="https://doi.org/10.1016/j.joule.2026.102472" TargetMode="External"/><Relationship Id="rId51" Type="http://schemas.openxmlformats.org/officeDocument/2006/relationships/hyperlink" Target="https://advanced.onlinelibrary.wiley.com/doi/10.1002/adma.73065?af=R" TargetMode="External"/><Relationship Id="rId52" Type="http://schemas.openxmlformats.org/officeDocument/2006/relationships/hyperlink" Target="https://doi.org/10.1002/adma.73065" TargetMode="External"/><Relationship Id="rId53" Type="http://schemas.openxmlformats.org/officeDocument/2006/relationships/hyperlink" Target="https://advanced.onlinelibrary.wiley.com/doi/10.1002/aenm.70935?af=R" TargetMode="External"/><Relationship Id="rId54" Type="http://schemas.openxmlformats.org/officeDocument/2006/relationships/hyperlink" Target="https://doi.org/10.1002/aenm.70935" TargetMode="External"/><Relationship Id="rId55" Type="http://schemas.openxmlformats.org/officeDocument/2006/relationships/hyperlink" Target="https://onlinelibrary.wiley.com/doi/10.1002/anie.3142983?af=R" TargetMode="External"/><Relationship Id="rId56" Type="http://schemas.openxmlformats.org/officeDocument/2006/relationships/hyperlink" Target="https://doi.org/10.1002/anie.3142983" TargetMode="External"/><Relationship Id="rId57" Type="http://schemas.openxmlformats.org/officeDocument/2006/relationships/hyperlink" Target="https://advanced.onlinelibrary.wiley.com/doi/10.1002/adma.202520735?af=R" TargetMode="External"/><Relationship Id="rId58" Type="http://schemas.openxmlformats.org/officeDocument/2006/relationships/hyperlink" Target="https://doi.org/10.1002/adma.202520735" TargetMode="External"/><Relationship Id="rId59" Type="http://schemas.openxmlformats.org/officeDocument/2006/relationships/hyperlink" Target="https://advanced.onlinelibrary.wiley.com/doi/10.1002/aenm.70934?af=R" TargetMode="External"/><Relationship Id="rId60" Type="http://schemas.openxmlformats.org/officeDocument/2006/relationships/hyperlink" Target="https://doi.org/10.1002/aenm.70934" TargetMode="External"/><Relationship Id="rId61" Type="http://schemas.openxmlformats.org/officeDocument/2006/relationships/hyperlink" Target="https://onlinelibrary.wiley.com/doi/10.1002/anie.4965130?af=R" TargetMode="External"/><Relationship Id="rId62" Type="http://schemas.openxmlformats.org/officeDocument/2006/relationships/hyperlink" Target="https://doi.org/10.1002/anie.4965130" TargetMode="External"/><Relationship Id="rId63" Type="http://schemas.openxmlformats.org/officeDocument/2006/relationships/hyperlink" Target="http://dx.doi.org/10.1021/jacs.5c23170" TargetMode="External"/><Relationship Id="rId64" Type="http://schemas.openxmlformats.org/officeDocument/2006/relationships/hyperlink" Target="https://doi.org/10.1021/jacs.5c23170" TargetMode="External"/><Relationship Id="rId65" Type="http://schemas.openxmlformats.org/officeDocument/2006/relationships/hyperlink" Target="https://academic.oup.com/nsr/advance-article/doi/10.1093/nsr/nwag114/8653308?rss=1" TargetMode="External"/><Relationship Id="rId66" Type="http://schemas.openxmlformats.org/officeDocument/2006/relationships/hyperlink" Target="https://doi.org/10.1093/nsr/nwag114" TargetMode="External"/><Relationship Id="rId67" Type="http://schemas.openxmlformats.org/officeDocument/2006/relationships/hyperlink" Target="http://dx.doi.org/10.1021/jacs.5c23319" TargetMode="External"/><Relationship Id="rId68" Type="http://schemas.openxmlformats.org/officeDocument/2006/relationships/hyperlink" Target="https://doi.org/10.1021/jacs.5c23319" TargetMode="External"/><Relationship Id="rId69" Type="http://schemas.openxmlformats.org/officeDocument/2006/relationships/hyperlink" Target="https://onlinelibrary.wiley.com/doi/10.1002/anie.3795510?af=R" TargetMode="External"/><Relationship Id="rId70" Type="http://schemas.openxmlformats.org/officeDocument/2006/relationships/hyperlink" Target="https://doi.org/10.1002/anie.3795510" TargetMode="External"/><Relationship Id="rId71" Type="http://schemas.openxmlformats.org/officeDocument/2006/relationships/hyperlink" Target="https://onlinelibrary.wiley.com/doi/10.1002/anie.5954907?af=R" TargetMode="External"/><Relationship Id="rId72" Type="http://schemas.openxmlformats.org/officeDocument/2006/relationships/hyperlink" Target="https://doi.org/10.1002/anie.5954907" TargetMode="External"/><Relationship Id="rId73" Type="http://schemas.openxmlformats.org/officeDocument/2006/relationships/hyperlink" Target="https://onlinelibrary.wiley.com/doi/10.1002/anie.3330575?af=R" TargetMode="External"/><Relationship Id="rId74" Type="http://schemas.openxmlformats.org/officeDocument/2006/relationships/hyperlink" Target="https://doi.org/10.1002/anie.3330575" TargetMode="External"/><Relationship Id="rId75" Type="http://schemas.openxmlformats.org/officeDocument/2006/relationships/hyperlink" Target="https://onlinelibrary.wiley.com/doi/10.1002/anie.202519663?af=R" TargetMode="External"/><Relationship Id="rId76" Type="http://schemas.openxmlformats.org/officeDocument/2006/relationships/hyperlink" Target="https://doi.org/10.1002/anie.202519663" TargetMode="External"/><Relationship Id="rId77" Type="http://schemas.openxmlformats.org/officeDocument/2006/relationships/hyperlink" Target="http://dx.doi.org/10.1021/jacs.6c05618" TargetMode="External"/><Relationship Id="rId78" Type="http://schemas.openxmlformats.org/officeDocument/2006/relationships/hyperlink" Target="https://doi.org/10.1021/jacs.6c05618" TargetMode="External"/><Relationship Id="rId79" Type="http://schemas.openxmlformats.org/officeDocument/2006/relationships/hyperlink" Target="http://dx.doi.org/10.1021/jacs.6c01500" TargetMode="External"/><Relationship Id="rId80" Type="http://schemas.openxmlformats.org/officeDocument/2006/relationships/hyperlink" Target="https://doi.org/10.1021/jacs.6c01500" TargetMode="External"/><Relationship Id="rId81" Type="http://schemas.openxmlformats.org/officeDocument/2006/relationships/hyperlink" Target="http://pubs.rsc.org/en/Content/ArticleLanding/2026/EE/D5EE07777J" TargetMode="External"/><Relationship Id="rId82" Type="http://schemas.openxmlformats.org/officeDocument/2006/relationships/hyperlink" Target="https://onlinelibrary.wiley.com/doi/10.1002/anie.202521079?af=R" TargetMode="External"/><Relationship Id="rId83" Type="http://schemas.openxmlformats.org/officeDocument/2006/relationships/hyperlink" Target="https://doi.org/10.1002/anie.202521079" TargetMode="External"/><Relationship Id="rId84" Type="http://schemas.openxmlformats.org/officeDocument/2006/relationships/hyperlink" Target="https://onlinelibrary.wiley.com/doi/10.1002/anie.7452057?af=R" TargetMode="External"/><Relationship Id="rId85" Type="http://schemas.openxmlformats.org/officeDocument/2006/relationships/hyperlink" Target="https://doi.org/10.1002/anie.7452057" TargetMode="External"/><Relationship Id="rId86" Type="http://schemas.openxmlformats.org/officeDocument/2006/relationships/hyperlink" Target="https://onlinelibrary.wiley.com/doi/10.1002/anie.2731926?af=R" TargetMode="External"/><Relationship Id="rId87" Type="http://schemas.openxmlformats.org/officeDocument/2006/relationships/hyperlink" Target="https://doi.org/10.1002/anie.2731926" TargetMode="External"/><Relationship Id="rId88" Type="http://schemas.openxmlformats.org/officeDocument/2006/relationships/hyperlink" Target="http://dx.doi.org/10.1021/jacs.6c04755" TargetMode="External"/><Relationship Id="rId89" Type="http://schemas.openxmlformats.org/officeDocument/2006/relationships/hyperlink" Target="https://doi.org/10.1021/jacs.6c04755" TargetMode="External"/><Relationship Id="rId90" Type="http://schemas.openxmlformats.org/officeDocument/2006/relationships/hyperlink" Target="https://advanced.onlinelibrary.wiley.com/doi/10.1002/aenm.70943?af=R" TargetMode="External"/><Relationship Id="rId91" Type="http://schemas.openxmlformats.org/officeDocument/2006/relationships/hyperlink" Target="https://doi.org/10.1002/aenm.70943" TargetMode="External"/><Relationship Id="rId92" Type="http://schemas.openxmlformats.org/officeDocument/2006/relationships/hyperlink" Target="https://onlinelibrary.wiley.com/doi/10.1002/anie.9887882?af=R" TargetMode="External"/><Relationship Id="rId93" Type="http://schemas.openxmlformats.org/officeDocument/2006/relationships/hyperlink" Target="https://doi.org/10.1002/anie.9887882" TargetMode="External"/><Relationship Id="rId94" Type="http://schemas.openxmlformats.org/officeDocument/2006/relationships/hyperlink" Target="https://www.pnas.org/doi/abs/10.1073/pnas.2531352123?mi=eymic2&amp;af=R&amp;access=on&amp;content=articlesChapters&amp;publication=pnas&amp;sortBy=Earliest&amp;target=default" TargetMode="External"/><Relationship Id="rId95" Type="http://schemas.openxmlformats.org/officeDocument/2006/relationships/hyperlink" Target="https://doi.org/10.1073/pnas.2531352123" TargetMode="External"/><Relationship Id="rId96" Type="http://schemas.openxmlformats.org/officeDocument/2006/relationships/hyperlink" Target="https://advanced.onlinelibrary.wiley.com/doi/10.1002/adma.73079?af=R" TargetMode="External"/><Relationship Id="rId97" Type="http://schemas.openxmlformats.org/officeDocument/2006/relationships/hyperlink" Target="https://doi.org/10.1002/adma.73079" TargetMode="External"/><Relationship Id="rId98" Type="http://schemas.openxmlformats.org/officeDocument/2006/relationships/hyperlink" Target="https://advanced.onlinelibrary.wiley.com/doi/10.1002/adma.202518771?af=R" TargetMode="External"/><Relationship Id="rId99" Type="http://schemas.openxmlformats.org/officeDocument/2006/relationships/hyperlink" Target="https://doi.org/10.1002/adma.202518771" TargetMode="External"/><Relationship Id="rId100" Type="http://schemas.openxmlformats.org/officeDocument/2006/relationships/hyperlink" Target="http://dx.doi.org/10.1021/jacs.5c21351" TargetMode="External"/><Relationship Id="rId101" Type="http://schemas.openxmlformats.org/officeDocument/2006/relationships/hyperlink" Target="https://doi.org/10.1021/jacs.5c21351" TargetMode="External"/><Relationship Id="rId102" Type="http://schemas.openxmlformats.org/officeDocument/2006/relationships/hyperlink" Target="http://dx.doi.org/10.1021/acsenergylett.6c00632" TargetMode="External"/><Relationship Id="rId103" Type="http://schemas.openxmlformats.org/officeDocument/2006/relationships/hyperlink" Target="https://doi.org/10.1021/acsenergylett.6c00632" TargetMode="External"/><Relationship Id="rId104" Type="http://schemas.openxmlformats.org/officeDocument/2006/relationships/hyperlink" Target="http://dx.doi.org/10.1021/jacs.6c04977" TargetMode="External"/><Relationship Id="rId105" Type="http://schemas.openxmlformats.org/officeDocument/2006/relationships/hyperlink" Target="https://doi.org/10.1021/jacs.6c04977" TargetMode="External"/><Relationship Id="rId106" Type="http://schemas.openxmlformats.org/officeDocument/2006/relationships/hyperlink" Target="https://www.sciencedirect.com/science/article/pii/S0306261926004617?dgcid=rss_sd_all" TargetMode="External"/><Relationship Id="rId107" Type="http://schemas.openxmlformats.org/officeDocument/2006/relationships/hyperlink" Target="https://www.sciencedirect.com/science/article/pii/S0306261926005234?dgcid=rss_sd_all" TargetMode="External"/><Relationship Id="rId108" Type="http://schemas.openxmlformats.org/officeDocument/2006/relationships/hyperlink" Target="https://advanced.onlinelibrary.wiley.com/doi/10.1002/aenm.70938?af=R" TargetMode="External"/><Relationship Id="rId109" Type="http://schemas.openxmlformats.org/officeDocument/2006/relationships/hyperlink" Target="https://doi.org/10.1002/aenm.70938" TargetMode="External"/><Relationship Id="rId110" Type="http://schemas.openxmlformats.org/officeDocument/2006/relationships/hyperlink" Target="https://www.science.org/doi/abs/10.1126/sciadv.aea5077?af=R" TargetMode="External"/><Relationship Id="rId111" Type="http://schemas.openxmlformats.org/officeDocument/2006/relationships/hyperlink" Target="https://doi.org/10.1126/sciadv.aea5077" TargetMode="External"/><Relationship Id="rId112" Type="http://schemas.openxmlformats.org/officeDocument/2006/relationships/hyperlink" Target="https://onlinelibrary.wiley.com/doi/10.1002/anie.1396057?af=R" TargetMode="External"/><Relationship Id="rId113" Type="http://schemas.openxmlformats.org/officeDocument/2006/relationships/hyperlink" Target="https://doi.org/10.1002/anie.1396057" TargetMode="External"/><Relationship Id="rId114" Type="http://schemas.openxmlformats.org/officeDocument/2006/relationships/hyperlink" Target="http://dx.doi.org/10.1021/jacs.5c20988" TargetMode="External"/><Relationship Id="rId115" Type="http://schemas.openxmlformats.org/officeDocument/2006/relationships/hyperlink" Target="https://doi.org/10.1021/jacs.5c20988" TargetMode="External"/><Relationship Id="rId116" Type="http://schemas.openxmlformats.org/officeDocument/2006/relationships/hyperlink" Target="http://pubs.rsc.org/en/Content/ArticleLanding/2026/CS/D5CS01418B" TargetMode="External"/><Relationship Id="rId117" Type="http://schemas.openxmlformats.org/officeDocument/2006/relationships/hyperlink" Target="https://advanced.onlinelibrary.wiley.com/doi/10.1002/adma.72849?af=R" TargetMode="External"/><Relationship Id="rId118" Type="http://schemas.openxmlformats.org/officeDocument/2006/relationships/hyperlink" Target="https://doi.org/10.1002/adma.72849" TargetMode="External"/><Relationship Id="rId119" Type="http://schemas.openxmlformats.org/officeDocument/2006/relationships/hyperlink" Target="https://advanced.onlinelibrary.wiley.com/doi/10.1002/adma.73066?af=R" TargetMode="External"/><Relationship Id="rId120" Type="http://schemas.openxmlformats.org/officeDocument/2006/relationships/hyperlink" Target="https://doi.org/10.1002/adma.73066" TargetMode="External"/><Relationship Id="rId121" Type="http://schemas.openxmlformats.org/officeDocument/2006/relationships/hyperlink" Target="http://pubs.rsc.org/en/Content/ArticleLanding/2026/EE/D5EE07103H" TargetMode="External"/><Relationship Id="rId122" Type="http://schemas.openxmlformats.org/officeDocument/2006/relationships/hyperlink" Target="https://www.sciencedirect.com/science/article/pii/S0306261926005088?dgcid=rss_sd_all" TargetMode="External"/><Relationship Id="rId123" Type="http://schemas.openxmlformats.org/officeDocument/2006/relationships/hyperlink" Target="https://www.sciencedirect.com/science/article/pii/S0306261926004447?dgcid=rss_sd_all" TargetMode="External"/><Relationship Id="rId124" Type="http://schemas.openxmlformats.org/officeDocument/2006/relationships/hyperlink" Target="https://advanced.onlinelibrary.wiley.com/doi/10.1002/adma.73071?af=R" TargetMode="External"/><Relationship Id="rId125" Type="http://schemas.openxmlformats.org/officeDocument/2006/relationships/hyperlink" Target="https://doi.org/10.1002/adma.73071" TargetMode="External"/><Relationship Id="rId126" Type="http://schemas.openxmlformats.org/officeDocument/2006/relationships/hyperlink" Target="https://www.nature.com/articles/s41586-026-10223-1" TargetMode="External"/><Relationship Id="rId127" Type="http://schemas.openxmlformats.org/officeDocument/2006/relationships/hyperlink" Target="https://doi.org/10.1038/s41586-026-10223-1" TargetMode="External"/><Relationship Id="rId128" Type="http://schemas.openxmlformats.org/officeDocument/2006/relationships/hyperlink" Target="https://www.nature.com/articles/d41586-026-00907-z" TargetMode="External"/><Relationship Id="rId129" Type="http://schemas.openxmlformats.org/officeDocument/2006/relationships/hyperlink" Target="https://doi.org/10.1038/d41586-026-00907-z" TargetMode="External"/><Relationship Id="rId130" Type="http://schemas.openxmlformats.org/officeDocument/2006/relationships/hyperlink" Target="https://www.cell.com/matter/fulltext/S2590-2385(26)00139-6?rss=yes" TargetMode="External"/><Relationship Id="rId131" Type="http://schemas.openxmlformats.org/officeDocument/2006/relationships/hyperlink" Target="https://doi.org/10.1016/j.matt.2026.102776" TargetMode="External"/><Relationship Id="rId132" Type="http://schemas.openxmlformats.org/officeDocument/2006/relationships/hyperlink" Target="https://www.sciencedirect.com/science/article/pii/S0306261926005179?dgcid=rss_sd_all" TargetMode="External"/><Relationship Id="rId133" Type="http://schemas.openxmlformats.org/officeDocument/2006/relationships/hyperlink" Target="https://www.sciencedirect.com/science/article/pii/S0306261926004794?dgcid=rss_sd_all" TargetMode="External"/><Relationship Id="rId134" Type="http://schemas.openxmlformats.org/officeDocument/2006/relationships/hyperlink" Target="https://onlinelibrary.wiley.com/doi/10.1002/anie.2739572?af=R" TargetMode="External"/><Relationship Id="rId135" Type="http://schemas.openxmlformats.org/officeDocument/2006/relationships/hyperlink" Target="https://doi.org/10.1002/anie.2739572" TargetMode="External"/><Relationship Id="rId136" Type="http://schemas.openxmlformats.org/officeDocument/2006/relationships/hyperlink" Target="https://onlinelibrary.wiley.com/doi/10.1002/anie.1733213?af=R" TargetMode="External"/><Relationship Id="rId137" Type="http://schemas.openxmlformats.org/officeDocument/2006/relationships/hyperlink" Target="https://doi.org/10.1002/anie.1733213" TargetMode="External"/><Relationship Id="rId138" Type="http://schemas.openxmlformats.org/officeDocument/2006/relationships/hyperlink" Target="https://www.sciencedirect.com/science/article/pii/S0306261926004915?dgcid=rss_sd_all" TargetMode="External"/><Relationship Id="rId139" Type="http://schemas.openxmlformats.org/officeDocument/2006/relationships/hyperlink" Target="https://www.sciencedirect.com/science/article/pii/S0306261926004290?dgcid=rss_sd_all" TargetMode="External"/><Relationship Id="rId140" Type="http://schemas.openxmlformats.org/officeDocument/2006/relationships/hyperlink" Target="http://pubs.rsc.org/en/Content/ArticleLanding/2026/CS/D5CS01274K" TargetMode="External"/><Relationship Id="rId141" Type="http://schemas.openxmlformats.org/officeDocument/2006/relationships/hyperlink" Target="https://advanced.onlinelibrary.wiley.com/doi/10.1002/aenm.70947?af=R" TargetMode="External"/><Relationship Id="rId142" Type="http://schemas.openxmlformats.org/officeDocument/2006/relationships/hyperlink" Target="https://doi.org/10.1002/aenm.70947" TargetMode="External"/><Relationship Id="rId143" Type="http://schemas.openxmlformats.org/officeDocument/2006/relationships/hyperlink" Target="https://advanced.onlinelibrary.wiley.com/doi/10.1002/aenm.70936?af=R" TargetMode="External"/><Relationship Id="rId144" Type="http://schemas.openxmlformats.org/officeDocument/2006/relationships/hyperlink" Target="https://doi.org/10.1002/aenm.70936" TargetMode="External"/><Relationship Id="rId145" Type="http://schemas.openxmlformats.org/officeDocument/2006/relationships/hyperlink" Target="https://www.sciencedirect.com/science/article/pii/S0306261926005295?dgcid=rss_sd_all" TargetMode="External"/><Relationship Id="rId146" Type="http://schemas.openxmlformats.org/officeDocument/2006/relationships/hyperlink" Target="https://advanced.onlinelibrary.wiley.com/doi/10.1002/aenm.70822?af=R" TargetMode="External"/><Relationship Id="rId147" Type="http://schemas.openxmlformats.org/officeDocument/2006/relationships/hyperlink" Target="https://doi.org/10.1002/aenm.70822" TargetMode="External"/><Relationship Id="rId148" Type="http://schemas.openxmlformats.org/officeDocument/2006/relationships/hyperlink" Target="https://www.nature.com/articles/s44286-026-00381-4" TargetMode="External"/><Relationship Id="rId149" Type="http://schemas.openxmlformats.org/officeDocument/2006/relationships/hyperlink" Target="https://doi.org/10.1038/s44286-026-00381-4" TargetMode="External"/><Relationship Id="rId150" Type="http://schemas.openxmlformats.org/officeDocument/2006/relationships/hyperlink" Target="https://www.sciencedirect.com/science/article/pii/S0306261926004435?dgcid=rss_sd_all" TargetMode="External"/><Relationship Id="rId151" Type="http://schemas.openxmlformats.org/officeDocument/2006/relationships/hyperlink" Target="http://pubs.rsc.org/en/Content/ArticleLanding/2026/EE/D5EE07690K" TargetMode="External"/><Relationship Id="rId152" Type="http://schemas.openxmlformats.org/officeDocument/2006/relationships/hyperlink" Target="https://www.sciencedirect.com/science/article/pii/S030626192600509X?dgcid=rss_sd_all" TargetMode="External"/><Relationship Id="rId153" Type="http://schemas.openxmlformats.org/officeDocument/2006/relationships/hyperlink" Target="https://www.sciencedirect.com/science/article/pii/S0306261926004903?dgcid=rss_sd_all" TargetMode="External"/><Relationship Id="rId154" Type="http://schemas.openxmlformats.org/officeDocument/2006/relationships/hyperlink" Target="https://www.sciencedirect.com/science/article/pii/S0306261926004241?dgcid=rss_sd_all" TargetMode="External"/><Relationship Id="rId155" Type="http://schemas.openxmlformats.org/officeDocument/2006/relationships/hyperlink" Target="https://www.sciencedirect.com/science/article/pii/S0306261926004691?dgcid=rss_sd_all" TargetMode="External"/><Relationship Id="rId156" Type="http://schemas.openxmlformats.org/officeDocument/2006/relationships/hyperlink" Target="https://www.nature.com/articles/s41893-026-01808-9" TargetMode="External"/><Relationship Id="rId157" Type="http://schemas.openxmlformats.org/officeDocument/2006/relationships/hyperlink" Target="https://doi.org/10.1038/s41893-026-01808-9" TargetMode="External"/><Relationship Id="rId158" Type="http://schemas.openxmlformats.org/officeDocument/2006/relationships/hyperlink" Target="https://www.sciencedirect.com/science/article/pii/S0301421526002387?dgcid=rss_sd_all" TargetMode="External"/><Relationship Id="rId159" Type="http://schemas.openxmlformats.org/officeDocument/2006/relationships/hyperlink" Target="https://onlinelibrary.wiley.com/doi/10.1002/anie.5979629?af=R" TargetMode="External"/><Relationship Id="rId160" Type="http://schemas.openxmlformats.org/officeDocument/2006/relationships/hyperlink" Target="https://doi.org/10.1002/anie.5979629" TargetMode="External"/><Relationship Id="rId161" Type="http://schemas.openxmlformats.org/officeDocument/2006/relationships/hyperlink" Target="https://academic.oup.com/nsr/advance-article/doi/10.1093/nsr/nwag064/8653343?rss=1" TargetMode="External"/><Relationship Id="rId162" Type="http://schemas.openxmlformats.org/officeDocument/2006/relationships/hyperlink" Target="https://doi.org/10.1093/nsr/nwag064" TargetMode="External"/><Relationship Id="rId163" Type="http://schemas.openxmlformats.org/officeDocument/2006/relationships/hyperlink" Target="http://dx.doi.org/10.1021/jacs.5c20124" TargetMode="External"/><Relationship Id="rId164" Type="http://schemas.openxmlformats.org/officeDocument/2006/relationships/hyperlink" Target="https://doi.org/10.1021/jacs.5c20124" TargetMode="External"/><Relationship Id="rId165" Type="http://schemas.openxmlformats.org/officeDocument/2006/relationships/hyperlink" Target="http://pubs.rsc.org/en/Content/ArticleLanding/2026/CS/D5CS00941C" TargetMode="External"/><Relationship Id="rId166" Type="http://schemas.openxmlformats.org/officeDocument/2006/relationships/hyperlink" Target="https://advanced.onlinelibrary.wiley.com/doi/10.1002/aenm.70873?af=R" TargetMode="External"/><Relationship Id="rId167" Type="http://schemas.openxmlformats.org/officeDocument/2006/relationships/hyperlink" Target="https://doi.org/10.1002/aenm.70873" TargetMode="External"/><Relationship Id="rId168" Type="http://schemas.openxmlformats.org/officeDocument/2006/relationships/hyperlink" Target="https://advanced.onlinelibrary.wiley.com/doi/10.1002/adma.73086?af=R" TargetMode="External"/><Relationship Id="rId169" Type="http://schemas.openxmlformats.org/officeDocument/2006/relationships/hyperlink" Target="https://doi.org/10.1002/adma.73086" TargetMode="External"/><Relationship Id="rId170" Type="http://schemas.openxmlformats.org/officeDocument/2006/relationships/hyperlink" Target="https://advanced.onlinelibrary.wiley.com/doi/10.1002/adma.73077?af=R" TargetMode="External"/><Relationship Id="rId171" Type="http://schemas.openxmlformats.org/officeDocument/2006/relationships/hyperlink" Target="https://doi.org/10.1002/adma.73077" TargetMode="External"/><Relationship Id="rId172" Type="http://schemas.openxmlformats.org/officeDocument/2006/relationships/hyperlink" Target="https://www.cell.com/chem/fulltext/S2451-9294(26)00091-4?rss=yes" TargetMode="External"/><Relationship Id="rId173" Type="http://schemas.openxmlformats.org/officeDocument/2006/relationships/hyperlink" Target="https://doi.org/10.1016/j.chempr.2026.103025" TargetMode="External"/><Relationship Id="rId174" Type="http://schemas.openxmlformats.org/officeDocument/2006/relationships/hyperlink" Target="https://onlinelibrary.wiley.com/doi/10.1002/anie.6756333?af=R" TargetMode="External"/><Relationship Id="rId175" Type="http://schemas.openxmlformats.org/officeDocument/2006/relationships/hyperlink" Target="https://doi.org/10.1002/anie.6756333" TargetMode="External"/><Relationship Id="rId176" Type="http://schemas.openxmlformats.org/officeDocument/2006/relationships/hyperlink" Target="https://onlinelibrary.wiley.com/doi/10.1002/anie.9230344?af=R" TargetMode="External"/><Relationship Id="rId177" Type="http://schemas.openxmlformats.org/officeDocument/2006/relationships/hyperlink" Target="https://doi.org/10.1002/anie.9230344" TargetMode="External"/><Relationship Id="rId178" Type="http://schemas.openxmlformats.org/officeDocument/2006/relationships/hyperlink" Target="http://pubs.rsc.org/en/Content/ArticleLanding/2026/EE/D5EE07330H" TargetMode="External"/><Relationship Id="rId179" Type="http://schemas.openxmlformats.org/officeDocument/2006/relationships/hyperlink" Target="https://www.nature.com/articles/d41586-026-01215-2" TargetMode="External"/><Relationship Id="rId180" Type="http://schemas.openxmlformats.org/officeDocument/2006/relationships/hyperlink" Target="https://doi.org/10.1038/d41586-026-01215-2" TargetMode="External"/><Relationship Id="rId181" Type="http://schemas.openxmlformats.org/officeDocument/2006/relationships/hyperlink" Target="https://onlinelibrary.wiley.com/doi/10.1002/anie.6528604?af=R" TargetMode="External"/><Relationship Id="rId182" Type="http://schemas.openxmlformats.org/officeDocument/2006/relationships/hyperlink" Target="https://doi.org/10.1002/anie.6528604" TargetMode="External"/><Relationship Id="rId183" Type="http://schemas.openxmlformats.org/officeDocument/2006/relationships/hyperlink" Target="https://www.cell.com/chem/fulltext/S2451-9294(26)00036-7?rss=yes" TargetMode="External"/><Relationship Id="rId184" Type="http://schemas.openxmlformats.org/officeDocument/2006/relationships/hyperlink" Target="https://doi.org/10.1016/j.chempr.2026.102970" TargetMode="External"/><Relationship Id="rId185" Type="http://schemas.openxmlformats.org/officeDocument/2006/relationships/hyperlink" Target="http://dx.doi.org/10.1021/jacs.6c01825" TargetMode="External"/><Relationship Id="rId186" Type="http://schemas.openxmlformats.org/officeDocument/2006/relationships/hyperlink" Target="https://doi.org/10.1021/jacs.6c01825" TargetMode="External"/><Relationship Id="rId187" Type="http://schemas.openxmlformats.org/officeDocument/2006/relationships/hyperlink" Target="https://www.sciencedirect.com/science/article/pii/S0306261926004770?dgcid=rss_sd_all" TargetMode="External"/><Relationship Id="rId188" Type="http://schemas.openxmlformats.org/officeDocument/2006/relationships/hyperlink" Target="https://www.sciencedirect.com/science/article/pii/S0301421526002235?dgcid=rss_sd_all" TargetMode="External"/><Relationship Id="rId189" Type="http://schemas.openxmlformats.org/officeDocument/2006/relationships/hyperlink" Target="https://www.sciencedirect.com/science/article/pii/S0301421526002120?dgcid=rss_sd_all" TargetMode="External"/><Relationship Id="rId190" Type="http://schemas.openxmlformats.org/officeDocument/2006/relationships/hyperlink" Target="https://www.sciencedirect.com/science/article/pii/S0301421526002260?dgcid=rss_sd_all" TargetMode="External"/><Relationship Id="rId191" Type="http://schemas.openxmlformats.org/officeDocument/2006/relationships/hyperlink" Target="https://www.sciencedirect.com/science/article/pii/S0301421526002466?dgcid=rss_sd_all" TargetMode="External"/><Relationship Id="rId192" Type="http://schemas.openxmlformats.org/officeDocument/2006/relationships/hyperlink" Target="https://www.sciencedirect.com/science/article/pii/S0301421526002223?dgcid=rss_sd_all" TargetMode="External"/><Relationship Id="rId193" Type="http://schemas.openxmlformats.org/officeDocument/2006/relationships/hyperlink" Target="https://www.sciencedirect.com/science/article/pii/S0306261926005052?dgcid=rss_sd_all" TargetMode="External"/><Relationship Id="rId194" Type="http://schemas.openxmlformats.org/officeDocument/2006/relationships/hyperlink" Target="https://www.sciencedirect.com/science/article/pii/S0301421526002090?dgcid=rss_sd_all" TargetMode="External"/><Relationship Id="rId195" Type="http://schemas.openxmlformats.org/officeDocument/2006/relationships/hyperlink" Target="https://academic.oup.com/nsr/advance-article/doi/10.1093/nsr/nwag197/8651704?rss=1" TargetMode="External"/><Relationship Id="rId196" Type="http://schemas.openxmlformats.org/officeDocument/2006/relationships/hyperlink" Target="https://doi.org/10.1093/nsr/nwag197" TargetMode="External"/><Relationship Id="rId197" Type="http://schemas.openxmlformats.org/officeDocument/2006/relationships/hyperlink" Target="https://www.nature.com/articles/s41467-026-71715-2" TargetMode="External"/><Relationship Id="rId198" Type="http://schemas.openxmlformats.org/officeDocument/2006/relationships/hyperlink" Target="https://doi.org/10.1038/s41467-026-71715-2" TargetMode="External"/><Relationship Id="rId199" Type="http://schemas.openxmlformats.org/officeDocument/2006/relationships/hyperlink" Target="https://www.nature.com/articles/s41467-026-71687-3" TargetMode="External"/><Relationship Id="rId200" Type="http://schemas.openxmlformats.org/officeDocument/2006/relationships/hyperlink" Target="https://doi.org/10.1038/s41467-026-71687-3" TargetMode="External"/><Relationship Id="rId201" Type="http://schemas.openxmlformats.org/officeDocument/2006/relationships/hyperlink" Target="https://www.sciencedirect.com/science/article/pii/S0306261926004599?dgcid=rss_sd_all" TargetMode="External"/><Relationship Id="rId202" Type="http://schemas.openxmlformats.org/officeDocument/2006/relationships/hyperlink" Target="https://www.sciencedirect.com/science/article/pii/S0306261926004708?dgcid=rss_sd_all" TargetMode="External"/><Relationship Id="rId203" Type="http://schemas.openxmlformats.org/officeDocument/2006/relationships/hyperlink" Target="https://www.sciencedirect.com/science/article/pii/S0306261926004514?dgcid=rss_sd_all" TargetMode="External"/><Relationship Id="rId204" Type="http://schemas.openxmlformats.org/officeDocument/2006/relationships/hyperlink" Target="https://www.nature.com/articles/s41467-026-71767-4" TargetMode="External"/><Relationship Id="rId205" Type="http://schemas.openxmlformats.org/officeDocument/2006/relationships/hyperlink" Target="https://doi.org/10.1038/s41467-026-71767-4" TargetMode="External"/><Relationship Id="rId206" Type="http://schemas.openxmlformats.org/officeDocument/2006/relationships/hyperlink" Target="https://www.sciencedirect.com/science/article/pii/S0306261926005210?dgcid=rss_sd_all" TargetMode="External"/><Relationship Id="rId207" Type="http://schemas.openxmlformats.org/officeDocument/2006/relationships/hyperlink" Target="https://onlinelibrary.wiley.com/doi/10.1002/anie.2628759?af=R" TargetMode="External"/><Relationship Id="rId208" Type="http://schemas.openxmlformats.org/officeDocument/2006/relationships/hyperlink" Target="https://doi.org/10.1002/anie.2628759" TargetMode="External"/><Relationship Id="rId209" Type="http://schemas.openxmlformats.org/officeDocument/2006/relationships/hyperlink" Target="https://onlinelibrary.wiley.com/doi/10.1002/anie.6458866?af=R" TargetMode="External"/><Relationship Id="rId210" Type="http://schemas.openxmlformats.org/officeDocument/2006/relationships/hyperlink" Target="https://doi.org/10.1002/anie.6458866" TargetMode="External"/><Relationship Id="rId211" Type="http://schemas.openxmlformats.org/officeDocument/2006/relationships/hyperlink" Target="https://onlinelibrary.wiley.com/doi/10.1002/anie.202525787?af=R" TargetMode="External"/><Relationship Id="rId212" Type="http://schemas.openxmlformats.org/officeDocument/2006/relationships/hyperlink" Target="https://doi.org/10.1002/anie.202525787" TargetMode="External"/><Relationship Id="rId213" Type="http://schemas.openxmlformats.org/officeDocument/2006/relationships/hyperlink" Target="https://onlinelibrary.wiley.com/doi/10.1002/anie.5763518?af=R" TargetMode="External"/><Relationship Id="rId214" Type="http://schemas.openxmlformats.org/officeDocument/2006/relationships/hyperlink" Target="https://doi.org/10.1002/anie.5763518" TargetMode="External"/><Relationship Id="rId215" Type="http://schemas.openxmlformats.org/officeDocument/2006/relationships/hyperlink" Target="https://advanced.onlinelibrary.wiley.com/doi/10.1002/adma.202523683?af=R" TargetMode="External"/><Relationship Id="rId216" Type="http://schemas.openxmlformats.org/officeDocument/2006/relationships/hyperlink" Target="https://doi.org/10.1002/adma.202523683" TargetMode="External"/><Relationship Id="rId217" Type="http://schemas.openxmlformats.org/officeDocument/2006/relationships/hyperlink" Target="https://onlinelibrary.wiley.com/doi/10.1002/anie.9334343?af=R" TargetMode="External"/><Relationship Id="rId218" Type="http://schemas.openxmlformats.org/officeDocument/2006/relationships/hyperlink" Target="https://doi.org/10.1002/anie.9334343" TargetMode="External"/><Relationship Id="rId219" Type="http://schemas.openxmlformats.org/officeDocument/2006/relationships/hyperlink" Target="https://onlinelibrary.wiley.com/doi/10.1002/anie.8471327?af=R" TargetMode="External"/><Relationship Id="rId220" Type="http://schemas.openxmlformats.org/officeDocument/2006/relationships/hyperlink" Target="https://doi.org/10.1002/anie.8471327" TargetMode="External"/><Relationship Id="rId221" Type="http://schemas.openxmlformats.org/officeDocument/2006/relationships/hyperlink" Target="https://onlinelibrary.wiley.com/doi/10.1002/anie.8437242?af=R" TargetMode="External"/><Relationship Id="rId222" Type="http://schemas.openxmlformats.org/officeDocument/2006/relationships/hyperlink" Target="https://doi.org/10.1002/anie.8437242" TargetMode="External"/><Relationship Id="rId223" Type="http://schemas.openxmlformats.org/officeDocument/2006/relationships/hyperlink" Target="https://onlinelibrary.wiley.com/doi/10.1002/anie.202521856?af=R" TargetMode="External"/><Relationship Id="rId224" Type="http://schemas.openxmlformats.org/officeDocument/2006/relationships/hyperlink" Target="https://doi.org/10.1002/anie.202521856" TargetMode="External"/><Relationship Id="rId225" Type="http://schemas.openxmlformats.org/officeDocument/2006/relationships/hyperlink" Target="https://onlinelibrary.wiley.com/doi/10.1002/anie.202524817?af=R" TargetMode="External"/><Relationship Id="rId226" Type="http://schemas.openxmlformats.org/officeDocument/2006/relationships/hyperlink" Target="https://doi.org/10.1002/anie.202524817" TargetMode="External"/><Relationship Id="rId227" Type="http://schemas.openxmlformats.org/officeDocument/2006/relationships/hyperlink" Target="https://onlinelibrary.wiley.com/doi/10.1002/anie.5691704?af=R" TargetMode="External"/><Relationship Id="rId228" Type="http://schemas.openxmlformats.org/officeDocument/2006/relationships/hyperlink" Target="https://doi.org/10.1002/anie.5691704" TargetMode="External"/><Relationship Id="rId229" Type="http://schemas.openxmlformats.org/officeDocument/2006/relationships/hyperlink" Target="https://advanced.onlinelibrary.wiley.com/doi/10.1002/adma.202522566?af=R" TargetMode="External"/><Relationship Id="rId230" Type="http://schemas.openxmlformats.org/officeDocument/2006/relationships/hyperlink" Target="https://doi.org/10.1002/adma.202522566" TargetMode="External"/><Relationship Id="rId231" Type="http://schemas.openxmlformats.org/officeDocument/2006/relationships/hyperlink" Target="https://advanced.onlinelibrary.wiley.com/doi/10.1002/adma.73036?af=R" TargetMode="External"/><Relationship Id="rId232" Type="http://schemas.openxmlformats.org/officeDocument/2006/relationships/hyperlink" Target="https://doi.org/10.1002/adma.73036" TargetMode="External"/><Relationship Id="rId233" Type="http://schemas.openxmlformats.org/officeDocument/2006/relationships/hyperlink" Target="https://onlinelibrary.wiley.com/doi/10.1002/anie.8517866?af=R" TargetMode="External"/><Relationship Id="rId234" Type="http://schemas.openxmlformats.org/officeDocument/2006/relationships/hyperlink" Target="https://doi.org/10.1002/anie.8517866" TargetMode="External"/><Relationship Id="rId235" Type="http://schemas.openxmlformats.org/officeDocument/2006/relationships/hyperlink" Target="https://onlinelibrary.wiley.com/doi/10.1002/anie.6642155?af=R" TargetMode="External"/><Relationship Id="rId236" Type="http://schemas.openxmlformats.org/officeDocument/2006/relationships/hyperlink" Target="https://doi.org/10.1002/anie.6642155" TargetMode="External"/><Relationship Id="rId237" Type="http://schemas.openxmlformats.org/officeDocument/2006/relationships/hyperlink" Target="https://onlinelibrary.wiley.com/doi/10.1002/anie.8615675?af=R" TargetMode="External"/><Relationship Id="rId238" Type="http://schemas.openxmlformats.org/officeDocument/2006/relationships/hyperlink" Target="https://doi.org/10.1002/anie.8615675" TargetMode="External"/><Relationship Id="rId239" Type="http://schemas.openxmlformats.org/officeDocument/2006/relationships/hyperlink" Target="https://onlinelibrary.wiley.com/doi/10.1002/anie.2565905?af=R" TargetMode="External"/><Relationship Id="rId240" Type="http://schemas.openxmlformats.org/officeDocument/2006/relationships/hyperlink" Target="https://doi.org/10.1002/anie.2565905" TargetMode="External"/><Relationship Id="rId241" Type="http://schemas.openxmlformats.org/officeDocument/2006/relationships/hyperlink" Target="http://dx.doi.org/10.1021/jacs.6c02607" TargetMode="External"/><Relationship Id="rId242" Type="http://schemas.openxmlformats.org/officeDocument/2006/relationships/hyperlink" Target="https://doi.org/10.1021/jacs.6c02607" TargetMode="External"/><Relationship Id="rId243" Type="http://schemas.openxmlformats.org/officeDocument/2006/relationships/hyperlink" Target="http://dx.doi.org/10.1021/jacs.6c04991" TargetMode="External"/><Relationship Id="rId244" Type="http://schemas.openxmlformats.org/officeDocument/2006/relationships/hyperlink" Target="https://doi.org/10.1021/jacs.6c04991" TargetMode="External"/><Relationship Id="rId245" Type="http://schemas.openxmlformats.org/officeDocument/2006/relationships/hyperlink" Target="https://onlinelibrary.wiley.com/doi/10.1002/anie.7617241?af=R" TargetMode="External"/><Relationship Id="rId246" Type="http://schemas.openxmlformats.org/officeDocument/2006/relationships/hyperlink" Target="https://doi.org/10.1002/anie.7617241" TargetMode="External"/><Relationship Id="rId247" Type="http://schemas.openxmlformats.org/officeDocument/2006/relationships/hyperlink" Target="https://onlinelibrary.wiley.com/doi/10.1002/anie.4941808?af=R" TargetMode="External"/><Relationship Id="rId248" Type="http://schemas.openxmlformats.org/officeDocument/2006/relationships/hyperlink" Target="https://doi.org/10.1002/anie.4941808" TargetMode="External"/><Relationship Id="rId249" Type="http://schemas.openxmlformats.org/officeDocument/2006/relationships/hyperlink" Target="https://onlinelibrary.wiley.com/doi/10.1002/anie.8672298?af=R" TargetMode="External"/><Relationship Id="rId250" Type="http://schemas.openxmlformats.org/officeDocument/2006/relationships/hyperlink" Target="https://doi.org/10.1002/anie.8672298" TargetMode="External"/><Relationship Id="rId251" Type="http://schemas.openxmlformats.org/officeDocument/2006/relationships/hyperlink" Target="https://onlinelibrary.wiley.com/doi/10.1002/anie.2461963?af=R" TargetMode="External"/><Relationship Id="rId252" Type="http://schemas.openxmlformats.org/officeDocument/2006/relationships/hyperlink" Target="https://doi.org/10.1002/anie.2461963" TargetMode="External"/><Relationship Id="rId253" Type="http://schemas.openxmlformats.org/officeDocument/2006/relationships/hyperlink" Target="https://onlinelibrary.wiley.com/doi/10.1002/anie.3091087?af=R" TargetMode="External"/><Relationship Id="rId254" Type="http://schemas.openxmlformats.org/officeDocument/2006/relationships/hyperlink" Target="https://doi.org/10.1002/anie.3091087" TargetMode="External"/><Relationship Id="rId255" Type="http://schemas.openxmlformats.org/officeDocument/2006/relationships/hyperlink" Target="https://onlinelibrary.wiley.com/doi/10.1002/anie.9120632?af=R" TargetMode="External"/><Relationship Id="rId256" Type="http://schemas.openxmlformats.org/officeDocument/2006/relationships/hyperlink" Target="https://doi.org/10.1002/anie.9120632" TargetMode="External"/><Relationship Id="rId257" Type="http://schemas.openxmlformats.org/officeDocument/2006/relationships/hyperlink" Target="https://onlinelibrary.wiley.com/doi/10.1002/anie.8906317?af=R" TargetMode="External"/><Relationship Id="rId258" Type="http://schemas.openxmlformats.org/officeDocument/2006/relationships/hyperlink" Target="https://doi.org/10.1002/anie.8906317" TargetMode="External"/><Relationship Id="rId259" Type="http://schemas.openxmlformats.org/officeDocument/2006/relationships/hyperlink" Target="https://advanced.onlinelibrary.wiley.com/doi/10.1002/adma.73034?af=R" TargetMode="External"/><Relationship Id="rId260" Type="http://schemas.openxmlformats.org/officeDocument/2006/relationships/hyperlink" Target="https://doi.org/10.1002/adma.73034" TargetMode="External"/><Relationship Id="rId261" Type="http://schemas.openxmlformats.org/officeDocument/2006/relationships/hyperlink" Target="https://onlinelibrary.wiley.com/doi/10.1002/anie.8845737?af=R" TargetMode="External"/><Relationship Id="rId262" Type="http://schemas.openxmlformats.org/officeDocument/2006/relationships/hyperlink" Target="https://doi.org/10.1002/anie.8845737" TargetMode="External"/><Relationship Id="rId263" Type="http://schemas.openxmlformats.org/officeDocument/2006/relationships/hyperlink" Target="https://onlinelibrary.wiley.com/doi/10.1002/anie.7079252?af=R" TargetMode="External"/><Relationship Id="rId264" Type="http://schemas.openxmlformats.org/officeDocument/2006/relationships/hyperlink" Target="https://doi.org/10.1002/anie.7079252" TargetMode="External"/><Relationship Id="rId265" Type="http://schemas.openxmlformats.org/officeDocument/2006/relationships/hyperlink" Target="https://onlinelibrary.wiley.com/doi/10.1002/anie.2167334?af=R" TargetMode="External"/><Relationship Id="rId266" Type="http://schemas.openxmlformats.org/officeDocument/2006/relationships/hyperlink" Target="https://doi.org/10.1002/anie.2167334" TargetMode="External"/><Relationship Id="rId267" Type="http://schemas.openxmlformats.org/officeDocument/2006/relationships/hyperlink" Target="https://www.sciencedirect.com/science/article/pii/S0306261926005064?dgcid=rss_sd_all" TargetMode="External"/><Relationship Id="rId268" Type="http://schemas.openxmlformats.org/officeDocument/2006/relationships/hyperlink" Target="https://www.sciencedirect.com/science/article/pii/S0306261926004873?dgcid=rss_sd_all" TargetMode="External"/><Relationship Id="rId269" Type="http://schemas.openxmlformats.org/officeDocument/2006/relationships/hyperlink" Target="https://www.sciencedirect.com/science/article/pii/S0306261926005076?dgcid=rss_sd_all" TargetMode="External"/><Relationship Id="rId270" Type="http://schemas.openxmlformats.org/officeDocument/2006/relationships/hyperlink" Target="https://www.sciencedirect.com/science/article/pii/S0306261926004952?dgcid=rss_sd_all" TargetMode="External"/><Relationship Id="rId271" Type="http://schemas.openxmlformats.org/officeDocument/2006/relationships/hyperlink" Target="https://www.sciencedirect.com/science/article/pii/S0301421526001801?dgcid=rss_sd_all" TargetMode="External"/><Relationship Id="rId272" Type="http://schemas.openxmlformats.org/officeDocument/2006/relationships/hyperlink" Target="https://www.sciencedirect.com/science/article/pii/S0306261926004812?dgcid=rss_sd_all" TargetMode="External"/><Relationship Id="rId273" Type="http://schemas.openxmlformats.org/officeDocument/2006/relationships/hyperlink" Target="https://www.sciencedirect.com/science/article/pii/S0301421526002338?dgcid=rss_sd_all" TargetMode="External"/><Relationship Id="rId274" Type="http://schemas.openxmlformats.org/officeDocument/2006/relationships/hyperlink" Target="https://www.sciencedirect.com/science/article/pii/S0306261926004782?dgcid=rss_sd_all" TargetMode="External"/><Relationship Id="rId275" Type="http://schemas.openxmlformats.org/officeDocument/2006/relationships/hyperlink" Target="https://www.sciencedirect.com/science/article/pii/S030626192600499X?dgcid=rss_sd_all" TargetMode="External"/><Relationship Id="rId276" Type="http://schemas.openxmlformats.org/officeDocument/2006/relationships/hyperlink" Target="https://www.sciencedirect.com/science/article/pii/S0306261926005003?dgcid=rss_sd_all" TargetMode="External"/><Relationship Id="rId277" Type="http://schemas.openxmlformats.org/officeDocument/2006/relationships/hyperlink" Target="https://www.sciencedirect.com/science/article/pii/S0306261926005106?dgcid=rss_sd_all" TargetMode="External"/><Relationship Id="rId278" Type="http://schemas.openxmlformats.org/officeDocument/2006/relationships/hyperlink" Target="https://www.sciencedirect.com/science/article/pii/S030626192600471X?dgcid=rss_sd_all" TargetMode="External"/><Relationship Id="rId279" Type="http://schemas.openxmlformats.org/officeDocument/2006/relationships/hyperlink" Target="http://dx.doi.org/10.1021/jacs.5c23045" TargetMode="External"/><Relationship Id="rId280" Type="http://schemas.openxmlformats.org/officeDocument/2006/relationships/hyperlink" Target="https://doi.org/10.1021/jacs.5c23045" TargetMode="External"/><Relationship Id="rId281" Type="http://schemas.openxmlformats.org/officeDocument/2006/relationships/hyperlink" Target="http://dx.doi.org/10.1021/jacs.5c18246" TargetMode="External"/><Relationship Id="rId282" Type="http://schemas.openxmlformats.org/officeDocument/2006/relationships/hyperlink" Target="https://doi.org/10.1021/jacs.5c18246" TargetMode="External"/><Relationship Id="rId283" Type="http://schemas.openxmlformats.org/officeDocument/2006/relationships/hyperlink" Target="http://dx.doi.org/10.1021/jacs.6c04797" TargetMode="External"/><Relationship Id="rId284" Type="http://schemas.openxmlformats.org/officeDocument/2006/relationships/hyperlink" Target="https://doi.org/10.1021/jacs.6c04797" TargetMode="External"/><Relationship Id="rId285" Type="http://schemas.openxmlformats.org/officeDocument/2006/relationships/hyperlink" Target="http://dx.doi.org/10.1021/jacs.6c06681" TargetMode="External"/><Relationship Id="rId286" Type="http://schemas.openxmlformats.org/officeDocument/2006/relationships/hyperlink" Target="https://doi.org/10.1021/jacs.6c06681" TargetMode="External"/><Relationship Id="rId287" Type="http://schemas.openxmlformats.org/officeDocument/2006/relationships/hyperlink" Target="http://pubs.rsc.org/en/Content/ArticleLanding/2026/CS/D5CS01218J" TargetMode="External"/><Relationship Id="rId288" Type="http://schemas.openxmlformats.org/officeDocument/2006/relationships/hyperlink" Target="http://pubs.rsc.org/en/Content/ArticleLanding/2026/CS/D5CS01445J" TargetMode="External"/><Relationship Id="rId289" Type="http://schemas.openxmlformats.org/officeDocument/2006/relationships/hyperlink" Target="https://www.nature.com/articles/s41557-026-02107-8" TargetMode="External"/><Relationship Id="rId290" Type="http://schemas.openxmlformats.org/officeDocument/2006/relationships/hyperlink" Target="https://doi.org/10.1038/s41557-026-02107-8" TargetMode="External"/><Relationship Id="rId291" Type="http://schemas.openxmlformats.org/officeDocument/2006/relationships/hyperlink" Target="https://www.nature.com/articles/d41586-026-01232-1" TargetMode="External"/><Relationship Id="rId292" Type="http://schemas.openxmlformats.org/officeDocument/2006/relationships/hyperlink" Target="https://doi.org/10.1038/d41586-026-01232-1" TargetMode="External"/><Relationship Id="rId293" Type="http://schemas.openxmlformats.org/officeDocument/2006/relationships/hyperlink" Target="https://www.nature.com/articles/d41586-026-01211-6" TargetMode="External"/><Relationship Id="rId294" Type="http://schemas.openxmlformats.org/officeDocument/2006/relationships/hyperlink" Target="https://doi.org/10.1038/d41586-026-01211-6" TargetMode="External"/><Relationship Id="rId295" Type="http://schemas.openxmlformats.org/officeDocument/2006/relationships/hyperlink" Target="https://www.nature.com/articles/d41586-026-00853-w" TargetMode="External"/><Relationship Id="rId296" Type="http://schemas.openxmlformats.org/officeDocument/2006/relationships/hyperlink" Target="https://doi.org/10.1038/d41586-026-00853-w" TargetMode="External"/><Relationship Id="rId297" Type="http://schemas.openxmlformats.org/officeDocument/2006/relationships/hyperlink" Target="https://www.nature.com/articles/d41586-026-01101-x" TargetMode="External"/><Relationship Id="rId298" Type="http://schemas.openxmlformats.org/officeDocument/2006/relationships/hyperlink" Target="https://doi.org/10.1038/d41586-026-01101-x" TargetMode="External"/><Relationship Id="rId299" Type="http://schemas.openxmlformats.org/officeDocument/2006/relationships/hyperlink" Target="https://www.nature.com/articles/d41586-026-01199-z" TargetMode="External"/><Relationship Id="rId300" Type="http://schemas.openxmlformats.org/officeDocument/2006/relationships/hyperlink" Target="https://doi.org/10.1038/d41586-026-01199-z" TargetMode="External"/><Relationship Id="rId301" Type="http://schemas.openxmlformats.org/officeDocument/2006/relationships/hyperlink" Target="https://www.nature.com/articles/s41563-026-02556-z" TargetMode="External"/><Relationship Id="rId302" Type="http://schemas.openxmlformats.org/officeDocument/2006/relationships/hyperlink" Target="https://doi.org/10.1038/s41563-026-02556-z" TargetMode="External"/><Relationship Id="rId303" Type="http://schemas.openxmlformats.org/officeDocument/2006/relationships/hyperlink" Target="https://www.nature.com/articles/d41586-026-00197-5" TargetMode="External"/><Relationship Id="rId304" Type="http://schemas.openxmlformats.org/officeDocument/2006/relationships/hyperlink" Target="https://doi.org/10.1038/d41586-026-00197-5" TargetMode="External"/><Relationship Id="rId305" Type="http://schemas.openxmlformats.org/officeDocument/2006/relationships/hyperlink" Target="https://www.nature.com/articles/s41578-026-00921-7" TargetMode="External"/><Relationship Id="rId306" Type="http://schemas.openxmlformats.org/officeDocument/2006/relationships/hyperlink" Target="https://doi.org/10.1038/s41578-026-00921-7" TargetMode="External"/><Relationship Id="rId307" Type="http://schemas.openxmlformats.org/officeDocument/2006/relationships/hyperlink" Target="https://www.nature.com/articles/s41557-026-02116-7" TargetMode="External"/><Relationship Id="rId308" Type="http://schemas.openxmlformats.org/officeDocument/2006/relationships/hyperlink" Target="https://doi.org/10.1038/s41557-026-02116-7" TargetMode="External"/><Relationship Id="rId309" Type="http://schemas.openxmlformats.org/officeDocument/2006/relationships/hyperlink" Target="https://www.nature.com/articles/s41557-026-02114-9" TargetMode="External"/><Relationship Id="rId310" Type="http://schemas.openxmlformats.org/officeDocument/2006/relationships/hyperlink" Target="https://doi.org/10.1038/s41557-026-02114-9" TargetMode="External"/><Relationship Id="rId311" Type="http://schemas.openxmlformats.org/officeDocument/2006/relationships/hyperlink" Target="https://www.nature.com/articles/s41563-026-02574-x" TargetMode="External"/><Relationship Id="rId312" Type="http://schemas.openxmlformats.org/officeDocument/2006/relationships/hyperlink" Target="https://doi.org/10.1038/s41563-026-02574-x" TargetMode="External"/><Relationship Id="rId313" Type="http://schemas.openxmlformats.org/officeDocument/2006/relationships/hyperlink" Target="https://www.nature.com/articles/d41586-026-00744-0" TargetMode="External"/><Relationship Id="rId314" Type="http://schemas.openxmlformats.org/officeDocument/2006/relationships/hyperlink" Target="https://doi.org/10.1038/d41586-026-00744-0" TargetMode="External"/><Relationship Id="rId315" Type="http://schemas.openxmlformats.org/officeDocument/2006/relationships/hyperlink" Target="https://www.nature.com/articles/s41467-026-72046-y" TargetMode="External"/><Relationship Id="rId316" Type="http://schemas.openxmlformats.org/officeDocument/2006/relationships/hyperlink" Target="https://doi.org/10.1038/s41467-026-72046-y" TargetMode="External"/><Relationship Id="rId317" Type="http://schemas.openxmlformats.org/officeDocument/2006/relationships/hyperlink" Target="https://www.nature.com/articles/s41893-026-01806-x" TargetMode="External"/><Relationship Id="rId318" Type="http://schemas.openxmlformats.org/officeDocument/2006/relationships/hyperlink" Target="https://doi.org/10.1038/s41893-026-01806-x" TargetMode="External"/><Relationship Id="rId319" Type="http://schemas.openxmlformats.org/officeDocument/2006/relationships/hyperlink" Target="https://www.nature.com/articles/s41467-026-71973-0" TargetMode="External"/><Relationship Id="rId320" Type="http://schemas.openxmlformats.org/officeDocument/2006/relationships/hyperlink" Target="https://doi.org/10.1038/s41467-026-71973-0" TargetMode="External"/><Relationship Id="rId321" Type="http://schemas.openxmlformats.org/officeDocument/2006/relationships/hyperlink" Target="https://www.nature.com/articles/s41467-026-71984-x" TargetMode="External"/><Relationship Id="rId322" Type="http://schemas.openxmlformats.org/officeDocument/2006/relationships/hyperlink" Target="https://doi.org/10.1038/s41467-026-71984-x" TargetMode="External"/><Relationship Id="rId323" Type="http://schemas.openxmlformats.org/officeDocument/2006/relationships/hyperlink" Target="https://www.nature.com/articles/s41467-026-71977-w" TargetMode="External"/><Relationship Id="rId324" Type="http://schemas.openxmlformats.org/officeDocument/2006/relationships/hyperlink" Target="https://doi.org/10.1038/s41467-026-71977-w" TargetMode="External"/><Relationship Id="rId325" Type="http://schemas.openxmlformats.org/officeDocument/2006/relationships/hyperlink" Target="https://www.nature.com/articles/s41467-026-71859-1" TargetMode="External"/><Relationship Id="rId326" Type="http://schemas.openxmlformats.org/officeDocument/2006/relationships/hyperlink" Target="https://doi.org/10.1038/s41467-026-71859-1" TargetMode="External"/><Relationship Id="rId327" Type="http://schemas.openxmlformats.org/officeDocument/2006/relationships/hyperlink" Target="https://www.nature.com/articles/s41560-026-02039-0" TargetMode="External"/><Relationship Id="rId328" Type="http://schemas.openxmlformats.org/officeDocument/2006/relationships/hyperlink" Target="https://doi.org/10.1038/s41560-026-02039-0" TargetMode="External"/><Relationship Id="rId329" Type="http://schemas.openxmlformats.org/officeDocument/2006/relationships/hyperlink" Target="https://www.nature.com/articles/s41560-026-02036-3" TargetMode="External"/><Relationship Id="rId330" Type="http://schemas.openxmlformats.org/officeDocument/2006/relationships/hyperlink" Target="https://doi.org/10.1038/s41560-026-02036-3" TargetMode="External"/><Relationship Id="rId331" Type="http://schemas.openxmlformats.org/officeDocument/2006/relationships/hyperlink" Target="https://www.nature.com/articles/s41563-026-02573-y" TargetMode="External"/><Relationship Id="rId332" Type="http://schemas.openxmlformats.org/officeDocument/2006/relationships/hyperlink" Target="https://doi.org/10.1038/s41563-026-02573-y" TargetMode="External"/><Relationship Id="rId333" Type="http://schemas.openxmlformats.org/officeDocument/2006/relationships/hyperlink" Target="https://www.sciencedirect.com/science/article/pii/S0306261926004976?dgcid=rss_sd_all" TargetMode="External"/><Relationship Id="rId334" Type="http://schemas.openxmlformats.org/officeDocument/2006/relationships/hyperlink" Target="https://www.cell.com/matter/fulltext/S2590-2385(26)00132-3?rss=yes" TargetMode="External"/><Relationship Id="rId335" Type="http://schemas.openxmlformats.org/officeDocument/2006/relationships/hyperlink" Target="https://doi.org/10.1016/j.matt.2026.102769" TargetMode="External"/><Relationship Id="rId336" Type="http://schemas.openxmlformats.org/officeDocument/2006/relationships/hyperlink" Target="https://www.nature.com/articles/s41928-026-01601-8" TargetMode="External"/><Relationship Id="rId337" Type="http://schemas.openxmlformats.org/officeDocument/2006/relationships/hyperlink" Target="https://doi.org/10.1038/s41928-026-01601-8" TargetMode="External"/><Relationship Id="rId338" Type="http://schemas.openxmlformats.org/officeDocument/2006/relationships/hyperlink" Target="https://www.sciencedirect.com/science/article/pii/S0306261926005313?dgcid=rss_sd_all" TargetMode="External"/><Relationship Id="rId339" Type="http://schemas.openxmlformats.org/officeDocument/2006/relationships/hyperlink" Target="https://www.sciencedirect.com/science/article/pii/S0306261926004083?dgcid=rss_sd_all" TargetMode="External"/><Relationship Id="rId340" Type="http://schemas.openxmlformats.org/officeDocument/2006/relationships/hyperlink" Target="https://www.nature.com/articles/s41893-026-01819-6" TargetMode="External"/><Relationship Id="rId341" Type="http://schemas.openxmlformats.org/officeDocument/2006/relationships/hyperlink" Target="https://doi.org/10.1038/s41893-026-01819-6" TargetMode="External"/><Relationship Id="rId342" Type="http://schemas.openxmlformats.org/officeDocument/2006/relationships/hyperlink" Target="https://www.pnas.org/doi/abs/10.1073/pnas.2533611123?mi=eymic2&amp;af=R&amp;access=on&amp;content=articlesChapters&amp;publication=pnas&amp;sortBy=Earliest&amp;target=default" TargetMode="External"/><Relationship Id="rId343" Type="http://schemas.openxmlformats.org/officeDocument/2006/relationships/hyperlink" Target="https://doi.org/10.1073/pnas.2533611123" TargetMode="External"/><Relationship Id="rId344" Type="http://schemas.openxmlformats.org/officeDocument/2006/relationships/hyperlink" Target="https://www.pnas.org/doi/abs/10.1073/pnas.2514030123?mi=eymic2&amp;af=R&amp;access=on&amp;content=articlesChapters&amp;publication=pnas&amp;sortBy=Earliest&amp;target=default" TargetMode="External"/><Relationship Id="rId345" Type="http://schemas.openxmlformats.org/officeDocument/2006/relationships/hyperlink" Target="https://doi.org/10.1073/pnas.2514030123" TargetMode="External"/><Relationship Id="rId346" Type="http://schemas.openxmlformats.org/officeDocument/2006/relationships/hyperlink" Target="https://www.pnas.org/doi/abs/10.1073/pnas.2517953123?mi=eymic2&amp;af=R&amp;access=on&amp;content=articlesChapters&amp;publication=pnas&amp;sortBy=Earliest&amp;target=default" TargetMode="External"/><Relationship Id="rId347" Type="http://schemas.openxmlformats.org/officeDocument/2006/relationships/hyperlink" Target="https://doi.org/10.1073/pnas.2517953123" TargetMode="External"/><Relationship Id="rId348" Type="http://schemas.openxmlformats.org/officeDocument/2006/relationships/hyperlink" Target="https://www.pnas.org/doi/abs/10.1073/pnas.2609807123?mi=eymic2&amp;af=R&amp;access=on&amp;content=articlesChapters&amp;publication=pnas&amp;sortBy=Earliest&amp;target=default" TargetMode="External"/><Relationship Id="rId349" Type="http://schemas.openxmlformats.org/officeDocument/2006/relationships/hyperlink" Target="https://doi.org/10.1073/pnas.2609807123" TargetMode="External"/><Relationship Id="rId350" Type="http://schemas.openxmlformats.org/officeDocument/2006/relationships/hyperlink" Target="https://www.pnas.org/doi/abs/10.1073/pnas.2606254123?mi=eymic2&amp;af=R&amp;access=on&amp;content=articlesChapters&amp;publication=pnas&amp;sortBy=Earliest&amp;target=default" TargetMode="External"/><Relationship Id="rId351" Type="http://schemas.openxmlformats.org/officeDocument/2006/relationships/hyperlink" Target="https://doi.org/10.1073/pnas.2606254123" TargetMode="External"/><Relationship Id="rId352" Type="http://schemas.openxmlformats.org/officeDocument/2006/relationships/hyperlink" Target="https://www.pnas.org/doi/abs/10.1073/pnas.2605415123?mi=eymic2&amp;af=R&amp;access=on&amp;content=articlesChapters&amp;publication=pnas&amp;sortBy=Earliest&amp;target=default" TargetMode="External"/><Relationship Id="rId353" Type="http://schemas.openxmlformats.org/officeDocument/2006/relationships/hyperlink" Target="https://doi.org/10.1073/pnas.2605415123" TargetMode="External"/><Relationship Id="rId354" Type="http://schemas.openxmlformats.org/officeDocument/2006/relationships/hyperlink" Target="https://www.pnas.org/doi/abs/10.1073/pnas.2605414123?mi=eymic2&amp;af=R&amp;access=on&amp;content=articlesChapters&amp;publication=pnas&amp;sortBy=Earliest&amp;target=default" TargetMode="External"/><Relationship Id="rId355" Type="http://schemas.openxmlformats.org/officeDocument/2006/relationships/hyperlink" Target="https://doi.org/10.1073/pnas.2605414123" TargetMode="External"/><Relationship Id="rId356" Type="http://schemas.openxmlformats.org/officeDocument/2006/relationships/hyperlink" Target="https://www.pnas.org/doi/abs/10.1073/pnas.2605026123?mi=eymic2&amp;af=R&amp;access=on&amp;content=articlesChapters&amp;publication=pnas&amp;sortBy=Earliest&amp;target=default" TargetMode="External"/><Relationship Id="rId357" Type="http://schemas.openxmlformats.org/officeDocument/2006/relationships/hyperlink" Target="https://doi.org/10.1073/pnas.2605026123" TargetMode="External"/><Relationship Id="rId358" Type="http://schemas.openxmlformats.org/officeDocument/2006/relationships/hyperlink" Target="https://www.pnas.org/doi/abs/10.1073/pnas.2602950123?mi=eymic2&amp;af=R&amp;access=on&amp;content=articlesChapters&amp;publication=pnas&amp;sortBy=Earliest&amp;target=default" TargetMode="External"/><Relationship Id="rId359" Type="http://schemas.openxmlformats.org/officeDocument/2006/relationships/hyperlink" Target="https://doi.org/10.1073/pnas.2602950123" TargetMode="External"/><Relationship Id="rId360" Type="http://schemas.openxmlformats.org/officeDocument/2006/relationships/hyperlink" Target="https://www.pnas.org/doi/abs/10.1073/pnas.2536005123?mi=eymic2&amp;af=R&amp;access=on&amp;content=articlesChapters&amp;publication=pnas&amp;sortBy=Earliest&amp;target=default" TargetMode="External"/><Relationship Id="rId361" Type="http://schemas.openxmlformats.org/officeDocument/2006/relationships/hyperlink" Target="https://doi.org/10.1073/pnas.2536005123" TargetMode="External"/><Relationship Id="rId362" Type="http://schemas.openxmlformats.org/officeDocument/2006/relationships/hyperlink" Target="https://www.pnas.org/doi/abs/10.1073/pnas.2534441123?mi=eymic2&amp;af=R&amp;access=on&amp;content=articlesChapters&amp;publication=pnas&amp;sortBy=Earliest&amp;target=default" TargetMode="External"/><Relationship Id="rId363" Type="http://schemas.openxmlformats.org/officeDocument/2006/relationships/hyperlink" Target="https://doi.org/10.1073/pnas.2534441123" TargetMode="External"/><Relationship Id="rId364" Type="http://schemas.openxmlformats.org/officeDocument/2006/relationships/hyperlink" Target="https://www.pnas.org/doi/abs/10.1073/pnas.2533019123?mi=eymic2&amp;af=R&amp;access=on&amp;content=articlesChapters&amp;publication=pnas&amp;sortBy=Earliest&amp;target=default" TargetMode="External"/><Relationship Id="rId365" Type="http://schemas.openxmlformats.org/officeDocument/2006/relationships/hyperlink" Target="https://doi.org/10.1073/pnas.2533019123" TargetMode="External"/><Relationship Id="rId366" Type="http://schemas.openxmlformats.org/officeDocument/2006/relationships/hyperlink" Target="https://www.pnas.org/doi/abs/10.1073/pnas.2528806123?mi=eymic2&amp;af=R&amp;access=on&amp;content=articlesChapters&amp;publication=pnas&amp;sortBy=Earliest&amp;target=default" TargetMode="External"/><Relationship Id="rId367" Type="http://schemas.openxmlformats.org/officeDocument/2006/relationships/hyperlink" Target="https://doi.org/10.1073/pnas.2528806123" TargetMode="External"/><Relationship Id="rId368" Type="http://schemas.openxmlformats.org/officeDocument/2006/relationships/hyperlink" Target="https://www.pnas.org/doi/abs/10.1073/pnas.2532223123?mi=eymic2&amp;af=R&amp;access=on&amp;content=articlesChapters&amp;publication=pnas&amp;sortBy=Earliest&amp;target=default" TargetMode="External"/><Relationship Id="rId369" Type="http://schemas.openxmlformats.org/officeDocument/2006/relationships/hyperlink" Target="https://doi.org/10.1073/pnas.2532223123" TargetMode="External"/><Relationship Id="rId370" Type="http://schemas.openxmlformats.org/officeDocument/2006/relationships/hyperlink" Target="https://www.pnas.org/doi/abs/10.1073/pnas.2531564123?mi=eymic2&amp;af=R&amp;access=on&amp;content=articlesChapters&amp;publication=pnas&amp;sortBy=Earliest&amp;target=default" TargetMode="External"/><Relationship Id="rId371" Type="http://schemas.openxmlformats.org/officeDocument/2006/relationships/hyperlink" Target="https://doi.org/10.1073/pnas.2531564123" TargetMode="External"/><Relationship Id="rId372" Type="http://schemas.openxmlformats.org/officeDocument/2006/relationships/hyperlink" Target="https://www.pnas.org/doi/abs/10.1073/pnas.2518250123?mi=eymic2&amp;af=R&amp;access=on&amp;content=articlesChapters&amp;publication=pnas&amp;sortBy=Earliest&amp;target=default" TargetMode="External"/><Relationship Id="rId373" Type="http://schemas.openxmlformats.org/officeDocument/2006/relationships/hyperlink" Target="https://doi.org/10.1073/pnas.2518250123" TargetMode="External"/><Relationship Id="rId374" Type="http://schemas.openxmlformats.org/officeDocument/2006/relationships/hyperlink" Target="https://www.pnas.org/doi/abs/10.1073/pnas.2528843123?mi=eymic2&amp;af=R&amp;access=on&amp;content=articlesChapters&amp;publication=pnas&amp;sortBy=Earliest&amp;target=default" TargetMode="External"/><Relationship Id="rId375" Type="http://schemas.openxmlformats.org/officeDocument/2006/relationships/hyperlink" Target="https://doi.org/10.1073/pnas.2528843123" TargetMode="External"/><Relationship Id="rId376" Type="http://schemas.openxmlformats.org/officeDocument/2006/relationships/hyperlink" Target="https://www.pnas.org/doi/abs/10.1073/pnas.2521977123?mi=eymic2&amp;af=R&amp;access=on&amp;content=articlesChapters&amp;publication=pnas&amp;sortBy=Earliest&amp;target=default" TargetMode="External"/><Relationship Id="rId377" Type="http://schemas.openxmlformats.org/officeDocument/2006/relationships/hyperlink" Target="https://doi.org/10.1073/pnas.2521977123" TargetMode="External"/><Relationship Id="rId378" Type="http://schemas.openxmlformats.org/officeDocument/2006/relationships/hyperlink" Target="https://www.pnas.org/doi/abs/10.1073/pnas.2523372123?mi=eymic2&amp;af=R&amp;access=on&amp;content=articlesChapters&amp;publication=pnas&amp;sortBy=Earliest&amp;target=default" TargetMode="External"/><Relationship Id="rId379" Type="http://schemas.openxmlformats.org/officeDocument/2006/relationships/hyperlink" Target="https://doi.org/10.1073/pnas.2523372123" TargetMode="External"/><Relationship Id="rId380" Type="http://schemas.openxmlformats.org/officeDocument/2006/relationships/hyperlink" Target="https://www.pnas.org/doi/abs/10.1073/pnas.2520755123?mi=eymic2&amp;af=R&amp;access=on&amp;content=articlesChapters&amp;publication=pnas&amp;sortBy=Earliest&amp;target=default" TargetMode="External"/><Relationship Id="rId381" Type="http://schemas.openxmlformats.org/officeDocument/2006/relationships/hyperlink" Target="https://doi.org/10.1073/pnas.2520755123" TargetMode="External"/><Relationship Id="rId382" Type="http://schemas.openxmlformats.org/officeDocument/2006/relationships/hyperlink" Target="https://www.pnas.org/doi/abs/10.1073/pnas.2527944123?mi=eymic2&amp;af=R&amp;access=on&amp;content=articlesChapters&amp;publication=pnas&amp;sortBy=Earliest&amp;target=default" TargetMode="External"/><Relationship Id="rId383" Type="http://schemas.openxmlformats.org/officeDocument/2006/relationships/hyperlink" Target="https://doi.org/10.1073/pnas.2527944123" TargetMode="External"/><Relationship Id="rId384" Type="http://schemas.openxmlformats.org/officeDocument/2006/relationships/hyperlink" Target="https://www.pnas.org/doi/abs/10.1073/pnas.2528108123?mi=eymic2&amp;af=R&amp;access=on&amp;content=articlesChapters&amp;publication=pnas&amp;sortBy=Earliest&amp;target=default" TargetMode="External"/><Relationship Id="rId385" Type="http://schemas.openxmlformats.org/officeDocument/2006/relationships/hyperlink" Target="https://doi.org/10.1073/pnas.2528108123" TargetMode="External"/><Relationship Id="rId386" Type="http://schemas.openxmlformats.org/officeDocument/2006/relationships/hyperlink" Target="https://www.pnas.org/doi/abs/10.1073/pnas.2532451123?mi=eymic2&amp;af=R&amp;access=on&amp;content=articlesChapters&amp;publication=pnas&amp;sortBy=Earliest&amp;target=default" TargetMode="External"/><Relationship Id="rId387" Type="http://schemas.openxmlformats.org/officeDocument/2006/relationships/hyperlink" Target="https://doi.org/10.1073/pnas.2532451123" TargetMode="External"/><Relationship Id="rId388" Type="http://schemas.openxmlformats.org/officeDocument/2006/relationships/hyperlink" Target="https://www.pnas.org/doi/abs/10.1073/pnas.2504211123?mi=eymic2&amp;af=R&amp;access=on&amp;content=articlesChapters&amp;publication=pnas&amp;sortBy=Earliest&amp;target=default" TargetMode="External"/><Relationship Id="rId389" Type="http://schemas.openxmlformats.org/officeDocument/2006/relationships/hyperlink" Target="https://doi.org/10.1073/pnas.2504211123" TargetMode="External"/><Relationship Id="rId390" Type="http://schemas.openxmlformats.org/officeDocument/2006/relationships/hyperlink" Target="https://www.pnas.org/doi/abs/10.1073/pnas.2523589123?mi=eymic2&amp;af=R&amp;access=on&amp;content=articlesChapters&amp;publication=pnas&amp;sortBy=Earliest&amp;target=default" TargetMode="External"/><Relationship Id="rId391" Type="http://schemas.openxmlformats.org/officeDocument/2006/relationships/hyperlink" Target="https://doi.org/10.1073/pnas.2523589123" TargetMode="External"/><Relationship Id="rId392" Type="http://schemas.openxmlformats.org/officeDocument/2006/relationships/hyperlink" Target="http://dx.doi.org/10.1021/jacs.6c05196" TargetMode="External"/><Relationship Id="rId393" Type="http://schemas.openxmlformats.org/officeDocument/2006/relationships/hyperlink" Target="https://doi.org/10.1021/jacs.6c05196" TargetMode="External"/><Relationship Id="rId394" Type="http://schemas.openxmlformats.org/officeDocument/2006/relationships/hyperlink" Target="https://advanced.onlinelibrary.wiley.com/doi/10.1002/adma.72956?af=R" TargetMode="External"/><Relationship Id="rId395" Type="http://schemas.openxmlformats.org/officeDocument/2006/relationships/hyperlink" Target="https://doi.org/10.1002/adma.72956" TargetMode="External"/><Relationship Id="rId396" Type="http://schemas.openxmlformats.org/officeDocument/2006/relationships/hyperlink" Target="https://advanced.onlinelibrary.wiley.com/doi/10.1002/adma.72953?af=R" TargetMode="External"/><Relationship Id="rId397" Type="http://schemas.openxmlformats.org/officeDocument/2006/relationships/hyperlink" Target="https://doi.org/10.1002/adma.72953" TargetMode="External"/><Relationship Id="rId398" Type="http://schemas.openxmlformats.org/officeDocument/2006/relationships/hyperlink" Target="https://advanced.onlinelibrary.wiley.com/doi/10.1002/adma.72958?af=R" TargetMode="External"/><Relationship Id="rId399" Type="http://schemas.openxmlformats.org/officeDocument/2006/relationships/hyperlink" Target="https://doi.org/10.1002/adma.72958" TargetMode="External"/><Relationship Id="rId400" Type="http://schemas.openxmlformats.org/officeDocument/2006/relationships/hyperlink" Target="https://advanced.onlinelibrary.wiley.com/doi/10.1002/adma.72957?af=R" TargetMode="External"/><Relationship Id="rId401" Type="http://schemas.openxmlformats.org/officeDocument/2006/relationships/hyperlink" Target="https://doi.org/10.1002/adma.72957" TargetMode="External"/><Relationship Id="rId402" Type="http://schemas.openxmlformats.org/officeDocument/2006/relationships/hyperlink" Target="http://dx.doi.org/10.1021/acsenergylett.6c00537" TargetMode="External"/><Relationship Id="rId403" Type="http://schemas.openxmlformats.org/officeDocument/2006/relationships/hyperlink" Target="https://doi.org/10.1021/acsenergylett.6c00537" TargetMode="External"/><Relationship Id="rId404" Type="http://schemas.openxmlformats.org/officeDocument/2006/relationships/hyperlink" Target="https://advanced.onlinelibrary.wiley.com/doi/10.1002/adma.73074?af=R" TargetMode="External"/><Relationship Id="rId405" Type="http://schemas.openxmlformats.org/officeDocument/2006/relationships/hyperlink" Target="https://doi.org/10.1002/adma.73074" TargetMode="External"/><Relationship Id="rId406" Type="http://schemas.openxmlformats.org/officeDocument/2006/relationships/hyperlink" Target="https://advanced.onlinelibrary.wiley.com/doi/10.1002/adma.202521428?af=R" TargetMode="External"/><Relationship Id="rId407" Type="http://schemas.openxmlformats.org/officeDocument/2006/relationships/hyperlink" Target="https://doi.org/10.1002/adma.202521428" TargetMode="External"/><Relationship Id="rId408" Type="http://schemas.openxmlformats.org/officeDocument/2006/relationships/hyperlink" Target="https://onlinelibrary.wiley.com/doi/10.1002/anie.9910443?af=R" TargetMode="External"/><Relationship Id="rId409" Type="http://schemas.openxmlformats.org/officeDocument/2006/relationships/hyperlink" Target="https://doi.org/10.1002/anie.9910443" TargetMode="External"/><Relationship Id="rId410" Type="http://schemas.openxmlformats.org/officeDocument/2006/relationships/hyperlink" Target="https://onlinelibrary.wiley.com/doi/10.1002/anie.202513373?af=R" TargetMode="External"/><Relationship Id="rId411" Type="http://schemas.openxmlformats.org/officeDocument/2006/relationships/hyperlink" Target="https://doi.org/10.1002/anie.202513373" TargetMode="External"/><Relationship Id="rId412" Type="http://schemas.openxmlformats.org/officeDocument/2006/relationships/hyperlink" Target="https://onlinelibrary.wiley.com/doi/10.1002/anie.3041586?af=R" TargetMode="External"/><Relationship Id="rId413" Type="http://schemas.openxmlformats.org/officeDocument/2006/relationships/hyperlink" Target="https://doi.org/10.1002/anie.3041586" TargetMode="External"/><Relationship Id="rId414" Type="http://schemas.openxmlformats.org/officeDocument/2006/relationships/hyperlink" Target="https://onlinelibrary.wiley.com/doi/10.1002/anie.8848523?af=R" TargetMode="External"/><Relationship Id="rId415" Type="http://schemas.openxmlformats.org/officeDocument/2006/relationships/hyperlink" Target="https://doi.org/10.1002/anie.8848523" TargetMode="External"/><Relationship Id="rId416" Type="http://schemas.openxmlformats.org/officeDocument/2006/relationships/hyperlink" Target="https://onlinelibrary.wiley.com/doi/10.1002/anie.6863859?af=R" TargetMode="External"/><Relationship Id="rId417" Type="http://schemas.openxmlformats.org/officeDocument/2006/relationships/hyperlink" Target="https://doi.org/10.1002/anie.6863859" TargetMode="External"/><Relationship Id="rId418" Type="http://schemas.openxmlformats.org/officeDocument/2006/relationships/hyperlink" Target="https://onlinelibrary.wiley.com/doi/10.1002/anie.9980873?af=R" TargetMode="External"/><Relationship Id="rId419" Type="http://schemas.openxmlformats.org/officeDocument/2006/relationships/hyperlink" Target="https://doi.org/10.1002/anie.9980873" TargetMode="External"/><Relationship Id="rId420" Type="http://schemas.openxmlformats.org/officeDocument/2006/relationships/hyperlink" Target="https://onlinelibrary.wiley.com/doi/10.1002/anie.4543318?af=R" TargetMode="External"/><Relationship Id="rId421" Type="http://schemas.openxmlformats.org/officeDocument/2006/relationships/hyperlink" Target="https://doi.org/10.1002/anie.4543318" TargetMode="External"/><Relationship Id="rId422" Type="http://schemas.openxmlformats.org/officeDocument/2006/relationships/hyperlink" Target="https://onlinelibrary.wiley.com/doi/10.1002/anie.3114156?af=R" TargetMode="External"/><Relationship Id="rId423" Type="http://schemas.openxmlformats.org/officeDocument/2006/relationships/hyperlink" Target="https://doi.org/10.1002/anie.3114156" TargetMode="External"/><Relationship Id="rId424" Type="http://schemas.openxmlformats.org/officeDocument/2006/relationships/hyperlink" Target="https://onlinelibrary.wiley.com/doi/10.1002/anie.2978958?af=R" TargetMode="External"/><Relationship Id="rId425" Type="http://schemas.openxmlformats.org/officeDocument/2006/relationships/hyperlink" Target="https://doi.org/10.1002/anie.2978958" TargetMode="External"/><Relationship Id="rId426" Type="http://schemas.openxmlformats.org/officeDocument/2006/relationships/hyperlink" Target="https://onlinelibrary.wiley.com/doi/10.1002/anie.3532397?af=R" TargetMode="External"/><Relationship Id="rId427" Type="http://schemas.openxmlformats.org/officeDocument/2006/relationships/hyperlink" Target="https://doi.org/10.1002/anie.3532397" TargetMode="External"/><Relationship Id="rId428" Type="http://schemas.openxmlformats.org/officeDocument/2006/relationships/hyperlink" Target="https://onlinelibrary.wiley.com/doi/10.1002/anie.1288153?af=R" TargetMode="External"/><Relationship Id="rId429" Type="http://schemas.openxmlformats.org/officeDocument/2006/relationships/hyperlink" Target="https://doi.org/10.1002/anie.1288153" TargetMode="External"/><Relationship Id="rId430" Type="http://schemas.openxmlformats.org/officeDocument/2006/relationships/hyperlink" Target="https://onlinelibrary.wiley.com/doi/10.1002/anie.8826784?af=R" TargetMode="External"/><Relationship Id="rId431" Type="http://schemas.openxmlformats.org/officeDocument/2006/relationships/hyperlink" Target="https://doi.org/10.1002/anie.8826784" TargetMode="External"/><Relationship Id="rId432" Type="http://schemas.openxmlformats.org/officeDocument/2006/relationships/hyperlink" Target="https://onlinelibrary.wiley.com/doi/10.1002/anie.2790800?af=R" TargetMode="External"/><Relationship Id="rId433" Type="http://schemas.openxmlformats.org/officeDocument/2006/relationships/hyperlink" Target="https://doi.org/10.1002/anie.2790800" TargetMode="External"/><Relationship Id="rId434" Type="http://schemas.openxmlformats.org/officeDocument/2006/relationships/hyperlink" Target="https://onlinelibrary.wiley.com/doi/10.1002/anie.9883802?af=R" TargetMode="External"/><Relationship Id="rId435" Type="http://schemas.openxmlformats.org/officeDocument/2006/relationships/hyperlink" Target="https://doi.org/10.1002/anie.9883802" TargetMode="External"/><Relationship Id="rId436" Type="http://schemas.openxmlformats.org/officeDocument/2006/relationships/hyperlink" Target="https://onlinelibrary.wiley.com/doi/10.1002/anie.7070836?af=R" TargetMode="External"/><Relationship Id="rId437" Type="http://schemas.openxmlformats.org/officeDocument/2006/relationships/hyperlink" Target="https://doi.org/10.1002/anie.7070836" TargetMode="External"/><Relationship Id="rId438" Type="http://schemas.openxmlformats.org/officeDocument/2006/relationships/hyperlink" Target="https://onlinelibrary.wiley.com/doi/10.1002/anie.6606811?af=R" TargetMode="External"/><Relationship Id="rId439" Type="http://schemas.openxmlformats.org/officeDocument/2006/relationships/hyperlink" Target="https://doi.org/10.1002/anie.6606811" TargetMode="External"/><Relationship Id="rId440" Type="http://schemas.openxmlformats.org/officeDocument/2006/relationships/hyperlink" Target="https://onlinelibrary.wiley.com/doi/10.1002/anie.7993582?af=R" TargetMode="External"/><Relationship Id="rId441" Type="http://schemas.openxmlformats.org/officeDocument/2006/relationships/hyperlink" Target="https://doi.org/10.1002/anie.7993582" TargetMode="External"/><Relationship Id="rId442" Type="http://schemas.openxmlformats.org/officeDocument/2006/relationships/hyperlink" Target="http://dx.doi.org/10.1021/jacs.6c02264" TargetMode="External"/><Relationship Id="rId443" Type="http://schemas.openxmlformats.org/officeDocument/2006/relationships/hyperlink" Target="https://doi.org/10.1021/jacs.6c02264" TargetMode="External"/><Relationship Id="rId444" Type="http://schemas.openxmlformats.org/officeDocument/2006/relationships/hyperlink" Target="http://dx.doi.org/10.1021/jacs.5c22630" TargetMode="External"/><Relationship Id="rId445" Type="http://schemas.openxmlformats.org/officeDocument/2006/relationships/hyperlink" Target="https://doi.org/10.1021/jacs.5c22630" TargetMode="External"/><Relationship Id="rId446" Type="http://schemas.openxmlformats.org/officeDocument/2006/relationships/hyperlink" Target="http://dx.doi.org/10.1021/jacs.6c03596" TargetMode="External"/><Relationship Id="rId447" Type="http://schemas.openxmlformats.org/officeDocument/2006/relationships/hyperlink" Target="https://doi.org/10.1021/jacs.6c03596" TargetMode="External"/><Relationship Id="rId448" Type="http://schemas.openxmlformats.org/officeDocument/2006/relationships/hyperlink" Target="http://dx.doi.org/10.1021/jacs.5c21968" TargetMode="External"/><Relationship Id="rId449" Type="http://schemas.openxmlformats.org/officeDocument/2006/relationships/hyperlink" Target="https://doi.org/10.1021/jacs.5c21968" TargetMode="External"/><Relationship Id="rId450" Type="http://schemas.openxmlformats.org/officeDocument/2006/relationships/hyperlink" Target="http://dx.doi.org/10.1021/jacs.5c21345" TargetMode="External"/><Relationship Id="rId451" Type="http://schemas.openxmlformats.org/officeDocument/2006/relationships/hyperlink" Target="https://doi.org/10.1021/jacs.5c21345" TargetMode="External"/><Relationship Id="rId452" Type="http://schemas.openxmlformats.org/officeDocument/2006/relationships/hyperlink" Target="http://dx.doi.org/10.1021/acsenergylett.5c04322" TargetMode="External"/><Relationship Id="rId453" Type="http://schemas.openxmlformats.org/officeDocument/2006/relationships/hyperlink" Target="https://doi.org/10.1021/acsenergylett.5c04322" TargetMode="External"/><Relationship Id="rId454" Type="http://schemas.openxmlformats.org/officeDocument/2006/relationships/hyperlink" Target="http://dx.doi.org/10.1021/acs.chemrev.5c00902" TargetMode="External"/><Relationship Id="rId455" Type="http://schemas.openxmlformats.org/officeDocument/2006/relationships/hyperlink" Target="https://doi.org/10.1021/acs.chemrev.5c00902" TargetMode="External"/><Relationship Id="rId456" Type="http://schemas.openxmlformats.org/officeDocument/2006/relationships/hyperlink" Target="http://dx.doi.org/10.1021/jacs.5c21440" TargetMode="External"/><Relationship Id="rId457" Type="http://schemas.openxmlformats.org/officeDocument/2006/relationships/hyperlink" Target="https://doi.org/10.1021/jacs.5c21440" TargetMode="External"/><Relationship Id="rId458" Type="http://schemas.openxmlformats.org/officeDocument/2006/relationships/hyperlink" Target="http://dx.doi.org/10.1021/jacs.6c05306" TargetMode="External"/><Relationship Id="rId459" Type="http://schemas.openxmlformats.org/officeDocument/2006/relationships/hyperlink" Target="https://doi.org/10.1021/jacs.6c05306" TargetMode="External"/><Relationship Id="rId460" Type="http://schemas.openxmlformats.org/officeDocument/2006/relationships/hyperlink" Target="http://pubs.rsc.org/en/Content/ArticleLanding/2026/CS/D3CS00795B" TargetMode="External"/><Relationship Id="rId461" Type="http://schemas.openxmlformats.org/officeDocument/2006/relationships/hyperlink" Target="http://pubs.rsc.org/en/Content/ArticleLanding/2026/CS/D6CS00060F" TargetMode="External"/><Relationship Id="rId462" Type="http://schemas.openxmlformats.org/officeDocument/2006/relationships/hyperlink" Target="http://pubs.rsc.org/en/Content/ArticleLanding/2026/EE/D5EE07523H" TargetMode="External"/><Relationship Id="rId463" Type="http://schemas.openxmlformats.org/officeDocument/2006/relationships/hyperlink" Target="https://www.nature.com/articles/d41586-025-04132-y" TargetMode="External"/><Relationship Id="rId464" Type="http://schemas.openxmlformats.org/officeDocument/2006/relationships/hyperlink" Target="https://doi.org/10.1038/d41586-025-04132-y" TargetMode="External"/><Relationship Id="rId465" Type="http://schemas.openxmlformats.org/officeDocument/2006/relationships/hyperlink" Target="https://www.nature.com/articles/d41586-026-01119-1" TargetMode="External"/><Relationship Id="rId466" Type="http://schemas.openxmlformats.org/officeDocument/2006/relationships/hyperlink" Target="https://doi.org/10.1038/d41586-026-01119-1" TargetMode="External"/><Relationship Id="rId467" Type="http://schemas.openxmlformats.org/officeDocument/2006/relationships/hyperlink" Target="https://www.nature.com/articles/d41586-026-01194-4" TargetMode="External"/><Relationship Id="rId468" Type="http://schemas.openxmlformats.org/officeDocument/2006/relationships/hyperlink" Target="https://doi.org/10.1038/d41586-026-01194-4" TargetMode="External"/><Relationship Id="rId469" Type="http://schemas.openxmlformats.org/officeDocument/2006/relationships/hyperlink" Target="https://www.cell.com/chem/fulltext/S2451-9294(26)00106-3?rss=yes" TargetMode="External"/><Relationship Id="rId470" Type="http://schemas.openxmlformats.org/officeDocument/2006/relationships/hyperlink" Target="https://doi.org/10.1016/j.chempr.2026.103040" TargetMode="External"/><Relationship Id="rId471" Type="http://schemas.openxmlformats.org/officeDocument/2006/relationships/hyperlink" Target="https://www.nature.com/articles/d41586-026-01196-2" TargetMode="External"/><Relationship Id="rId472" Type="http://schemas.openxmlformats.org/officeDocument/2006/relationships/hyperlink" Target="https://doi.org/10.1038/d41586-026-01196-2" TargetMode="External"/><Relationship Id="rId473" Type="http://schemas.openxmlformats.org/officeDocument/2006/relationships/hyperlink" Target="https://www.nature.com/articles/d41586-026-01099-2" TargetMode="External"/><Relationship Id="rId474" Type="http://schemas.openxmlformats.org/officeDocument/2006/relationships/hyperlink" Target="https://doi.org/10.1038/d41586-026-01099-2" TargetMode="External"/><Relationship Id="rId475" Type="http://schemas.openxmlformats.org/officeDocument/2006/relationships/hyperlink" Target="https://www.nature.com/articles/d41586-026-01216-1" TargetMode="External"/><Relationship Id="rId476" Type="http://schemas.openxmlformats.org/officeDocument/2006/relationships/hyperlink" Target="https://doi.org/10.1038/d41586-026-01216-1" TargetMode="External"/><Relationship Id="rId477" Type="http://schemas.openxmlformats.org/officeDocument/2006/relationships/hyperlink" Target="https://www.nature.com/articles/d41586-026-01225-0" TargetMode="External"/><Relationship Id="rId478" Type="http://schemas.openxmlformats.org/officeDocument/2006/relationships/hyperlink" Target="https://doi.org/10.1038/d41586-026-01225-0" TargetMode="External"/><Relationship Id="rId479" Type="http://schemas.openxmlformats.org/officeDocument/2006/relationships/hyperlink" Target="https://www.nature.com/articles/d41586-026-01218-z" TargetMode="External"/><Relationship Id="rId480" Type="http://schemas.openxmlformats.org/officeDocument/2006/relationships/hyperlink" Target="https://doi.org/10.1038/d41586-026-01218-z" TargetMode="External"/><Relationship Id="rId481" Type="http://schemas.openxmlformats.org/officeDocument/2006/relationships/hyperlink" Target="https://www.nature.com/articles/s41586-026-10493-9" TargetMode="External"/><Relationship Id="rId482" Type="http://schemas.openxmlformats.org/officeDocument/2006/relationships/hyperlink" Target="https://doi.org/10.1038/s41586-026-10493-9" TargetMode="External"/><Relationship Id="rId483" Type="http://schemas.openxmlformats.org/officeDocument/2006/relationships/hyperlink" Target="https://www.nature.com/articles/s41586-026-10482-y" TargetMode="External"/><Relationship Id="rId484" Type="http://schemas.openxmlformats.org/officeDocument/2006/relationships/hyperlink" Target="https://doi.org/10.1038/s41586-026-10482-y" TargetMode="External"/><Relationship Id="rId485" Type="http://schemas.openxmlformats.org/officeDocument/2006/relationships/hyperlink" Target="https://www.nature.com/articles/d41586-026-00914-0" TargetMode="External"/><Relationship Id="rId486" Type="http://schemas.openxmlformats.org/officeDocument/2006/relationships/hyperlink" Target="https://doi.org/10.1038/d41586-026-00914-0" TargetMode="External"/><Relationship Id="rId487" Type="http://schemas.openxmlformats.org/officeDocument/2006/relationships/hyperlink" Target="https://www.nature.com/articles/d41586-026-01217-0" TargetMode="External"/><Relationship Id="rId488" Type="http://schemas.openxmlformats.org/officeDocument/2006/relationships/hyperlink" Target="https://doi.org/10.1038/d41586-026-01217-0" TargetMode="External"/><Relationship Id="rId489" Type="http://schemas.openxmlformats.org/officeDocument/2006/relationships/hyperlink" Target="https://www.nature.com/articles/d41586-026-01201-8" TargetMode="External"/><Relationship Id="rId490" Type="http://schemas.openxmlformats.org/officeDocument/2006/relationships/hyperlink" Target="https://doi.org/10.1038/d41586-026-01201-8" TargetMode="External"/><Relationship Id="rId491" Type="http://schemas.openxmlformats.org/officeDocument/2006/relationships/hyperlink" Target="https://www.nature.com/articles/d41586-026-01058-x" TargetMode="External"/><Relationship Id="rId492" Type="http://schemas.openxmlformats.org/officeDocument/2006/relationships/hyperlink" Target="https://doi.org/10.1038/d41586-026-01058-x" TargetMode="External"/><Relationship Id="rId493" Type="http://schemas.openxmlformats.org/officeDocument/2006/relationships/hyperlink" Target="https://www.sciencedirect.com/science/article/pii/S0306261926005209?dgcid=rss_sd_all" TargetMode="External"/><Relationship Id="rId494" Type="http://schemas.openxmlformats.org/officeDocument/2006/relationships/hyperlink" Target="https://academic.oup.com/nsr/advance-article/doi/10.1093/nsr/nwag222/8653810?rss=1" TargetMode="External"/><Relationship Id="rId495" Type="http://schemas.openxmlformats.org/officeDocument/2006/relationships/hyperlink" Target="https://doi.org/10.1093/nsr/nwag222" TargetMode="External"/><Relationship Id="rId496" Type="http://schemas.openxmlformats.org/officeDocument/2006/relationships/hyperlink" Target="https://www.nature.com/articles/d41586-026-01044-3" TargetMode="External"/><Relationship Id="rId497" Type="http://schemas.openxmlformats.org/officeDocument/2006/relationships/hyperlink" Target="https://doi.org/10.1038/d41586-026-01044-3" TargetMode="External"/><Relationship Id="rId498" Type="http://schemas.openxmlformats.org/officeDocument/2006/relationships/hyperlink" Target="https://www.sciencedirect.com/science/article/pii/S0301421526002181?dgcid=rss_sd_all" TargetMode="External"/><Relationship Id="rId499" Type="http://schemas.openxmlformats.org/officeDocument/2006/relationships/hyperlink" Target="https://www.nature.com/articles/s44286-026-00380-5" TargetMode="External"/><Relationship Id="rId500" Type="http://schemas.openxmlformats.org/officeDocument/2006/relationships/hyperlink" Target="https://doi.org/10.1038/s44286-026-00380-5" TargetMode="External"/><Relationship Id="rId501" Type="http://schemas.openxmlformats.org/officeDocument/2006/relationships/hyperlink" Target="https://www.sciencedirect.com/science/article/pii/S0301421526002351?dgcid=rss_sd_all" TargetMode="External"/><Relationship Id="rId502" Type="http://schemas.openxmlformats.org/officeDocument/2006/relationships/hyperlink" Target="https://www.nature.com/articles/s41467-026-71908-9" TargetMode="External"/><Relationship Id="rId503" Type="http://schemas.openxmlformats.org/officeDocument/2006/relationships/hyperlink" Target="https://doi.org/10.1038/s41467-026-71908-9" TargetMode="External"/><Relationship Id="rId504" Type="http://schemas.openxmlformats.org/officeDocument/2006/relationships/hyperlink" Target="https://www.nature.com/articles/s41467-026-71870-6" TargetMode="External"/><Relationship Id="rId505" Type="http://schemas.openxmlformats.org/officeDocument/2006/relationships/hyperlink" Target="https://doi.org/10.1038/s41467-026-71870-6" TargetMode="External"/><Relationship Id="rId506" Type="http://schemas.openxmlformats.org/officeDocument/2006/relationships/hyperlink" Target="https://www.nature.com/articles/s41560-026-02021-w" TargetMode="External"/><Relationship Id="rId507" Type="http://schemas.openxmlformats.org/officeDocument/2006/relationships/hyperlink" Target="https://doi.org/10.1038/s41560-026-02021-w" TargetMode="External"/><Relationship Id="rId508" Type="http://schemas.openxmlformats.org/officeDocument/2006/relationships/hyperlink" Target="https://www.sciencedirect.com/science/article/pii/S0306261926004769?dgcid=rss_sd_all" TargetMode="External"/><Relationship Id="rId509" Type="http://schemas.openxmlformats.org/officeDocument/2006/relationships/hyperlink" Target="https://www.sciencedirect.com/science/article/pii/S0306261926004307?dgcid=rss_sd_all" TargetMode="External"/><Relationship Id="rId510" Type="http://schemas.openxmlformats.org/officeDocument/2006/relationships/hyperlink" Target="https://www.nature.com/articles/s41893-026-01798-8" TargetMode="External"/><Relationship Id="rId511" Type="http://schemas.openxmlformats.org/officeDocument/2006/relationships/hyperlink" Target="https://doi.org/10.1038/s41893-026-01798-8" TargetMode="External"/><Relationship Id="rId512" Type="http://schemas.openxmlformats.org/officeDocument/2006/relationships/hyperlink" Target="https://www.nature.com/articles/s44286-026-00375-2" TargetMode="External"/><Relationship Id="rId513" Type="http://schemas.openxmlformats.org/officeDocument/2006/relationships/hyperlink" Target="https://doi.org/10.1038/s44286-026-00375-2" TargetMode="External"/><Relationship Id="rId514" Type="http://schemas.openxmlformats.org/officeDocument/2006/relationships/hyperlink" Target="https://www.cell.com/chem/fulltext/S2451-9294(26)00088-4?rss=yes" TargetMode="External"/><Relationship Id="rId515" Type="http://schemas.openxmlformats.org/officeDocument/2006/relationships/hyperlink" Target="https://doi.org/10.1016/j.chempr.2026.103022" TargetMode="External"/><Relationship Id="rId516" Type="http://schemas.openxmlformats.org/officeDocument/2006/relationships/hyperlink" Target="https://www.nature.com/articles/s41560-026-02026-5" TargetMode="External"/><Relationship Id="rId517" Type="http://schemas.openxmlformats.org/officeDocument/2006/relationships/hyperlink" Target="https://doi.org/10.1038/s41560-026-02026-5" TargetMode="External"/><Relationship Id="rId518" Type="http://schemas.openxmlformats.org/officeDocument/2006/relationships/hyperlink" Target="https://advanced.onlinelibrary.wiley.com/doi/10.1002/adma.202523698?af=R" TargetMode="External"/><Relationship Id="rId519" Type="http://schemas.openxmlformats.org/officeDocument/2006/relationships/hyperlink" Target="https://doi.org/10.1002/adma.202523698" TargetMode="External"/><Relationship Id="rId520" Type="http://schemas.openxmlformats.org/officeDocument/2006/relationships/hyperlink" Target="https://onlinelibrary.wiley.com/doi/10.1002/anie.4470567?af=R" TargetMode="External"/><Relationship Id="rId521" Type="http://schemas.openxmlformats.org/officeDocument/2006/relationships/hyperlink" Target="https://doi.org/10.1002/anie.4470567" TargetMode="External"/><Relationship Id="rId522" Type="http://schemas.openxmlformats.org/officeDocument/2006/relationships/hyperlink" Target="https://onlinelibrary.wiley.com/doi/10.1002/anie.5262692?af=R" TargetMode="External"/><Relationship Id="rId523" Type="http://schemas.openxmlformats.org/officeDocument/2006/relationships/hyperlink" Target="https://doi.org/10.1002/anie.5262692" TargetMode="External"/><Relationship Id="rId524" Type="http://schemas.openxmlformats.org/officeDocument/2006/relationships/hyperlink" Target="https://onlinelibrary.wiley.com/doi/10.1002/anie.2568667?af=R" TargetMode="External"/><Relationship Id="rId525" Type="http://schemas.openxmlformats.org/officeDocument/2006/relationships/hyperlink" Target="https://doi.org/10.1002/anie.2568667" TargetMode="External"/><Relationship Id="rId526" Type="http://schemas.openxmlformats.org/officeDocument/2006/relationships/hyperlink" Target="https://onlinelibrary.wiley.com/doi/10.1002/anie.5843907?af=R" TargetMode="External"/><Relationship Id="rId527" Type="http://schemas.openxmlformats.org/officeDocument/2006/relationships/hyperlink" Target="https://doi.org/10.1002/anie.5843907" TargetMode="External"/><Relationship Id="rId528" Type="http://schemas.openxmlformats.org/officeDocument/2006/relationships/hyperlink" Target="https://onlinelibrary.wiley.com/doi/10.1002/anie.202522687?af=R" TargetMode="External"/><Relationship Id="rId529" Type="http://schemas.openxmlformats.org/officeDocument/2006/relationships/hyperlink" Target="https://doi.org/10.1002/anie.202522687" TargetMode="External"/><Relationship Id="rId530" Type="http://schemas.openxmlformats.org/officeDocument/2006/relationships/hyperlink" Target="https://onlinelibrary.wiley.com/doi/10.1002/anie.202523298?af=R" TargetMode="External"/><Relationship Id="rId531" Type="http://schemas.openxmlformats.org/officeDocument/2006/relationships/hyperlink" Target="https://doi.org/10.1002/anie.202523298" TargetMode="External"/><Relationship Id="rId532" Type="http://schemas.openxmlformats.org/officeDocument/2006/relationships/hyperlink" Target="https://onlinelibrary.wiley.com/doi/10.1002/anie.5918512?af=R" TargetMode="External"/><Relationship Id="rId533" Type="http://schemas.openxmlformats.org/officeDocument/2006/relationships/hyperlink" Target="https://doi.org/10.1002/anie.5918512" TargetMode="External"/><Relationship Id="rId534" Type="http://schemas.openxmlformats.org/officeDocument/2006/relationships/hyperlink" Target="https://www.pnas.org/doi/abs/10.1073/iti1526123?mi=eymic2&amp;af=R&amp;access=on&amp;content=articlesChapters&amp;publication=pnas&amp;sortBy=Earliest&amp;target=default" TargetMode="External"/><Relationship Id="rId535" Type="http://schemas.openxmlformats.org/officeDocument/2006/relationships/hyperlink" Target="https://doi.org/10.1073/iti1526123" TargetMode="External"/><Relationship Id="rId536" Type="http://schemas.openxmlformats.org/officeDocument/2006/relationships/hyperlink" Target="https://www.pnas.org/doi/abs/10.1073/pnas.2515274123?mi=eymic2&amp;af=R&amp;access=on&amp;content=articlesChapters&amp;publication=pnas&amp;sortBy=Earliest&amp;target=default" TargetMode="External"/><Relationship Id="rId537" Type="http://schemas.openxmlformats.org/officeDocument/2006/relationships/hyperlink" Target="https://doi.org/10.1073/pnas.2515274123" TargetMode="External"/><Relationship Id="rId538" Type="http://schemas.openxmlformats.org/officeDocument/2006/relationships/hyperlink" Target="https://www.pnas.org/doi/abs/10.1073/pnas.2516376123?mi=eymic2&amp;af=R&amp;access=on&amp;content=articlesChapters&amp;publication=pnas&amp;sortBy=Earliest&amp;target=default" TargetMode="External"/><Relationship Id="rId539" Type="http://schemas.openxmlformats.org/officeDocument/2006/relationships/hyperlink" Target="https://doi.org/10.1073/pnas.2516376123" TargetMode="External"/><Relationship Id="rId540" Type="http://schemas.openxmlformats.org/officeDocument/2006/relationships/hyperlink" Target="https://www.pnas.org/doi/abs/10.1073/pnas.2517403123?mi=eymic2&amp;af=R&amp;access=on&amp;content=articlesChapters&amp;publication=pnas&amp;sortBy=Earliest&amp;target=default" TargetMode="External"/><Relationship Id="rId541" Type="http://schemas.openxmlformats.org/officeDocument/2006/relationships/hyperlink" Target="https://doi.org/10.1073/pnas.2517403123" TargetMode="External"/><Relationship Id="rId542" Type="http://schemas.openxmlformats.org/officeDocument/2006/relationships/hyperlink" Target="https://www.pnas.org/doi/abs/10.1073/pnas.2523148123?mi=eymic2&amp;af=R&amp;access=on&amp;content=articlesChapters&amp;publication=pnas&amp;sortBy=Earliest&amp;target=default" TargetMode="External"/><Relationship Id="rId543" Type="http://schemas.openxmlformats.org/officeDocument/2006/relationships/hyperlink" Target="https://doi.org/10.1073/pnas.2523148123" TargetMode="External"/><Relationship Id="rId544" Type="http://schemas.openxmlformats.org/officeDocument/2006/relationships/hyperlink" Target="https://www.pnas.org/doi/abs/10.1073/pnas.2523345123?mi=eymic2&amp;af=R&amp;access=on&amp;content=articlesChapters&amp;publication=pnas&amp;sortBy=Earliest&amp;target=default" TargetMode="External"/><Relationship Id="rId545" Type="http://schemas.openxmlformats.org/officeDocument/2006/relationships/hyperlink" Target="https://doi.org/10.1073/pnas.2523345123" TargetMode="External"/><Relationship Id="rId546" Type="http://schemas.openxmlformats.org/officeDocument/2006/relationships/hyperlink" Target="https://www.pnas.org/doi/abs/10.1073/pnas.2524705123?mi=eymic2&amp;af=R&amp;access=on&amp;content=articlesChapters&amp;publication=pnas&amp;sortBy=Earliest&amp;target=default" TargetMode="External"/><Relationship Id="rId547" Type="http://schemas.openxmlformats.org/officeDocument/2006/relationships/hyperlink" Target="https://doi.org/10.1073/pnas.2524705123" TargetMode="External"/><Relationship Id="rId548" Type="http://schemas.openxmlformats.org/officeDocument/2006/relationships/hyperlink" Target="https://www.pnas.org/doi/abs/10.1073/pnas.2524579123?mi=eymic2&amp;af=R&amp;access=on&amp;content=articlesChapters&amp;publication=pnas&amp;sortBy=Earliest&amp;target=default" TargetMode="External"/><Relationship Id="rId549" Type="http://schemas.openxmlformats.org/officeDocument/2006/relationships/hyperlink" Target="https://doi.org/10.1073/pnas.2524579123" TargetMode="External"/><Relationship Id="rId550" Type="http://schemas.openxmlformats.org/officeDocument/2006/relationships/hyperlink" Target="https://www.pnas.org/doi/abs/10.1073/pnas.2532804123?mi=eymic2&amp;af=R&amp;access=on&amp;content=articlesChapters&amp;publication=pnas&amp;sortBy=Earliest&amp;target=default" TargetMode="External"/><Relationship Id="rId551" Type="http://schemas.openxmlformats.org/officeDocument/2006/relationships/hyperlink" Target="https://doi.org/10.1073/pnas.2532804123" TargetMode="External"/><Relationship Id="rId552" Type="http://schemas.openxmlformats.org/officeDocument/2006/relationships/hyperlink" Target="https://www.pnas.org/doi/abs/10.1073/pnas.2602266123?mi=eymic2&amp;af=R&amp;access=on&amp;content=articlesChapters&amp;publication=pnas&amp;sortBy=Earliest&amp;target=default" TargetMode="External"/><Relationship Id="rId553" Type="http://schemas.openxmlformats.org/officeDocument/2006/relationships/hyperlink" Target="https://doi.org/10.1073/pnas.2602266123" TargetMode="External"/><Relationship Id="rId554" Type="http://schemas.openxmlformats.org/officeDocument/2006/relationships/hyperlink" Target="https://www.pnas.org/doi/abs/10.1073/pnas.2524021123?mi=eymic2&amp;af=R&amp;access=on&amp;content=articlesChapters&amp;publication=pnas&amp;sortBy=Earliest&amp;target=default" TargetMode="External"/><Relationship Id="rId555" Type="http://schemas.openxmlformats.org/officeDocument/2006/relationships/hyperlink" Target="https://doi.org/10.1073/pnas.2524021123" TargetMode="External"/><Relationship Id="rId556" Type="http://schemas.openxmlformats.org/officeDocument/2006/relationships/hyperlink" Target="https://www.pnas.org/doi/abs/10.1073/pnas.2537987123?mi=eymic2&amp;af=R&amp;access=on&amp;content=articlesChapters&amp;publication=pnas&amp;sortBy=Earliest&amp;target=default" TargetMode="External"/><Relationship Id="rId557" Type="http://schemas.openxmlformats.org/officeDocument/2006/relationships/hyperlink" Target="https://doi.org/10.1073/pnas.2537987123" TargetMode="External"/><Relationship Id="rId558" Type="http://schemas.openxmlformats.org/officeDocument/2006/relationships/hyperlink" Target="https://www.pnas.org/doi/abs/10.1073/pnas.2534025123?mi=eymic2&amp;af=R&amp;access=on&amp;content=articlesChapters&amp;publication=pnas&amp;sortBy=Earliest&amp;target=default" TargetMode="External"/><Relationship Id="rId559" Type="http://schemas.openxmlformats.org/officeDocument/2006/relationships/hyperlink" Target="https://doi.org/10.1073/pnas.2534025123" TargetMode="External"/><Relationship Id="rId560" Type="http://schemas.openxmlformats.org/officeDocument/2006/relationships/hyperlink" Target="https://www.pnas.org/doi/abs/10.1073/pnas.2533681123?mi=eymic2&amp;af=R&amp;access=on&amp;content=articlesChapters&amp;publication=pnas&amp;sortBy=Earliest&amp;target=default" TargetMode="External"/><Relationship Id="rId561" Type="http://schemas.openxmlformats.org/officeDocument/2006/relationships/hyperlink" Target="https://doi.org/10.1073/pnas.2533681123" TargetMode="External"/><Relationship Id="rId562" Type="http://schemas.openxmlformats.org/officeDocument/2006/relationships/hyperlink" Target="https://www.pnas.org/doi/abs/10.1073/pnas.2524709123?mi=eymic2&amp;af=R&amp;access=on&amp;content=articlesChapters&amp;publication=pnas&amp;sortBy=Earliest&amp;target=default" TargetMode="External"/><Relationship Id="rId563" Type="http://schemas.openxmlformats.org/officeDocument/2006/relationships/hyperlink" Target="https://doi.org/10.1073/pnas.2524709123" TargetMode="External"/><Relationship Id="rId564" Type="http://schemas.openxmlformats.org/officeDocument/2006/relationships/hyperlink" Target="https://www.pnas.org/doi/abs/10.1073/pnas.2526252123?mi=eymic2&amp;af=R&amp;access=on&amp;content=articlesChapters&amp;publication=pnas&amp;sortBy=Earliest&amp;target=default" TargetMode="External"/><Relationship Id="rId565" Type="http://schemas.openxmlformats.org/officeDocument/2006/relationships/hyperlink" Target="https://doi.org/10.1073/pnas.2526252123" TargetMode="External"/><Relationship Id="rId566" Type="http://schemas.openxmlformats.org/officeDocument/2006/relationships/hyperlink" Target="https://www.pnas.org/doi/abs/10.1073/pnas.2524893123?mi=eymic2&amp;af=R&amp;access=on&amp;content=articlesChapters&amp;publication=pnas&amp;sortBy=Earliest&amp;target=default" TargetMode="External"/><Relationship Id="rId567" Type="http://schemas.openxmlformats.org/officeDocument/2006/relationships/hyperlink" Target="https://doi.org/10.1073/pnas.2524893123" TargetMode="External"/><Relationship Id="rId568" Type="http://schemas.openxmlformats.org/officeDocument/2006/relationships/hyperlink" Target="https://www.pnas.org/doi/abs/10.1073/pnas.2529741123?mi=eymic2&amp;af=R&amp;access=on&amp;content=articlesChapters&amp;publication=pnas&amp;sortBy=Earliest&amp;target=default" TargetMode="External"/><Relationship Id="rId569" Type="http://schemas.openxmlformats.org/officeDocument/2006/relationships/hyperlink" Target="https://doi.org/10.1073/pnas.2529741123" TargetMode="External"/><Relationship Id="rId570" Type="http://schemas.openxmlformats.org/officeDocument/2006/relationships/hyperlink" Target="https://onlinelibrary.wiley.com/doi/10.1002/anie.6306007?af=R" TargetMode="External"/><Relationship Id="rId571" Type="http://schemas.openxmlformats.org/officeDocument/2006/relationships/hyperlink" Target="https://doi.org/10.1002/anie.6306007" TargetMode="External"/><Relationship Id="rId572" Type="http://schemas.openxmlformats.org/officeDocument/2006/relationships/hyperlink" Target="https://advanced.onlinelibrary.wiley.com/doi/10.1002/adma.202517390?af=R" TargetMode="External"/><Relationship Id="rId573" Type="http://schemas.openxmlformats.org/officeDocument/2006/relationships/hyperlink" Target="https://doi.org/10.1002/adma.202517390" TargetMode="External"/><Relationship Id="rId574" Type="http://schemas.openxmlformats.org/officeDocument/2006/relationships/hyperlink" Target="https://advanced.onlinelibrary.wiley.com/doi/10.1002/adma.73068?af=R" TargetMode="External"/><Relationship Id="rId575" Type="http://schemas.openxmlformats.org/officeDocument/2006/relationships/hyperlink" Target="https://doi.org/10.1002/adma.73068" TargetMode="External"/><Relationship Id="rId576" Type="http://schemas.openxmlformats.org/officeDocument/2006/relationships/hyperlink" Target="https://onlinelibrary.wiley.com/doi/10.1002/anie.5167793?af=R" TargetMode="External"/><Relationship Id="rId577" Type="http://schemas.openxmlformats.org/officeDocument/2006/relationships/hyperlink" Target="https://doi.org/10.1002/anie.5167793" TargetMode="External"/><Relationship Id="rId578" Type="http://schemas.openxmlformats.org/officeDocument/2006/relationships/hyperlink" Target="https://advanced.onlinelibrary.wiley.com/doi/10.1002/adma.202521379?af=R" TargetMode="External"/><Relationship Id="rId579" Type="http://schemas.openxmlformats.org/officeDocument/2006/relationships/hyperlink" Target="https://doi.org/10.1002/adma.202521379" TargetMode="External"/><Relationship Id="rId580" Type="http://schemas.openxmlformats.org/officeDocument/2006/relationships/hyperlink" Target="https://onlinelibrary.wiley.com/doi/10.1002/anie.4287066?af=R" TargetMode="External"/><Relationship Id="rId581" Type="http://schemas.openxmlformats.org/officeDocument/2006/relationships/hyperlink" Target="https://doi.org/10.1002/anie.4287066" TargetMode="External"/><Relationship Id="rId582" Type="http://schemas.openxmlformats.org/officeDocument/2006/relationships/hyperlink" Target="https://onlinelibrary.wiley.com/doi/10.1002/anie.8746970?af=R" TargetMode="External"/><Relationship Id="rId583" Type="http://schemas.openxmlformats.org/officeDocument/2006/relationships/hyperlink" Target="https://doi.org/10.1002/anie.8746970" TargetMode="External"/><Relationship Id="rId584" Type="http://schemas.openxmlformats.org/officeDocument/2006/relationships/hyperlink" Target="https://advanced.onlinelibrary.wiley.com/doi/10.1002/adma.202522734?af=R" TargetMode="External"/><Relationship Id="rId585" Type="http://schemas.openxmlformats.org/officeDocument/2006/relationships/hyperlink" Target="https://doi.org/10.1002/adma.202522734" TargetMode="External"/><Relationship Id="rId586" Type="http://schemas.openxmlformats.org/officeDocument/2006/relationships/hyperlink" Target="https://advanced.onlinelibrary.wiley.com/doi/10.1002/adma.73072?af=R" TargetMode="External"/><Relationship Id="rId587" Type="http://schemas.openxmlformats.org/officeDocument/2006/relationships/hyperlink" Target="https://doi.org/10.1002/adma.73072" TargetMode="External"/><Relationship Id="rId588" Type="http://schemas.openxmlformats.org/officeDocument/2006/relationships/hyperlink" Target="https://onlinelibrary.wiley.com/doi/10.1002/anie.5232119?af=R" TargetMode="External"/><Relationship Id="rId589" Type="http://schemas.openxmlformats.org/officeDocument/2006/relationships/hyperlink" Target="https://doi.org/10.1002/anie.5232119" TargetMode="External"/><Relationship Id="rId590" Type="http://schemas.openxmlformats.org/officeDocument/2006/relationships/hyperlink" Target="https://onlinelibrary.wiley.com/doi/10.1002/anie.2715806?af=R" TargetMode="External"/><Relationship Id="rId591" Type="http://schemas.openxmlformats.org/officeDocument/2006/relationships/hyperlink" Target="https://doi.org/10.1002/anie.2715806" TargetMode="External"/><Relationship Id="rId592" Type="http://schemas.openxmlformats.org/officeDocument/2006/relationships/hyperlink" Target="https://onlinelibrary.wiley.com/doi/10.1002/anie.202524873?af=R" TargetMode="External"/><Relationship Id="rId593" Type="http://schemas.openxmlformats.org/officeDocument/2006/relationships/hyperlink" Target="https://doi.org/10.1002/anie.202524873" TargetMode="External"/><Relationship Id="rId594" Type="http://schemas.openxmlformats.org/officeDocument/2006/relationships/hyperlink" Target="https://onlinelibrary.wiley.com/doi/10.1002/anie.8873024?af=R" TargetMode="External"/><Relationship Id="rId595" Type="http://schemas.openxmlformats.org/officeDocument/2006/relationships/hyperlink" Target="https://doi.org/10.1002/anie.8873024" TargetMode="External"/><Relationship Id="rId596" Type="http://schemas.openxmlformats.org/officeDocument/2006/relationships/hyperlink" Target="http://dx.doi.org/10.1021/jacs.6c00579" TargetMode="External"/><Relationship Id="rId597" Type="http://schemas.openxmlformats.org/officeDocument/2006/relationships/hyperlink" Target="https://doi.org/10.1021/jacs.6c00579" TargetMode="External"/><Relationship Id="rId598" Type="http://schemas.openxmlformats.org/officeDocument/2006/relationships/hyperlink" Target="http://dx.doi.org/10.1021/jacs.6c01895" TargetMode="External"/><Relationship Id="rId599" Type="http://schemas.openxmlformats.org/officeDocument/2006/relationships/hyperlink" Target="https://doi.org/10.1021/jacs.6c01895" TargetMode="External"/><Relationship Id="rId600" Type="http://schemas.openxmlformats.org/officeDocument/2006/relationships/hyperlink" Target="http://dx.doi.org/10.1021/jacs.6c01119" TargetMode="External"/><Relationship Id="rId601" Type="http://schemas.openxmlformats.org/officeDocument/2006/relationships/hyperlink" Target="https://doi.org/10.1021/jacs.6c01119" TargetMode="External"/><Relationship Id="rId602" Type="http://schemas.openxmlformats.org/officeDocument/2006/relationships/hyperlink" Target="http://dx.doi.org/10.1021/jacs.6c02328" TargetMode="External"/><Relationship Id="rId603" Type="http://schemas.openxmlformats.org/officeDocument/2006/relationships/hyperlink" Target="https://doi.org/10.1021/jacs.6c02328" TargetMode="External"/><Relationship Id="rId604" Type="http://schemas.openxmlformats.org/officeDocument/2006/relationships/hyperlink" Target="http://dx.doi.org/10.1021/jacs.5c20004" TargetMode="External"/><Relationship Id="rId605" Type="http://schemas.openxmlformats.org/officeDocument/2006/relationships/hyperlink" Target="https://doi.org/10.1021/jacs.5c20004" TargetMode="External"/><Relationship Id="rId606" Type="http://schemas.openxmlformats.org/officeDocument/2006/relationships/hyperlink" Target="https://onlinelibrary.wiley.com/doi/10.1002/anie.5026514?af=R" TargetMode="External"/><Relationship Id="rId607" Type="http://schemas.openxmlformats.org/officeDocument/2006/relationships/hyperlink" Target="https://doi.org/10.1002/anie.5026514" TargetMode="External"/><Relationship Id="rId608" Type="http://schemas.openxmlformats.org/officeDocument/2006/relationships/hyperlink" Target="https://onlinelibrary.wiley.com/doi/10.1002/anie.3054919?af=R" TargetMode="External"/><Relationship Id="rId609" Type="http://schemas.openxmlformats.org/officeDocument/2006/relationships/hyperlink" Target="https://doi.org/10.1002/anie.3054919" TargetMode="External"/><Relationship Id="rId610" Type="http://schemas.openxmlformats.org/officeDocument/2006/relationships/hyperlink" Target="http://dx.doi.org/10.1021/acsenergylett.6c00468" TargetMode="External"/><Relationship Id="rId611" Type="http://schemas.openxmlformats.org/officeDocument/2006/relationships/hyperlink" Target="https://doi.org/10.1021/acsenergylett.6c00468" TargetMode="External"/><Relationship Id="rId612" Type="http://schemas.openxmlformats.org/officeDocument/2006/relationships/hyperlink" Target="https://advanced.onlinelibrary.wiley.com/doi/10.1002/adma.73095?af=R" TargetMode="External"/><Relationship Id="rId613" Type="http://schemas.openxmlformats.org/officeDocument/2006/relationships/hyperlink" Target="https://doi.org/10.1002/adma.73095" TargetMode="External"/><Relationship Id="rId614" Type="http://schemas.openxmlformats.org/officeDocument/2006/relationships/hyperlink" Target="http://dx.doi.org/10.1021/jacs.5c23220" TargetMode="External"/><Relationship Id="rId615" Type="http://schemas.openxmlformats.org/officeDocument/2006/relationships/hyperlink" Target="https://doi.org/10.1021/jacs.5c23220" TargetMode="External"/><Relationship Id="rId616" Type="http://schemas.openxmlformats.org/officeDocument/2006/relationships/hyperlink" Target="http://dx.doi.org/10.1021/jacs.6c04665" TargetMode="External"/><Relationship Id="rId617" Type="http://schemas.openxmlformats.org/officeDocument/2006/relationships/hyperlink" Target="https://doi.org/10.1021/jacs.6c04665" TargetMode="External"/><Relationship Id="rId618" Type="http://schemas.openxmlformats.org/officeDocument/2006/relationships/hyperlink" Target="http://dx.doi.org/10.1021/acsenergylett.5c04283" TargetMode="External"/><Relationship Id="rId619" Type="http://schemas.openxmlformats.org/officeDocument/2006/relationships/hyperlink" Target="https://doi.org/10.1021/acsenergylett.5c04283" TargetMode="External"/><Relationship Id="rId620" Type="http://schemas.openxmlformats.org/officeDocument/2006/relationships/hyperlink" Target="https://advanced.onlinelibrary.wiley.com/doi/10.1002/adma.202516433?af=R" TargetMode="External"/><Relationship Id="rId621" Type="http://schemas.openxmlformats.org/officeDocument/2006/relationships/hyperlink" Target="https://doi.org/10.1002/adma.202516433" TargetMode="External"/><Relationship Id="rId622" Type="http://schemas.openxmlformats.org/officeDocument/2006/relationships/hyperlink" Target="http://dx.doi.org/10.1021/acsenergylett.6c00422" TargetMode="External"/><Relationship Id="rId623" Type="http://schemas.openxmlformats.org/officeDocument/2006/relationships/hyperlink" Target="https://doi.org/10.1021/acsenergylett.6c00422" TargetMode="External"/><Relationship Id="rId624" Type="http://schemas.openxmlformats.org/officeDocument/2006/relationships/hyperlink" Target="http://dx.doi.org/10.1021/jacs.6c02334" TargetMode="External"/><Relationship Id="rId625" Type="http://schemas.openxmlformats.org/officeDocument/2006/relationships/hyperlink" Target="https://doi.org/10.1021/jacs.6c02334" TargetMode="External"/><Relationship Id="rId626" Type="http://schemas.openxmlformats.org/officeDocument/2006/relationships/hyperlink" Target="http://dx.doi.org/10.1021/jacs.5c20789" TargetMode="External"/><Relationship Id="rId627" Type="http://schemas.openxmlformats.org/officeDocument/2006/relationships/hyperlink" Target="https://doi.org/10.1021/jacs.5c20789" TargetMode="External"/><Relationship Id="rId628" Type="http://schemas.openxmlformats.org/officeDocument/2006/relationships/hyperlink" Target="http://dx.doi.org/10.1021/jacs.6c01888" TargetMode="External"/><Relationship Id="rId629" Type="http://schemas.openxmlformats.org/officeDocument/2006/relationships/hyperlink" Target="https://doi.org/10.1021/jacs.6c01888" TargetMode="External"/><Relationship Id="rId630" Type="http://schemas.openxmlformats.org/officeDocument/2006/relationships/hyperlink" Target="http://dx.doi.org/10.1021/acs.chemrev.5c01043" TargetMode="External"/><Relationship Id="rId631" Type="http://schemas.openxmlformats.org/officeDocument/2006/relationships/hyperlink" Target="https://doi.org/10.1021/acs.chemrev.5c01043" TargetMode="External"/><Relationship Id="rId632" Type="http://schemas.openxmlformats.org/officeDocument/2006/relationships/hyperlink" Target="http://dx.doi.org/10.1021/jacs.6c01496" TargetMode="External"/><Relationship Id="rId633" Type="http://schemas.openxmlformats.org/officeDocument/2006/relationships/hyperlink" Target="https://doi.org/10.1021/jacs.6c01496" TargetMode="External"/><Relationship Id="rId634" Type="http://schemas.openxmlformats.org/officeDocument/2006/relationships/hyperlink" Target="http://dx.doi.org/10.1021/jacs.6c02361" TargetMode="External"/><Relationship Id="rId635" Type="http://schemas.openxmlformats.org/officeDocument/2006/relationships/hyperlink" Target="https://doi.org/10.1021/jacs.6c02361" TargetMode="External"/><Relationship Id="rId636" Type="http://schemas.openxmlformats.org/officeDocument/2006/relationships/hyperlink" Target="http://dx.doi.org/10.1021/jacs.6c03574" TargetMode="External"/><Relationship Id="rId637" Type="http://schemas.openxmlformats.org/officeDocument/2006/relationships/hyperlink" Target="https://doi.org/10.1021/jacs.6c03574" TargetMode="External"/><Relationship Id="rId638" Type="http://schemas.openxmlformats.org/officeDocument/2006/relationships/hyperlink" Target="https://www.nature.com/articles/s41586-026-10358-1" TargetMode="External"/><Relationship Id="rId639" Type="http://schemas.openxmlformats.org/officeDocument/2006/relationships/hyperlink" Target="https://doi.org/10.1038/s41586-026-10358-1" TargetMode="External"/><Relationship Id="rId640" Type="http://schemas.openxmlformats.org/officeDocument/2006/relationships/hyperlink" Target="https://www.nature.com/articles/s41586-026-10350-9" TargetMode="External"/><Relationship Id="rId641" Type="http://schemas.openxmlformats.org/officeDocument/2006/relationships/hyperlink" Target="https://doi.org/10.1038/s41586-026-10350-9" TargetMode="External"/><Relationship Id="rId642" Type="http://schemas.openxmlformats.org/officeDocument/2006/relationships/hyperlink" Target="https://www.nature.com/articles/d41586-026-00906-0" TargetMode="External"/><Relationship Id="rId643" Type="http://schemas.openxmlformats.org/officeDocument/2006/relationships/hyperlink" Target="https://doi.org/10.1038/d41586-026-00906-0" TargetMode="External"/><Relationship Id="rId644" Type="http://schemas.openxmlformats.org/officeDocument/2006/relationships/hyperlink" Target="https://www.nature.com/articles/d41586-026-00687-6" TargetMode="External"/><Relationship Id="rId645" Type="http://schemas.openxmlformats.org/officeDocument/2006/relationships/hyperlink" Target="https://doi.org/10.1038/d41586-026-00687-6" TargetMode="External"/><Relationship Id="rId646" Type="http://schemas.openxmlformats.org/officeDocument/2006/relationships/hyperlink" Target="https://www.nature.com/articles/d41586-026-01102-w" TargetMode="External"/><Relationship Id="rId647" Type="http://schemas.openxmlformats.org/officeDocument/2006/relationships/hyperlink" Target="https://doi.org/10.1038/d41586-026-01102-w" TargetMode="External"/><Relationship Id="rId648" Type="http://schemas.openxmlformats.org/officeDocument/2006/relationships/hyperlink" Target="https://www.nature.com/articles/s41586-026-10344-7" TargetMode="External"/><Relationship Id="rId649" Type="http://schemas.openxmlformats.org/officeDocument/2006/relationships/hyperlink" Target="https://doi.org/10.1038/s41586-026-10344-7" TargetMode="External"/><Relationship Id="rId650" Type="http://schemas.openxmlformats.org/officeDocument/2006/relationships/hyperlink" Target="https://www.nature.com/articles/s41586-026-10368-z" TargetMode="External"/><Relationship Id="rId651" Type="http://schemas.openxmlformats.org/officeDocument/2006/relationships/hyperlink" Target="https://doi.org/10.1038/s41586-026-10368-z" TargetMode="External"/><Relationship Id="rId652" Type="http://schemas.openxmlformats.org/officeDocument/2006/relationships/hyperlink" Target="https://www.nature.com/articles/s41586-026-10319-8" TargetMode="External"/><Relationship Id="rId653" Type="http://schemas.openxmlformats.org/officeDocument/2006/relationships/hyperlink" Target="https://doi.org/10.1038/s41586-026-10319-8" TargetMode="External"/><Relationship Id="rId654" Type="http://schemas.openxmlformats.org/officeDocument/2006/relationships/hyperlink" Target="https://www.nature.com/articles/s41557-026-02112-x" TargetMode="External"/><Relationship Id="rId655" Type="http://schemas.openxmlformats.org/officeDocument/2006/relationships/hyperlink" Target="https://doi.org/10.1038/s41557-026-02112-x" TargetMode="External"/><Relationship Id="rId656" Type="http://schemas.openxmlformats.org/officeDocument/2006/relationships/hyperlink" Target="https://www.nature.com/articles/s41586-026-10354-5" TargetMode="External"/><Relationship Id="rId657" Type="http://schemas.openxmlformats.org/officeDocument/2006/relationships/hyperlink" Target="https://doi.org/10.1038/s41586-026-10354-5" TargetMode="External"/><Relationship Id="rId658" Type="http://schemas.openxmlformats.org/officeDocument/2006/relationships/hyperlink" Target="https://www.nature.com/articles/s41586-026-10324-x" TargetMode="External"/><Relationship Id="rId659" Type="http://schemas.openxmlformats.org/officeDocument/2006/relationships/hyperlink" Target="https://doi.org/10.1038/s41586-026-10324-x" TargetMode="External"/><Relationship Id="rId660" Type="http://schemas.openxmlformats.org/officeDocument/2006/relationships/hyperlink" Target="https://www.nature.com/articles/d41586-026-01204-5" TargetMode="External"/><Relationship Id="rId661" Type="http://schemas.openxmlformats.org/officeDocument/2006/relationships/hyperlink" Target="https://doi.org/10.1038/d41586-026-01204-5" TargetMode="External"/><Relationship Id="rId662" Type="http://schemas.openxmlformats.org/officeDocument/2006/relationships/hyperlink" Target="https://www.nature.com/articles/s41586-026-10384-z" TargetMode="External"/><Relationship Id="rId663" Type="http://schemas.openxmlformats.org/officeDocument/2006/relationships/hyperlink" Target="https://doi.org/10.1038/s41586-026-10384-z" TargetMode="External"/><Relationship Id="rId664" Type="http://schemas.openxmlformats.org/officeDocument/2006/relationships/hyperlink" Target="https://www.nature.com/articles/d41586-026-00697-4" TargetMode="External"/><Relationship Id="rId665" Type="http://schemas.openxmlformats.org/officeDocument/2006/relationships/hyperlink" Target="https://doi.org/10.1038/d41586-026-00697-4" TargetMode="External"/><Relationship Id="rId666" Type="http://schemas.openxmlformats.org/officeDocument/2006/relationships/hyperlink" Target="https://www.nature.com/articles/s41586-026-10387-w" TargetMode="External"/><Relationship Id="rId667" Type="http://schemas.openxmlformats.org/officeDocument/2006/relationships/hyperlink" Target="https://doi.org/10.1038/s41586-026-10387-w" TargetMode="External"/><Relationship Id="rId668" Type="http://schemas.openxmlformats.org/officeDocument/2006/relationships/hyperlink" Target="https://www.nature.com/articles/s41586-026-10367-0" TargetMode="External"/><Relationship Id="rId669" Type="http://schemas.openxmlformats.org/officeDocument/2006/relationships/hyperlink" Target="https://doi.org/10.1038/s41586-026-10367-0" TargetMode="External"/><Relationship Id="rId670" Type="http://schemas.openxmlformats.org/officeDocument/2006/relationships/hyperlink" Target="https://www.nature.com/articles/d41586-026-01189-1" TargetMode="External"/><Relationship Id="rId671" Type="http://schemas.openxmlformats.org/officeDocument/2006/relationships/hyperlink" Target="https://doi.org/10.1038/d41586-026-01189-1" TargetMode="External"/><Relationship Id="rId672" Type="http://schemas.openxmlformats.org/officeDocument/2006/relationships/hyperlink" Target="https://www.nature.com/articles/s41586-026-10269-1" TargetMode="External"/><Relationship Id="rId673" Type="http://schemas.openxmlformats.org/officeDocument/2006/relationships/hyperlink" Target="https://doi.org/10.1038/s41586-026-10269-1" TargetMode="External"/><Relationship Id="rId674" Type="http://schemas.openxmlformats.org/officeDocument/2006/relationships/hyperlink" Target="https://www.nature.com/articles/s41586-026-10362-5" TargetMode="External"/><Relationship Id="rId675" Type="http://schemas.openxmlformats.org/officeDocument/2006/relationships/hyperlink" Target="https://doi.org/10.1038/s41586-026-10362-5" TargetMode="External"/><Relationship Id="rId676" Type="http://schemas.openxmlformats.org/officeDocument/2006/relationships/hyperlink" Target="https://www.nature.com/articles/d41586-026-00910-4" TargetMode="External"/><Relationship Id="rId677" Type="http://schemas.openxmlformats.org/officeDocument/2006/relationships/hyperlink" Target="https://doi.org/10.1038/d41586-026-00910-4" TargetMode="External"/><Relationship Id="rId678" Type="http://schemas.openxmlformats.org/officeDocument/2006/relationships/hyperlink" Target="https://www.nature.com/articles/d41586-026-00691-w" TargetMode="External"/><Relationship Id="rId679" Type="http://schemas.openxmlformats.org/officeDocument/2006/relationships/hyperlink" Target="https://doi.org/10.1038/d41586-026-00691-w" TargetMode="External"/><Relationship Id="rId680" Type="http://schemas.openxmlformats.org/officeDocument/2006/relationships/hyperlink" Target="https://www.nature.com/articles/d41586-026-00689-4" TargetMode="External"/><Relationship Id="rId681" Type="http://schemas.openxmlformats.org/officeDocument/2006/relationships/hyperlink" Target="https://doi.org/10.1038/d41586-026-00689-4" TargetMode="External"/><Relationship Id="rId682" Type="http://schemas.openxmlformats.org/officeDocument/2006/relationships/hyperlink" Target="https://www.nature.com/articles/s41586-026-10416-8" TargetMode="External"/><Relationship Id="rId683" Type="http://schemas.openxmlformats.org/officeDocument/2006/relationships/hyperlink" Target="https://doi.org/10.1038/s41586-026-10416-8" TargetMode="External"/><Relationship Id="rId684" Type="http://schemas.openxmlformats.org/officeDocument/2006/relationships/hyperlink" Target="https://www.nature.com/articles/d41586-026-01224-1" TargetMode="External"/><Relationship Id="rId685" Type="http://schemas.openxmlformats.org/officeDocument/2006/relationships/hyperlink" Target="https://doi.org/10.1038/d41586-026-01224-1" TargetMode="External"/><Relationship Id="rId686" Type="http://schemas.openxmlformats.org/officeDocument/2006/relationships/hyperlink" Target="https://www.nature.com/articles/d41586-026-00686-7" TargetMode="External"/><Relationship Id="rId687" Type="http://schemas.openxmlformats.org/officeDocument/2006/relationships/hyperlink" Target="https://doi.org/10.1038/d41586-026-00686-7" TargetMode="External"/><Relationship Id="rId688" Type="http://schemas.openxmlformats.org/officeDocument/2006/relationships/hyperlink" Target="https://www.nature.com/articles/d41586-026-00403-4" TargetMode="External"/><Relationship Id="rId689" Type="http://schemas.openxmlformats.org/officeDocument/2006/relationships/hyperlink" Target="https://doi.org/10.1038/d41586-026-00403-4" TargetMode="External"/><Relationship Id="rId690" Type="http://schemas.openxmlformats.org/officeDocument/2006/relationships/hyperlink" Target="https://www.nature.com/articles/d41586-026-00690-x" TargetMode="External"/><Relationship Id="rId691" Type="http://schemas.openxmlformats.org/officeDocument/2006/relationships/hyperlink" Target="https://doi.org/10.1038/d41586-026-00690-x" TargetMode="External"/><Relationship Id="rId692" Type="http://schemas.openxmlformats.org/officeDocument/2006/relationships/hyperlink" Target="https://www.nature.com/articles/d41586-026-00688-5" TargetMode="External"/><Relationship Id="rId693" Type="http://schemas.openxmlformats.org/officeDocument/2006/relationships/hyperlink" Target="https://doi.org/10.1038/d41586-026-00688-5" TargetMode="External"/><Relationship Id="rId694" Type="http://schemas.openxmlformats.org/officeDocument/2006/relationships/hyperlink" Target="https://www.nature.com/articles/d41586-026-01187-3" TargetMode="External"/><Relationship Id="rId695" Type="http://schemas.openxmlformats.org/officeDocument/2006/relationships/hyperlink" Target="https://doi.org/10.1038/d41586-026-01187-3" TargetMode="External"/><Relationship Id="rId696" Type="http://schemas.openxmlformats.org/officeDocument/2006/relationships/hyperlink" Target="https://www.nature.com/articles/d41586-026-01195-3" TargetMode="External"/><Relationship Id="rId697" Type="http://schemas.openxmlformats.org/officeDocument/2006/relationships/hyperlink" Target="https://doi.org/10.1038/d41586-026-01195-3" TargetMode="External"/><Relationship Id="rId698" Type="http://schemas.openxmlformats.org/officeDocument/2006/relationships/hyperlink" Target="https://www.nature.com/articles/d41586-026-01181-9" TargetMode="External"/><Relationship Id="rId699" Type="http://schemas.openxmlformats.org/officeDocument/2006/relationships/hyperlink" Target="https://doi.org/10.1038/d41586-026-01181-9" TargetMode="External"/><Relationship Id="rId700" Type="http://schemas.openxmlformats.org/officeDocument/2006/relationships/hyperlink" Target="https://www.nature.com/articles/s41586-026-10377-y" TargetMode="External"/><Relationship Id="rId701" Type="http://schemas.openxmlformats.org/officeDocument/2006/relationships/hyperlink" Target="https://doi.org/10.1038/s41586-026-10377-y" TargetMode="External"/><Relationship Id="rId702" Type="http://schemas.openxmlformats.org/officeDocument/2006/relationships/hyperlink" Target="https://www.nature.com/articles/d41586-026-01065-y" TargetMode="External"/><Relationship Id="rId703" Type="http://schemas.openxmlformats.org/officeDocument/2006/relationships/hyperlink" Target="https://doi.org/10.1038/d41586-026-01065-y" TargetMode="External"/><Relationship Id="rId704" Type="http://schemas.openxmlformats.org/officeDocument/2006/relationships/hyperlink" Target="https://www.nature.com/articles/s41586-026-10405-x" TargetMode="External"/><Relationship Id="rId705" Type="http://schemas.openxmlformats.org/officeDocument/2006/relationships/hyperlink" Target="https://doi.org/10.1038/s41586-026-10405-x" TargetMode="External"/><Relationship Id="rId706" Type="http://schemas.openxmlformats.org/officeDocument/2006/relationships/hyperlink" Target="https://www.nature.com/articles/s41586-026-10519-2" TargetMode="External"/><Relationship Id="rId707" Type="http://schemas.openxmlformats.org/officeDocument/2006/relationships/hyperlink" Target="https://doi.org/10.1038/s41586-026-10519-2" TargetMode="External"/><Relationship Id="rId708" Type="http://schemas.openxmlformats.org/officeDocument/2006/relationships/hyperlink" Target="https://www.nature.com/articles/s41586-026-10483-x" TargetMode="External"/><Relationship Id="rId709" Type="http://schemas.openxmlformats.org/officeDocument/2006/relationships/hyperlink" Target="https://doi.org/10.1038/s41586-026-10483-x" TargetMode="External"/><Relationship Id="rId710" Type="http://schemas.openxmlformats.org/officeDocument/2006/relationships/hyperlink" Target="https://www.nature.com/articles/s41586-026-10513-8" TargetMode="External"/><Relationship Id="rId711" Type="http://schemas.openxmlformats.org/officeDocument/2006/relationships/hyperlink" Target="https://doi.org/10.1038/s41586-026-10513-8" TargetMode="External"/><Relationship Id="rId712" Type="http://schemas.openxmlformats.org/officeDocument/2006/relationships/hyperlink" Target="https://www.nature.com/articles/s44286-026-00382-3" TargetMode="External"/><Relationship Id="rId713" Type="http://schemas.openxmlformats.org/officeDocument/2006/relationships/hyperlink" Target="https://doi.org/10.1038/s44286-026-00382-3" TargetMode="External"/><Relationship Id="rId714" Type="http://schemas.openxmlformats.org/officeDocument/2006/relationships/hyperlink" Target="https://www.nature.com/articles/s41563-026-02586-7" TargetMode="External"/><Relationship Id="rId715" Type="http://schemas.openxmlformats.org/officeDocument/2006/relationships/hyperlink" Target="https://doi.org/10.1038/s41563-026-02586-7" TargetMode="External"/><Relationship Id="rId716" Type="http://schemas.openxmlformats.org/officeDocument/2006/relationships/hyperlink" Target="https://www.nature.com/articles/s41586-026-10391-0" TargetMode="External"/><Relationship Id="rId717" Type="http://schemas.openxmlformats.org/officeDocument/2006/relationships/hyperlink" Target="https://doi.org/10.1038/s41586-026-10391-0" TargetMode="External"/><Relationship Id="rId718" Type="http://schemas.openxmlformats.org/officeDocument/2006/relationships/hyperlink" Target="https://www.nature.com/articles/s41563-026-02576-9" TargetMode="External"/><Relationship Id="rId719" Type="http://schemas.openxmlformats.org/officeDocument/2006/relationships/hyperlink" Target="https://doi.org/10.1038/s41563-026-02576-9" TargetMode="External"/><Relationship Id="rId720" Type="http://schemas.openxmlformats.org/officeDocument/2006/relationships/hyperlink" Target="https://www.nature.com/articles/s41893-026-01811-0" TargetMode="External"/><Relationship Id="rId721" Type="http://schemas.openxmlformats.org/officeDocument/2006/relationships/hyperlink" Target="https://doi.org/10.1038/s41893-026-01811-0" TargetMode="External"/><Relationship Id="rId722" Type="http://schemas.openxmlformats.org/officeDocument/2006/relationships/hyperlink" Target="https://www.nature.com/articles/s41893-026-01801-2" TargetMode="External"/><Relationship Id="rId723" Type="http://schemas.openxmlformats.org/officeDocument/2006/relationships/hyperlink" Target="https://doi.org/10.1038/s41893-026-01801-2" TargetMode="External"/><Relationship Id="rId724" Type="http://schemas.openxmlformats.org/officeDocument/2006/relationships/hyperlink" Target="https://www.nature.com/articles/s41467-026-72050-2" TargetMode="External"/><Relationship Id="rId725" Type="http://schemas.openxmlformats.org/officeDocument/2006/relationships/hyperlink" Target="https://doi.org/10.1038/s41467-026-72050-2" TargetMode="External"/><Relationship Id="rId726" Type="http://schemas.openxmlformats.org/officeDocument/2006/relationships/hyperlink" Target="https://www.nature.com/articles/s41467-026-71866-2" TargetMode="External"/><Relationship Id="rId727" Type="http://schemas.openxmlformats.org/officeDocument/2006/relationships/hyperlink" Target="https://doi.org/10.1038/s41467-026-71866-2" TargetMode="External"/><Relationship Id="rId728" Type="http://schemas.openxmlformats.org/officeDocument/2006/relationships/hyperlink" Target="https://www.nature.com/articles/s41467-026-71847-5" TargetMode="External"/><Relationship Id="rId729" Type="http://schemas.openxmlformats.org/officeDocument/2006/relationships/hyperlink" Target="https://doi.org/10.1038/s41467-026-71847-5" TargetMode="External"/><Relationship Id="rId730" Type="http://schemas.openxmlformats.org/officeDocument/2006/relationships/hyperlink" Target="https://www.nature.com/articles/s41467-026-71806-0" TargetMode="External"/><Relationship Id="rId731" Type="http://schemas.openxmlformats.org/officeDocument/2006/relationships/hyperlink" Target="https://doi.org/10.1038/s41467-026-71806-0" TargetMode="External"/><Relationship Id="rId732" Type="http://schemas.openxmlformats.org/officeDocument/2006/relationships/hyperlink" Target="https://www.nature.com/articles/s41586-026-10369-y" TargetMode="External"/><Relationship Id="rId733" Type="http://schemas.openxmlformats.org/officeDocument/2006/relationships/hyperlink" Target="https://doi.org/10.1038/s41586-026-10369-y" TargetMode="External"/><Relationship Id="rId734" Type="http://schemas.openxmlformats.org/officeDocument/2006/relationships/hyperlink" Target="https://www.nature.com/articles/s41563-026-02587-6" TargetMode="External"/><Relationship Id="rId735" Type="http://schemas.openxmlformats.org/officeDocument/2006/relationships/hyperlink" Target="https://doi.org/10.1038/s41563-026-02587-6" TargetMode="External"/><Relationship Id="rId736" Type="http://schemas.openxmlformats.org/officeDocument/2006/relationships/hyperlink" Target="https://www.nature.com/articles/s41586-026-10508-5" TargetMode="External"/><Relationship Id="rId737" Type="http://schemas.openxmlformats.org/officeDocument/2006/relationships/hyperlink" Target="https://doi.org/10.1038/s41586-026-10508-5" TargetMode="External"/><Relationship Id="rId738" Type="http://schemas.openxmlformats.org/officeDocument/2006/relationships/hyperlink" Target="https://www.nature.com/articles/s41565-026-02159-4" TargetMode="External"/><Relationship Id="rId739" Type="http://schemas.openxmlformats.org/officeDocument/2006/relationships/hyperlink" Target="https://doi.org/10.1038/s41565-026-02159-4" TargetMode="External"/><Relationship Id="rId740" Type="http://schemas.openxmlformats.org/officeDocument/2006/relationships/hyperlink" Target="https://www.nature.com/articles/s41586-026-10353-6" TargetMode="External"/><Relationship Id="rId741" Type="http://schemas.openxmlformats.org/officeDocument/2006/relationships/hyperlink" Target="https://doi.org/10.1038/s41586-026-10353-6" TargetMode="External"/><Relationship Id="rId742" Type="http://schemas.openxmlformats.org/officeDocument/2006/relationships/hyperlink" Target="https://www.nature.com/articles/d41586-026-01248-7" TargetMode="External"/><Relationship Id="rId743" Type="http://schemas.openxmlformats.org/officeDocument/2006/relationships/hyperlink" Target="https://doi.org/10.1038/d41586-026-01248-7" TargetMode="External"/><Relationship Id="rId744" Type="http://schemas.openxmlformats.org/officeDocument/2006/relationships/hyperlink" Target="https://www.nature.com/articles/s41586-026-10386-x" TargetMode="External"/><Relationship Id="rId745" Type="http://schemas.openxmlformats.org/officeDocument/2006/relationships/hyperlink" Target="https://doi.org/10.1038/s41586-026-10386-x" TargetMode="External"/><Relationship Id="rId746" Type="http://schemas.openxmlformats.org/officeDocument/2006/relationships/hyperlink" Target="https://www.nature.com/articles/d41586-026-00911-3" TargetMode="External"/><Relationship Id="rId747" Type="http://schemas.openxmlformats.org/officeDocument/2006/relationships/hyperlink" Target="https://doi.org/10.1038/d41586-026-00911-3" TargetMode="External"/><Relationship Id="rId748" Type="http://schemas.openxmlformats.org/officeDocument/2006/relationships/hyperlink" Target="https://www.nature.com/articles/d41586-026-01197-1" TargetMode="External"/><Relationship Id="rId749" Type="http://schemas.openxmlformats.org/officeDocument/2006/relationships/hyperlink" Target="https://doi.org/10.1038/d41586-026-01197-1" TargetMode="External"/><Relationship Id="rId750" Type="http://schemas.openxmlformats.org/officeDocument/2006/relationships/hyperlink" Target="https://www.nature.com/articles/s41586-026-10392-z" TargetMode="External"/><Relationship Id="rId751" Type="http://schemas.openxmlformats.org/officeDocument/2006/relationships/hyperlink" Target="https://doi.org/10.1038/s41586-026-10392-z" TargetMode="External"/><Relationship Id="rId752" Type="http://schemas.openxmlformats.org/officeDocument/2006/relationships/hyperlink" Target="https://www.nature.com/articles/s41563-026-02577-8" TargetMode="External"/><Relationship Id="rId753" Type="http://schemas.openxmlformats.org/officeDocument/2006/relationships/hyperlink" Target="https://doi.org/10.1038/s41563-026-02577-8" TargetMode="External"/><Relationship Id="rId754" Type="http://schemas.openxmlformats.org/officeDocument/2006/relationships/hyperlink" Target="https://www.nature.com/articles/s41586-026-10381-2" TargetMode="External"/><Relationship Id="rId755" Type="http://schemas.openxmlformats.org/officeDocument/2006/relationships/hyperlink" Target="https://doi.org/10.1038/s41586-026-10381-2" TargetMode="External"/><Relationship Id="rId756" Type="http://schemas.openxmlformats.org/officeDocument/2006/relationships/hyperlink" Target="https://www.nature.com/articles/s41928-026-01599-z" TargetMode="External"/><Relationship Id="rId757" Type="http://schemas.openxmlformats.org/officeDocument/2006/relationships/hyperlink" Target="https://doi.org/10.1038/s41928-026-01599-z" TargetMode="External"/><Relationship Id="rId758" Type="http://schemas.openxmlformats.org/officeDocument/2006/relationships/hyperlink" Target="https://www.cell.com/matter/fulltext/S2590-2385(26)00134-7?rss=yes" TargetMode="External"/><Relationship Id="rId759" Type="http://schemas.openxmlformats.org/officeDocument/2006/relationships/hyperlink" Target="https://doi.org/10.1016/j.matt.2026.102771" TargetMode="External"/><Relationship Id="rId760" Type="http://schemas.openxmlformats.org/officeDocument/2006/relationships/hyperlink" Target="https://www.sciencedirect.com/science/article/pii/S0306261926005180?dgcid=rss_sd_all" TargetMode="External"/><Relationship Id="rId761" Type="http://schemas.openxmlformats.org/officeDocument/2006/relationships/hyperlink" Target="https://www.nature.com/articles/d41586-026-01241-0" TargetMode="External"/><Relationship Id="rId762" Type="http://schemas.openxmlformats.org/officeDocument/2006/relationships/hyperlink" Target="https://doi.org/10.1038/d41586-026-01241-0" TargetMode="External"/><Relationship Id="rId763" Type="http://schemas.openxmlformats.org/officeDocument/2006/relationships/hyperlink" Target="https://www.nature.com/articles/s41565-026-02139-8" TargetMode="External"/><Relationship Id="rId764" Type="http://schemas.openxmlformats.org/officeDocument/2006/relationships/hyperlink" Target="https://doi.org/10.1038/s41565-026-02139-8" TargetMode="External"/><Relationship Id="rId765" Type="http://schemas.openxmlformats.org/officeDocument/2006/relationships/hyperlink" Target="https://www.nature.com/articles/s41565-026-02149-6" TargetMode="External"/><Relationship Id="rId766" Type="http://schemas.openxmlformats.org/officeDocument/2006/relationships/hyperlink" Target="https://doi.org/10.1038/s41565-026-02149-6" TargetMode="External"/><Relationship Id="rId767" Type="http://schemas.openxmlformats.org/officeDocument/2006/relationships/hyperlink" Target="https://www.nature.com/articles/s41586-026-10379-w" TargetMode="External"/><Relationship Id="rId768" Type="http://schemas.openxmlformats.org/officeDocument/2006/relationships/hyperlink" Target="https://doi.org/10.1038/s41586-026-10379-w" TargetMode="External"/><Relationship Id="rId769" Type="http://schemas.openxmlformats.org/officeDocument/2006/relationships/hyperlink" Target="https://www.nature.com/articles/s41560-026-02033-6" TargetMode="External"/><Relationship Id="rId770" Type="http://schemas.openxmlformats.org/officeDocument/2006/relationships/hyperlink" Target="https://doi.org/10.1038/s41560-026-02033-6" TargetMode="External"/><Relationship Id="rId771" Type="http://schemas.openxmlformats.org/officeDocument/2006/relationships/hyperlink" Target="https://onlinelibrary.wiley.com/doi/10.1002/anie.1339483?af=R" TargetMode="External"/><Relationship Id="rId772" Type="http://schemas.openxmlformats.org/officeDocument/2006/relationships/hyperlink" Target="https://doi.org/10.1002/anie.1339483" TargetMode="External"/><Relationship Id="rId773" Type="http://schemas.openxmlformats.org/officeDocument/2006/relationships/hyperlink" Target="https://advanced.onlinelibrary.wiley.com/doi/10.1002/adma.73090?af=R" TargetMode="External"/><Relationship Id="rId774" Type="http://schemas.openxmlformats.org/officeDocument/2006/relationships/hyperlink" Target="https://doi.org/10.1002/adma.73090" TargetMode="External"/><Relationship Id="rId775" Type="http://schemas.openxmlformats.org/officeDocument/2006/relationships/hyperlink" Target="https://advanced.onlinelibrary.wiley.com/doi/10.1002/adma.202522073?af=R" TargetMode="External"/><Relationship Id="rId776" Type="http://schemas.openxmlformats.org/officeDocument/2006/relationships/hyperlink" Target="https://doi.org/10.1002/adma.202522073" TargetMode="External"/><Relationship Id="rId777" Type="http://schemas.openxmlformats.org/officeDocument/2006/relationships/hyperlink" Target="https://onlinelibrary.wiley.com/doi/10.1002/anie.202524419?af=R" TargetMode="External"/><Relationship Id="rId778" Type="http://schemas.openxmlformats.org/officeDocument/2006/relationships/hyperlink" Target="https://doi.org/10.1002/anie.202524419" TargetMode="External"/><Relationship Id="rId779" Type="http://schemas.openxmlformats.org/officeDocument/2006/relationships/hyperlink" Target="https://onlinelibrary.wiley.com/doi/10.1002/anie.5527700?af=R" TargetMode="External"/><Relationship Id="rId780" Type="http://schemas.openxmlformats.org/officeDocument/2006/relationships/hyperlink" Target="https://doi.org/10.1002/anie.5527700" TargetMode="External"/><Relationship Id="rId781" Type="http://schemas.openxmlformats.org/officeDocument/2006/relationships/hyperlink" Target="https://onlinelibrary.wiley.com/doi/10.1002/anie.202523438?af=R" TargetMode="External"/><Relationship Id="rId782" Type="http://schemas.openxmlformats.org/officeDocument/2006/relationships/hyperlink" Target="https://doi.org/10.1002/anie.202523438" TargetMode="External"/><Relationship Id="rId783" Type="http://schemas.openxmlformats.org/officeDocument/2006/relationships/hyperlink" Target="https://onlinelibrary.wiley.com/doi/10.1002/anie.9665552?af=R" TargetMode="External"/><Relationship Id="rId784" Type="http://schemas.openxmlformats.org/officeDocument/2006/relationships/hyperlink" Target="https://doi.org/10.1002/anie.9665552" TargetMode="External"/><Relationship Id="rId785" Type="http://schemas.openxmlformats.org/officeDocument/2006/relationships/hyperlink" Target="https://onlinelibrary.wiley.com/doi/10.1002/anie.3386705?af=R" TargetMode="External"/><Relationship Id="rId786" Type="http://schemas.openxmlformats.org/officeDocument/2006/relationships/hyperlink" Target="https://doi.org/10.1002/anie.3386705" TargetMode="External"/><Relationship Id="rId787" Type="http://schemas.openxmlformats.org/officeDocument/2006/relationships/hyperlink" Target="https://onlinelibrary.wiley.com/doi/10.1002/anie.5584122?af=R" TargetMode="External"/><Relationship Id="rId788" Type="http://schemas.openxmlformats.org/officeDocument/2006/relationships/hyperlink" Target="https://doi.org/10.1002/anie.5584122" TargetMode="External"/><Relationship Id="rId789" Type="http://schemas.openxmlformats.org/officeDocument/2006/relationships/hyperlink" Target="https://onlinelibrary.wiley.com/doi/10.1002/anie.9660324?af=R" TargetMode="External"/><Relationship Id="rId790" Type="http://schemas.openxmlformats.org/officeDocument/2006/relationships/hyperlink" Target="https://doi.org/10.1002/anie.9660324" TargetMode="External"/><Relationship Id="rId791" Type="http://schemas.openxmlformats.org/officeDocument/2006/relationships/hyperlink" Target="https://www.science.org/doi/abs/10.1126/sciadv.aea1826?af=R" TargetMode="External"/><Relationship Id="rId792" Type="http://schemas.openxmlformats.org/officeDocument/2006/relationships/hyperlink" Target="https://doi.org/10.1126/sciadv.aea1826" TargetMode="External"/><Relationship Id="rId793" Type="http://schemas.openxmlformats.org/officeDocument/2006/relationships/hyperlink" Target="https://www.science.org/doi/abs/10.1126/sciadv.aeb9764?af=R" TargetMode="External"/><Relationship Id="rId794" Type="http://schemas.openxmlformats.org/officeDocument/2006/relationships/hyperlink" Target="https://doi.org/10.1126/sciadv.aeb9764" TargetMode="External"/><Relationship Id="rId795" Type="http://schemas.openxmlformats.org/officeDocument/2006/relationships/hyperlink" Target="https://www.science.org/doi/abs/10.1126/sciadv.aeb0855?af=R" TargetMode="External"/><Relationship Id="rId796" Type="http://schemas.openxmlformats.org/officeDocument/2006/relationships/hyperlink" Target="https://doi.org/10.1126/sciadv.aeb0855" TargetMode="External"/><Relationship Id="rId797" Type="http://schemas.openxmlformats.org/officeDocument/2006/relationships/hyperlink" Target="https://www.science.org/doi/abs/10.1126/sciadv.aea7305?af=R" TargetMode="External"/><Relationship Id="rId798" Type="http://schemas.openxmlformats.org/officeDocument/2006/relationships/hyperlink" Target="https://doi.org/10.1126/sciadv.aea7305" TargetMode="External"/><Relationship Id="rId799" Type="http://schemas.openxmlformats.org/officeDocument/2006/relationships/hyperlink" Target="https://www.science.org/doi/abs/10.1126/sciadv.aea7133?af=R" TargetMode="External"/><Relationship Id="rId800" Type="http://schemas.openxmlformats.org/officeDocument/2006/relationships/hyperlink" Target="https://doi.org/10.1126/sciadv.aea7133" TargetMode="External"/><Relationship Id="rId801" Type="http://schemas.openxmlformats.org/officeDocument/2006/relationships/hyperlink" Target="https://www.science.org/doi/abs/10.1126/sciadv.aea5427?af=R" TargetMode="External"/><Relationship Id="rId802" Type="http://schemas.openxmlformats.org/officeDocument/2006/relationships/hyperlink" Target="https://doi.org/10.1126/sciadv.aea5427" TargetMode="External"/><Relationship Id="rId803" Type="http://schemas.openxmlformats.org/officeDocument/2006/relationships/hyperlink" Target="https://www.science.org/doi/abs/10.1126/sciadv.aed2754?af=R" TargetMode="External"/><Relationship Id="rId804" Type="http://schemas.openxmlformats.org/officeDocument/2006/relationships/hyperlink" Target="https://doi.org/10.1126/sciadv.aed2754" TargetMode="External"/><Relationship Id="rId805" Type="http://schemas.openxmlformats.org/officeDocument/2006/relationships/hyperlink" Target="https://www.science.org/doi/abs/10.1126/sciadv.aea9786?af=R" TargetMode="External"/><Relationship Id="rId806" Type="http://schemas.openxmlformats.org/officeDocument/2006/relationships/hyperlink" Target="https://doi.org/10.1126/sciadv.aea9786" TargetMode="External"/><Relationship Id="rId807" Type="http://schemas.openxmlformats.org/officeDocument/2006/relationships/hyperlink" Target="https://www.science.org/doi/abs/10.1126/sciadv.aed7673?af=R" TargetMode="External"/><Relationship Id="rId808" Type="http://schemas.openxmlformats.org/officeDocument/2006/relationships/hyperlink" Target="https://doi.org/10.1126/sciadv.aed7673" TargetMode="External"/><Relationship Id="rId809" Type="http://schemas.openxmlformats.org/officeDocument/2006/relationships/hyperlink" Target="https://www.science.org/doi/abs/10.1126/sciadv.adx4298?af=R" TargetMode="External"/><Relationship Id="rId810" Type="http://schemas.openxmlformats.org/officeDocument/2006/relationships/hyperlink" Target="https://doi.org/10.1126/sciadv.adx4298" TargetMode="External"/><Relationship Id="rId811" Type="http://schemas.openxmlformats.org/officeDocument/2006/relationships/hyperlink" Target="https://www.science.org/doi/abs/10.1126/sciadv.aec6857?af=R" TargetMode="External"/><Relationship Id="rId812" Type="http://schemas.openxmlformats.org/officeDocument/2006/relationships/hyperlink" Target="https://doi.org/10.1126/sciadv.aec6857" TargetMode="External"/><Relationship Id="rId813" Type="http://schemas.openxmlformats.org/officeDocument/2006/relationships/hyperlink" Target="https://www.science.org/doi/abs/10.1126/sciadv.aed7391?af=R" TargetMode="External"/><Relationship Id="rId814" Type="http://schemas.openxmlformats.org/officeDocument/2006/relationships/hyperlink" Target="https://doi.org/10.1126/sciadv.aed7391" TargetMode="External"/><Relationship Id="rId815" Type="http://schemas.openxmlformats.org/officeDocument/2006/relationships/hyperlink" Target="https://www.science.org/doi/abs/10.1126/sciadv.aed6134?af=R" TargetMode="External"/><Relationship Id="rId816" Type="http://schemas.openxmlformats.org/officeDocument/2006/relationships/hyperlink" Target="https://doi.org/10.1126/sciadv.aed6134" TargetMode="External"/><Relationship Id="rId817" Type="http://schemas.openxmlformats.org/officeDocument/2006/relationships/hyperlink" Target="https://www.science.org/doi/abs/10.1126/sciadv.aef4157?af=R" TargetMode="External"/><Relationship Id="rId818" Type="http://schemas.openxmlformats.org/officeDocument/2006/relationships/hyperlink" Target="https://doi.org/10.1126/sciadv.aef4157" TargetMode="External"/><Relationship Id="rId819" Type="http://schemas.openxmlformats.org/officeDocument/2006/relationships/hyperlink" Target="https://www.science.org/doi/abs/10.1126/sciadv.aed3998?af=R" TargetMode="External"/><Relationship Id="rId820" Type="http://schemas.openxmlformats.org/officeDocument/2006/relationships/hyperlink" Target="https://doi.org/10.1126/sciadv.aed3998" TargetMode="External"/><Relationship Id="rId821" Type="http://schemas.openxmlformats.org/officeDocument/2006/relationships/hyperlink" Target="https://www.science.org/doi/abs/10.1126/sciadv.aea4966?af=R" TargetMode="External"/><Relationship Id="rId822" Type="http://schemas.openxmlformats.org/officeDocument/2006/relationships/hyperlink" Target="https://doi.org/10.1126/sciadv.aea4966" TargetMode="External"/><Relationship Id="rId823" Type="http://schemas.openxmlformats.org/officeDocument/2006/relationships/hyperlink" Target="https://www.science.org/doi/abs/10.1126/sciadv.aed3321?af=R" TargetMode="External"/><Relationship Id="rId824" Type="http://schemas.openxmlformats.org/officeDocument/2006/relationships/hyperlink" Target="https://doi.org/10.1126/sciadv.aed3321" TargetMode="External"/><Relationship Id="rId825" Type="http://schemas.openxmlformats.org/officeDocument/2006/relationships/hyperlink" Target="https://www.science.org/doi/abs/10.1126/sciadv.ady9955?af=R" TargetMode="External"/><Relationship Id="rId826" Type="http://schemas.openxmlformats.org/officeDocument/2006/relationships/hyperlink" Target="https://doi.org/10.1126/sciadv.ady9955" TargetMode="External"/><Relationship Id="rId827" Type="http://schemas.openxmlformats.org/officeDocument/2006/relationships/hyperlink" Target="https://www.science.org/doi/abs/10.1126/sciadv.aeb5460?af=R" TargetMode="External"/><Relationship Id="rId828" Type="http://schemas.openxmlformats.org/officeDocument/2006/relationships/hyperlink" Target="https://doi.org/10.1126/sciadv.aeb5460" TargetMode="External"/><Relationship Id="rId829" Type="http://schemas.openxmlformats.org/officeDocument/2006/relationships/hyperlink" Target="https://www.science.org/doi/abs/10.1126/sciadv.ady9895?af=R" TargetMode="External"/><Relationship Id="rId830" Type="http://schemas.openxmlformats.org/officeDocument/2006/relationships/hyperlink" Target="https://doi.org/10.1126/sciadv.ady9895" TargetMode="External"/><Relationship Id="rId831" Type="http://schemas.openxmlformats.org/officeDocument/2006/relationships/hyperlink" Target="https://www.science.org/doi/abs/10.1126/sciadv.aee6959?af=R" TargetMode="External"/><Relationship Id="rId832" Type="http://schemas.openxmlformats.org/officeDocument/2006/relationships/hyperlink" Target="https://doi.org/10.1126/sciadv.aee6959" TargetMode="External"/><Relationship Id="rId833" Type="http://schemas.openxmlformats.org/officeDocument/2006/relationships/hyperlink" Target="https://www.science.org/doi/abs/10.1126/sciadv.aea0223?af=R" TargetMode="External"/><Relationship Id="rId834" Type="http://schemas.openxmlformats.org/officeDocument/2006/relationships/hyperlink" Target="https://doi.org/10.1126/sciadv.aea0223" TargetMode="External"/><Relationship Id="rId835" Type="http://schemas.openxmlformats.org/officeDocument/2006/relationships/hyperlink" Target="https://www.science.org/doi/abs/10.1126/sciadv.adv8387?af=R" TargetMode="External"/><Relationship Id="rId836" Type="http://schemas.openxmlformats.org/officeDocument/2006/relationships/hyperlink" Target="https://doi.org/10.1126/sciadv.adv8387" TargetMode="External"/><Relationship Id="rId837" Type="http://schemas.openxmlformats.org/officeDocument/2006/relationships/hyperlink" Target="https://www.science.org/doi/abs/10.1126/sciadv.ady9169?af=R" TargetMode="External"/><Relationship Id="rId838" Type="http://schemas.openxmlformats.org/officeDocument/2006/relationships/hyperlink" Target="https://doi.org/10.1126/sciadv.ady9169" TargetMode="External"/><Relationship Id="rId839" Type="http://schemas.openxmlformats.org/officeDocument/2006/relationships/hyperlink" Target="https://www.pnas.org/doi/abs/10.1073/pnas.2534573123?mi=eymic2&amp;af=R&amp;access=on&amp;content=articlesChapters&amp;publication=pnas&amp;sortBy=Earliest&amp;target=default" TargetMode="External"/><Relationship Id="rId840" Type="http://schemas.openxmlformats.org/officeDocument/2006/relationships/hyperlink" Target="https://doi.org/10.1073/pnas.2534573123" TargetMode="External"/><Relationship Id="rId841" Type="http://schemas.openxmlformats.org/officeDocument/2006/relationships/hyperlink" Target="https://www.science.org/doi/abs/10.1126/sciadv.ady9194?af=R" TargetMode="External"/><Relationship Id="rId842" Type="http://schemas.openxmlformats.org/officeDocument/2006/relationships/hyperlink" Target="https://doi.org/10.1126/sciadv.ady9194" TargetMode="External"/><Relationship Id="rId843" Type="http://schemas.openxmlformats.org/officeDocument/2006/relationships/hyperlink" Target="https://www.pnas.org/doi/abs/10.1073/pnas.2504976123?mi=eymic2&amp;af=R&amp;access=on&amp;content=articlesChapters&amp;publication=pnas&amp;sortBy=Earliest&amp;target=default" TargetMode="External"/><Relationship Id="rId844" Type="http://schemas.openxmlformats.org/officeDocument/2006/relationships/hyperlink" Target="https://doi.org/10.1073/pnas.2504976123" TargetMode="External"/><Relationship Id="rId845" Type="http://schemas.openxmlformats.org/officeDocument/2006/relationships/hyperlink" Target="https://www.pnas.org/doi/abs/10.1073/pnas.2509165123?mi=eymic2&amp;af=R&amp;access=on&amp;content=articlesChapters&amp;publication=pnas&amp;sortBy=Earliest&amp;target=default" TargetMode="External"/><Relationship Id="rId846" Type="http://schemas.openxmlformats.org/officeDocument/2006/relationships/hyperlink" Target="https://doi.org/10.1073/pnas.2509165123" TargetMode="External"/><Relationship Id="rId847" Type="http://schemas.openxmlformats.org/officeDocument/2006/relationships/hyperlink" Target="https://www.pnas.org/doi/abs/10.1073/pnas.2519914123?mi=eymic2&amp;af=R&amp;access=on&amp;content=articlesChapters&amp;publication=pnas&amp;sortBy=Earliest&amp;target=default" TargetMode="External"/><Relationship Id="rId848" Type="http://schemas.openxmlformats.org/officeDocument/2006/relationships/hyperlink" Target="https://doi.org/10.1073/pnas.2519914123" TargetMode="External"/><Relationship Id="rId849" Type="http://schemas.openxmlformats.org/officeDocument/2006/relationships/hyperlink" Target="https://www.pnas.org/doi/abs/10.1073/pnas.2519949123?mi=eymic2&amp;af=R&amp;access=on&amp;content=articlesChapters&amp;publication=pnas&amp;sortBy=Earliest&amp;target=default" TargetMode="External"/><Relationship Id="rId850" Type="http://schemas.openxmlformats.org/officeDocument/2006/relationships/hyperlink" Target="https://doi.org/10.1073/pnas.2519949123" TargetMode="External"/><Relationship Id="rId851" Type="http://schemas.openxmlformats.org/officeDocument/2006/relationships/hyperlink" Target="https://www.pnas.org/doi/abs/10.1073/pnas.2523130123?mi=eymic2&amp;af=R&amp;access=on&amp;content=articlesChapters&amp;publication=pnas&amp;sortBy=Earliest&amp;target=default" TargetMode="External"/><Relationship Id="rId852" Type="http://schemas.openxmlformats.org/officeDocument/2006/relationships/hyperlink" Target="https://doi.org/10.1073/pnas.2523130123" TargetMode="External"/><Relationship Id="rId853" Type="http://schemas.openxmlformats.org/officeDocument/2006/relationships/hyperlink" Target="https://www.pnas.org/doi/abs/10.1073/pnas.2524346123?mi=eymic2&amp;af=R&amp;access=on&amp;content=articlesChapters&amp;publication=pnas&amp;sortBy=Earliest&amp;target=default" TargetMode="External"/><Relationship Id="rId854" Type="http://schemas.openxmlformats.org/officeDocument/2006/relationships/hyperlink" Target="https://doi.org/10.1073/pnas.2524346123" TargetMode="External"/><Relationship Id="rId855" Type="http://schemas.openxmlformats.org/officeDocument/2006/relationships/hyperlink" Target="https://www.pnas.org/doi/abs/10.1073/pnas.2529161123?mi=eymic2&amp;af=R&amp;access=on&amp;content=articlesChapters&amp;publication=pnas&amp;sortBy=Earliest&amp;target=default" TargetMode="External"/><Relationship Id="rId856" Type="http://schemas.openxmlformats.org/officeDocument/2006/relationships/hyperlink" Target="https://doi.org/10.1073/pnas.2529161123" TargetMode="External"/><Relationship Id="rId857" Type="http://schemas.openxmlformats.org/officeDocument/2006/relationships/hyperlink" Target="https://www.pnas.org/doi/abs/10.1073/pnas.2534140123?mi=eymic2&amp;af=R&amp;access=on&amp;content=articlesChapters&amp;publication=pnas&amp;sortBy=Earliest&amp;target=default" TargetMode="External"/><Relationship Id="rId858" Type="http://schemas.openxmlformats.org/officeDocument/2006/relationships/hyperlink" Target="https://doi.org/10.1073/pnas.2534140123" TargetMode="External"/><Relationship Id="rId859" Type="http://schemas.openxmlformats.org/officeDocument/2006/relationships/hyperlink" Target="https://www.pnas.org/doi/abs/10.1073/pnas.2610805123?mi=eymic2&amp;af=R&amp;access=on&amp;content=articlesChapters&amp;publication=pnas&amp;sortBy=Earliest&amp;target=default" TargetMode="External"/><Relationship Id="rId860" Type="http://schemas.openxmlformats.org/officeDocument/2006/relationships/hyperlink" Target="https://doi.org/10.1073/pnas.2610805123" TargetMode="External"/><Relationship Id="rId861" Type="http://schemas.openxmlformats.org/officeDocument/2006/relationships/hyperlink" Target="https://www.pnas.org/doi/abs/10.1073/pnas.2524135123?mi=eymic2&amp;af=R&amp;access=on&amp;content=articlesChapters&amp;publication=pnas&amp;sortBy=Earliest&amp;target=default" TargetMode="External"/><Relationship Id="rId862" Type="http://schemas.openxmlformats.org/officeDocument/2006/relationships/hyperlink" Target="https://doi.org/10.1073/pnas.2524135123" TargetMode="External"/><Relationship Id="rId863" Type="http://schemas.openxmlformats.org/officeDocument/2006/relationships/hyperlink" Target="https://www.pnas.org/doi/abs/10.1073/pnas.2610649123?mi=eymic2&amp;af=R&amp;access=on&amp;content=articlesChapters&amp;publication=pnas&amp;sortBy=Earliest&amp;target=default" TargetMode="External"/><Relationship Id="rId864" Type="http://schemas.openxmlformats.org/officeDocument/2006/relationships/hyperlink" Target="https://doi.org/10.1073/pnas.2610649123" TargetMode="External"/><Relationship Id="rId865" Type="http://schemas.openxmlformats.org/officeDocument/2006/relationships/hyperlink" Target="https://www.science.org/doi/abs/10.1126/sciadv.ady8401?af=R" TargetMode="External"/><Relationship Id="rId866" Type="http://schemas.openxmlformats.org/officeDocument/2006/relationships/hyperlink" Target="https://doi.org/10.1126/sciadv.ady8401" TargetMode="External"/><Relationship Id="rId867" Type="http://schemas.openxmlformats.org/officeDocument/2006/relationships/hyperlink" Target="https://www.pnas.org/doi/abs/10.1073/pnas.2610804123?mi=eymic2&amp;af=R&amp;access=on&amp;content=articlesChapters&amp;publication=pnas&amp;sortBy=Earliest&amp;target=default" TargetMode="External"/><Relationship Id="rId868" Type="http://schemas.openxmlformats.org/officeDocument/2006/relationships/hyperlink" Target="https://doi.org/10.1073/pnas.2610804123" TargetMode="External"/><Relationship Id="rId869" Type="http://schemas.openxmlformats.org/officeDocument/2006/relationships/hyperlink" Target="https://www.pnas.org/doi/abs/10.1073/pnas.2600755123?mi=eymic2&amp;af=R&amp;access=on&amp;content=articlesChapters&amp;publication=pnas&amp;sortBy=Earliest&amp;target=default" TargetMode="External"/><Relationship Id="rId870" Type="http://schemas.openxmlformats.org/officeDocument/2006/relationships/hyperlink" Target="https://doi.org/10.1073/pnas.2600755123" TargetMode="External"/><Relationship Id="rId871" Type="http://schemas.openxmlformats.org/officeDocument/2006/relationships/hyperlink" Target="https://www.pnas.org/doi/abs/10.1073/pnas.2534844123?mi=eymic2&amp;af=R&amp;access=on&amp;content=articlesChapters&amp;publication=pnas&amp;sortBy=Earliest&amp;target=default" TargetMode="External"/><Relationship Id="rId872" Type="http://schemas.openxmlformats.org/officeDocument/2006/relationships/hyperlink" Target="https://doi.org/10.1073/pnas.2534844123" TargetMode="External"/><Relationship Id="rId873" Type="http://schemas.openxmlformats.org/officeDocument/2006/relationships/hyperlink" Target="https://www.pnas.org/doi/abs/10.1073/pnas.2536956123?mi=eymic2&amp;af=R&amp;access=on&amp;content=articlesChapters&amp;publication=pnas&amp;sortBy=Earliest&amp;target=default" TargetMode="External"/><Relationship Id="rId874" Type="http://schemas.openxmlformats.org/officeDocument/2006/relationships/hyperlink" Target="https://doi.org/10.1073/pnas.2536956123" TargetMode="External"/><Relationship Id="rId875" Type="http://schemas.openxmlformats.org/officeDocument/2006/relationships/hyperlink" Target="https://www.pnas.org/doi/abs/10.1073/pnas.2534385123?mi=eymic2&amp;af=R&amp;access=on&amp;content=articlesChapters&amp;publication=pnas&amp;sortBy=Earliest&amp;target=default" TargetMode="External"/><Relationship Id="rId876" Type="http://schemas.openxmlformats.org/officeDocument/2006/relationships/hyperlink" Target="https://doi.org/10.1073/pnas.2534385123" TargetMode="External"/><Relationship Id="rId877" Type="http://schemas.openxmlformats.org/officeDocument/2006/relationships/hyperlink" Target="https://www.science.org/doi/abs/10.1126/sciadv.adw3876?af=R" TargetMode="External"/><Relationship Id="rId878" Type="http://schemas.openxmlformats.org/officeDocument/2006/relationships/hyperlink" Target="https://doi.org/10.1126/sciadv.adw3876" TargetMode="External"/><Relationship Id="rId879" Type="http://schemas.openxmlformats.org/officeDocument/2006/relationships/hyperlink" Target="https://www.pnas.org/doi/abs/10.1073/pnas.2603301123?mi=eymic2&amp;af=R&amp;access=on&amp;content=articlesChapters&amp;publication=pnas&amp;sortBy=Earliest&amp;target=default" TargetMode="External"/><Relationship Id="rId880" Type="http://schemas.openxmlformats.org/officeDocument/2006/relationships/hyperlink" Target="https://doi.org/10.1073/pnas.2603301123" TargetMode="External"/><Relationship Id="rId881" Type="http://schemas.openxmlformats.org/officeDocument/2006/relationships/hyperlink" Target="https://www.pnas.org/doi/abs/10.1073/pnas.2610430123?mi=eymic2&amp;af=R&amp;access=on&amp;content=articlesChapters&amp;publication=pnas&amp;sortBy=Earliest&amp;target=default" TargetMode="External"/><Relationship Id="rId882" Type="http://schemas.openxmlformats.org/officeDocument/2006/relationships/hyperlink" Target="https://doi.org/10.1073/pnas.2610430123" TargetMode="External"/><Relationship Id="rId883" Type="http://schemas.openxmlformats.org/officeDocument/2006/relationships/hyperlink" Target="https://www.pnas.org/doi/abs/10.1073/pnas.2537522123?mi=eymic2&amp;af=R&amp;access=on&amp;content=articlesChapters&amp;publication=pnas&amp;sortBy=Earliest&amp;target=default" TargetMode="External"/><Relationship Id="rId884" Type="http://schemas.openxmlformats.org/officeDocument/2006/relationships/hyperlink" Target="https://doi.org/10.1073/pnas.2537522123" TargetMode="External"/><Relationship Id="rId885" Type="http://schemas.openxmlformats.org/officeDocument/2006/relationships/hyperlink" Target="https://www.science.org/doi/abs/10.1126/sciadv.aee7510?af=R" TargetMode="External"/><Relationship Id="rId886" Type="http://schemas.openxmlformats.org/officeDocument/2006/relationships/hyperlink" Target="https://doi.org/10.1126/sciadv.aee7510" TargetMode="External"/><Relationship Id="rId887" Type="http://schemas.openxmlformats.org/officeDocument/2006/relationships/hyperlink" Target="http://dx.doi.org/10.1021/jacs.6c05079" TargetMode="External"/><Relationship Id="rId888" Type="http://schemas.openxmlformats.org/officeDocument/2006/relationships/hyperlink" Target="https://doi.org/10.1021/jacs.6c05079" TargetMode="External"/><Relationship Id="rId889" Type="http://schemas.openxmlformats.org/officeDocument/2006/relationships/hyperlink" Target="http://dx.doi.org/10.1021/acsenergylett.6c00597" TargetMode="External"/><Relationship Id="rId890" Type="http://schemas.openxmlformats.org/officeDocument/2006/relationships/hyperlink" Target="https://doi.org/10.1021/acsenergylett.6c00597" TargetMode="External"/><Relationship Id="rId891" Type="http://schemas.openxmlformats.org/officeDocument/2006/relationships/hyperlink" Target="http://dx.doi.org/10.1021/jacs.6c04349" TargetMode="External"/><Relationship Id="rId892" Type="http://schemas.openxmlformats.org/officeDocument/2006/relationships/hyperlink" Target="https://doi.org/10.1021/jacs.6c04349" TargetMode="External"/><Relationship Id="rId893" Type="http://schemas.openxmlformats.org/officeDocument/2006/relationships/hyperlink" Target="http://dx.doi.org/10.1021/jacs.6c02577" TargetMode="External"/><Relationship Id="rId894" Type="http://schemas.openxmlformats.org/officeDocument/2006/relationships/hyperlink" Target="https://doi.org/10.1021/jacs.6c02577" TargetMode="External"/><Relationship Id="rId895" Type="http://schemas.openxmlformats.org/officeDocument/2006/relationships/hyperlink" Target="https://onlinelibrary.wiley.com/doi/10.1002/anie.6088623?af=R" TargetMode="External"/><Relationship Id="rId896" Type="http://schemas.openxmlformats.org/officeDocument/2006/relationships/hyperlink" Target="https://doi.org/10.1002/anie.6088623" TargetMode="External"/><Relationship Id="rId897" Type="http://schemas.openxmlformats.org/officeDocument/2006/relationships/hyperlink" Target="https://advanced.onlinelibrary.wiley.com/doi/10.1002/adma.202521464?af=R" TargetMode="External"/><Relationship Id="rId898" Type="http://schemas.openxmlformats.org/officeDocument/2006/relationships/hyperlink" Target="https://doi.org/10.1002/adma.202521464" TargetMode="External"/><Relationship Id="rId899" Type="http://schemas.openxmlformats.org/officeDocument/2006/relationships/hyperlink" Target="https://advanced.onlinelibrary.wiley.com/doi/10.1002/adma.202516491?af=R" TargetMode="External"/><Relationship Id="rId900" Type="http://schemas.openxmlformats.org/officeDocument/2006/relationships/hyperlink" Target="https://doi.org/10.1002/adma.202516491" TargetMode="External"/><Relationship Id="rId901" Type="http://schemas.openxmlformats.org/officeDocument/2006/relationships/hyperlink" Target="https://onlinelibrary.wiley.com/doi/10.1002/anie.7443864?af=R" TargetMode="External"/><Relationship Id="rId902" Type="http://schemas.openxmlformats.org/officeDocument/2006/relationships/hyperlink" Target="https://doi.org/10.1002/anie.7443864" TargetMode="External"/><Relationship Id="rId903" Type="http://schemas.openxmlformats.org/officeDocument/2006/relationships/hyperlink" Target="https://advanced.onlinelibrary.wiley.com/doi/10.1002/adma.73067?af=R" TargetMode="External"/><Relationship Id="rId904" Type="http://schemas.openxmlformats.org/officeDocument/2006/relationships/hyperlink" Target="https://doi.org/10.1002/adma.73067" TargetMode="External"/><Relationship Id="rId905" Type="http://schemas.openxmlformats.org/officeDocument/2006/relationships/hyperlink" Target="https://onlinelibrary.wiley.com/doi/10.1002/anie.3445735?af=R" TargetMode="External"/><Relationship Id="rId906" Type="http://schemas.openxmlformats.org/officeDocument/2006/relationships/hyperlink" Target="https://doi.org/10.1002/anie.3445735" TargetMode="External"/><Relationship Id="rId907" Type="http://schemas.openxmlformats.org/officeDocument/2006/relationships/hyperlink" Target="https://onlinelibrary.wiley.com/doi/10.1002/anie.1567631?af=R" TargetMode="External"/><Relationship Id="rId908" Type="http://schemas.openxmlformats.org/officeDocument/2006/relationships/hyperlink" Target="https://doi.org/10.1002/anie.1567631" TargetMode="External"/><Relationship Id="rId909" Type="http://schemas.openxmlformats.org/officeDocument/2006/relationships/hyperlink" Target="https://onlinelibrary.wiley.com/doi/10.1002/anie.4446117?af=R" TargetMode="External"/><Relationship Id="rId910" Type="http://schemas.openxmlformats.org/officeDocument/2006/relationships/hyperlink" Target="https://doi.org/10.1002/anie.4446117" TargetMode="External"/><Relationship Id="rId911" Type="http://schemas.openxmlformats.org/officeDocument/2006/relationships/hyperlink" Target="http://dx.doi.org/10.1021/jacs.6c04336" TargetMode="External"/><Relationship Id="rId912" Type="http://schemas.openxmlformats.org/officeDocument/2006/relationships/hyperlink" Target="https://doi.org/10.1021/jacs.6c04336" TargetMode="External"/><Relationship Id="rId913" Type="http://schemas.openxmlformats.org/officeDocument/2006/relationships/hyperlink" Target="http://dx.doi.org/10.1021/jacs.6c00664" TargetMode="External"/><Relationship Id="rId914" Type="http://schemas.openxmlformats.org/officeDocument/2006/relationships/hyperlink" Target="https://doi.org/10.1021/jacs.6c00664" TargetMode="External"/><Relationship Id="rId915" Type="http://schemas.openxmlformats.org/officeDocument/2006/relationships/hyperlink" Target="http://dx.doi.org/10.1021/jacs.6c01267" TargetMode="External"/><Relationship Id="rId916" Type="http://schemas.openxmlformats.org/officeDocument/2006/relationships/hyperlink" Target="https://doi.org/10.1021/jacs.6c01267" TargetMode="External"/><Relationship Id="rId917" Type="http://schemas.openxmlformats.org/officeDocument/2006/relationships/hyperlink" Target="http://dx.doi.org/10.1021/jacs.6c01490" TargetMode="External"/><Relationship Id="rId918" Type="http://schemas.openxmlformats.org/officeDocument/2006/relationships/hyperlink" Target="https://doi.org/10.1021/jacs.6c01490" TargetMode="External"/><Relationship Id="rId919" Type="http://schemas.openxmlformats.org/officeDocument/2006/relationships/hyperlink" Target="http://dx.doi.org/10.1021/jacs.6c01282" TargetMode="External"/><Relationship Id="rId920" Type="http://schemas.openxmlformats.org/officeDocument/2006/relationships/hyperlink" Target="https://doi.org/10.1021/jacs.6c01282" TargetMode="External"/><Relationship Id="rId921" Type="http://schemas.openxmlformats.org/officeDocument/2006/relationships/hyperlink" Target="http://dx.doi.org/10.1021/jacs.6c01296" TargetMode="External"/><Relationship Id="rId922" Type="http://schemas.openxmlformats.org/officeDocument/2006/relationships/hyperlink" Target="https://doi.org/10.1021/jacs.6c01296" TargetMode="External"/><Relationship Id="rId923" Type="http://schemas.openxmlformats.org/officeDocument/2006/relationships/hyperlink" Target="http://dx.doi.org/10.1021/jacs.6c04425" TargetMode="External"/><Relationship Id="rId924" Type="http://schemas.openxmlformats.org/officeDocument/2006/relationships/hyperlink" Target="https://doi.org/10.1021/jacs.6c04425" TargetMode="External"/><Relationship Id="rId925" Type="http://schemas.openxmlformats.org/officeDocument/2006/relationships/hyperlink" Target="http://dx.doi.org/10.1021/jacs.5c16093" TargetMode="External"/><Relationship Id="rId926" Type="http://schemas.openxmlformats.org/officeDocument/2006/relationships/hyperlink" Target="https://doi.org/10.1021/jacs.5c16093" TargetMode="External"/><Relationship Id="rId927" Type="http://schemas.openxmlformats.org/officeDocument/2006/relationships/hyperlink" Target="http://dx.doi.org/10.1021/jacs.6c04152" TargetMode="External"/><Relationship Id="rId928" Type="http://schemas.openxmlformats.org/officeDocument/2006/relationships/hyperlink" Target="https://doi.org/10.1021/jacs.6c04152" TargetMode="External"/><Relationship Id="rId929" Type="http://schemas.openxmlformats.org/officeDocument/2006/relationships/hyperlink" Target="http://dx.doi.org/10.1021/jacs.5c20878" TargetMode="External"/><Relationship Id="rId930" Type="http://schemas.openxmlformats.org/officeDocument/2006/relationships/hyperlink" Target="https://doi.org/10.1021/jacs.5c20878" TargetMode="External"/><Relationship Id="rId931" Type="http://schemas.openxmlformats.org/officeDocument/2006/relationships/hyperlink" Target="http://dx.doi.org/10.1021/jacs.6c00117" TargetMode="External"/><Relationship Id="rId932" Type="http://schemas.openxmlformats.org/officeDocument/2006/relationships/hyperlink" Target="https://doi.org/10.1021/jacs.6c00117" TargetMode="External"/><Relationship Id="rId933" Type="http://schemas.openxmlformats.org/officeDocument/2006/relationships/hyperlink" Target="http://dx.doi.org/10.1021/jacs.6c01621" TargetMode="External"/><Relationship Id="rId934" Type="http://schemas.openxmlformats.org/officeDocument/2006/relationships/hyperlink" Target="https://doi.org/10.1021/jacs.6c01621" TargetMode="External"/><Relationship Id="rId935" Type="http://schemas.openxmlformats.org/officeDocument/2006/relationships/hyperlink" Target="http://dx.doi.org/10.1021/jacs.6c02423" TargetMode="External"/><Relationship Id="rId936" Type="http://schemas.openxmlformats.org/officeDocument/2006/relationships/hyperlink" Target="https://doi.org/10.1021/jacs.6c02423" TargetMode="External"/><Relationship Id="rId937" Type="http://schemas.openxmlformats.org/officeDocument/2006/relationships/hyperlink" Target="http://dx.doi.org/10.1021/jacs.5c22741" TargetMode="External"/><Relationship Id="rId938" Type="http://schemas.openxmlformats.org/officeDocument/2006/relationships/hyperlink" Target="https://doi.org/10.1021/jacs.5c22741" TargetMode="External"/><Relationship Id="rId939" Type="http://schemas.openxmlformats.org/officeDocument/2006/relationships/hyperlink" Target="http://dx.doi.org/10.1021/jacs.6c04486" TargetMode="External"/><Relationship Id="rId940" Type="http://schemas.openxmlformats.org/officeDocument/2006/relationships/hyperlink" Target="https://doi.org/10.1021/jacs.6c04486" TargetMode="External"/><Relationship Id="rId941" Type="http://schemas.openxmlformats.org/officeDocument/2006/relationships/hyperlink" Target="http://dx.doi.org/10.1021/acsenergylett.6c00458" TargetMode="External"/><Relationship Id="rId942" Type="http://schemas.openxmlformats.org/officeDocument/2006/relationships/hyperlink" Target="https://doi.org/10.1021/acsenergylett.6c00458" TargetMode="External"/><Relationship Id="rId943" Type="http://schemas.openxmlformats.org/officeDocument/2006/relationships/hyperlink" Target="http://dx.doi.org/10.1021/jacs.6c02187" TargetMode="External"/><Relationship Id="rId944" Type="http://schemas.openxmlformats.org/officeDocument/2006/relationships/hyperlink" Target="https://doi.org/10.1021/jacs.6c02187" TargetMode="External"/><Relationship Id="rId945" Type="http://schemas.openxmlformats.org/officeDocument/2006/relationships/hyperlink" Target="http://dx.doi.org/10.1021/jacs.6c02339" TargetMode="External"/><Relationship Id="rId946" Type="http://schemas.openxmlformats.org/officeDocument/2006/relationships/hyperlink" Target="https://doi.org/10.1021/jacs.6c02339" TargetMode="External"/><Relationship Id="rId947" Type="http://schemas.openxmlformats.org/officeDocument/2006/relationships/hyperlink" Target="http://dx.doi.org/10.1021/jacs.6c00900" TargetMode="External"/><Relationship Id="rId948" Type="http://schemas.openxmlformats.org/officeDocument/2006/relationships/hyperlink" Target="https://doi.org/10.1021/jacs.6c00900" TargetMode="External"/><Relationship Id="rId949" Type="http://schemas.openxmlformats.org/officeDocument/2006/relationships/hyperlink" Target="http://dx.doi.org/10.1021/jacs.6c01800" TargetMode="External"/><Relationship Id="rId950" Type="http://schemas.openxmlformats.org/officeDocument/2006/relationships/hyperlink" Target="https://doi.org/10.1021/jacs.6c01800" TargetMode="External"/><Relationship Id="rId951" Type="http://schemas.openxmlformats.org/officeDocument/2006/relationships/hyperlink" Target="http://pubs.rsc.org/en/Content/ArticleLanding/2026/CS/D5CS01537E" TargetMode="External"/><Relationship Id="rId952" Type="http://schemas.openxmlformats.org/officeDocument/2006/relationships/hyperlink" Target="http://pubs.rsc.org/en/Content/ArticleLanding/2026/EE/D6EE00301J" TargetMode="External"/><Relationship Id="rId953" Type="http://schemas.openxmlformats.org/officeDocument/2006/relationships/hyperlink" Target="https://www.nature.com/articles/s41563-026-02534-5" TargetMode="External"/><Relationship Id="rId954" Type="http://schemas.openxmlformats.org/officeDocument/2006/relationships/hyperlink" Target="https://doi.org/10.1038/s41563-026-02534-5" TargetMode="External"/><Relationship Id="rId955" Type="http://schemas.openxmlformats.org/officeDocument/2006/relationships/hyperlink" Target="https://www.nature.com/articles/s41563-026-02588-5" TargetMode="External"/><Relationship Id="rId956" Type="http://schemas.openxmlformats.org/officeDocument/2006/relationships/hyperlink" Target="https://doi.org/10.1038/s41563-026-02588-5" TargetMode="External"/><Relationship Id="rId957" Type="http://schemas.openxmlformats.org/officeDocument/2006/relationships/hyperlink" Target="https://www.nature.com/articles/s41563-026-02585-8" TargetMode="External"/><Relationship Id="rId958" Type="http://schemas.openxmlformats.org/officeDocument/2006/relationships/hyperlink" Target="https://doi.org/10.1038/s41563-026-02585-8" TargetMode="External"/><Relationship Id="rId959" Type="http://schemas.openxmlformats.org/officeDocument/2006/relationships/hyperlink" Target="https://www.nature.com/articles/s41563-026-02565-y" TargetMode="External"/><Relationship Id="rId960" Type="http://schemas.openxmlformats.org/officeDocument/2006/relationships/hyperlink" Target="https://doi.org/10.1038/s41563-026-02565-y" TargetMode="External"/><Relationship Id="rId961" Type="http://schemas.openxmlformats.org/officeDocument/2006/relationships/hyperlink" Target="https://www.nature.com/articles/s41563-026-02571-0" TargetMode="External"/><Relationship Id="rId962" Type="http://schemas.openxmlformats.org/officeDocument/2006/relationships/hyperlink" Target="https://doi.org/10.1038/s41563-026-02571-0" TargetMode="External"/><Relationship Id="rId963" Type="http://schemas.openxmlformats.org/officeDocument/2006/relationships/hyperlink" Target="https://www.nature.com/articles/s41563-026-02582-x" TargetMode="External"/><Relationship Id="rId964" Type="http://schemas.openxmlformats.org/officeDocument/2006/relationships/hyperlink" Target="https://doi.org/10.1038/s41563-026-02582-x" TargetMode="External"/><Relationship Id="rId965" Type="http://schemas.openxmlformats.org/officeDocument/2006/relationships/hyperlink" Target="https://www.nature.com/articles/d41586-026-00509-9" TargetMode="External"/><Relationship Id="rId966" Type="http://schemas.openxmlformats.org/officeDocument/2006/relationships/hyperlink" Target="https://doi.org/10.1038/d41586-026-00509-9" TargetMode="External"/><Relationship Id="rId967" Type="http://schemas.openxmlformats.org/officeDocument/2006/relationships/hyperlink" Target="https://www.nature.com/articles/d41586-026-01236-x" TargetMode="External"/><Relationship Id="rId968" Type="http://schemas.openxmlformats.org/officeDocument/2006/relationships/hyperlink" Target="https://doi.org/10.1038/d41586-026-01236-x" TargetMode="External"/><Relationship Id="rId969" Type="http://schemas.openxmlformats.org/officeDocument/2006/relationships/hyperlink" Target="https://www.sciencedirect.com/science/article/pii/S0306261926005325?dgcid=rss_sd_all" TargetMode="External"/><Relationship Id="rId970" Type="http://schemas.openxmlformats.org/officeDocument/2006/relationships/hyperlink" Target="https://www.sciencedirect.com/science/article/pii/S0306261926005258?dgcid=rss_sd_all" TargetMode="External"/><Relationship Id="rId971" Type="http://schemas.openxmlformats.org/officeDocument/2006/relationships/hyperlink" Target="https://www.sciencedirect.com/science/article/pii/S0306261926005416?dgcid=rss_sd_all" TargetMode="External"/><Relationship Id="rId972" Type="http://schemas.openxmlformats.org/officeDocument/2006/relationships/hyperlink" Target="https://www.nature.com/articles/d41586-026-01213-4" TargetMode="External"/><Relationship Id="rId973" Type="http://schemas.openxmlformats.org/officeDocument/2006/relationships/hyperlink" Target="https://doi.org/10.1038/d41586-026-01213-4" TargetMode="External"/><Relationship Id="rId974" Type="http://schemas.openxmlformats.org/officeDocument/2006/relationships/hyperlink" Target="https://www.cell.com/matter/fulltext/S2590-2385(26)00133-5?rss=yes" TargetMode="External"/><Relationship Id="rId975" Type="http://schemas.openxmlformats.org/officeDocument/2006/relationships/hyperlink" Target="https://doi.org/10.1016/j.matt.2026.102770" TargetMode="External"/><Relationship Id="rId976" Type="http://schemas.openxmlformats.org/officeDocument/2006/relationships/hyperlink" Target="https://www.nature.com/articles/s41565-026-02157-6" TargetMode="External"/><Relationship Id="rId977" Type="http://schemas.openxmlformats.org/officeDocument/2006/relationships/hyperlink" Target="https://doi.org/10.1038/s41565-026-02157-6" TargetMode="External"/><Relationship Id="rId978" Type="http://schemas.openxmlformats.org/officeDocument/2006/relationships/hyperlink" Target="https://www.nature.com/articles/d41586-026-01134-2" TargetMode="External"/><Relationship Id="rId979" Type="http://schemas.openxmlformats.org/officeDocument/2006/relationships/hyperlink" Target="https://doi.org/10.1038/d41586-026-01134-2" TargetMode="External"/><Relationship Id="rId980" Type="http://schemas.openxmlformats.org/officeDocument/2006/relationships/hyperlink" Target="https://www.nature.com/articles/s41565-026-02147-8" TargetMode="External"/><Relationship Id="rId981" Type="http://schemas.openxmlformats.org/officeDocument/2006/relationships/hyperlink" Target="https://doi.org/10.1038/s41565-026-02147-8" TargetMode="External"/><Relationship Id="rId982" Type="http://schemas.openxmlformats.org/officeDocument/2006/relationships/hyperlink" Target="https://www.cell.com/chem/fulltext/S2451-9294(26)00096-3?rss=yes" TargetMode="External"/><Relationship Id="rId983" Type="http://schemas.openxmlformats.org/officeDocument/2006/relationships/hyperlink" Target="https://doi.org/10.1016/j.chempr.2026.103030" TargetMode="External"/><Relationship Id="rId984" Type="http://schemas.openxmlformats.org/officeDocument/2006/relationships/hyperlink" Target="https://www.cell.com/chem/fulltext/S2451-9294(26)00127-0?rss=yes" TargetMode="External"/><Relationship Id="rId985" Type="http://schemas.openxmlformats.org/officeDocument/2006/relationships/hyperlink" Target="https://doi.org/10.1016/j.chempr.2026.103061" TargetMode="External"/><Relationship Id="rId986" Type="http://schemas.openxmlformats.org/officeDocument/2006/relationships/hyperlink" Target="https://www.nature.com/articles/s41928-026-01609-0" TargetMode="External"/><Relationship Id="rId987" Type="http://schemas.openxmlformats.org/officeDocument/2006/relationships/hyperlink" Target="https://doi.org/10.1038/s41928-026-01609-0" TargetMode="External"/><Relationship Id="rId988" Type="http://schemas.openxmlformats.org/officeDocument/2006/relationships/hyperlink" Target="https://academic.oup.com/nsr/advance-article/doi/10.1093/nsr/nwag223/8656786?rss=1" TargetMode="External"/><Relationship Id="rId989" Type="http://schemas.openxmlformats.org/officeDocument/2006/relationships/hyperlink" Target="https://doi.org/10.1093/nsr/nwag223" TargetMode="External"/><Relationship Id="rId990" Type="http://schemas.openxmlformats.org/officeDocument/2006/relationships/hyperlink" Target="https://www.nature.com/articles/s41557-026-02122-9" TargetMode="External"/><Relationship Id="rId991" Type="http://schemas.openxmlformats.org/officeDocument/2006/relationships/hyperlink" Target="https://doi.org/10.1038/s41557-026-02122-9" TargetMode="External"/><Relationship Id="rId992" Type="http://schemas.openxmlformats.org/officeDocument/2006/relationships/hyperlink" Target="https://www.nature.com/articles/d41586-026-01210-7" TargetMode="External"/><Relationship Id="rId993" Type="http://schemas.openxmlformats.org/officeDocument/2006/relationships/hyperlink" Target="https://doi.org/10.1038/d41586-026-01210-7" TargetMode="External"/><Relationship Id="rId994" Type="http://schemas.openxmlformats.org/officeDocument/2006/relationships/hyperlink" Target="https://academic.oup.com/nsr/advance-article/doi/10.1093/nsr/nwag226/8656779?rss=1" TargetMode="External"/><Relationship Id="rId995" Type="http://schemas.openxmlformats.org/officeDocument/2006/relationships/hyperlink" Target="https://doi.org/10.1093/nsr/nwag226" TargetMode="External"/><Relationship Id="rId996" Type="http://schemas.openxmlformats.org/officeDocument/2006/relationships/hyperlink" Target="https://www.nature.com/articles/s41565-026-02153-w" TargetMode="External"/><Relationship Id="rId997" Type="http://schemas.openxmlformats.org/officeDocument/2006/relationships/hyperlink" Target="https://doi.org/10.1038/s41565-026-02153-w" TargetMode="External"/><Relationship Id="rId998" Type="http://schemas.openxmlformats.org/officeDocument/2006/relationships/hyperlink" Target="https://www.cell.com/matter/fulltext/S2590-2385(26)00137-2?rss=yes" TargetMode="External"/><Relationship Id="rId999" Type="http://schemas.openxmlformats.org/officeDocument/2006/relationships/hyperlink" Target="https://doi.org/10.1016/j.matt.2026.102774" TargetMode="External"/><Relationship Id="rId1000" Type="http://schemas.openxmlformats.org/officeDocument/2006/relationships/hyperlink" Target="https://www.cell.com/matter/fulltext/S2590-2385(26)00136-0?rss=yes" TargetMode="External"/><Relationship Id="rId1001" Type="http://schemas.openxmlformats.org/officeDocument/2006/relationships/hyperlink" Target="https://doi.org/10.1016/j.matt.2026.102773" TargetMode="External"/><Relationship Id="rId1002" Type="http://schemas.openxmlformats.org/officeDocument/2006/relationships/hyperlink" Target="https://www.sciencedirect.com/science/article/pii/S0306261926005143?dgcid=rss_sd_all" TargetMode="External"/><Relationship Id="rId1003" Type="http://schemas.openxmlformats.org/officeDocument/2006/relationships/hyperlink" Target="https://www.nature.com/articles/d41586-026-01227-y" TargetMode="External"/><Relationship Id="rId1004" Type="http://schemas.openxmlformats.org/officeDocument/2006/relationships/hyperlink" Target="https://doi.org/10.1038/d41586-026-01227-y" TargetMode="External"/><Relationship Id="rId1005" Type="http://schemas.openxmlformats.org/officeDocument/2006/relationships/hyperlink" Target="https://www.nature.com/articles/d41586-026-01212-5" TargetMode="External"/><Relationship Id="rId1006" Type="http://schemas.openxmlformats.org/officeDocument/2006/relationships/hyperlink" Target="https://doi.org/10.1038/d41586-026-01212-5" TargetMode="External"/><Relationship Id="rId1007" Type="http://schemas.openxmlformats.org/officeDocument/2006/relationships/hyperlink" Target="https://www.cell.com/chem/fulltext/S2451-9294(26)00067-7?rss=yes" TargetMode="External"/><Relationship Id="rId1008" Type="http://schemas.openxmlformats.org/officeDocument/2006/relationships/hyperlink" Target="https://doi.org/10.1016/j.chempr.2026.103001" TargetMode="External"/><Relationship Id="rId1009" Type="http://schemas.openxmlformats.org/officeDocument/2006/relationships/hyperlink" Target="https://www.nature.com/articles/s41893-026-01815-w" TargetMode="External"/><Relationship Id="rId1010" Type="http://schemas.openxmlformats.org/officeDocument/2006/relationships/hyperlink" Target="https://doi.org/10.1038/s41893-026-01815-w" TargetMode="External"/><Relationship Id="rId1011" Type="http://schemas.openxmlformats.org/officeDocument/2006/relationships/hyperlink" Target="https://www.science.org/doi/abs/10.1126/science.adu8197?af=R" TargetMode="External"/><Relationship Id="rId1012" Type="http://schemas.openxmlformats.org/officeDocument/2006/relationships/hyperlink" Target="https://doi.org/10.1126/science.adu8197" TargetMode="External"/><Relationship Id="rId1013" Type="http://schemas.openxmlformats.org/officeDocument/2006/relationships/hyperlink" Target="https://www.science.org/doi/abs/10.1126/science.aeg6547?af=R" TargetMode="External"/><Relationship Id="rId1014" Type="http://schemas.openxmlformats.org/officeDocument/2006/relationships/hyperlink" Target="https://doi.org/10.1126/science.aeg6547" TargetMode="External"/><Relationship Id="rId1015" Type="http://schemas.openxmlformats.org/officeDocument/2006/relationships/hyperlink" Target="https://www.science.org/doi/abs/10.1126/science.aei0564?af=R" TargetMode="External"/><Relationship Id="rId1016" Type="http://schemas.openxmlformats.org/officeDocument/2006/relationships/hyperlink" Target="https://doi.org/10.1126/science.aei0564" TargetMode="External"/><Relationship Id="rId1017" Type="http://schemas.openxmlformats.org/officeDocument/2006/relationships/hyperlink" Target="https://www.science.org/doi/abs/10.1126/science.aei0565?af=R" TargetMode="External"/><Relationship Id="rId1018" Type="http://schemas.openxmlformats.org/officeDocument/2006/relationships/hyperlink" Target="https://doi.org/10.1126/science.aei0565" TargetMode="External"/><Relationship Id="rId1019" Type="http://schemas.openxmlformats.org/officeDocument/2006/relationships/hyperlink" Target="https://www.science.org/doi/abs/10.1126/science.aei0566?af=R" TargetMode="External"/><Relationship Id="rId1020" Type="http://schemas.openxmlformats.org/officeDocument/2006/relationships/hyperlink" Target="https://doi.org/10.1126/science.aei0566" TargetMode="External"/><Relationship Id="rId1021" Type="http://schemas.openxmlformats.org/officeDocument/2006/relationships/hyperlink" Target="https://www.science.org/doi/abs/10.1126/science.aeh9505?af=R" TargetMode="External"/><Relationship Id="rId1022" Type="http://schemas.openxmlformats.org/officeDocument/2006/relationships/hyperlink" Target="https://doi.org/10.1126/science.aeh9505" TargetMode="External"/><Relationship Id="rId1023" Type="http://schemas.openxmlformats.org/officeDocument/2006/relationships/hyperlink" Target="https://www.science.org/doi/abs/10.1126/science.aei0569?af=R" TargetMode="External"/><Relationship Id="rId1024" Type="http://schemas.openxmlformats.org/officeDocument/2006/relationships/hyperlink" Target="https://doi.org/10.1126/science.aei0569" TargetMode="External"/><Relationship Id="rId1025" Type="http://schemas.openxmlformats.org/officeDocument/2006/relationships/hyperlink" Target="https://www.science.org/doi/abs/10.1126/science.aeg8732?af=R" TargetMode="External"/><Relationship Id="rId1026" Type="http://schemas.openxmlformats.org/officeDocument/2006/relationships/hyperlink" Target="https://doi.org/10.1126/science.aeg8732" TargetMode="External"/><Relationship Id="rId1027" Type="http://schemas.openxmlformats.org/officeDocument/2006/relationships/hyperlink" Target="https://www.science.org/doi/abs/10.1126/science.aee3932?af=R" TargetMode="External"/><Relationship Id="rId1028" Type="http://schemas.openxmlformats.org/officeDocument/2006/relationships/hyperlink" Target="https://doi.org/10.1126/science.aee3932" TargetMode="External"/><Relationship Id="rId1029" Type="http://schemas.openxmlformats.org/officeDocument/2006/relationships/hyperlink" Target="https://www.science.org/doi/abs/10.1126/science.aei0197?af=R" TargetMode="External"/><Relationship Id="rId1030" Type="http://schemas.openxmlformats.org/officeDocument/2006/relationships/hyperlink" Target="https://doi.org/10.1126/science.aei0197" TargetMode="External"/><Relationship Id="rId1031" Type="http://schemas.openxmlformats.org/officeDocument/2006/relationships/hyperlink" Target="https://www.science.org/doi/abs/10.1126/science.aeh0064?af=R" TargetMode="External"/><Relationship Id="rId1032" Type="http://schemas.openxmlformats.org/officeDocument/2006/relationships/hyperlink" Target="https://doi.org/10.1126/science.aeh0064" TargetMode="External"/><Relationship Id="rId1033" Type="http://schemas.openxmlformats.org/officeDocument/2006/relationships/hyperlink" Target="https://www.science.org/doi/abs/10.1126/science.aei0568?af=R" TargetMode="External"/><Relationship Id="rId1034" Type="http://schemas.openxmlformats.org/officeDocument/2006/relationships/hyperlink" Target="https://doi.org/10.1126/science.aei0568" TargetMode="External"/><Relationship Id="rId1035" Type="http://schemas.openxmlformats.org/officeDocument/2006/relationships/hyperlink" Target="https://www.science.org/doi/abs/10.1126/science.aeg7441?af=R" TargetMode="External"/><Relationship Id="rId1036" Type="http://schemas.openxmlformats.org/officeDocument/2006/relationships/hyperlink" Target="https://doi.org/10.1126/science.aeg7441" TargetMode="External"/><Relationship Id="rId1037" Type="http://schemas.openxmlformats.org/officeDocument/2006/relationships/hyperlink" Target="https://www.science.org/doi/abs/10.1126/science.adz6826?af=R" TargetMode="External"/><Relationship Id="rId1038" Type="http://schemas.openxmlformats.org/officeDocument/2006/relationships/hyperlink" Target="https://doi.org/10.1126/science.adz6826" TargetMode="External"/><Relationship Id="rId1039" Type="http://schemas.openxmlformats.org/officeDocument/2006/relationships/hyperlink" Target="https://www.science.org/doi/abs/10.1126/science.aeg5982?af=R" TargetMode="External"/><Relationship Id="rId1040" Type="http://schemas.openxmlformats.org/officeDocument/2006/relationships/hyperlink" Target="https://doi.org/10.1126/science.aeg5982" TargetMode="External"/><Relationship Id="rId1041" Type="http://schemas.openxmlformats.org/officeDocument/2006/relationships/hyperlink" Target="https://www.science.org/doi/abs/10.1126/science.aei0561?af=R" TargetMode="External"/><Relationship Id="rId1042" Type="http://schemas.openxmlformats.org/officeDocument/2006/relationships/hyperlink" Target="https://doi.org/10.1126/science.aei0561" TargetMode="External"/><Relationship Id="rId1043" Type="http://schemas.openxmlformats.org/officeDocument/2006/relationships/hyperlink" Target="https://www.science.org/doi/abs/10.1126/science.aeg7084?af=R" TargetMode="External"/><Relationship Id="rId1044" Type="http://schemas.openxmlformats.org/officeDocument/2006/relationships/hyperlink" Target="https://doi.org/10.1126/science.aeg7084" TargetMode="External"/><Relationship Id="rId1045" Type="http://schemas.openxmlformats.org/officeDocument/2006/relationships/hyperlink" Target="https://www.science.org/doi/abs/10.1126/science.adz9174?af=R" TargetMode="External"/><Relationship Id="rId1046" Type="http://schemas.openxmlformats.org/officeDocument/2006/relationships/hyperlink" Target="https://doi.org/10.1126/science.adz9174" TargetMode="External"/><Relationship Id="rId1047" Type="http://schemas.openxmlformats.org/officeDocument/2006/relationships/hyperlink" Target="https://www.science.org/doi/abs/10.1126/science.adt9147?af=R" TargetMode="External"/><Relationship Id="rId1048" Type="http://schemas.openxmlformats.org/officeDocument/2006/relationships/hyperlink" Target="https://doi.org/10.1126/science.adt9147" TargetMode="External"/><Relationship Id="rId1049" Type="http://schemas.openxmlformats.org/officeDocument/2006/relationships/hyperlink" Target="https://www.science.org/doi/abs/10.1126/science.aea3485?af=R" TargetMode="External"/><Relationship Id="rId1050" Type="http://schemas.openxmlformats.org/officeDocument/2006/relationships/hyperlink" Target="https://doi.org/10.1126/science.aea3485" TargetMode="External"/><Relationship Id="rId1051" Type="http://schemas.openxmlformats.org/officeDocument/2006/relationships/hyperlink" Target="https://www.science.org/doi/abs/10.1126/science.adw4897?af=R" TargetMode="External"/><Relationship Id="rId1052" Type="http://schemas.openxmlformats.org/officeDocument/2006/relationships/hyperlink" Target="https://doi.org/10.1126/science.adw4897" TargetMode="External"/><Relationship Id="rId1053" Type="http://schemas.openxmlformats.org/officeDocument/2006/relationships/hyperlink" Target="https://www.science.org/doi/abs/10.1126/science.aed7758?af=R" TargetMode="External"/><Relationship Id="rId1054" Type="http://schemas.openxmlformats.org/officeDocument/2006/relationships/hyperlink" Target="https://doi.org/10.1126/science.aed7758" TargetMode="External"/><Relationship Id="rId1055" Type="http://schemas.openxmlformats.org/officeDocument/2006/relationships/hyperlink" Target="https://www.science.org/doi/abs/10.1126/science.aee8708?af=R" TargetMode="External"/><Relationship Id="rId1056" Type="http://schemas.openxmlformats.org/officeDocument/2006/relationships/hyperlink" Target="https://doi.org/10.1126/science.aee8708" TargetMode="External"/><Relationship Id="rId1057" Type="http://schemas.openxmlformats.org/officeDocument/2006/relationships/hyperlink" Target="https://www.science.org/doi/abs/10.1126/science.adt2981?af=R" TargetMode="External"/><Relationship Id="rId1058" Type="http://schemas.openxmlformats.org/officeDocument/2006/relationships/hyperlink" Target="https://doi.org/10.1126/science.adt2981" TargetMode="External"/><Relationship Id="rId1059" Type="http://schemas.openxmlformats.org/officeDocument/2006/relationships/hyperlink" Target="https://www.science.org/doi/abs/10.1126/science.aei0199?af=R" TargetMode="External"/><Relationship Id="rId1060" Type="http://schemas.openxmlformats.org/officeDocument/2006/relationships/hyperlink" Target="https://doi.org/10.1126/science.aei0199" TargetMode="External"/><Relationship Id="rId1061" Type="http://schemas.openxmlformats.org/officeDocument/2006/relationships/hyperlink" Target="https://www.science.org/doi/abs/10.1126/science.aei0198?af=R" TargetMode="External"/><Relationship Id="rId1062" Type="http://schemas.openxmlformats.org/officeDocument/2006/relationships/hyperlink" Target="https://doi.org/10.1126/science.aei0198" TargetMode="External"/><Relationship Id="rId1063" Type="http://schemas.openxmlformats.org/officeDocument/2006/relationships/hyperlink" Target="https://www.science.org/doi/abs/10.1126/science.aef5342?af=R" TargetMode="External"/><Relationship Id="rId1064" Type="http://schemas.openxmlformats.org/officeDocument/2006/relationships/hyperlink" Target="https://doi.org/10.1126/science.aef5342" TargetMode="External"/><Relationship Id="rId1065" Type="http://schemas.openxmlformats.org/officeDocument/2006/relationships/hyperlink" Target="https://www.science.org/doi/abs/10.1126/science.aea3219?af=R" TargetMode="External"/><Relationship Id="rId1066" Type="http://schemas.openxmlformats.org/officeDocument/2006/relationships/hyperlink" Target="https://doi.org/10.1126/science.aea3219" TargetMode="External"/><Relationship Id="rId1067" Type="http://schemas.openxmlformats.org/officeDocument/2006/relationships/hyperlink" Target="https://www.science.org/doi/abs/10.1126/science.aea9063?af=R" TargetMode="External"/><Relationship Id="rId1068" Type="http://schemas.openxmlformats.org/officeDocument/2006/relationships/hyperlink" Target="https://doi.org/10.1126/science.aea9063" TargetMode="External"/><Relationship Id="rId1069" Type="http://schemas.openxmlformats.org/officeDocument/2006/relationships/hyperlink" Target="https://www.science.org/doi/abs/10.1126/science.aea6343?af=R" TargetMode="External"/><Relationship Id="rId1070" Type="http://schemas.openxmlformats.org/officeDocument/2006/relationships/hyperlink" Target="https://doi.org/10.1126/science.aea6343" TargetMode="External"/><Relationship Id="rId1071" Type="http://schemas.openxmlformats.org/officeDocument/2006/relationships/hyperlink" Target="https://www.science.org/doi/abs/10.1126/science.adz8994?af=R" TargetMode="External"/><Relationship Id="rId1072" Type="http://schemas.openxmlformats.org/officeDocument/2006/relationships/hyperlink" Target="https://doi.org/10.1126/science.adz8994" TargetMode="External"/><Relationship Id="rId1073" Type="http://schemas.openxmlformats.org/officeDocument/2006/relationships/hyperlink" Target="https://www.pnas.org/doi/abs/10.1073/pnas.2535716123?mi=eymic2&amp;af=R&amp;access=on&amp;content=articlesChapters&amp;publication=pnas&amp;sortBy=Earliest&amp;target=default" TargetMode="External"/><Relationship Id="rId1074" Type="http://schemas.openxmlformats.org/officeDocument/2006/relationships/hyperlink" Target="https://doi.org/10.1073/pnas.2535716123" TargetMode="External"/><Relationship Id="rId1075" Type="http://schemas.openxmlformats.org/officeDocument/2006/relationships/hyperlink" Target="https://www.science.org/doi/abs/10.1126/science.aeg9576?af=R" TargetMode="External"/><Relationship Id="rId1076" Type="http://schemas.openxmlformats.org/officeDocument/2006/relationships/hyperlink" Target="https://doi.org/10.1126/science.aeg9576" TargetMode="External"/><Relationship Id="rId1077" Type="http://schemas.openxmlformats.org/officeDocument/2006/relationships/hyperlink" Target="https://www.science.org/doi/abs/10.1126/science.aea2673?af=R" TargetMode="External"/><Relationship Id="rId1078" Type="http://schemas.openxmlformats.org/officeDocument/2006/relationships/hyperlink" Target="https://doi.org/10.1126/science.aea2673" TargetMode="External"/><Relationship Id="rId1079" Type="http://schemas.openxmlformats.org/officeDocument/2006/relationships/hyperlink" Target="https://www.pnas.org/doi/abs/10.1073/pnas.2600386123?mi=eymic2&amp;af=R&amp;access=on&amp;content=articlesChapters&amp;publication=pnas&amp;sortBy=Earliest&amp;target=default" TargetMode="External"/><Relationship Id="rId1080" Type="http://schemas.openxmlformats.org/officeDocument/2006/relationships/hyperlink" Target="https://doi.org/10.1073/pnas.2600386123" TargetMode="External"/><Relationship Id="rId1081" Type="http://schemas.openxmlformats.org/officeDocument/2006/relationships/hyperlink" Target="https://www.pnas.org/doi/abs/10.1073/pnas.2525757123?mi=eymic2&amp;af=R&amp;access=on&amp;content=articlesChapters&amp;publication=pnas&amp;sortBy=Earliest&amp;target=default" TargetMode="External"/><Relationship Id="rId1082" Type="http://schemas.openxmlformats.org/officeDocument/2006/relationships/hyperlink" Target="https://doi.org/10.1073/pnas.2525757123" TargetMode="External"/><Relationship Id="rId1083" Type="http://schemas.openxmlformats.org/officeDocument/2006/relationships/hyperlink" Target="https://www.pnas.org/doi/abs/10.1073/pnas.2531938123?mi=eymic2&amp;af=R&amp;access=on&amp;content=articlesChapters&amp;publication=pnas&amp;sortBy=Earliest&amp;target=default" TargetMode="External"/><Relationship Id="rId1084" Type="http://schemas.openxmlformats.org/officeDocument/2006/relationships/hyperlink" Target="https://doi.org/10.1073/pnas.2531938123" TargetMode="External"/><Relationship Id="rId1085" Type="http://schemas.openxmlformats.org/officeDocument/2006/relationships/hyperlink" Target="https://www.pnas.org/doi/abs/10.1073/pnas.2528910123?mi=eymic2&amp;af=R&amp;access=on&amp;content=articlesChapters&amp;publication=pnas&amp;sortBy=Earliest&amp;target=default" TargetMode="External"/><Relationship Id="rId1086" Type="http://schemas.openxmlformats.org/officeDocument/2006/relationships/hyperlink" Target="https://doi.org/10.1073/pnas.2528910123" TargetMode="External"/><Relationship Id="rId1087" Type="http://schemas.openxmlformats.org/officeDocument/2006/relationships/hyperlink" Target="https://www.pnas.org/doi/abs/10.1073/pnas.2518776123?mi=eymic2&amp;af=R&amp;access=on&amp;content=articlesChapters&amp;publication=pnas&amp;sortBy=Earliest&amp;target=default" TargetMode="External"/><Relationship Id="rId1088" Type="http://schemas.openxmlformats.org/officeDocument/2006/relationships/hyperlink" Target="https://doi.org/10.1073/pnas.2518776123" TargetMode="External"/><Relationship Id="rId1089" Type="http://schemas.openxmlformats.org/officeDocument/2006/relationships/hyperlink" Target="https://www.science.org/doi/abs/10.1126/science.adt1310?af=R" TargetMode="External"/><Relationship Id="rId1090" Type="http://schemas.openxmlformats.org/officeDocument/2006/relationships/hyperlink" Target="https://doi.org/10.1126/science.adt1310" TargetMode="External"/><Relationship Id="rId1091" Type="http://schemas.openxmlformats.org/officeDocument/2006/relationships/hyperlink" Target="https://www.pnas.org/doi/abs/10.1073/pnas.2533391123?mi=eymic2&amp;af=R&amp;access=on&amp;content=articlesChapters&amp;publication=pnas&amp;sortBy=Earliest&amp;target=default" TargetMode="External"/><Relationship Id="rId1092" Type="http://schemas.openxmlformats.org/officeDocument/2006/relationships/hyperlink" Target="https://doi.org/10.1073/pnas.2533391123" TargetMode="External"/><Relationship Id="rId1093" Type="http://schemas.openxmlformats.org/officeDocument/2006/relationships/hyperlink" Target="https://www.pnas.org/doi/abs/10.1073/pnas.2604818123?mi=eymic2&amp;af=R&amp;access=on&amp;content=articlesChapters&amp;publication=pnas&amp;sortBy=Earliest&amp;target=default" TargetMode="External"/><Relationship Id="rId1094" Type="http://schemas.openxmlformats.org/officeDocument/2006/relationships/hyperlink" Target="https://doi.org/10.1073/pnas.2604818123" TargetMode="External"/><Relationship Id="rId1095" Type="http://schemas.openxmlformats.org/officeDocument/2006/relationships/hyperlink" Target="https://www.pnas.org/doi/abs/10.1073/pnas.2524741123?mi=eymic2&amp;af=R&amp;access=on&amp;content=articlesChapters&amp;publication=pnas&amp;sortBy=Earliest&amp;target=default" TargetMode="External"/><Relationship Id="rId1096" Type="http://schemas.openxmlformats.org/officeDocument/2006/relationships/hyperlink" Target="https://doi.org/10.1073/pnas.2524741123" TargetMode="External"/><Relationship Id="rId1097" Type="http://schemas.openxmlformats.org/officeDocument/2006/relationships/hyperlink" Target="https://www.science.org/doi/abs/10.1126/science.adl2348?af=R" TargetMode="External"/><Relationship Id="rId1098" Type="http://schemas.openxmlformats.org/officeDocument/2006/relationships/hyperlink" Target="https://doi.org/10.1126/science.adl2348" TargetMode="External"/><Relationship Id="rId1099" Type="http://schemas.openxmlformats.org/officeDocument/2006/relationships/hyperlink" Target="https://advanced.onlinelibrary.wiley.com/doi/10.1002/aenm.70942?af=R" TargetMode="External"/><Relationship Id="rId1100" Type="http://schemas.openxmlformats.org/officeDocument/2006/relationships/hyperlink" Target="https://doi.org/10.1002/aenm.70942" TargetMode="External"/><Relationship Id="rId1101" Type="http://schemas.openxmlformats.org/officeDocument/2006/relationships/hyperlink" Target="http://dx.doi.org/10.1021/jacs.6c02450" TargetMode="External"/><Relationship Id="rId1102" Type="http://schemas.openxmlformats.org/officeDocument/2006/relationships/hyperlink" Target="https://doi.org/10.1021/jacs.6c02450" TargetMode="External"/><Relationship Id="rId1103" Type="http://schemas.openxmlformats.org/officeDocument/2006/relationships/hyperlink" Target="http://dx.doi.org/10.1021/jacs.6c02474" TargetMode="External"/><Relationship Id="rId1104" Type="http://schemas.openxmlformats.org/officeDocument/2006/relationships/hyperlink" Target="https://doi.org/10.1021/jacs.6c02474" TargetMode="External"/><Relationship Id="rId1105" Type="http://schemas.openxmlformats.org/officeDocument/2006/relationships/hyperlink" Target="http://dx.doi.org/10.1021/jacs.5c19517" TargetMode="External"/><Relationship Id="rId1106" Type="http://schemas.openxmlformats.org/officeDocument/2006/relationships/hyperlink" Target="https://doi.org/10.1021/jacs.5c19517" TargetMode="External"/><Relationship Id="rId1107" Type="http://schemas.openxmlformats.org/officeDocument/2006/relationships/hyperlink" Target="http://dx.doi.org/10.1021/jacs.6c03705" TargetMode="External"/><Relationship Id="rId1108" Type="http://schemas.openxmlformats.org/officeDocument/2006/relationships/hyperlink" Target="https://doi.org/10.1021/jacs.6c03705" TargetMode="External"/><Relationship Id="rId1109" Type="http://schemas.openxmlformats.org/officeDocument/2006/relationships/hyperlink" Target="http://dx.doi.org/10.1021/jacs.6c02311" TargetMode="External"/><Relationship Id="rId1110" Type="http://schemas.openxmlformats.org/officeDocument/2006/relationships/hyperlink" Target="https://doi.org/10.1021/jacs.6c02311" TargetMode="External"/><Relationship Id="rId1111" Type="http://schemas.openxmlformats.org/officeDocument/2006/relationships/hyperlink" Target="http://dx.doi.org/10.1021/jacs.5c22902" TargetMode="External"/><Relationship Id="rId1112" Type="http://schemas.openxmlformats.org/officeDocument/2006/relationships/hyperlink" Target="https://doi.org/10.1021/jacs.5c22902" TargetMode="External"/><Relationship Id="rId1113" Type="http://schemas.openxmlformats.org/officeDocument/2006/relationships/hyperlink" Target="http://pubs.rsc.org/en/Content/ArticleLanding/2026/EE/D6EE01250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